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A1" w:rsidRPr="00DA20F5" w:rsidRDefault="002275F2" w:rsidP="00D36FB8">
      <w:pPr>
        <w:pStyle w:val="Nadpis1"/>
        <w:numPr>
          <w:ilvl w:val="0"/>
          <w:numId w:val="0"/>
        </w:numPr>
        <w:ind w:left="432"/>
        <w:jc w:val="center"/>
        <w:rPr>
          <w:color w:val="auto"/>
        </w:rPr>
      </w:pPr>
      <w:bookmarkStart w:id="0" w:name="_Toc293169727"/>
      <w:bookmarkStart w:id="1" w:name="_Toc293171571"/>
      <w:bookmarkStart w:id="2" w:name="_Toc293171788"/>
      <w:bookmarkStart w:id="3" w:name="_Toc293171963"/>
      <w:bookmarkStart w:id="4" w:name="_Toc293172077"/>
      <w:bookmarkStart w:id="5" w:name="_Toc294021227"/>
      <w:bookmarkStart w:id="6" w:name="_Toc294027940"/>
      <w:bookmarkStart w:id="7" w:name="_Toc313877431"/>
      <w:bookmarkStart w:id="8" w:name="_Toc325438095"/>
      <w:bookmarkStart w:id="9" w:name="_Toc325440869"/>
      <w:bookmarkStart w:id="10" w:name="_Toc325626682"/>
      <w:bookmarkStart w:id="11" w:name="_Toc326216943"/>
      <w:r w:rsidRPr="00DA20F5">
        <w:rPr>
          <w:color w:val="auto"/>
        </w:rPr>
        <w:t>MINISTERSTVO PRÁCE, SOCIÁLNYCH VECÍ A RODINY</w:t>
      </w:r>
      <w:bookmarkEnd w:id="0"/>
      <w:bookmarkEnd w:id="1"/>
      <w:bookmarkEnd w:id="2"/>
      <w:bookmarkEnd w:id="3"/>
      <w:bookmarkEnd w:id="4"/>
      <w:bookmarkEnd w:id="5"/>
      <w:bookmarkEnd w:id="6"/>
      <w:bookmarkEnd w:id="7"/>
      <w:bookmarkEnd w:id="8"/>
      <w:bookmarkEnd w:id="9"/>
      <w:bookmarkEnd w:id="10"/>
      <w:bookmarkEnd w:id="11"/>
    </w:p>
    <w:p w:rsidR="007A29A1" w:rsidRPr="00DA20F5" w:rsidRDefault="002275F2" w:rsidP="00D36FB8">
      <w:pPr>
        <w:pStyle w:val="Nadpis1"/>
        <w:numPr>
          <w:ilvl w:val="0"/>
          <w:numId w:val="0"/>
        </w:numPr>
        <w:ind w:left="432"/>
        <w:jc w:val="center"/>
        <w:rPr>
          <w:color w:val="auto"/>
        </w:rPr>
      </w:pPr>
      <w:bookmarkStart w:id="12" w:name="_Toc293169728"/>
      <w:bookmarkStart w:id="13" w:name="_Toc293171572"/>
      <w:bookmarkStart w:id="14" w:name="_Toc293171789"/>
      <w:bookmarkStart w:id="15" w:name="_Toc293171964"/>
      <w:bookmarkStart w:id="16" w:name="_Toc293172078"/>
      <w:bookmarkStart w:id="17" w:name="_Toc294016295"/>
      <w:bookmarkStart w:id="18" w:name="_Toc294018424"/>
      <w:bookmarkStart w:id="19" w:name="_Toc294021228"/>
      <w:bookmarkStart w:id="20" w:name="_Toc294027941"/>
      <w:bookmarkStart w:id="21" w:name="_Toc313877432"/>
      <w:bookmarkStart w:id="22" w:name="_Toc325438096"/>
      <w:bookmarkStart w:id="23" w:name="_Toc325440870"/>
      <w:bookmarkStart w:id="24" w:name="_Toc325626683"/>
      <w:bookmarkStart w:id="25" w:name="_Toc326216944"/>
      <w:r w:rsidRPr="00DA20F5">
        <w:rPr>
          <w:color w:val="auto"/>
        </w:rPr>
        <w:t>SLOVENSKEJ REPUBLIKY</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2275F2" w:rsidRPr="00DA20F5" w:rsidRDefault="002275F2" w:rsidP="00D36FB8">
      <w:r w:rsidRPr="00DA20F5">
        <w:t>___________________________________________________________________________</w:t>
      </w:r>
    </w:p>
    <w:p w:rsidR="002275F2" w:rsidRPr="00DA20F5" w:rsidRDefault="002275F2" w:rsidP="00D36FB8"/>
    <w:p w:rsidR="002275F2" w:rsidRPr="00DA20F5" w:rsidRDefault="002275F2" w:rsidP="00D36FB8"/>
    <w:p w:rsidR="00F412F0" w:rsidRPr="00DA20F5" w:rsidRDefault="00F412F0" w:rsidP="00D36FB8"/>
    <w:p w:rsidR="002275F2" w:rsidRPr="00DA20F5" w:rsidRDefault="002275F2" w:rsidP="00D36FB8"/>
    <w:p w:rsidR="002275F2" w:rsidRPr="00DA20F5" w:rsidRDefault="002275F2" w:rsidP="00D36FB8"/>
    <w:p w:rsidR="002275F2" w:rsidRPr="00DA20F5" w:rsidRDefault="002275F2" w:rsidP="00D36FB8"/>
    <w:p w:rsidR="002275F2" w:rsidRPr="00DA20F5" w:rsidRDefault="002275F2" w:rsidP="00D36FB8"/>
    <w:p w:rsidR="002275F2" w:rsidRPr="00DA20F5" w:rsidRDefault="002275F2" w:rsidP="00D36FB8"/>
    <w:p w:rsidR="002275F2" w:rsidRPr="00DA20F5" w:rsidRDefault="002275F2" w:rsidP="00D36FB8"/>
    <w:p w:rsidR="008A2C08" w:rsidRPr="00DA20F5" w:rsidRDefault="008A2C08" w:rsidP="00D36FB8"/>
    <w:p w:rsidR="008A2C08" w:rsidRPr="00DA20F5" w:rsidRDefault="008A2C08" w:rsidP="00D36FB8"/>
    <w:p w:rsidR="008A1EEC" w:rsidRDefault="008A1EEC" w:rsidP="00D36FB8"/>
    <w:p w:rsidR="001467EB" w:rsidRDefault="001467EB" w:rsidP="00D36FB8"/>
    <w:p w:rsidR="001467EB" w:rsidRDefault="001467EB" w:rsidP="00D36FB8"/>
    <w:p w:rsidR="001467EB" w:rsidRPr="00DA20F5" w:rsidRDefault="001467EB" w:rsidP="00D36FB8"/>
    <w:p w:rsidR="008A2C08" w:rsidRPr="00DA20F5" w:rsidRDefault="008A2C08" w:rsidP="00D36FB8"/>
    <w:p w:rsidR="008A2C08" w:rsidRPr="00DA20F5" w:rsidRDefault="008A2C08" w:rsidP="00D36FB8"/>
    <w:p w:rsidR="008A2C08" w:rsidRPr="00DA20F5" w:rsidRDefault="008A2C08" w:rsidP="00D36FB8"/>
    <w:p w:rsidR="002275F2" w:rsidRPr="00DA20F5" w:rsidRDefault="002275F2" w:rsidP="00D36FB8"/>
    <w:p w:rsidR="008A2C08" w:rsidRPr="00DA20F5" w:rsidRDefault="008A2C08" w:rsidP="00D36FB8"/>
    <w:p w:rsidR="007A29A1" w:rsidRPr="00DA20F5" w:rsidRDefault="009B1737" w:rsidP="00D36FB8">
      <w:pPr>
        <w:pStyle w:val="Nadpis1"/>
        <w:numPr>
          <w:ilvl w:val="0"/>
          <w:numId w:val="0"/>
        </w:numPr>
        <w:ind w:left="432"/>
        <w:jc w:val="center"/>
        <w:rPr>
          <w:color w:val="auto"/>
        </w:rPr>
      </w:pPr>
      <w:bookmarkStart w:id="26" w:name="_Toc293169729"/>
      <w:bookmarkStart w:id="27" w:name="_Toc293171573"/>
      <w:bookmarkStart w:id="28" w:name="_Toc293171790"/>
      <w:bookmarkStart w:id="29" w:name="_Toc293171965"/>
      <w:bookmarkStart w:id="30" w:name="_Toc293172079"/>
      <w:bookmarkStart w:id="31" w:name="_Toc294016296"/>
      <w:bookmarkStart w:id="32" w:name="_Toc294018425"/>
      <w:bookmarkStart w:id="33" w:name="_Toc294021229"/>
      <w:bookmarkStart w:id="34" w:name="_Toc294027942"/>
      <w:bookmarkStart w:id="35" w:name="_Toc313877433"/>
      <w:bookmarkStart w:id="36" w:name="_Toc325438097"/>
      <w:bookmarkStart w:id="37" w:name="_Toc325440871"/>
      <w:bookmarkStart w:id="38" w:name="_Toc325626684"/>
      <w:bookmarkStart w:id="39" w:name="_Toc326216945"/>
      <w:r w:rsidRPr="00DA20F5">
        <w:rPr>
          <w:color w:val="auto"/>
        </w:rPr>
        <w:t>Správa</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275F2" w:rsidRPr="00DA20F5" w:rsidRDefault="00B27EA8" w:rsidP="00D36FB8">
      <w:r w:rsidRPr="00DA20F5">
        <w:tab/>
      </w:r>
    </w:p>
    <w:p w:rsidR="002275F2" w:rsidRPr="00DA20F5" w:rsidRDefault="002275F2" w:rsidP="00D36FB8">
      <w:pPr>
        <w:pStyle w:val="123"/>
        <w:jc w:val="center"/>
      </w:pPr>
      <w:r w:rsidRPr="00DA20F5">
        <w:t>o sociálnej situácii obyvateľstva Slovenskej republiky</w:t>
      </w:r>
      <w:r w:rsidR="002271D4" w:rsidRPr="00DA20F5">
        <w:t xml:space="preserve"> </w:t>
      </w:r>
      <w:r w:rsidRPr="00DA20F5">
        <w:t>za rok</w:t>
      </w:r>
      <w:r w:rsidR="002271D4" w:rsidRPr="00DA20F5">
        <w:t xml:space="preserve"> </w:t>
      </w:r>
      <w:r w:rsidRPr="00DA20F5">
        <w:t>20</w:t>
      </w:r>
      <w:r w:rsidR="00D95415" w:rsidRPr="00DA20F5">
        <w:t>11</w:t>
      </w:r>
    </w:p>
    <w:p w:rsidR="002275F2" w:rsidRPr="00DA20F5" w:rsidRDefault="002275F2" w:rsidP="00D36FB8">
      <w:pPr>
        <w:pStyle w:val="Zkladntext"/>
      </w:pPr>
    </w:p>
    <w:p w:rsidR="002275F2" w:rsidRPr="00DA20F5" w:rsidRDefault="002275F2" w:rsidP="00D36FB8">
      <w:pPr>
        <w:pStyle w:val="Zkladntext"/>
      </w:pPr>
    </w:p>
    <w:p w:rsidR="002275F2" w:rsidRPr="00DA20F5" w:rsidRDefault="002275F2" w:rsidP="00D36FB8">
      <w:pPr>
        <w:pStyle w:val="Zkladntext"/>
      </w:pPr>
    </w:p>
    <w:p w:rsidR="002275F2" w:rsidRPr="00DA20F5" w:rsidRDefault="002275F2" w:rsidP="00D36FB8">
      <w:pPr>
        <w:pStyle w:val="Zkladntext"/>
      </w:pPr>
    </w:p>
    <w:p w:rsidR="002275F2" w:rsidRPr="00DA20F5" w:rsidRDefault="002275F2" w:rsidP="00D36FB8">
      <w:pPr>
        <w:pStyle w:val="Zkladntext"/>
      </w:pPr>
    </w:p>
    <w:p w:rsidR="002275F2" w:rsidRPr="00DA20F5" w:rsidRDefault="002275F2" w:rsidP="00D36FB8">
      <w:pPr>
        <w:pStyle w:val="Zkladntext"/>
      </w:pPr>
    </w:p>
    <w:p w:rsidR="002275F2" w:rsidRPr="00DA20F5" w:rsidRDefault="002275F2" w:rsidP="00D36FB8">
      <w:pPr>
        <w:pStyle w:val="Zkladntext"/>
      </w:pPr>
    </w:p>
    <w:p w:rsidR="008541A3" w:rsidRPr="00DA20F5" w:rsidRDefault="008541A3" w:rsidP="00D36FB8">
      <w:pPr>
        <w:pStyle w:val="Zkladntext"/>
      </w:pPr>
    </w:p>
    <w:p w:rsidR="002275F2" w:rsidRPr="00DA20F5" w:rsidRDefault="002275F2" w:rsidP="00D36FB8">
      <w:pPr>
        <w:pStyle w:val="Zkladntext"/>
      </w:pPr>
    </w:p>
    <w:p w:rsidR="002275F2" w:rsidRPr="00DA20F5" w:rsidRDefault="002275F2" w:rsidP="00D36FB8">
      <w:pPr>
        <w:pStyle w:val="Zkladntext"/>
      </w:pPr>
    </w:p>
    <w:p w:rsidR="002275F2" w:rsidRPr="00DA20F5" w:rsidRDefault="002275F2" w:rsidP="00D36FB8">
      <w:pPr>
        <w:pStyle w:val="Zkladntext"/>
      </w:pPr>
    </w:p>
    <w:p w:rsidR="002275F2" w:rsidRPr="00DA20F5" w:rsidRDefault="002275F2" w:rsidP="00D36FB8">
      <w:pPr>
        <w:pStyle w:val="Zkladntext"/>
      </w:pPr>
    </w:p>
    <w:p w:rsidR="009B1737" w:rsidRPr="00DA20F5" w:rsidRDefault="009B1737" w:rsidP="00D36FB8">
      <w:pPr>
        <w:pStyle w:val="Zkladntext"/>
      </w:pPr>
    </w:p>
    <w:p w:rsidR="009B1737" w:rsidRPr="00DA20F5" w:rsidRDefault="009B1737" w:rsidP="00D36FB8">
      <w:pPr>
        <w:pStyle w:val="Zkladntext"/>
      </w:pPr>
    </w:p>
    <w:p w:rsidR="009B1737" w:rsidRPr="00DA20F5" w:rsidRDefault="009B1737" w:rsidP="00D36FB8">
      <w:pPr>
        <w:pStyle w:val="Zkladntext"/>
      </w:pPr>
    </w:p>
    <w:p w:rsidR="009B1737" w:rsidRPr="00DA20F5" w:rsidRDefault="009B1737" w:rsidP="00D36FB8">
      <w:pPr>
        <w:pStyle w:val="Zkladntext"/>
      </w:pPr>
    </w:p>
    <w:p w:rsidR="002275F2" w:rsidRPr="00DA20F5" w:rsidRDefault="002275F2" w:rsidP="00D36FB8">
      <w:pPr>
        <w:pStyle w:val="Zkladntext"/>
      </w:pPr>
    </w:p>
    <w:p w:rsidR="00E92749" w:rsidRPr="00DA20F5" w:rsidRDefault="002275F2" w:rsidP="00D36FB8">
      <w:pPr>
        <w:pStyle w:val="Zkladntext"/>
        <w:jc w:val="center"/>
        <w:sectPr w:rsidR="00E92749" w:rsidRPr="00DA20F5" w:rsidSect="001D262C">
          <w:headerReference w:type="even" r:id="rId9"/>
          <w:headerReference w:type="default" r:id="rId10"/>
          <w:pgSz w:w="11906" w:h="16838" w:code="9"/>
          <w:pgMar w:top="851" w:right="1418" w:bottom="851" w:left="1134" w:header="709" w:footer="709" w:gutter="0"/>
          <w:pgNumType w:start="1"/>
          <w:cols w:space="708"/>
          <w:titlePg/>
          <w:docGrid w:linePitch="360"/>
        </w:sectPr>
      </w:pPr>
      <w:r w:rsidRPr="00DA20F5">
        <w:t>Bratislava 20</w:t>
      </w:r>
      <w:bookmarkStart w:id="40" w:name="_Toc294016297"/>
      <w:bookmarkStart w:id="41" w:name="_Toc294018426"/>
      <w:bookmarkStart w:id="42" w:name="_Toc294027943"/>
      <w:r w:rsidR="00D95415" w:rsidRPr="00DA20F5">
        <w:t>12</w:t>
      </w:r>
    </w:p>
    <w:p w:rsidR="00331260" w:rsidRDefault="00331260" w:rsidP="00D36FB8">
      <w:pPr>
        <w:pStyle w:val="Zkladntext"/>
        <w:jc w:val="center"/>
        <w:rPr>
          <w:b/>
        </w:rPr>
      </w:pPr>
    </w:p>
    <w:p w:rsidR="003D4F15" w:rsidRPr="00DA20F5" w:rsidRDefault="002275F2" w:rsidP="00D36FB8">
      <w:pPr>
        <w:pStyle w:val="Zkladntext"/>
        <w:jc w:val="center"/>
        <w:rPr>
          <w:b/>
        </w:rPr>
      </w:pPr>
      <w:r w:rsidRPr="00DA20F5">
        <w:rPr>
          <w:b/>
        </w:rPr>
        <w:t>OBSAH</w:t>
      </w:r>
      <w:bookmarkEnd w:id="40"/>
      <w:bookmarkEnd w:id="41"/>
      <w:bookmarkEnd w:id="42"/>
    </w:p>
    <w:p w:rsidR="00733F86" w:rsidRPr="00DA20F5" w:rsidRDefault="00733F86" w:rsidP="00D36FB8">
      <w:pPr>
        <w:pStyle w:val="Zkladntext"/>
        <w:jc w:val="center"/>
        <w:rPr>
          <w:b/>
        </w:rPr>
      </w:pPr>
    </w:p>
    <w:p w:rsidR="00C101F6" w:rsidRPr="00DA20F5" w:rsidRDefault="00A55B62" w:rsidP="00C83676">
      <w:pPr>
        <w:pStyle w:val="Obsah1"/>
        <w:rPr>
          <w:rFonts w:asciiTheme="minorHAnsi" w:eastAsiaTheme="minorEastAsia" w:hAnsiTheme="minorHAnsi" w:cstheme="minorBidi"/>
          <w:szCs w:val="22"/>
        </w:rPr>
      </w:pPr>
      <w:r w:rsidRPr="00DA20F5">
        <w:fldChar w:fldCharType="begin"/>
      </w:r>
      <w:r w:rsidR="006C1C9A" w:rsidRPr="00DA20F5">
        <w:instrText xml:space="preserve"> TOC \o "1-7" \h \z \u </w:instrText>
      </w:r>
      <w:r w:rsidRPr="00DA20F5">
        <w:fldChar w:fldCharType="separate"/>
      </w:r>
      <w:hyperlink w:anchor="_Toc326216946" w:history="1">
        <w:r w:rsidR="00C101F6" w:rsidRPr="00DA20F5">
          <w:rPr>
            <w:rStyle w:val="Hypertextovprepojenie"/>
          </w:rPr>
          <w:t>Zoznam skratiek</w:t>
        </w:r>
        <w:r w:rsidR="00C101F6" w:rsidRPr="00DA20F5">
          <w:rPr>
            <w:webHidden/>
          </w:rPr>
          <w:tab/>
        </w:r>
        <w:r w:rsidR="00C101F6" w:rsidRPr="00DA20F5">
          <w:rPr>
            <w:webHidden/>
          </w:rPr>
          <w:fldChar w:fldCharType="begin"/>
        </w:r>
        <w:r w:rsidR="00C101F6" w:rsidRPr="00DA20F5">
          <w:rPr>
            <w:webHidden/>
          </w:rPr>
          <w:instrText xml:space="preserve"> PAGEREF _Toc326216946 \h </w:instrText>
        </w:r>
        <w:r w:rsidR="00C101F6" w:rsidRPr="00DA20F5">
          <w:rPr>
            <w:webHidden/>
          </w:rPr>
        </w:r>
        <w:r w:rsidR="00C101F6" w:rsidRPr="00DA20F5">
          <w:rPr>
            <w:webHidden/>
          </w:rPr>
          <w:fldChar w:fldCharType="separate"/>
        </w:r>
        <w:r w:rsidR="00166D73">
          <w:rPr>
            <w:webHidden/>
          </w:rPr>
          <w:t>3</w:t>
        </w:r>
        <w:r w:rsidR="00C101F6" w:rsidRPr="00DA20F5">
          <w:rPr>
            <w:webHidden/>
          </w:rPr>
          <w:fldChar w:fldCharType="end"/>
        </w:r>
      </w:hyperlink>
    </w:p>
    <w:p w:rsidR="00C101F6" w:rsidRPr="00DA20F5" w:rsidRDefault="00F86FEF" w:rsidP="00C83676">
      <w:pPr>
        <w:pStyle w:val="Obsah1"/>
        <w:rPr>
          <w:rFonts w:asciiTheme="minorHAnsi" w:eastAsiaTheme="minorEastAsia" w:hAnsiTheme="minorHAnsi" w:cstheme="minorBidi"/>
          <w:szCs w:val="22"/>
        </w:rPr>
      </w:pPr>
      <w:hyperlink w:anchor="_Toc326216947" w:history="1">
        <w:r w:rsidR="00C101F6" w:rsidRPr="00DA20F5">
          <w:rPr>
            <w:rStyle w:val="Hypertextovprepojenie"/>
          </w:rPr>
          <w:t>ÚVOD</w:t>
        </w:r>
        <w:r w:rsidR="00C101F6" w:rsidRPr="00DA20F5">
          <w:rPr>
            <w:webHidden/>
          </w:rPr>
          <w:tab/>
        </w:r>
        <w:r w:rsidR="00C101F6" w:rsidRPr="00DA20F5">
          <w:rPr>
            <w:webHidden/>
          </w:rPr>
          <w:fldChar w:fldCharType="begin"/>
        </w:r>
        <w:r w:rsidR="00C101F6" w:rsidRPr="00DA20F5">
          <w:rPr>
            <w:webHidden/>
          </w:rPr>
          <w:instrText xml:space="preserve"> PAGEREF _Toc326216947 \h </w:instrText>
        </w:r>
        <w:r w:rsidR="00C101F6" w:rsidRPr="00DA20F5">
          <w:rPr>
            <w:webHidden/>
          </w:rPr>
        </w:r>
        <w:r w:rsidR="00C101F6" w:rsidRPr="00DA20F5">
          <w:rPr>
            <w:webHidden/>
          </w:rPr>
          <w:fldChar w:fldCharType="separate"/>
        </w:r>
        <w:r w:rsidR="00166D73">
          <w:rPr>
            <w:webHidden/>
          </w:rPr>
          <w:t>5</w:t>
        </w:r>
        <w:r w:rsidR="00C101F6" w:rsidRPr="00DA20F5">
          <w:rPr>
            <w:webHidden/>
          </w:rPr>
          <w:fldChar w:fldCharType="end"/>
        </w:r>
      </w:hyperlink>
    </w:p>
    <w:p w:rsidR="00C101F6" w:rsidRPr="00DA20F5" w:rsidRDefault="00F86FEF" w:rsidP="00C83676">
      <w:pPr>
        <w:pStyle w:val="Obsah1"/>
        <w:rPr>
          <w:rFonts w:asciiTheme="minorHAnsi" w:eastAsiaTheme="minorEastAsia" w:hAnsiTheme="minorHAnsi" w:cstheme="minorBidi"/>
          <w:szCs w:val="22"/>
        </w:rPr>
      </w:pPr>
      <w:hyperlink w:anchor="_Toc326216948" w:history="1">
        <w:r w:rsidR="00C101F6" w:rsidRPr="00DA20F5">
          <w:rPr>
            <w:rStyle w:val="Hypertextovprepojenie"/>
          </w:rPr>
          <w:t>1.</w:t>
        </w:r>
        <w:r w:rsidR="00C101F6" w:rsidRPr="00DA20F5">
          <w:rPr>
            <w:rFonts w:asciiTheme="minorHAnsi" w:eastAsiaTheme="minorEastAsia" w:hAnsiTheme="minorHAnsi" w:cstheme="minorBidi"/>
            <w:szCs w:val="22"/>
          </w:rPr>
          <w:tab/>
        </w:r>
        <w:r w:rsidR="00C101F6" w:rsidRPr="00DA20F5">
          <w:rPr>
            <w:rStyle w:val="Hypertextovprepojenie"/>
          </w:rPr>
          <w:t>HLAVNÉ MAKROEKONOMICKO-DEMOGRAFICKÉ  UKAZOVATELE V PODMIENKACH SR</w:t>
        </w:r>
        <w:r w:rsidR="00C101F6" w:rsidRPr="00DA20F5">
          <w:rPr>
            <w:webHidden/>
          </w:rPr>
          <w:tab/>
        </w:r>
        <w:r w:rsidR="00C101F6" w:rsidRPr="00DA20F5">
          <w:rPr>
            <w:webHidden/>
          </w:rPr>
          <w:fldChar w:fldCharType="begin"/>
        </w:r>
        <w:r w:rsidR="00C101F6" w:rsidRPr="00DA20F5">
          <w:rPr>
            <w:webHidden/>
          </w:rPr>
          <w:instrText xml:space="preserve"> PAGEREF _Toc326216948 \h </w:instrText>
        </w:r>
        <w:r w:rsidR="00C101F6" w:rsidRPr="00DA20F5">
          <w:rPr>
            <w:webHidden/>
          </w:rPr>
        </w:r>
        <w:r w:rsidR="00C101F6" w:rsidRPr="00DA20F5">
          <w:rPr>
            <w:webHidden/>
          </w:rPr>
          <w:fldChar w:fldCharType="separate"/>
        </w:r>
        <w:r w:rsidR="00166D73">
          <w:rPr>
            <w:webHidden/>
          </w:rPr>
          <w:t>6</w:t>
        </w:r>
        <w:r w:rsidR="00C101F6" w:rsidRPr="00DA20F5">
          <w:rPr>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6949" w:history="1">
        <w:r w:rsidR="00C101F6" w:rsidRPr="00DA20F5">
          <w:rPr>
            <w:rStyle w:val="Hypertextovprepojenie"/>
            <w:noProof/>
          </w:rPr>
          <w:t>1.1</w:t>
        </w:r>
        <w:r w:rsidR="00C101F6" w:rsidRPr="00DA20F5">
          <w:rPr>
            <w:rFonts w:asciiTheme="minorHAnsi" w:eastAsiaTheme="minorEastAsia" w:hAnsiTheme="minorHAnsi" w:cstheme="minorBidi"/>
            <w:noProof/>
            <w:szCs w:val="22"/>
          </w:rPr>
          <w:tab/>
        </w:r>
        <w:r w:rsidR="00C101F6" w:rsidRPr="00DA20F5">
          <w:rPr>
            <w:rStyle w:val="Hypertextovprepojenie"/>
            <w:noProof/>
          </w:rPr>
          <w:t>Základné makroekonomické charakteristiky</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_Toc326216949 \h </w:instrText>
        </w:r>
        <w:r w:rsidR="00C101F6" w:rsidRPr="00DA20F5">
          <w:rPr>
            <w:noProof/>
            <w:webHidden/>
          </w:rPr>
        </w:r>
        <w:r w:rsidR="00C101F6" w:rsidRPr="00DA20F5">
          <w:rPr>
            <w:noProof/>
            <w:webHidden/>
          </w:rPr>
          <w:fldChar w:fldCharType="separate"/>
        </w:r>
        <w:r w:rsidR="00166D73">
          <w:rPr>
            <w:noProof/>
            <w:webHidden/>
          </w:rPr>
          <w:t>6</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6951" w:history="1">
        <w:r w:rsidR="00C101F6" w:rsidRPr="00DA20F5">
          <w:rPr>
            <w:rStyle w:val="Hypertextovprepojenie"/>
            <w:noProof/>
          </w:rPr>
          <w:t>1.2</w:t>
        </w:r>
        <w:r w:rsidR="00C101F6" w:rsidRPr="00DA20F5">
          <w:rPr>
            <w:rFonts w:asciiTheme="minorHAnsi" w:eastAsiaTheme="minorEastAsia" w:hAnsiTheme="minorHAnsi" w:cstheme="minorBidi"/>
            <w:noProof/>
            <w:szCs w:val="22"/>
          </w:rPr>
          <w:tab/>
        </w:r>
        <w:r w:rsidR="00C101F6" w:rsidRPr="00DA20F5">
          <w:rPr>
            <w:rStyle w:val="Hypertextovprepojenie"/>
            <w:noProof/>
          </w:rPr>
          <w:t>Vybrané demografické ukazovatele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_Toc326216951 \h </w:instrText>
        </w:r>
        <w:r w:rsidR="00C101F6" w:rsidRPr="00DA20F5">
          <w:rPr>
            <w:noProof/>
            <w:webHidden/>
          </w:rPr>
        </w:r>
        <w:r w:rsidR="00C101F6" w:rsidRPr="00DA20F5">
          <w:rPr>
            <w:noProof/>
            <w:webHidden/>
          </w:rPr>
          <w:fldChar w:fldCharType="separate"/>
        </w:r>
        <w:r w:rsidR="00166D73">
          <w:rPr>
            <w:noProof/>
            <w:webHidden/>
          </w:rPr>
          <w:t>8</w:t>
        </w:r>
        <w:r w:rsidR="00C101F6" w:rsidRPr="00DA20F5">
          <w:rPr>
            <w:noProof/>
            <w:webHidden/>
          </w:rPr>
          <w:fldChar w:fldCharType="end"/>
        </w:r>
      </w:hyperlink>
    </w:p>
    <w:p w:rsidR="00C101F6" w:rsidRPr="00DA20F5" w:rsidRDefault="00F86FEF" w:rsidP="00C83676">
      <w:pPr>
        <w:pStyle w:val="Obsah1"/>
        <w:rPr>
          <w:rFonts w:asciiTheme="minorHAnsi" w:eastAsiaTheme="minorEastAsia" w:hAnsiTheme="minorHAnsi" w:cstheme="minorBidi"/>
          <w:szCs w:val="22"/>
        </w:rPr>
      </w:pPr>
      <w:hyperlink w:anchor="_Toc326216953" w:history="1">
        <w:r w:rsidR="00C101F6" w:rsidRPr="00DA20F5">
          <w:rPr>
            <w:rStyle w:val="Hypertextovprepojenie"/>
          </w:rPr>
          <w:t>2</w:t>
        </w:r>
        <w:r w:rsidR="00C101F6" w:rsidRPr="00DA20F5">
          <w:rPr>
            <w:rFonts w:asciiTheme="minorHAnsi" w:eastAsiaTheme="minorEastAsia" w:hAnsiTheme="minorHAnsi" w:cstheme="minorBidi"/>
            <w:szCs w:val="22"/>
          </w:rPr>
          <w:tab/>
        </w:r>
        <w:r w:rsidR="00C101F6" w:rsidRPr="00DA20F5">
          <w:rPr>
            <w:rStyle w:val="Hypertextovprepojenie"/>
          </w:rPr>
          <w:t>TRH PRÁCE, MZDY A PRACOVNÉ PODMIENKY</w:t>
        </w:r>
        <w:r w:rsidR="00C101F6" w:rsidRPr="00DA20F5">
          <w:rPr>
            <w:webHidden/>
          </w:rPr>
          <w:tab/>
        </w:r>
        <w:r w:rsidR="00C101F6" w:rsidRPr="00DA20F5">
          <w:rPr>
            <w:webHidden/>
          </w:rPr>
          <w:fldChar w:fldCharType="begin"/>
        </w:r>
        <w:r w:rsidR="00C101F6" w:rsidRPr="00DA20F5">
          <w:rPr>
            <w:webHidden/>
          </w:rPr>
          <w:instrText xml:space="preserve"> PAGEREF _Toc326216953 \h </w:instrText>
        </w:r>
        <w:r w:rsidR="00C101F6" w:rsidRPr="00DA20F5">
          <w:rPr>
            <w:webHidden/>
          </w:rPr>
        </w:r>
        <w:r w:rsidR="00C101F6" w:rsidRPr="00DA20F5">
          <w:rPr>
            <w:webHidden/>
          </w:rPr>
          <w:fldChar w:fldCharType="separate"/>
        </w:r>
        <w:r w:rsidR="00166D73">
          <w:rPr>
            <w:webHidden/>
          </w:rPr>
          <w:t>9</w:t>
        </w:r>
        <w:r w:rsidR="00C101F6" w:rsidRPr="00DA20F5">
          <w:rPr>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6954" w:history="1">
        <w:r w:rsidR="00C101F6" w:rsidRPr="00DA20F5">
          <w:rPr>
            <w:rStyle w:val="Hypertextovprepojenie"/>
            <w:noProof/>
          </w:rPr>
          <w:t>2.1</w:t>
        </w:r>
        <w:r w:rsidR="00C101F6" w:rsidRPr="00DA20F5">
          <w:rPr>
            <w:rFonts w:asciiTheme="minorHAnsi" w:eastAsiaTheme="minorEastAsia" w:hAnsiTheme="minorHAnsi" w:cstheme="minorBidi"/>
            <w:noProof/>
            <w:szCs w:val="22"/>
          </w:rPr>
          <w:tab/>
        </w:r>
        <w:r w:rsidR="00C101F6" w:rsidRPr="00DA20F5">
          <w:rPr>
            <w:rStyle w:val="Hypertextovprepojenie"/>
            <w:noProof/>
          </w:rPr>
          <w:t>Trh práce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_Toc326216954 \h </w:instrText>
        </w:r>
        <w:r w:rsidR="00C101F6" w:rsidRPr="00DA20F5">
          <w:rPr>
            <w:noProof/>
            <w:webHidden/>
          </w:rPr>
        </w:r>
        <w:r w:rsidR="00C101F6" w:rsidRPr="00DA20F5">
          <w:rPr>
            <w:noProof/>
            <w:webHidden/>
          </w:rPr>
          <w:fldChar w:fldCharType="separate"/>
        </w:r>
        <w:r w:rsidR="00166D73">
          <w:rPr>
            <w:noProof/>
            <w:webHidden/>
          </w:rPr>
          <w:t>9</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6955" w:history="1">
        <w:r w:rsidR="00C101F6" w:rsidRPr="00DA20F5">
          <w:rPr>
            <w:rStyle w:val="Hypertextovprepojenie"/>
            <w:noProof/>
          </w:rPr>
          <w:t>2.1.1</w:t>
        </w:r>
        <w:r w:rsidR="00C101F6" w:rsidRPr="00DA20F5">
          <w:rPr>
            <w:rFonts w:asciiTheme="minorHAnsi" w:eastAsiaTheme="minorEastAsia" w:hAnsiTheme="minorHAnsi" w:cstheme="minorBidi"/>
            <w:noProof/>
            <w:szCs w:val="22"/>
          </w:rPr>
          <w:tab/>
        </w:r>
        <w:r w:rsidR="00C101F6" w:rsidRPr="00DA20F5">
          <w:rPr>
            <w:rStyle w:val="Hypertextovprepojenie"/>
            <w:noProof/>
          </w:rPr>
          <w:t>Vývoj ekonomickej aktivity obyvateľstva</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_Toc326216955 \h </w:instrText>
        </w:r>
        <w:r w:rsidR="00C101F6" w:rsidRPr="00DA20F5">
          <w:rPr>
            <w:noProof/>
            <w:webHidden/>
          </w:rPr>
        </w:r>
        <w:r w:rsidR="00C101F6" w:rsidRPr="00DA20F5">
          <w:rPr>
            <w:noProof/>
            <w:webHidden/>
          </w:rPr>
          <w:fldChar w:fldCharType="separate"/>
        </w:r>
        <w:r w:rsidR="00166D73">
          <w:rPr>
            <w:noProof/>
            <w:webHidden/>
          </w:rPr>
          <w:t>9</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6958" w:history="1">
        <w:r w:rsidR="00C101F6" w:rsidRPr="00DA20F5">
          <w:rPr>
            <w:rStyle w:val="Hypertextovprepojenie"/>
            <w:noProof/>
          </w:rPr>
          <w:t>2.1.2</w:t>
        </w:r>
        <w:r w:rsidR="00C101F6" w:rsidRPr="00DA20F5">
          <w:rPr>
            <w:rFonts w:asciiTheme="minorHAnsi" w:eastAsiaTheme="minorEastAsia" w:hAnsiTheme="minorHAnsi" w:cstheme="minorBidi"/>
            <w:noProof/>
            <w:szCs w:val="22"/>
          </w:rPr>
          <w:tab/>
        </w:r>
        <w:r w:rsidR="00C101F6" w:rsidRPr="00DA20F5">
          <w:rPr>
            <w:rStyle w:val="Hypertextovprepojenie"/>
            <w:noProof/>
          </w:rPr>
          <w:t>Vývoj zamestnanosti</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_Toc326216958 \h </w:instrText>
        </w:r>
        <w:r w:rsidR="00C101F6" w:rsidRPr="00DA20F5">
          <w:rPr>
            <w:noProof/>
            <w:webHidden/>
          </w:rPr>
        </w:r>
        <w:r w:rsidR="00C101F6" w:rsidRPr="00DA20F5">
          <w:rPr>
            <w:noProof/>
            <w:webHidden/>
          </w:rPr>
          <w:fldChar w:fldCharType="separate"/>
        </w:r>
        <w:r w:rsidR="00166D73">
          <w:rPr>
            <w:noProof/>
            <w:webHidden/>
          </w:rPr>
          <w:t>10</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6965" w:history="1">
        <w:r w:rsidR="00C101F6" w:rsidRPr="00DA20F5">
          <w:rPr>
            <w:rStyle w:val="Hypertextovprepojenie"/>
            <w:noProof/>
          </w:rPr>
          <w:t>2.1.3</w:t>
        </w:r>
        <w:r w:rsidR="00C101F6" w:rsidRPr="00DA20F5">
          <w:rPr>
            <w:rFonts w:asciiTheme="minorHAnsi" w:eastAsiaTheme="minorEastAsia" w:hAnsiTheme="minorHAnsi" w:cstheme="minorBidi"/>
            <w:noProof/>
            <w:szCs w:val="22"/>
          </w:rPr>
          <w:tab/>
        </w:r>
        <w:r w:rsidR="00C101F6" w:rsidRPr="00DA20F5">
          <w:rPr>
            <w:rStyle w:val="Hypertextovprepojenie"/>
            <w:noProof/>
          </w:rPr>
          <w:t>Vývoj nezamestnanosti</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_Toc326216965 \h </w:instrText>
        </w:r>
        <w:r w:rsidR="00C101F6" w:rsidRPr="00DA20F5">
          <w:rPr>
            <w:noProof/>
            <w:webHidden/>
          </w:rPr>
        </w:r>
        <w:r w:rsidR="00C101F6" w:rsidRPr="00DA20F5">
          <w:rPr>
            <w:noProof/>
            <w:webHidden/>
          </w:rPr>
          <w:fldChar w:fldCharType="separate"/>
        </w:r>
        <w:r w:rsidR="00166D73">
          <w:rPr>
            <w:noProof/>
            <w:webHidden/>
          </w:rPr>
          <w:t>15</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6990" w:history="1">
        <w:r w:rsidR="00C101F6" w:rsidRPr="00DA20F5">
          <w:rPr>
            <w:rStyle w:val="Hypertextovprepojenie"/>
            <w:noProof/>
          </w:rPr>
          <w:t>2.1.4</w:t>
        </w:r>
        <w:r w:rsidR="00C101F6" w:rsidRPr="00DA20F5">
          <w:rPr>
            <w:rFonts w:asciiTheme="minorHAnsi" w:eastAsiaTheme="minorEastAsia" w:hAnsiTheme="minorHAnsi" w:cstheme="minorBidi"/>
            <w:noProof/>
            <w:szCs w:val="22"/>
          </w:rPr>
          <w:tab/>
        </w:r>
        <w:r w:rsidR="00C101F6" w:rsidRPr="00DA20F5">
          <w:rPr>
            <w:rStyle w:val="Hypertextovprepojenie"/>
            <w:noProof/>
          </w:rPr>
          <w:t>Aktívne opatrenia na trhu práce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_Toc326216990 \h </w:instrText>
        </w:r>
        <w:r w:rsidR="00C101F6" w:rsidRPr="00DA20F5">
          <w:rPr>
            <w:noProof/>
            <w:webHidden/>
          </w:rPr>
        </w:r>
        <w:r w:rsidR="00C101F6" w:rsidRPr="00DA20F5">
          <w:rPr>
            <w:noProof/>
            <w:webHidden/>
          </w:rPr>
          <w:fldChar w:fldCharType="separate"/>
        </w:r>
        <w:r w:rsidR="00166D73">
          <w:rPr>
            <w:noProof/>
            <w:webHidden/>
          </w:rPr>
          <w:t>29</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6991" w:history="1">
        <w:r w:rsidR="00C101F6" w:rsidRPr="00DA20F5">
          <w:rPr>
            <w:rStyle w:val="Hypertextovprepojenie"/>
            <w:noProof/>
          </w:rPr>
          <w:t>2.2</w:t>
        </w:r>
        <w:r w:rsidR="00C101F6" w:rsidRPr="00DA20F5">
          <w:rPr>
            <w:rFonts w:asciiTheme="minorHAnsi" w:eastAsiaTheme="minorEastAsia" w:hAnsiTheme="minorHAnsi" w:cstheme="minorBidi"/>
            <w:noProof/>
            <w:szCs w:val="22"/>
          </w:rPr>
          <w:tab/>
        </w:r>
        <w:r w:rsidR="00C101F6" w:rsidRPr="00DA20F5">
          <w:rPr>
            <w:rStyle w:val="Hypertextovprepojenie"/>
            <w:noProof/>
          </w:rPr>
          <w:t>Mzdy a pracovné podmienky</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_Toc326216991 \h </w:instrText>
        </w:r>
        <w:r w:rsidR="00C101F6" w:rsidRPr="00DA20F5">
          <w:rPr>
            <w:noProof/>
            <w:webHidden/>
          </w:rPr>
        </w:r>
        <w:r w:rsidR="00C101F6" w:rsidRPr="00DA20F5">
          <w:rPr>
            <w:noProof/>
            <w:webHidden/>
          </w:rPr>
          <w:fldChar w:fldCharType="separate"/>
        </w:r>
        <w:r w:rsidR="00166D73">
          <w:rPr>
            <w:noProof/>
            <w:webHidden/>
          </w:rPr>
          <w:t>33</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6992" w:history="1">
        <w:r w:rsidR="00C101F6" w:rsidRPr="00DA20F5">
          <w:rPr>
            <w:rStyle w:val="Hypertextovprepojenie"/>
            <w:noProof/>
          </w:rPr>
          <w:t>2.2.1</w:t>
        </w:r>
        <w:r w:rsidR="00C101F6" w:rsidRPr="00DA20F5">
          <w:rPr>
            <w:rFonts w:asciiTheme="minorHAnsi" w:eastAsiaTheme="minorEastAsia" w:hAnsiTheme="minorHAnsi" w:cstheme="minorBidi"/>
            <w:noProof/>
            <w:szCs w:val="22"/>
          </w:rPr>
          <w:tab/>
        </w:r>
        <w:r w:rsidR="00C101F6" w:rsidRPr="00DA20F5">
          <w:rPr>
            <w:rStyle w:val="Hypertextovprepojenie"/>
            <w:noProof/>
          </w:rPr>
          <w:t>Mzdy</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_Toc326216992 \h </w:instrText>
        </w:r>
        <w:r w:rsidR="00C101F6" w:rsidRPr="00DA20F5">
          <w:rPr>
            <w:noProof/>
            <w:webHidden/>
          </w:rPr>
        </w:r>
        <w:r w:rsidR="00C101F6" w:rsidRPr="00DA20F5">
          <w:rPr>
            <w:noProof/>
            <w:webHidden/>
          </w:rPr>
          <w:fldChar w:fldCharType="separate"/>
        </w:r>
        <w:r w:rsidR="00166D73">
          <w:rPr>
            <w:noProof/>
            <w:webHidden/>
          </w:rPr>
          <w:t>36</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6997" w:history="1">
        <w:r w:rsidR="00C101F6" w:rsidRPr="00DA20F5">
          <w:rPr>
            <w:rStyle w:val="Hypertextovprepojenie"/>
            <w:noProof/>
          </w:rPr>
          <w:t>2.2.2</w:t>
        </w:r>
        <w:r w:rsidR="00C101F6" w:rsidRPr="00DA20F5">
          <w:rPr>
            <w:rFonts w:asciiTheme="minorHAnsi" w:eastAsiaTheme="minorEastAsia" w:hAnsiTheme="minorHAnsi" w:cstheme="minorBidi"/>
            <w:noProof/>
            <w:szCs w:val="22"/>
          </w:rPr>
          <w:tab/>
        </w:r>
        <w:r w:rsidR="00C101F6" w:rsidRPr="00DA20F5">
          <w:rPr>
            <w:rStyle w:val="Hypertextovprepojenie"/>
            <w:noProof/>
          </w:rPr>
          <w:t>Úplné náklady práce v SR</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_Toc326216997 \h </w:instrText>
        </w:r>
        <w:r w:rsidR="00C101F6" w:rsidRPr="00DA20F5">
          <w:rPr>
            <w:noProof/>
            <w:webHidden/>
          </w:rPr>
        </w:r>
        <w:r w:rsidR="00C101F6" w:rsidRPr="00DA20F5">
          <w:rPr>
            <w:noProof/>
            <w:webHidden/>
          </w:rPr>
          <w:fldChar w:fldCharType="separate"/>
        </w:r>
        <w:r w:rsidR="00166D73">
          <w:rPr>
            <w:noProof/>
            <w:webHidden/>
          </w:rPr>
          <w:t>40</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01" w:history="1">
        <w:r w:rsidR="00C101F6" w:rsidRPr="00DA20F5">
          <w:rPr>
            <w:rStyle w:val="Hypertextovprepojenie"/>
            <w:noProof/>
          </w:rPr>
          <w:t>2.2.3</w:t>
        </w:r>
        <w:r w:rsidR="00C101F6" w:rsidRPr="00DA20F5">
          <w:rPr>
            <w:rFonts w:asciiTheme="minorHAnsi" w:eastAsiaTheme="minorEastAsia" w:hAnsiTheme="minorHAnsi" w:cstheme="minorBidi"/>
            <w:noProof/>
            <w:szCs w:val="22"/>
          </w:rPr>
          <w:tab/>
        </w:r>
        <w:r w:rsidR="00C101F6" w:rsidRPr="00DA20F5">
          <w:rPr>
            <w:rStyle w:val="Hypertextovprepojenie"/>
            <w:noProof/>
          </w:rPr>
          <w:t>Kolektívne vyjednávanie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_Toc326217001 \h </w:instrText>
        </w:r>
        <w:r w:rsidR="00C101F6" w:rsidRPr="00DA20F5">
          <w:rPr>
            <w:noProof/>
            <w:webHidden/>
          </w:rPr>
        </w:r>
        <w:r w:rsidR="00C101F6" w:rsidRPr="00DA20F5">
          <w:rPr>
            <w:noProof/>
            <w:webHidden/>
          </w:rPr>
          <w:fldChar w:fldCharType="separate"/>
        </w:r>
        <w:r w:rsidR="00166D73">
          <w:rPr>
            <w:noProof/>
            <w:webHidden/>
          </w:rPr>
          <w:t>43</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02" w:history="1">
        <w:r w:rsidR="00C101F6" w:rsidRPr="00DA20F5">
          <w:rPr>
            <w:rStyle w:val="Hypertextovprepojenie"/>
            <w:noProof/>
          </w:rPr>
          <w:t>2.2.4</w:t>
        </w:r>
        <w:r w:rsidR="00C101F6" w:rsidRPr="00DA20F5">
          <w:rPr>
            <w:rFonts w:asciiTheme="minorHAnsi" w:eastAsiaTheme="minorEastAsia" w:hAnsiTheme="minorHAnsi" w:cstheme="minorBidi"/>
            <w:noProof/>
            <w:szCs w:val="22"/>
          </w:rPr>
          <w:tab/>
        </w:r>
        <w:r w:rsidR="00C101F6" w:rsidRPr="00DA20F5">
          <w:rPr>
            <w:rStyle w:val="Hypertextovprepojenie"/>
            <w:noProof/>
          </w:rPr>
          <w:t>Bezpečnosť a ochrana zdravia pri práci</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_Toc326217002 \h </w:instrText>
        </w:r>
        <w:r w:rsidR="00C101F6" w:rsidRPr="00DA20F5">
          <w:rPr>
            <w:noProof/>
            <w:webHidden/>
          </w:rPr>
        </w:r>
        <w:r w:rsidR="00C101F6" w:rsidRPr="00DA20F5">
          <w:rPr>
            <w:noProof/>
            <w:webHidden/>
          </w:rPr>
          <w:fldChar w:fldCharType="separate"/>
        </w:r>
        <w:r w:rsidR="00166D73">
          <w:rPr>
            <w:noProof/>
            <w:webHidden/>
          </w:rPr>
          <w:t>43</w:t>
        </w:r>
        <w:r w:rsidR="00C101F6" w:rsidRPr="00DA20F5">
          <w:rPr>
            <w:noProof/>
            <w:webHidden/>
          </w:rPr>
          <w:fldChar w:fldCharType="end"/>
        </w:r>
      </w:hyperlink>
    </w:p>
    <w:p w:rsidR="00C101F6" w:rsidRPr="00DA20F5" w:rsidRDefault="00F86FEF" w:rsidP="00C83676">
      <w:pPr>
        <w:pStyle w:val="Obsah1"/>
        <w:rPr>
          <w:rFonts w:asciiTheme="minorHAnsi" w:eastAsiaTheme="minorEastAsia" w:hAnsiTheme="minorHAnsi" w:cstheme="minorBidi"/>
          <w:szCs w:val="22"/>
        </w:rPr>
      </w:pPr>
      <w:hyperlink w:anchor="_Toc326217003" w:history="1">
        <w:r w:rsidR="00C101F6" w:rsidRPr="00DA20F5">
          <w:rPr>
            <w:rStyle w:val="Hypertextovprepojenie"/>
          </w:rPr>
          <w:t>3</w:t>
        </w:r>
        <w:r w:rsidR="00C101F6" w:rsidRPr="00DA20F5">
          <w:rPr>
            <w:rFonts w:asciiTheme="minorHAnsi" w:eastAsiaTheme="minorEastAsia" w:hAnsiTheme="minorHAnsi" w:cstheme="minorBidi"/>
            <w:szCs w:val="22"/>
          </w:rPr>
          <w:tab/>
        </w:r>
        <w:r w:rsidR="00C101F6" w:rsidRPr="00DA20F5">
          <w:rPr>
            <w:rStyle w:val="Hypertextovprepojenie"/>
          </w:rPr>
          <w:t>SOCIÁLNA OCHRANA</w:t>
        </w:r>
        <w:r w:rsidR="00C101F6" w:rsidRPr="00DA20F5">
          <w:rPr>
            <w:webHidden/>
          </w:rPr>
          <w:tab/>
        </w:r>
        <w:r w:rsidR="00C101F6" w:rsidRPr="00DA20F5">
          <w:rPr>
            <w:webHidden/>
          </w:rPr>
          <w:fldChar w:fldCharType="begin"/>
        </w:r>
        <w:r w:rsidR="00C101F6" w:rsidRPr="00DA20F5">
          <w:rPr>
            <w:webHidden/>
          </w:rPr>
          <w:instrText xml:space="preserve"> PAGEREF _Toc326217003 \h </w:instrText>
        </w:r>
        <w:r w:rsidR="00C101F6" w:rsidRPr="00DA20F5">
          <w:rPr>
            <w:webHidden/>
          </w:rPr>
        </w:r>
        <w:r w:rsidR="00C101F6" w:rsidRPr="00DA20F5">
          <w:rPr>
            <w:webHidden/>
          </w:rPr>
          <w:fldChar w:fldCharType="separate"/>
        </w:r>
        <w:r w:rsidR="00166D73">
          <w:rPr>
            <w:webHidden/>
          </w:rPr>
          <w:t>45</w:t>
        </w:r>
        <w:r w:rsidR="00C101F6" w:rsidRPr="00DA20F5">
          <w:rPr>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004" w:history="1">
        <w:r w:rsidR="00C101F6" w:rsidRPr="00DA20F5">
          <w:rPr>
            <w:rStyle w:val="Hypertextovprepojenie"/>
            <w:noProof/>
          </w:rPr>
          <w:t>3.1</w:t>
        </w:r>
        <w:r w:rsidR="00C101F6" w:rsidRPr="00DA20F5">
          <w:rPr>
            <w:rFonts w:asciiTheme="minorHAnsi" w:eastAsiaTheme="minorEastAsia" w:hAnsiTheme="minorHAnsi" w:cstheme="minorBidi"/>
            <w:noProof/>
            <w:szCs w:val="22"/>
          </w:rPr>
          <w:tab/>
        </w:r>
        <w:r w:rsidR="00C101F6" w:rsidRPr="00DA20F5">
          <w:rPr>
            <w:rStyle w:val="Hypertextovprepojenie"/>
            <w:noProof/>
          </w:rPr>
          <w:t>Sociálne poistenie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_Toc326217004 \h </w:instrText>
        </w:r>
        <w:r w:rsidR="00C101F6" w:rsidRPr="00DA20F5">
          <w:rPr>
            <w:noProof/>
            <w:webHidden/>
          </w:rPr>
        </w:r>
        <w:r w:rsidR="00C101F6" w:rsidRPr="00DA20F5">
          <w:rPr>
            <w:noProof/>
            <w:webHidden/>
          </w:rPr>
          <w:fldChar w:fldCharType="separate"/>
        </w:r>
        <w:r w:rsidR="00166D73">
          <w:rPr>
            <w:noProof/>
            <w:webHidden/>
          </w:rPr>
          <w:t>45</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05" w:history="1">
        <w:r w:rsidR="00C101F6" w:rsidRPr="00DA20F5">
          <w:rPr>
            <w:rStyle w:val="Hypertextovprepojenie"/>
            <w:noProof/>
          </w:rPr>
          <w:t>3.1.1</w:t>
        </w:r>
        <w:r w:rsidR="00C101F6" w:rsidRPr="00DA20F5">
          <w:rPr>
            <w:rFonts w:asciiTheme="minorHAnsi" w:eastAsiaTheme="minorEastAsia" w:hAnsiTheme="minorHAnsi" w:cstheme="minorBidi"/>
            <w:noProof/>
            <w:szCs w:val="22"/>
          </w:rPr>
          <w:tab/>
        </w:r>
        <w:r w:rsidR="00C101F6" w:rsidRPr="00DA20F5">
          <w:rPr>
            <w:rStyle w:val="Hypertextovprepojenie"/>
            <w:noProof/>
          </w:rPr>
          <w:t>Nemocenské poistenie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_Toc326217005 \h </w:instrText>
        </w:r>
        <w:r w:rsidR="00C101F6" w:rsidRPr="00DA20F5">
          <w:rPr>
            <w:noProof/>
            <w:webHidden/>
          </w:rPr>
        </w:r>
        <w:r w:rsidR="00C101F6" w:rsidRPr="00DA20F5">
          <w:rPr>
            <w:noProof/>
            <w:webHidden/>
          </w:rPr>
          <w:fldChar w:fldCharType="separate"/>
        </w:r>
        <w:r w:rsidR="00166D73">
          <w:rPr>
            <w:noProof/>
            <w:webHidden/>
          </w:rPr>
          <w:t>49</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07" w:history="1">
        <w:r w:rsidR="00C101F6" w:rsidRPr="00DA20F5">
          <w:rPr>
            <w:rStyle w:val="Hypertextovprepojenie"/>
            <w:noProof/>
          </w:rPr>
          <w:t>3.1.2</w:t>
        </w:r>
        <w:r w:rsidR="00C101F6" w:rsidRPr="00DA20F5">
          <w:rPr>
            <w:rFonts w:asciiTheme="minorHAnsi" w:eastAsiaTheme="minorEastAsia" w:hAnsiTheme="minorHAnsi" w:cstheme="minorBidi"/>
            <w:noProof/>
            <w:szCs w:val="22"/>
          </w:rPr>
          <w:tab/>
        </w:r>
        <w:r w:rsidR="00C101F6" w:rsidRPr="00DA20F5">
          <w:rPr>
            <w:rStyle w:val="Hypertextovprepojenie"/>
            <w:noProof/>
          </w:rPr>
          <w:t>Dôchodkové poistenie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_Toc326217007 \h </w:instrText>
        </w:r>
        <w:r w:rsidR="00C101F6" w:rsidRPr="00DA20F5">
          <w:rPr>
            <w:noProof/>
            <w:webHidden/>
          </w:rPr>
        </w:r>
        <w:r w:rsidR="00C101F6" w:rsidRPr="00DA20F5">
          <w:rPr>
            <w:noProof/>
            <w:webHidden/>
          </w:rPr>
          <w:fldChar w:fldCharType="separate"/>
        </w:r>
        <w:r w:rsidR="00166D73">
          <w:rPr>
            <w:noProof/>
            <w:webHidden/>
          </w:rPr>
          <w:t>50</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10" w:history="1">
        <w:r w:rsidR="00C101F6" w:rsidRPr="00DA20F5">
          <w:rPr>
            <w:rStyle w:val="Hypertextovprepojenie"/>
            <w:noProof/>
          </w:rPr>
          <w:t>3.1.3</w:t>
        </w:r>
        <w:r w:rsidR="00C101F6" w:rsidRPr="00DA20F5">
          <w:rPr>
            <w:rFonts w:asciiTheme="minorHAnsi" w:eastAsiaTheme="minorEastAsia" w:hAnsiTheme="minorHAnsi" w:cstheme="minorBidi"/>
            <w:noProof/>
            <w:szCs w:val="22"/>
          </w:rPr>
          <w:tab/>
        </w:r>
        <w:r w:rsidR="00C101F6" w:rsidRPr="00DA20F5">
          <w:rPr>
            <w:rStyle w:val="Hypertextovprepojenie"/>
            <w:noProof/>
          </w:rPr>
          <w:t>Úrazové poistenie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_Toc326217010 \h </w:instrText>
        </w:r>
        <w:r w:rsidR="00C101F6" w:rsidRPr="00DA20F5">
          <w:rPr>
            <w:noProof/>
            <w:webHidden/>
          </w:rPr>
        </w:r>
        <w:r w:rsidR="00C101F6" w:rsidRPr="00DA20F5">
          <w:rPr>
            <w:noProof/>
            <w:webHidden/>
          </w:rPr>
          <w:fldChar w:fldCharType="separate"/>
        </w:r>
        <w:r w:rsidR="00166D73">
          <w:rPr>
            <w:noProof/>
            <w:webHidden/>
          </w:rPr>
          <w:t>51</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11" w:history="1">
        <w:r w:rsidR="00C101F6" w:rsidRPr="00DA20F5">
          <w:rPr>
            <w:rStyle w:val="Hypertextovprepojenie"/>
            <w:noProof/>
          </w:rPr>
          <w:t>3.1.4</w:t>
        </w:r>
        <w:r w:rsidR="00C101F6" w:rsidRPr="00DA20F5">
          <w:rPr>
            <w:rFonts w:asciiTheme="minorHAnsi" w:eastAsiaTheme="minorEastAsia" w:hAnsiTheme="minorHAnsi" w:cstheme="minorBidi"/>
            <w:noProof/>
            <w:szCs w:val="22"/>
          </w:rPr>
          <w:tab/>
        </w:r>
        <w:r w:rsidR="00C101F6" w:rsidRPr="00DA20F5">
          <w:rPr>
            <w:rStyle w:val="Hypertextovprepojenie"/>
            <w:noProof/>
          </w:rPr>
          <w:t>Garančné poistenie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_Toc326217011 \h </w:instrText>
        </w:r>
        <w:r w:rsidR="00C101F6" w:rsidRPr="00DA20F5">
          <w:rPr>
            <w:noProof/>
            <w:webHidden/>
          </w:rPr>
        </w:r>
        <w:r w:rsidR="00C101F6" w:rsidRPr="00DA20F5">
          <w:rPr>
            <w:noProof/>
            <w:webHidden/>
          </w:rPr>
          <w:fldChar w:fldCharType="separate"/>
        </w:r>
        <w:r w:rsidR="00166D73">
          <w:rPr>
            <w:noProof/>
            <w:webHidden/>
          </w:rPr>
          <w:t>52</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13" w:history="1">
        <w:r w:rsidR="00C101F6" w:rsidRPr="00DA20F5">
          <w:rPr>
            <w:rStyle w:val="Hypertextovprepojenie"/>
            <w:noProof/>
          </w:rPr>
          <w:t>3.1.5</w:t>
        </w:r>
        <w:r w:rsidR="00C101F6" w:rsidRPr="00DA20F5">
          <w:rPr>
            <w:rFonts w:asciiTheme="minorHAnsi" w:eastAsiaTheme="minorEastAsia" w:hAnsiTheme="minorHAnsi" w:cstheme="minorBidi"/>
            <w:noProof/>
            <w:szCs w:val="22"/>
          </w:rPr>
          <w:tab/>
        </w:r>
        <w:r w:rsidR="00C101F6" w:rsidRPr="00DA20F5">
          <w:rPr>
            <w:rStyle w:val="Hypertextovprepojenie"/>
            <w:noProof/>
          </w:rPr>
          <w:t>Poistenie v nezamestnanosti</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_Toc326217013 \h </w:instrText>
        </w:r>
        <w:r w:rsidR="00C101F6" w:rsidRPr="00DA20F5">
          <w:rPr>
            <w:noProof/>
            <w:webHidden/>
          </w:rPr>
        </w:r>
        <w:r w:rsidR="00C101F6" w:rsidRPr="00DA20F5">
          <w:rPr>
            <w:noProof/>
            <w:webHidden/>
          </w:rPr>
          <w:fldChar w:fldCharType="separate"/>
        </w:r>
        <w:r w:rsidR="00166D73">
          <w:rPr>
            <w:noProof/>
            <w:webHidden/>
          </w:rPr>
          <w:t>52</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014" w:history="1">
        <w:r w:rsidR="00C101F6" w:rsidRPr="00DA20F5">
          <w:rPr>
            <w:rStyle w:val="Hypertextovprepojenie"/>
            <w:noProof/>
          </w:rPr>
          <w:t>3.2</w:t>
        </w:r>
        <w:r w:rsidR="00C101F6" w:rsidRPr="00DA20F5">
          <w:rPr>
            <w:rFonts w:asciiTheme="minorHAnsi" w:eastAsiaTheme="minorEastAsia" w:hAnsiTheme="minorHAnsi" w:cstheme="minorBidi"/>
            <w:noProof/>
            <w:szCs w:val="22"/>
          </w:rPr>
          <w:tab/>
        </w:r>
        <w:r w:rsidR="00C101F6" w:rsidRPr="00DA20F5">
          <w:rPr>
            <w:rStyle w:val="Hypertextovprepojenie"/>
            <w:noProof/>
          </w:rPr>
          <w:t>Dôchodkové sporenie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_Toc326217014 \h </w:instrText>
        </w:r>
        <w:r w:rsidR="00C101F6" w:rsidRPr="00DA20F5">
          <w:rPr>
            <w:noProof/>
            <w:webHidden/>
          </w:rPr>
        </w:r>
        <w:r w:rsidR="00C101F6" w:rsidRPr="00DA20F5">
          <w:rPr>
            <w:noProof/>
            <w:webHidden/>
          </w:rPr>
          <w:fldChar w:fldCharType="separate"/>
        </w:r>
        <w:r w:rsidR="00166D73">
          <w:rPr>
            <w:noProof/>
            <w:webHidden/>
          </w:rPr>
          <w:t>53</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15" w:history="1">
        <w:r w:rsidR="00C101F6" w:rsidRPr="00DA20F5">
          <w:rPr>
            <w:rStyle w:val="Hypertextovprepojenie"/>
            <w:noProof/>
          </w:rPr>
          <w:t>3.2.1</w:t>
        </w:r>
        <w:r w:rsidR="00C101F6" w:rsidRPr="00DA20F5">
          <w:rPr>
            <w:rFonts w:asciiTheme="minorHAnsi" w:eastAsiaTheme="minorEastAsia" w:hAnsiTheme="minorHAnsi" w:cstheme="minorBidi"/>
            <w:noProof/>
            <w:szCs w:val="22"/>
          </w:rPr>
          <w:tab/>
        </w:r>
        <w:r w:rsidR="00C101F6" w:rsidRPr="00DA20F5">
          <w:rPr>
            <w:rStyle w:val="Hypertextovprepojenie"/>
            <w:noProof/>
          </w:rPr>
          <w:t>Starobné dôchodkové sporenie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_Toc326217015 \h </w:instrText>
        </w:r>
        <w:r w:rsidR="00C101F6" w:rsidRPr="00DA20F5">
          <w:rPr>
            <w:noProof/>
            <w:webHidden/>
          </w:rPr>
        </w:r>
        <w:r w:rsidR="00C101F6" w:rsidRPr="00DA20F5">
          <w:rPr>
            <w:noProof/>
            <w:webHidden/>
          </w:rPr>
          <w:fldChar w:fldCharType="separate"/>
        </w:r>
        <w:r w:rsidR="00166D73">
          <w:rPr>
            <w:noProof/>
            <w:webHidden/>
          </w:rPr>
          <w:t>53</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23" w:history="1">
        <w:r w:rsidR="00C101F6" w:rsidRPr="00DA20F5">
          <w:rPr>
            <w:rStyle w:val="Hypertextovprepojenie"/>
            <w:noProof/>
          </w:rPr>
          <w:t>3.2.2</w:t>
        </w:r>
        <w:r w:rsidR="00C101F6" w:rsidRPr="00DA20F5">
          <w:rPr>
            <w:rFonts w:asciiTheme="minorHAnsi" w:eastAsiaTheme="minorEastAsia" w:hAnsiTheme="minorHAnsi" w:cstheme="minorBidi"/>
            <w:noProof/>
            <w:szCs w:val="22"/>
          </w:rPr>
          <w:tab/>
        </w:r>
        <w:r w:rsidR="00C101F6" w:rsidRPr="00DA20F5">
          <w:rPr>
            <w:rStyle w:val="Hypertextovprepojenie"/>
            <w:noProof/>
          </w:rPr>
          <w:t>Doplnkové dôchodkové sporenie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_Toc326217023 \h </w:instrText>
        </w:r>
        <w:r w:rsidR="00C101F6" w:rsidRPr="00DA20F5">
          <w:rPr>
            <w:noProof/>
            <w:webHidden/>
          </w:rPr>
        </w:r>
        <w:r w:rsidR="00C101F6" w:rsidRPr="00DA20F5">
          <w:rPr>
            <w:noProof/>
            <w:webHidden/>
          </w:rPr>
          <w:fldChar w:fldCharType="separate"/>
        </w:r>
        <w:r w:rsidR="00166D73">
          <w:rPr>
            <w:noProof/>
            <w:webHidden/>
          </w:rPr>
          <w:t>57</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026" w:history="1">
        <w:r w:rsidR="00C101F6" w:rsidRPr="00DA20F5">
          <w:rPr>
            <w:rStyle w:val="Hypertextovprepojenie"/>
            <w:noProof/>
          </w:rPr>
          <w:t>3.3</w:t>
        </w:r>
        <w:r w:rsidR="00C101F6" w:rsidRPr="00DA20F5">
          <w:rPr>
            <w:rFonts w:asciiTheme="minorHAnsi" w:eastAsiaTheme="minorEastAsia" w:hAnsiTheme="minorHAnsi" w:cstheme="minorBidi"/>
            <w:noProof/>
            <w:szCs w:val="22"/>
          </w:rPr>
          <w:tab/>
        </w:r>
        <w:r w:rsidR="00C101F6" w:rsidRPr="00DA20F5">
          <w:rPr>
            <w:rStyle w:val="Hypertextovprepojenie"/>
            <w:noProof/>
          </w:rPr>
          <w:t>Štátna sociálna podpora</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_Toc326217026 \h </w:instrText>
        </w:r>
        <w:r w:rsidR="00C101F6" w:rsidRPr="00DA20F5">
          <w:rPr>
            <w:noProof/>
            <w:webHidden/>
          </w:rPr>
        </w:r>
        <w:r w:rsidR="00C101F6" w:rsidRPr="00DA20F5">
          <w:rPr>
            <w:noProof/>
            <w:webHidden/>
          </w:rPr>
          <w:fldChar w:fldCharType="separate"/>
        </w:r>
        <w:r w:rsidR="00166D73">
          <w:rPr>
            <w:noProof/>
            <w:webHidden/>
          </w:rPr>
          <w:t>59</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27" w:history="1">
        <w:r w:rsidR="00C101F6" w:rsidRPr="00DA20F5">
          <w:rPr>
            <w:rStyle w:val="Hypertextovprepojenie"/>
            <w:noProof/>
          </w:rPr>
          <w:t>3.3.1</w:t>
        </w:r>
        <w:r w:rsidR="00C101F6" w:rsidRPr="00DA20F5">
          <w:rPr>
            <w:rFonts w:asciiTheme="minorHAnsi" w:eastAsiaTheme="minorEastAsia" w:hAnsiTheme="minorHAnsi" w:cstheme="minorBidi"/>
            <w:noProof/>
            <w:szCs w:val="22"/>
          </w:rPr>
          <w:tab/>
        </w:r>
        <w:r w:rsidR="00C101F6" w:rsidRPr="00DA20F5">
          <w:rPr>
            <w:rStyle w:val="Hypertextovprepojenie"/>
            <w:noProof/>
          </w:rPr>
          <w:t>Prídavok na dieťa</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_Toc326217027 \h </w:instrText>
        </w:r>
        <w:r w:rsidR="00C101F6" w:rsidRPr="00DA20F5">
          <w:rPr>
            <w:noProof/>
            <w:webHidden/>
          </w:rPr>
        </w:r>
        <w:r w:rsidR="00C101F6" w:rsidRPr="00DA20F5">
          <w:rPr>
            <w:noProof/>
            <w:webHidden/>
          </w:rPr>
          <w:fldChar w:fldCharType="separate"/>
        </w:r>
        <w:r w:rsidR="00166D73">
          <w:rPr>
            <w:noProof/>
            <w:webHidden/>
          </w:rPr>
          <w:t>59</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32" w:history="1">
        <w:r w:rsidR="00C101F6" w:rsidRPr="00DA20F5">
          <w:rPr>
            <w:rStyle w:val="Hypertextovprepojenie"/>
            <w:noProof/>
          </w:rPr>
          <w:t>3.3.2</w:t>
        </w:r>
        <w:r w:rsidR="00C101F6" w:rsidRPr="00DA20F5">
          <w:rPr>
            <w:rFonts w:asciiTheme="minorHAnsi" w:eastAsiaTheme="minorEastAsia" w:hAnsiTheme="minorHAnsi" w:cstheme="minorBidi"/>
            <w:noProof/>
            <w:szCs w:val="22"/>
          </w:rPr>
          <w:tab/>
        </w:r>
        <w:r w:rsidR="00C101F6" w:rsidRPr="00DA20F5">
          <w:rPr>
            <w:rStyle w:val="Hypertextovprepojenie"/>
            <w:noProof/>
          </w:rPr>
          <w:t>Príplatok k prídavku na dieťa</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_Toc326217032 \h </w:instrText>
        </w:r>
        <w:r w:rsidR="00C101F6" w:rsidRPr="00DA20F5">
          <w:rPr>
            <w:noProof/>
            <w:webHidden/>
          </w:rPr>
        </w:r>
        <w:r w:rsidR="00C101F6" w:rsidRPr="00DA20F5">
          <w:rPr>
            <w:noProof/>
            <w:webHidden/>
          </w:rPr>
          <w:fldChar w:fldCharType="separate"/>
        </w:r>
        <w:r w:rsidR="00166D73">
          <w:rPr>
            <w:noProof/>
            <w:webHidden/>
          </w:rPr>
          <w:t>61</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33" w:history="1">
        <w:r w:rsidR="00C101F6" w:rsidRPr="00DA20F5">
          <w:rPr>
            <w:rStyle w:val="Hypertextovprepojenie"/>
            <w:noProof/>
          </w:rPr>
          <w:t>3.3.3</w:t>
        </w:r>
        <w:r w:rsidR="00C101F6" w:rsidRPr="00DA20F5">
          <w:rPr>
            <w:rFonts w:asciiTheme="minorHAnsi" w:eastAsiaTheme="minorEastAsia" w:hAnsiTheme="minorHAnsi" w:cstheme="minorBidi"/>
            <w:noProof/>
            <w:szCs w:val="22"/>
          </w:rPr>
          <w:tab/>
        </w:r>
        <w:r w:rsidR="00C101F6" w:rsidRPr="00DA20F5">
          <w:rPr>
            <w:rStyle w:val="Hypertextovprepojenie"/>
            <w:noProof/>
          </w:rPr>
          <w:t>Rodičovský príspevok</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_Toc326217033 \h </w:instrText>
        </w:r>
        <w:r w:rsidR="00C101F6" w:rsidRPr="00DA20F5">
          <w:rPr>
            <w:noProof/>
            <w:webHidden/>
          </w:rPr>
        </w:r>
        <w:r w:rsidR="00C101F6" w:rsidRPr="00DA20F5">
          <w:rPr>
            <w:noProof/>
            <w:webHidden/>
          </w:rPr>
          <w:fldChar w:fldCharType="separate"/>
        </w:r>
        <w:r w:rsidR="00166D73">
          <w:rPr>
            <w:noProof/>
            <w:webHidden/>
          </w:rPr>
          <w:t>61</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34" w:history="1">
        <w:r w:rsidR="00C101F6" w:rsidRPr="00DA20F5">
          <w:rPr>
            <w:rStyle w:val="Hypertextovprepojenie"/>
            <w:noProof/>
          </w:rPr>
          <w:t>3.3.4</w:t>
        </w:r>
        <w:r w:rsidR="00C101F6" w:rsidRPr="00DA20F5">
          <w:rPr>
            <w:rFonts w:asciiTheme="minorHAnsi" w:eastAsiaTheme="minorEastAsia" w:hAnsiTheme="minorHAnsi" w:cstheme="minorBidi"/>
            <w:noProof/>
            <w:szCs w:val="22"/>
          </w:rPr>
          <w:tab/>
        </w:r>
        <w:r w:rsidR="00C101F6" w:rsidRPr="00DA20F5">
          <w:rPr>
            <w:rStyle w:val="Hypertextovprepojenie"/>
            <w:noProof/>
          </w:rPr>
          <w:t>Príspevok na starostlivosť o dieťa</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_Toc326217034 \h </w:instrText>
        </w:r>
        <w:r w:rsidR="00C101F6" w:rsidRPr="00DA20F5">
          <w:rPr>
            <w:noProof/>
            <w:webHidden/>
          </w:rPr>
        </w:r>
        <w:r w:rsidR="00C101F6" w:rsidRPr="00DA20F5">
          <w:rPr>
            <w:noProof/>
            <w:webHidden/>
          </w:rPr>
          <w:fldChar w:fldCharType="separate"/>
        </w:r>
        <w:r w:rsidR="00166D73">
          <w:rPr>
            <w:noProof/>
            <w:webHidden/>
          </w:rPr>
          <w:t>62</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35" w:history="1">
        <w:r w:rsidR="00C101F6" w:rsidRPr="00DA20F5">
          <w:rPr>
            <w:rStyle w:val="Hypertextovprepojenie"/>
            <w:noProof/>
          </w:rPr>
          <w:t>3.3.5</w:t>
        </w:r>
        <w:r w:rsidR="00C101F6" w:rsidRPr="00DA20F5">
          <w:rPr>
            <w:rFonts w:asciiTheme="minorHAnsi" w:eastAsiaTheme="minorEastAsia" w:hAnsiTheme="minorHAnsi" w:cstheme="minorBidi"/>
            <w:noProof/>
            <w:szCs w:val="22"/>
          </w:rPr>
          <w:tab/>
        </w:r>
        <w:r w:rsidR="00C101F6" w:rsidRPr="00DA20F5">
          <w:rPr>
            <w:rStyle w:val="Hypertextovprepojenie"/>
            <w:noProof/>
          </w:rPr>
          <w:t>Príspevok pri narodení dieťaťa</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_Toc326217035 \h </w:instrText>
        </w:r>
        <w:r w:rsidR="00C101F6" w:rsidRPr="00DA20F5">
          <w:rPr>
            <w:noProof/>
            <w:webHidden/>
          </w:rPr>
        </w:r>
        <w:r w:rsidR="00C101F6" w:rsidRPr="00DA20F5">
          <w:rPr>
            <w:noProof/>
            <w:webHidden/>
          </w:rPr>
          <w:fldChar w:fldCharType="separate"/>
        </w:r>
        <w:r w:rsidR="00166D73">
          <w:rPr>
            <w:noProof/>
            <w:webHidden/>
          </w:rPr>
          <w:t>63</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37" w:history="1">
        <w:r w:rsidR="00C101F6" w:rsidRPr="00DA20F5">
          <w:rPr>
            <w:rStyle w:val="Hypertextovprepojenie"/>
            <w:noProof/>
          </w:rPr>
          <w:t>3.3.6</w:t>
        </w:r>
        <w:r w:rsidR="00C101F6" w:rsidRPr="00DA20F5">
          <w:rPr>
            <w:rFonts w:asciiTheme="minorHAnsi" w:eastAsiaTheme="minorEastAsia" w:hAnsiTheme="minorHAnsi" w:cstheme="minorBidi"/>
            <w:noProof/>
            <w:szCs w:val="22"/>
          </w:rPr>
          <w:tab/>
        </w:r>
        <w:r w:rsidR="00C101F6" w:rsidRPr="00DA20F5">
          <w:rPr>
            <w:rStyle w:val="Hypertextovprepojenie"/>
            <w:noProof/>
          </w:rPr>
          <w:t>Príplatok k príspevku pri narodení dieťaťa</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_Toc326217037 \h </w:instrText>
        </w:r>
        <w:r w:rsidR="00C101F6" w:rsidRPr="00DA20F5">
          <w:rPr>
            <w:noProof/>
            <w:webHidden/>
          </w:rPr>
        </w:r>
        <w:r w:rsidR="00C101F6" w:rsidRPr="00DA20F5">
          <w:rPr>
            <w:noProof/>
            <w:webHidden/>
          </w:rPr>
          <w:fldChar w:fldCharType="separate"/>
        </w:r>
        <w:r w:rsidR="00166D73">
          <w:rPr>
            <w:noProof/>
            <w:webHidden/>
          </w:rPr>
          <w:t>63</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38" w:history="1">
        <w:r w:rsidR="00C101F6" w:rsidRPr="00DA20F5">
          <w:rPr>
            <w:rStyle w:val="Hypertextovprepojenie"/>
            <w:noProof/>
          </w:rPr>
          <w:t>3.3.7</w:t>
        </w:r>
        <w:r w:rsidR="00C101F6" w:rsidRPr="00DA20F5">
          <w:rPr>
            <w:rFonts w:asciiTheme="minorHAnsi" w:eastAsiaTheme="minorEastAsia" w:hAnsiTheme="minorHAnsi" w:cstheme="minorBidi"/>
            <w:noProof/>
            <w:szCs w:val="22"/>
          </w:rPr>
          <w:tab/>
        </w:r>
        <w:r w:rsidR="00C101F6" w:rsidRPr="00DA20F5">
          <w:rPr>
            <w:rStyle w:val="Hypertextovprepojenie"/>
            <w:noProof/>
          </w:rPr>
          <w:t>Príspevok rodičom, ktorým sa súčasne narodili tri a viac detí</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_Toc326217038 \h </w:instrText>
        </w:r>
        <w:r w:rsidR="00C101F6" w:rsidRPr="00DA20F5">
          <w:rPr>
            <w:noProof/>
            <w:webHidden/>
          </w:rPr>
        </w:r>
        <w:r w:rsidR="00C101F6" w:rsidRPr="00DA20F5">
          <w:rPr>
            <w:noProof/>
            <w:webHidden/>
          </w:rPr>
          <w:fldChar w:fldCharType="separate"/>
        </w:r>
        <w:r w:rsidR="00166D73">
          <w:rPr>
            <w:noProof/>
            <w:webHidden/>
          </w:rPr>
          <w:t>63</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39" w:history="1">
        <w:r w:rsidR="00C101F6" w:rsidRPr="00DA20F5">
          <w:rPr>
            <w:rStyle w:val="Hypertextovprepojenie"/>
            <w:noProof/>
          </w:rPr>
          <w:t>3.3.8</w:t>
        </w:r>
        <w:r w:rsidR="00C101F6" w:rsidRPr="00DA20F5">
          <w:rPr>
            <w:rFonts w:asciiTheme="minorHAnsi" w:eastAsiaTheme="minorEastAsia" w:hAnsiTheme="minorHAnsi" w:cstheme="minorBidi"/>
            <w:noProof/>
            <w:szCs w:val="22"/>
          </w:rPr>
          <w:tab/>
        </w:r>
        <w:r w:rsidR="00C101F6" w:rsidRPr="00DA20F5">
          <w:rPr>
            <w:rStyle w:val="Hypertextovprepojenie"/>
            <w:noProof/>
          </w:rPr>
          <w:t>Príspevok na pohreb</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_Toc326217039 \h </w:instrText>
        </w:r>
        <w:r w:rsidR="00C101F6" w:rsidRPr="00DA20F5">
          <w:rPr>
            <w:noProof/>
            <w:webHidden/>
          </w:rPr>
        </w:r>
        <w:r w:rsidR="00C101F6" w:rsidRPr="00DA20F5">
          <w:rPr>
            <w:noProof/>
            <w:webHidden/>
          </w:rPr>
          <w:fldChar w:fldCharType="separate"/>
        </w:r>
        <w:r w:rsidR="00166D73">
          <w:rPr>
            <w:noProof/>
            <w:webHidden/>
          </w:rPr>
          <w:t>63</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040" w:history="1">
        <w:r w:rsidR="00C101F6" w:rsidRPr="00DA20F5">
          <w:rPr>
            <w:rStyle w:val="Hypertextovprepojenie"/>
            <w:noProof/>
          </w:rPr>
          <w:t>3.4</w:t>
        </w:r>
        <w:r w:rsidR="00C101F6" w:rsidRPr="00DA20F5">
          <w:rPr>
            <w:rFonts w:asciiTheme="minorHAnsi" w:eastAsiaTheme="minorEastAsia" w:hAnsiTheme="minorHAnsi" w:cstheme="minorBidi"/>
            <w:noProof/>
            <w:szCs w:val="22"/>
          </w:rPr>
          <w:tab/>
        </w:r>
        <w:r w:rsidR="00C101F6" w:rsidRPr="00DA20F5">
          <w:rPr>
            <w:rStyle w:val="Hypertextovprepojenie"/>
            <w:noProof/>
          </w:rPr>
          <w:t>Sociálna pomoc</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_Toc326217040 \h </w:instrText>
        </w:r>
        <w:r w:rsidR="00C101F6" w:rsidRPr="00DA20F5">
          <w:rPr>
            <w:noProof/>
            <w:webHidden/>
          </w:rPr>
        </w:r>
        <w:r w:rsidR="00C101F6" w:rsidRPr="00DA20F5">
          <w:rPr>
            <w:noProof/>
            <w:webHidden/>
          </w:rPr>
          <w:fldChar w:fldCharType="separate"/>
        </w:r>
        <w:r w:rsidR="00166D73">
          <w:rPr>
            <w:noProof/>
            <w:webHidden/>
          </w:rPr>
          <w:t>64</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41" w:history="1">
        <w:r w:rsidR="00C101F6" w:rsidRPr="00DA20F5">
          <w:rPr>
            <w:rStyle w:val="Hypertextovprepojenie"/>
            <w:noProof/>
          </w:rPr>
          <w:t>3.4.1</w:t>
        </w:r>
        <w:r w:rsidR="00C101F6" w:rsidRPr="00DA20F5">
          <w:rPr>
            <w:rFonts w:asciiTheme="minorHAnsi" w:eastAsiaTheme="minorEastAsia" w:hAnsiTheme="minorHAnsi" w:cstheme="minorBidi"/>
            <w:noProof/>
            <w:szCs w:val="22"/>
          </w:rPr>
          <w:tab/>
        </w:r>
        <w:r w:rsidR="00C101F6" w:rsidRPr="00DA20F5">
          <w:rPr>
            <w:rStyle w:val="Hypertextovprepojenie"/>
            <w:noProof/>
          </w:rPr>
          <w:t>Dávka v hmotnej núdzi</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_Toc326217041 \h </w:instrText>
        </w:r>
        <w:r w:rsidR="00C101F6" w:rsidRPr="00DA20F5">
          <w:rPr>
            <w:noProof/>
            <w:webHidden/>
          </w:rPr>
        </w:r>
        <w:r w:rsidR="00C101F6" w:rsidRPr="00DA20F5">
          <w:rPr>
            <w:noProof/>
            <w:webHidden/>
          </w:rPr>
          <w:fldChar w:fldCharType="separate"/>
        </w:r>
        <w:r w:rsidR="00166D73">
          <w:rPr>
            <w:noProof/>
            <w:webHidden/>
          </w:rPr>
          <w:t>64</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49" w:history="1">
        <w:r w:rsidR="00C101F6" w:rsidRPr="00DA20F5">
          <w:rPr>
            <w:rStyle w:val="Hypertextovprepojenie"/>
            <w:noProof/>
          </w:rPr>
          <w:t>3.4.2</w:t>
        </w:r>
        <w:r w:rsidR="00C101F6" w:rsidRPr="00DA20F5">
          <w:rPr>
            <w:rFonts w:asciiTheme="minorHAnsi" w:eastAsiaTheme="minorEastAsia" w:hAnsiTheme="minorHAnsi" w:cstheme="minorBidi"/>
            <w:noProof/>
            <w:szCs w:val="22"/>
          </w:rPr>
          <w:tab/>
        </w:r>
        <w:r w:rsidR="00C101F6" w:rsidRPr="00DA20F5">
          <w:rPr>
            <w:rStyle w:val="Hypertextovprepojenie"/>
            <w:noProof/>
          </w:rPr>
          <w:t>Dotácie pre dieťa v hmotnej núdzi</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_Toc326217049 \h </w:instrText>
        </w:r>
        <w:r w:rsidR="00C101F6" w:rsidRPr="00DA20F5">
          <w:rPr>
            <w:noProof/>
            <w:webHidden/>
          </w:rPr>
        </w:r>
        <w:r w:rsidR="00C101F6" w:rsidRPr="00DA20F5">
          <w:rPr>
            <w:noProof/>
            <w:webHidden/>
          </w:rPr>
          <w:fldChar w:fldCharType="separate"/>
        </w:r>
        <w:r w:rsidR="00166D73">
          <w:rPr>
            <w:noProof/>
            <w:webHidden/>
          </w:rPr>
          <w:t>68</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52" w:history="1">
        <w:r w:rsidR="00C101F6" w:rsidRPr="00DA20F5">
          <w:rPr>
            <w:rStyle w:val="Hypertextovprepojenie"/>
            <w:noProof/>
          </w:rPr>
          <w:t>3.4.3</w:t>
        </w:r>
        <w:r w:rsidR="00C101F6" w:rsidRPr="00DA20F5">
          <w:rPr>
            <w:rFonts w:asciiTheme="minorHAnsi" w:eastAsiaTheme="minorEastAsia" w:hAnsiTheme="minorHAnsi" w:cstheme="minorBidi"/>
            <w:noProof/>
            <w:szCs w:val="22"/>
          </w:rPr>
          <w:tab/>
        </w:r>
        <w:r w:rsidR="00C101F6" w:rsidRPr="00DA20F5">
          <w:rPr>
            <w:rStyle w:val="Hypertextovprepojenie"/>
            <w:noProof/>
          </w:rPr>
          <w:t>Náhradné výživné</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_Toc326217052 \h </w:instrText>
        </w:r>
        <w:r w:rsidR="00C101F6" w:rsidRPr="00DA20F5">
          <w:rPr>
            <w:noProof/>
            <w:webHidden/>
          </w:rPr>
        </w:r>
        <w:r w:rsidR="00C101F6" w:rsidRPr="00DA20F5">
          <w:rPr>
            <w:noProof/>
            <w:webHidden/>
          </w:rPr>
          <w:fldChar w:fldCharType="separate"/>
        </w:r>
        <w:r w:rsidR="00166D73">
          <w:rPr>
            <w:noProof/>
            <w:webHidden/>
          </w:rPr>
          <w:t>69</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54" w:history="1">
        <w:r w:rsidR="00C101F6" w:rsidRPr="00DA20F5">
          <w:rPr>
            <w:rStyle w:val="Hypertextovprepojenie"/>
            <w:noProof/>
          </w:rPr>
          <w:t>3.4.4</w:t>
        </w:r>
        <w:r w:rsidR="00C101F6" w:rsidRPr="00DA20F5">
          <w:rPr>
            <w:rFonts w:asciiTheme="minorHAnsi" w:eastAsiaTheme="minorEastAsia" w:hAnsiTheme="minorHAnsi" w:cstheme="minorBidi"/>
            <w:noProof/>
            <w:szCs w:val="22"/>
          </w:rPr>
          <w:tab/>
        </w:r>
        <w:r w:rsidR="00C101F6" w:rsidRPr="00DA20F5">
          <w:rPr>
            <w:rStyle w:val="Hypertextovprepojenie"/>
            <w:noProof/>
          </w:rPr>
          <w:t>Sociálnoprávna ochrana detí a sociálna kuratela</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_Toc326217054 \h </w:instrText>
        </w:r>
        <w:r w:rsidR="00C101F6" w:rsidRPr="00DA20F5">
          <w:rPr>
            <w:noProof/>
            <w:webHidden/>
          </w:rPr>
        </w:r>
        <w:r w:rsidR="00C101F6" w:rsidRPr="00DA20F5">
          <w:rPr>
            <w:noProof/>
            <w:webHidden/>
          </w:rPr>
          <w:fldChar w:fldCharType="separate"/>
        </w:r>
        <w:r w:rsidR="00166D73">
          <w:rPr>
            <w:noProof/>
            <w:webHidden/>
          </w:rPr>
          <w:t>70</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57" w:history="1">
        <w:r w:rsidR="00C101F6" w:rsidRPr="00DA20F5">
          <w:rPr>
            <w:rStyle w:val="Hypertextovprepojenie"/>
            <w:noProof/>
          </w:rPr>
          <w:t>3.4.5</w:t>
        </w:r>
        <w:r w:rsidR="00C101F6" w:rsidRPr="00DA20F5">
          <w:rPr>
            <w:rFonts w:asciiTheme="minorHAnsi" w:eastAsiaTheme="minorEastAsia" w:hAnsiTheme="minorHAnsi" w:cstheme="minorBidi"/>
            <w:noProof/>
            <w:szCs w:val="22"/>
          </w:rPr>
          <w:tab/>
        </w:r>
        <w:r w:rsidR="00C101F6" w:rsidRPr="00DA20F5">
          <w:rPr>
            <w:rStyle w:val="Hypertextovprepojenie"/>
            <w:noProof/>
          </w:rPr>
          <w:t>Príspevky na podporu náhradnej starostlivosti</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_Toc326217057 \h </w:instrText>
        </w:r>
        <w:r w:rsidR="00C101F6" w:rsidRPr="00DA20F5">
          <w:rPr>
            <w:noProof/>
            <w:webHidden/>
          </w:rPr>
        </w:r>
        <w:r w:rsidR="00C101F6" w:rsidRPr="00DA20F5">
          <w:rPr>
            <w:noProof/>
            <w:webHidden/>
          </w:rPr>
          <w:fldChar w:fldCharType="separate"/>
        </w:r>
        <w:r w:rsidR="00166D73">
          <w:rPr>
            <w:noProof/>
            <w:webHidden/>
          </w:rPr>
          <w:t>75</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60" w:history="1">
        <w:r w:rsidR="00C101F6" w:rsidRPr="00DA20F5">
          <w:rPr>
            <w:rStyle w:val="Hypertextovprepojenie"/>
            <w:noProof/>
          </w:rPr>
          <w:t>3.4.6</w:t>
        </w:r>
        <w:r w:rsidR="00C101F6" w:rsidRPr="00DA20F5">
          <w:rPr>
            <w:rFonts w:asciiTheme="minorHAnsi" w:eastAsiaTheme="minorEastAsia" w:hAnsiTheme="minorHAnsi" w:cstheme="minorBidi"/>
            <w:noProof/>
            <w:szCs w:val="22"/>
          </w:rPr>
          <w:tab/>
        </w:r>
        <w:r w:rsidR="00C101F6" w:rsidRPr="00DA20F5">
          <w:rPr>
            <w:rStyle w:val="Hypertextovprepojenie"/>
            <w:noProof/>
          </w:rPr>
          <w:t>Kompenzácia sociálnych dôsledkov ťažkého zdravotného postihnutia</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_Toc326217060 \h </w:instrText>
        </w:r>
        <w:r w:rsidR="00C101F6" w:rsidRPr="00DA20F5">
          <w:rPr>
            <w:noProof/>
            <w:webHidden/>
          </w:rPr>
        </w:r>
        <w:r w:rsidR="00C101F6" w:rsidRPr="00DA20F5">
          <w:rPr>
            <w:noProof/>
            <w:webHidden/>
          </w:rPr>
          <w:fldChar w:fldCharType="separate"/>
        </w:r>
        <w:r w:rsidR="00166D73">
          <w:rPr>
            <w:noProof/>
            <w:webHidden/>
          </w:rPr>
          <w:t>77</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72" w:history="1">
        <w:r w:rsidR="00C101F6" w:rsidRPr="00DA20F5">
          <w:rPr>
            <w:rStyle w:val="Hypertextovprepojenie"/>
            <w:noProof/>
          </w:rPr>
          <w:t>3.4.7</w:t>
        </w:r>
        <w:r w:rsidR="00C101F6" w:rsidRPr="00DA20F5">
          <w:rPr>
            <w:rFonts w:asciiTheme="minorHAnsi" w:eastAsiaTheme="minorEastAsia" w:hAnsiTheme="minorHAnsi" w:cstheme="minorBidi"/>
            <w:noProof/>
            <w:szCs w:val="22"/>
          </w:rPr>
          <w:tab/>
        </w:r>
        <w:r w:rsidR="00C101F6" w:rsidRPr="00DA20F5">
          <w:rPr>
            <w:rStyle w:val="Hypertextovprepojenie"/>
            <w:noProof/>
          </w:rPr>
          <w:t>Sociálne služby</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_Toc326217072 \h </w:instrText>
        </w:r>
        <w:r w:rsidR="00C101F6" w:rsidRPr="00DA20F5">
          <w:rPr>
            <w:noProof/>
            <w:webHidden/>
          </w:rPr>
        </w:r>
        <w:r w:rsidR="00C101F6" w:rsidRPr="00DA20F5">
          <w:rPr>
            <w:noProof/>
            <w:webHidden/>
          </w:rPr>
          <w:fldChar w:fldCharType="separate"/>
        </w:r>
        <w:r w:rsidR="00166D73">
          <w:rPr>
            <w:noProof/>
            <w:webHidden/>
          </w:rPr>
          <w:t>85</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73" w:history="1">
        <w:r w:rsidR="00C101F6" w:rsidRPr="00DA20F5">
          <w:rPr>
            <w:rStyle w:val="Hypertextovprepojenie"/>
            <w:noProof/>
          </w:rPr>
          <w:t>3.4.8</w:t>
        </w:r>
        <w:r w:rsidR="00C101F6" w:rsidRPr="00DA20F5">
          <w:rPr>
            <w:rFonts w:asciiTheme="minorHAnsi" w:eastAsiaTheme="minorEastAsia" w:hAnsiTheme="minorHAnsi" w:cstheme="minorBidi"/>
            <w:noProof/>
            <w:szCs w:val="22"/>
          </w:rPr>
          <w:tab/>
        </w:r>
        <w:r w:rsidR="00C101F6" w:rsidRPr="00DA20F5">
          <w:rPr>
            <w:rStyle w:val="Hypertextovprepojenie"/>
            <w:noProof/>
          </w:rPr>
          <w:t>Dotácie na podporu rozvoja sociálnej oblasti v pôsobnosti MPSVR SR</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_Toc326217073 \h </w:instrText>
        </w:r>
        <w:r w:rsidR="00C101F6" w:rsidRPr="00DA20F5">
          <w:rPr>
            <w:noProof/>
            <w:webHidden/>
          </w:rPr>
        </w:r>
        <w:r w:rsidR="00C101F6" w:rsidRPr="00DA20F5">
          <w:rPr>
            <w:noProof/>
            <w:webHidden/>
          </w:rPr>
          <w:fldChar w:fldCharType="separate"/>
        </w:r>
        <w:r w:rsidR="00166D73">
          <w:rPr>
            <w:noProof/>
            <w:webHidden/>
          </w:rPr>
          <w:t>90</w:t>
        </w:r>
        <w:r w:rsidR="00C101F6" w:rsidRPr="00DA20F5">
          <w:rPr>
            <w:noProof/>
            <w:webHidden/>
          </w:rPr>
          <w:fldChar w:fldCharType="end"/>
        </w:r>
      </w:hyperlink>
    </w:p>
    <w:p w:rsidR="00C101F6" w:rsidRPr="00DA20F5" w:rsidRDefault="00F86FEF">
      <w:pPr>
        <w:pStyle w:val="Obsah6"/>
        <w:rPr>
          <w:rFonts w:asciiTheme="minorHAnsi" w:eastAsiaTheme="minorEastAsia" w:hAnsiTheme="minorHAnsi" w:cstheme="minorBidi"/>
          <w:noProof/>
          <w:szCs w:val="22"/>
        </w:rPr>
      </w:pPr>
      <w:hyperlink w:anchor="_Toc326217075" w:history="1">
        <w:r w:rsidR="00C101F6" w:rsidRPr="00DA20F5">
          <w:rPr>
            <w:rStyle w:val="Hypertextovprepojenie"/>
            <w:noProof/>
          </w:rPr>
          <w:t>3.4.9</w:t>
        </w:r>
        <w:r w:rsidR="00C101F6" w:rsidRPr="00DA20F5">
          <w:rPr>
            <w:rFonts w:asciiTheme="minorHAnsi" w:eastAsiaTheme="minorEastAsia" w:hAnsiTheme="minorHAnsi" w:cstheme="minorBidi"/>
            <w:noProof/>
            <w:szCs w:val="22"/>
          </w:rPr>
          <w:tab/>
        </w:r>
        <w:r w:rsidR="00C101F6" w:rsidRPr="00DA20F5">
          <w:rPr>
            <w:rStyle w:val="Hypertextovprepojenie"/>
            <w:noProof/>
          </w:rPr>
          <w:t xml:space="preserve">Európsky integrovaný systém štatistiky sociálnej ochrany </w:t>
        </w:r>
        <w:r w:rsidR="00C83676" w:rsidRPr="00DA20F5">
          <w:rPr>
            <w:rStyle w:val="Hypertextovprepojenie"/>
            <w:noProof/>
          </w:rPr>
          <w:br/>
        </w:r>
        <w:r w:rsidR="00C101F6" w:rsidRPr="00DA20F5">
          <w:rPr>
            <w:rStyle w:val="Hypertextovprepojenie"/>
            <w:noProof/>
          </w:rPr>
          <w:t>(Metodika ESSPROS)</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_Toc326217075 \h </w:instrText>
        </w:r>
        <w:r w:rsidR="00C101F6" w:rsidRPr="00DA20F5">
          <w:rPr>
            <w:noProof/>
            <w:webHidden/>
          </w:rPr>
        </w:r>
        <w:r w:rsidR="00C101F6" w:rsidRPr="00DA20F5">
          <w:rPr>
            <w:noProof/>
            <w:webHidden/>
          </w:rPr>
          <w:fldChar w:fldCharType="separate"/>
        </w:r>
        <w:r w:rsidR="00166D73">
          <w:rPr>
            <w:noProof/>
            <w:webHidden/>
          </w:rPr>
          <w:t>91</w:t>
        </w:r>
        <w:r w:rsidR="00C101F6" w:rsidRPr="00DA20F5">
          <w:rPr>
            <w:noProof/>
            <w:webHidden/>
          </w:rPr>
          <w:fldChar w:fldCharType="end"/>
        </w:r>
      </w:hyperlink>
    </w:p>
    <w:p w:rsidR="00C101F6" w:rsidRDefault="00F86FEF">
      <w:pPr>
        <w:pStyle w:val="Obsah5"/>
        <w:rPr>
          <w:rStyle w:val="Hypertextovprepojenie"/>
          <w:noProof/>
        </w:rPr>
      </w:pPr>
      <w:hyperlink w:anchor="_Toc326217084" w:history="1">
        <w:r w:rsidR="00C101F6" w:rsidRPr="00DA20F5">
          <w:rPr>
            <w:rStyle w:val="Hypertextovprepojenie"/>
            <w:noProof/>
          </w:rPr>
          <w:t xml:space="preserve">3.5 </w:t>
        </w:r>
        <w:r w:rsidR="00C101F6" w:rsidRPr="00DA20F5">
          <w:rPr>
            <w:rFonts w:asciiTheme="minorHAnsi" w:eastAsiaTheme="minorEastAsia" w:hAnsiTheme="minorHAnsi" w:cstheme="minorBidi"/>
            <w:noProof/>
            <w:szCs w:val="22"/>
          </w:rPr>
          <w:tab/>
        </w:r>
        <w:r w:rsidR="00C101F6" w:rsidRPr="00DA20F5">
          <w:rPr>
            <w:rStyle w:val="Hypertextovprepojenie"/>
            <w:noProof/>
          </w:rPr>
          <w:t>Európsky sociálny fond</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_Toc326217084 \h </w:instrText>
        </w:r>
        <w:r w:rsidR="00C101F6" w:rsidRPr="00DA20F5">
          <w:rPr>
            <w:noProof/>
            <w:webHidden/>
          </w:rPr>
        </w:r>
        <w:r w:rsidR="00C101F6" w:rsidRPr="00DA20F5">
          <w:rPr>
            <w:noProof/>
            <w:webHidden/>
          </w:rPr>
          <w:fldChar w:fldCharType="separate"/>
        </w:r>
        <w:r w:rsidR="00166D73">
          <w:rPr>
            <w:noProof/>
            <w:webHidden/>
          </w:rPr>
          <w:t>97</w:t>
        </w:r>
        <w:r w:rsidR="00C101F6" w:rsidRPr="00DA20F5">
          <w:rPr>
            <w:noProof/>
            <w:webHidden/>
          </w:rPr>
          <w:fldChar w:fldCharType="end"/>
        </w:r>
      </w:hyperlink>
    </w:p>
    <w:p w:rsidR="00331260" w:rsidRDefault="00331260" w:rsidP="00331260">
      <w:pPr>
        <w:rPr>
          <w:rFonts w:eastAsiaTheme="minorEastAsia"/>
          <w:noProof/>
        </w:rPr>
      </w:pPr>
    </w:p>
    <w:p w:rsidR="00331260" w:rsidRPr="00331260" w:rsidRDefault="00331260" w:rsidP="00331260">
      <w:pPr>
        <w:rPr>
          <w:rFonts w:eastAsiaTheme="minorEastAsia"/>
          <w:noProof/>
        </w:rPr>
      </w:pPr>
    </w:p>
    <w:p w:rsidR="00C101F6" w:rsidRPr="00DA20F5" w:rsidRDefault="00F86FEF" w:rsidP="00C83676">
      <w:pPr>
        <w:pStyle w:val="Obsah1"/>
        <w:rPr>
          <w:rFonts w:asciiTheme="minorHAnsi" w:eastAsiaTheme="minorEastAsia" w:hAnsiTheme="minorHAnsi" w:cstheme="minorBidi"/>
          <w:szCs w:val="22"/>
        </w:rPr>
      </w:pPr>
      <w:hyperlink w:anchor="_Toc326217090" w:history="1">
        <w:r w:rsidR="00C101F6" w:rsidRPr="00DA20F5">
          <w:rPr>
            <w:rStyle w:val="Hypertextovprepojenie"/>
          </w:rPr>
          <w:t>4</w:t>
        </w:r>
        <w:r w:rsidR="00C101F6" w:rsidRPr="00DA20F5">
          <w:rPr>
            <w:rFonts w:asciiTheme="minorHAnsi" w:eastAsiaTheme="minorEastAsia" w:hAnsiTheme="minorHAnsi" w:cstheme="minorBidi"/>
            <w:szCs w:val="22"/>
          </w:rPr>
          <w:tab/>
        </w:r>
        <w:r w:rsidR="00C101F6" w:rsidRPr="00DA20F5">
          <w:rPr>
            <w:rStyle w:val="Hypertextovprepojenie"/>
          </w:rPr>
          <w:t>ŽIVOTNÁ ÚROVEŇ A SOCIÁLNA KOHÉZIA</w:t>
        </w:r>
        <w:r w:rsidR="00C101F6" w:rsidRPr="00DA20F5">
          <w:rPr>
            <w:webHidden/>
          </w:rPr>
          <w:tab/>
        </w:r>
        <w:r w:rsidR="00C101F6" w:rsidRPr="00DA20F5">
          <w:rPr>
            <w:webHidden/>
          </w:rPr>
          <w:fldChar w:fldCharType="begin"/>
        </w:r>
        <w:r w:rsidR="00C101F6" w:rsidRPr="00DA20F5">
          <w:rPr>
            <w:webHidden/>
          </w:rPr>
          <w:instrText xml:space="preserve"> PAGEREF _Toc326217090 \h </w:instrText>
        </w:r>
        <w:r w:rsidR="00C101F6" w:rsidRPr="00DA20F5">
          <w:rPr>
            <w:webHidden/>
          </w:rPr>
        </w:r>
        <w:r w:rsidR="00C101F6" w:rsidRPr="00DA20F5">
          <w:rPr>
            <w:webHidden/>
          </w:rPr>
          <w:fldChar w:fldCharType="separate"/>
        </w:r>
        <w:r w:rsidR="00166D73">
          <w:rPr>
            <w:webHidden/>
          </w:rPr>
          <w:t>100</w:t>
        </w:r>
        <w:r w:rsidR="00C101F6" w:rsidRPr="00DA20F5">
          <w:rPr>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091" w:history="1">
        <w:r w:rsidR="00C101F6" w:rsidRPr="00DA20F5">
          <w:rPr>
            <w:rStyle w:val="Hypertextovprepojenie"/>
            <w:noProof/>
          </w:rPr>
          <w:t>4.1</w:t>
        </w:r>
        <w:r w:rsidR="00C101F6" w:rsidRPr="00DA20F5">
          <w:rPr>
            <w:rFonts w:asciiTheme="minorHAnsi" w:eastAsiaTheme="minorEastAsia" w:hAnsiTheme="minorHAnsi" w:cstheme="minorBidi"/>
            <w:noProof/>
            <w:szCs w:val="22"/>
          </w:rPr>
          <w:tab/>
        </w:r>
        <w:r w:rsidR="00C101F6" w:rsidRPr="00DA20F5">
          <w:rPr>
            <w:rStyle w:val="Hypertextovprepojenie"/>
            <w:noProof/>
          </w:rPr>
          <w:t>Peňažné príjmy a výdavky súkromných domácností</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_Toc326217091 \h </w:instrText>
        </w:r>
        <w:r w:rsidR="00C101F6" w:rsidRPr="00DA20F5">
          <w:rPr>
            <w:noProof/>
            <w:webHidden/>
          </w:rPr>
        </w:r>
        <w:r w:rsidR="00C101F6" w:rsidRPr="00DA20F5">
          <w:rPr>
            <w:noProof/>
            <w:webHidden/>
          </w:rPr>
          <w:fldChar w:fldCharType="separate"/>
        </w:r>
        <w:r w:rsidR="00166D73">
          <w:rPr>
            <w:noProof/>
            <w:webHidden/>
          </w:rPr>
          <w:t>100</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094" w:history="1">
        <w:r w:rsidR="00C101F6" w:rsidRPr="00DA20F5">
          <w:rPr>
            <w:rStyle w:val="Hypertextovprepojenie"/>
            <w:noProof/>
          </w:rPr>
          <w:t>4.2</w:t>
        </w:r>
        <w:r w:rsidR="00C101F6" w:rsidRPr="00DA20F5">
          <w:rPr>
            <w:rFonts w:asciiTheme="minorHAnsi" w:eastAsiaTheme="minorEastAsia" w:hAnsiTheme="minorHAnsi" w:cstheme="minorBidi"/>
            <w:noProof/>
            <w:szCs w:val="22"/>
          </w:rPr>
          <w:tab/>
        </w:r>
        <w:r w:rsidR="00C101F6" w:rsidRPr="00DA20F5">
          <w:rPr>
            <w:rStyle w:val="Hypertextovprepojenie"/>
            <w:noProof/>
          </w:rPr>
          <w:t>Chudoba a sociálne vylúčenie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_Toc326217094 \h </w:instrText>
        </w:r>
        <w:r w:rsidR="00C101F6" w:rsidRPr="00DA20F5">
          <w:rPr>
            <w:noProof/>
            <w:webHidden/>
          </w:rPr>
        </w:r>
        <w:r w:rsidR="00C101F6" w:rsidRPr="00DA20F5">
          <w:rPr>
            <w:noProof/>
            <w:webHidden/>
          </w:rPr>
          <w:fldChar w:fldCharType="separate"/>
        </w:r>
        <w:r w:rsidR="00166D73">
          <w:rPr>
            <w:noProof/>
            <w:webHidden/>
          </w:rPr>
          <w:t>102</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108" w:history="1">
        <w:r w:rsidR="00C101F6" w:rsidRPr="00DA20F5">
          <w:rPr>
            <w:rStyle w:val="Hypertextovprepojenie"/>
            <w:noProof/>
          </w:rPr>
          <w:t>4.3</w:t>
        </w:r>
        <w:r w:rsidR="00C101F6" w:rsidRPr="00DA20F5">
          <w:rPr>
            <w:rFonts w:asciiTheme="minorHAnsi" w:eastAsiaTheme="minorEastAsia" w:hAnsiTheme="minorHAnsi" w:cstheme="minorBidi"/>
            <w:noProof/>
            <w:szCs w:val="22"/>
          </w:rPr>
          <w:tab/>
        </w:r>
        <w:r w:rsidR="00C101F6" w:rsidRPr="00DA20F5">
          <w:rPr>
            <w:rStyle w:val="Hypertextovprepojenie"/>
            <w:noProof/>
          </w:rPr>
          <w:t>Rodová rovnosť a rovnosť príležitostí</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_Toc326217108 \h </w:instrText>
        </w:r>
        <w:r w:rsidR="00C101F6" w:rsidRPr="00DA20F5">
          <w:rPr>
            <w:noProof/>
            <w:webHidden/>
          </w:rPr>
        </w:r>
        <w:r w:rsidR="00C101F6" w:rsidRPr="00DA20F5">
          <w:rPr>
            <w:noProof/>
            <w:webHidden/>
          </w:rPr>
          <w:fldChar w:fldCharType="separate"/>
        </w:r>
        <w:r w:rsidR="00166D73">
          <w:rPr>
            <w:noProof/>
            <w:webHidden/>
          </w:rPr>
          <w:t>111</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114" w:history="1">
        <w:r w:rsidR="00C101F6" w:rsidRPr="00DA20F5">
          <w:rPr>
            <w:rStyle w:val="Hypertextovprepojenie"/>
            <w:noProof/>
          </w:rPr>
          <w:t>4.4</w:t>
        </w:r>
        <w:r w:rsidR="00C101F6" w:rsidRPr="00DA20F5">
          <w:rPr>
            <w:rFonts w:asciiTheme="minorHAnsi" w:eastAsiaTheme="minorEastAsia" w:hAnsiTheme="minorHAnsi" w:cstheme="minorBidi"/>
            <w:noProof/>
            <w:szCs w:val="22"/>
          </w:rPr>
          <w:tab/>
        </w:r>
        <w:r w:rsidR="00C101F6" w:rsidRPr="00DA20F5">
          <w:rPr>
            <w:rStyle w:val="Hypertextovprepojenie"/>
            <w:noProof/>
          </w:rPr>
          <w:t>Vybrané výsledky z výskumu životných podmienok rómskych komunít</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_Toc326217114 \h </w:instrText>
        </w:r>
        <w:r w:rsidR="00C101F6" w:rsidRPr="00DA20F5">
          <w:rPr>
            <w:noProof/>
            <w:webHidden/>
          </w:rPr>
        </w:r>
        <w:r w:rsidR="00C101F6" w:rsidRPr="00DA20F5">
          <w:rPr>
            <w:noProof/>
            <w:webHidden/>
          </w:rPr>
          <w:fldChar w:fldCharType="separate"/>
        </w:r>
        <w:r w:rsidR="00166D73">
          <w:rPr>
            <w:noProof/>
            <w:webHidden/>
          </w:rPr>
          <w:t>117</w:t>
        </w:r>
        <w:r w:rsidR="00C101F6" w:rsidRPr="00DA20F5">
          <w:rPr>
            <w:noProof/>
            <w:webHidden/>
          </w:rPr>
          <w:fldChar w:fldCharType="end"/>
        </w:r>
      </w:hyperlink>
    </w:p>
    <w:p w:rsidR="00C101F6" w:rsidRPr="00DA20F5" w:rsidRDefault="00F86FEF" w:rsidP="00C83676">
      <w:pPr>
        <w:pStyle w:val="Obsah1"/>
        <w:rPr>
          <w:rFonts w:asciiTheme="minorHAnsi" w:eastAsiaTheme="minorEastAsia" w:hAnsiTheme="minorHAnsi" w:cstheme="minorBidi"/>
          <w:szCs w:val="22"/>
        </w:rPr>
      </w:pPr>
      <w:hyperlink w:anchor="_Toc326217115" w:history="1">
        <w:r w:rsidR="00C101F6" w:rsidRPr="00DA20F5">
          <w:rPr>
            <w:rStyle w:val="Hypertextovprepojenie"/>
          </w:rPr>
          <w:t>5</w:t>
        </w:r>
        <w:r w:rsidR="00C101F6" w:rsidRPr="00DA20F5">
          <w:rPr>
            <w:rFonts w:asciiTheme="minorHAnsi" w:eastAsiaTheme="minorEastAsia" w:hAnsiTheme="minorHAnsi" w:cstheme="minorBidi"/>
            <w:szCs w:val="22"/>
          </w:rPr>
          <w:tab/>
        </w:r>
        <w:r w:rsidR="00C101F6" w:rsidRPr="00DA20F5">
          <w:rPr>
            <w:rStyle w:val="Hypertextovprepojenie"/>
          </w:rPr>
          <w:t>POROVNANIE VYBRANÝCH UKAZOVATEĽOV MEDZI KRAJINAMI EÚ V KONTEXTE STRATÉGIE EURÓPA 2020</w:t>
        </w:r>
        <w:r w:rsidR="00C101F6" w:rsidRPr="00DA20F5">
          <w:rPr>
            <w:webHidden/>
          </w:rPr>
          <w:tab/>
        </w:r>
        <w:r w:rsidR="00C101F6" w:rsidRPr="00DA20F5">
          <w:rPr>
            <w:webHidden/>
          </w:rPr>
          <w:fldChar w:fldCharType="begin"/>
        </w:r>
        <w:r w:rsidR="00C101F6" w:rsidRPr="00DA20F5">
          <w:rPr>
            <w:webHidden/>
          </w:rPr>
          <w:instrText xml:space="preserve"> PAGEREF _Toc326217115 \h </w:instrText>
        </w:r>
        <w:r w:rsidR="00C101F6" w:rsidRPr="00DA20F5">
          <w:rPr>
            <w:webHidden/>
          </w:rPr>
        </w:r>
        <w:r w:rsidR="00C101F6" w:rsidRPr="00DA20F5">
          <w:rPr>
            <w:webHidden/>
          </w:rPr>
          <w:fldChar w:fldCharType="separate"/>
        </w:r>
        <w:r w:rsidR="00166D73">
          <w:rPr>
            <w:webHidden/>
          </w:rPr>
          <w:t>120</w:t>
        </w:r>
        <w:r w:rsidR="00C101F6" w:rsidRPr="00DA20F5">
          <w:rPr>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116" w:history="1">
        <w:r w:rsidR="00C101F6" w:rsidRPr="00DA20F5">
          <w:rPr>
            <w:rStyle w:val="Hypertextovprepojenie"/>
            <w:noProof/>
          </w:rPr>
          <w:t>Makroekonomické prostredie</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_Toc326217116 \h </w:instrText>
        </w:r>
        <w:r w:rsidR="00C101F6" w:rsidRPr="00DA20F5">
          <w:rPr>
            <w:noProof/>
            <w:webHidden/>
          </w:rPr>
        </w:r>
        <w:r w:rsidR="00C101F6" w:rsidRPr="00DA20F5">
          <w:rPr>
            <w:noProof/>
            <w:webHidden/>
          </w:rPr>
          <w:fldChar w:fldCharType="separate"/>
        </w:r>
        <w:r w:rsidR="00166D73">
          <w:rPr>
            <w:noProof/>
            <w:webHidden/>
          </w:rPr>
          <w:t>120</w:t>
        </w:r>
        <w:r w:rsidR="00C101F6" w:rsidRPr="00DA20F5">
          <w:rPr>
            <w:noProof/>
            <w:webHidden/>
          </w:rPr>
          <w:fldChar w:fldCharType="end"/>
        </w:r>
      </w:hyperlink>
    </w:p>
    <w:p w:rsidR="00C101F6" w:rsidRPr="00DA20F5" w:rsidRDefault="00F86FEF" w:rsidP="00C101F6">
      <w:pPr>
        <w:pStyle w:val="Obsah5"/>
        <w:rPr>
          <w:rFonts w:asciiTheme="minorHAnsi" w:eastAsiaTheme="minorEastAsia" w:hAnsiTheme="minorHAnsi" w:cstheme="minorBidi"/>
          <w:noProof/>
          <w:szCs w:val="22"/>
        </w:rPr>
      </w:pPr>
      <w:hyperlink w:anchor="_Toc326217117" w:history="1">
        <w:r w:rsidR="00C101F6" w:rsidRPr="00DA20F5">
          <w:rPr>
            <w:rStyle w:val="Hypertextovprepojenie"/>
            <w:noProof/>
          </w:rPr>
          <w:t>Inteligentný a inkluzívny rast</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_Toc326217117 \h </w:instrText>
        </w:r>
        <w:r w:rsidR="00C101F6" w:rsidRPr="00DA20F5">
          <w:rPr>
            <w:noProof/>
            <w:webHidden/>
          </w:rPr>
        </w:r>
        <w:r w:rsidR="00C101F6" w:rsidRPr="00DA20F5">
          <w:rPr>
            <w:noProof/>
            <w:webHidden/>
          </w:rPr>
          <w:fldChar w:fldCharType="separate"/>
        </w:r>
        <w:r w:rsidR="00166D73">
          <w:rPr>
            <w:noProof/>
            <w:webHidden/>
          </w:rPr>
          <w:t>121</w:t>
        </w:r>
        <w:r w:rsidR="00C101F6" w:rsidRPr="00DA20F5">
          <w:rPr>
            <w:noProof/>
            <w:webHidden/>
          </w:rPr>
          <w:fldChar w:fldCharType="end"/>
        </w:r>
      </w:hyperlink>
    </w:p>
    <w:p w:rsidR="00C101F6" w:rsidRPr="00DA20F5" w:rsidRDefault="00F86FEF" w:rsidP="00C83676">
      <w:pPr>
        <w:pStyle w:val="Obsah1"/>
        <w:rPr>
          <w:rFonts w:asciiTheme="minorHAnsi" w:eastAsiaTheme="minorEastAsia" w:hAnsiTheme="minorHAnsi" w:cstheme="minorBidi"/>
          <w:szCs w:val="22"/>
        </w:rPr>
      </w:pPr>
      <w:hyperlink w:anchor="_Toc326217119" w:history="1">
        <w:r w:rsidR="00C101F6" w:rsidRPr="00DA20F5">
          <w:rPr>
            <w:rStyle w:val="Hypertextovprepojenie"/>
          </w:rPr>
          <w:t>Zoznam príloh</w:t>
        </w:r>
        <w:r w:rsidR="00C101F6" w:rsidRPr="00DA20F5">
          <w:rPr>
            <w:webHidden/>
          </w:rPr>
          <w:tab/>
        </w:r>
        <w:r w:rsidR="00C101F6" w:rsidRPr="00DA20F5">
          <w:rPr>
            <w:webHidden/>
          </w:rPr>
          <w:fldChar w:fldCharType="begin"/>
        </w:r>
        <w:r w:rsidR="00C101F6" w:rsidRPr="00DA20F5">
          <w:rPr>
            <w:webHidden/>
          </w:rPr>
          <w:instrText xml:space="preserve"> PAGEREF _Toc326217119 \h </w:instrText>
        </w:r>
        <w:r w:rsidR="00C101F6" w:rsidRPr="00DA20F5">
          <w:rPr>
            <w:webHidden/>
          </w:rPr>
        </w:r>
        <w:r w:rsidR="00C101F6" w:rsidRPr="00DA20F5">
          <w:rPr>
            <w:webHidden/>
          </w:rPr>
          <w:fldChar w:fldCharType="separate"/>
        </w:r>
        <w:r w:rsidR="00166D73">
          <w:rPr>
            <w:webHidden/>
          </w:rPr>
          <w:t>125</w:t>
        </w:r>
        <w:r w:rsidR="00C101F6" w:rsidRPr="00DA20F5">
          <w:rPr>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120" w:history="1">
        <w:r w:rsidR="00C101F6" w:rsidRPr="00DA20F5">
          <w:rPr>
            <w:rStyle w:val="Hypertextovprepojenie"/>
            <w:noProof/>
          </w:rPr>
          <w:t>Príloh</w:t>
        </w:r>
        <w:r w:rsidR="00C83676" w:rsidRPr="00DA20F5">
          <w:rPr>
            <w:rStyle w:val="Hypertextovprepojenie"/>
            <w:noProof/>
          </w:rPr>
          <w:t>a</w:t>
        </w:r>
        <w:r w:rsidR="00C101F6" w:rsidRPr="00DA20F5">
          <w:rPr>
            <w:rStyle w:val="Hypertextovprepojenie"/>
            <w:noProof/>
          </w:rPr>
          <w:t xml:space="preserve"> ku kapitole 1</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_Toc326217120 \h </w:instrText>
        </w:r>
        <w:r w:rsidR="00C101F6" w:rsidRPr="00DA20F5">
          <w:rPr>
            <w:noProof/>
            <w:webHidden/>
          </w:rPr>
        </w:r>
        <w:r w:rsidR="00C101F6" w:rsidRPr="00DA20F5">
          <w:rPr>
            <w:noProof/>
            <w:webHidden/>
          </w:rPr>
          <w:fldChar w:fldCharType="separate"/>
        </w:r>
        <w:r w:rsidR="00166D73">
          <w:rPr>
            <w:noProof/>
            <w:webHidden/>
          </w:rPr>
          <w:t>125</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121" w:history="1">
        <w:r w:rsidR="00C101F6" w:rsidRPr="00DA20F5">
          <w:rPr>
            <w:rStyle w:val="Hypertextovprepojenie"/>
            <w:noProof/>
          </w:rPr>
          <w:t>Príloh</w:t>
        </w:r>
        <w:r w:rsidR="00C83676" w:rsidRPr="00DA20F5">
          <w:rPr>
            <w:rStyle w:val="Hypertextovprepojenie"/>
            <w:noProof/>
          </w:rPr>
          <w:t>a</w:t>
        </w:r>
        <w:r w:rsidR="00C101F6" w:rsidRPr="00DA20F5">
          <w:rPr>
            <w:rStyle w:val="Hypertextovprepojenie"/>
            <w:noProof/>
          </w:rPr>
          <w:t xml:space="preserve"> ku kapitole 2</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_Toc326217121 \h </w:instrText>
        </w:r>
        <w:r w:rsidR="00C101F6" w:rsidRPr="00DA20F5">
          <w:rPr>
            <w:noProof/>
            <w:webHidden/>
          </w:rPr>
        </w:r>
        <w:r w:rsidR="00C101F6" w:rsidRPr="00DA20F5">
          <w:rPr>
            <w:noProof/>
            <w:webHidden/>
          </w:rPr>
          <w:fldChar w:fldCharType="separate"/>
        </w:r>
        <w:r w:rsidR="00166D73">
          <w:rPr>
            <w:noProof/>
            <w:webHidden/>
          </w:rPr>
          <w:t>125</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122" w:history="1">
        <w:r w:rsidR="00C101F6" w:rsidRPr="00DA20F5">
          <w:rPr>
            <w:rStyle w:val="Hypertextovprepojenie"/>
            <w:noProof/>
          </w:rPr>
          <w:t>Príloh</w:t>
        </w:r>
        <w:r w:rsidR="00C83676" w:rsidRPr="00DA20F5">
          <w:rPr>
            <w:rStyle w:val="Hypertextovprepojenie"/>
            <w:noProof/>
          </w:rPr>
          <w:t>a</w:t>
        </w:r>
        <w:r w:rsidR="00C101F6" w:rsidRPr="00DA20F5">
          <w:rPr>
            <w:rStyle w:val="Hypertextovprepojenie"/>
            <w:noProof/>
          </w:rPr>
          <w:t xml:space="preserve"> ku kapitole 3</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_Toc326217122 \h </w:instrText>
        </w:r>
        <w:r w:rsidR="00C101F6" w:rsidRPr="00DA20F5">
          <w:rPr>
            <w:noProof/>
            <w:webHidden/>
          </w:rPr>
        </w:r>
        <w:r w:rsidR="00C101F6" w:rsidRPr="00DA20F5">
          <w:rPr>
            <w:noProof/>
            <w:webHidden/>
          </w:rPr>
          <w:fldChar w:fldCharType="separate"/>
        </w:r>
        <w:r w:rsidR="00166D73">
          <w:rPr>
            <w:noProof/>
            <w:webHidden/>
          </w:rPr>
          <w:t>125</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123" w:history="1">
        <w:r w:rsidR="00C101F6" w:rsidRPr="00DA20F5">
          <w:rPr>
            <w:rStyle w:val="Hypertextovprepojenie"/>
            <w:noProof/>
          </w:rPr>
          <w:t>Príloh</w:t>
        </w:r>
        <w:r w:rsidR="00C83676" w:rsidRPr="00DA20F5">
          <w:rPr>
            <w:rStyle w:val="Hypertextovprepojenie"/>
            <w:noProof/>
          </w:rPr>
          <w:t>a</w:t>
        </w:r>
        <w:r w:rsidR="00C101F6" w:rsidRPr="00DA20F5">
          <w:rPr>
            <w:rStyle w:val="Hypertextovprepojenie"/>
            <w:noProof/>
          </w:rPr>
          <w:t xml:space="preserve"> ku kapitole 4</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_Toc326217123 \h </w:instrText>
        </w:r>
        <w:r w:rsidR="00C101F6" w:rsidRPr="00DA20F5">
          <w:rPr>
            <w:noProof/>
            <w:webHidden/>
          </w:rPr>
        </w:r>
        <w:r w:rsidR="00C101F6" w:rsidRPr="00DA20F5">
          <w:rPr>
            <w:noProof/>
            <w:webHidden/>
          </w:rPr>
          <w:fldChar w:fldCharType="separate"/>
        </w:r>
        <w:r w:rsidR="00166D73">
          <w:rPr>
            <w:noProof/>
            <w:webHidden/>
          </w:rPr>
          <w:t>126</w:t>
        </w:r>
        <w:r w:rsidR="00C101F6" w:rsidRPr="00DA20F5">
          <w:rPr>
            <w:noProof/>
            <w:webHidden/>
          </w:rPr>
          <w:fldChar w:fldCharType="end"/>
        </w:r>
      </w:hyperlink>
    </w:p>
    <w:p w:rsidR="00C101F6" w:rsidRPr="00DA20F5" w:rsidRDefault="00F86FEF">
      <w:pPr>
        <w:pStyle w:val="Obsah5"/>
        <w:rPr>
          <w:rFonts w:asciiTheme="minorHAnsi" w:eastAsiaTheme="minorEastAsia" w:hAnsiTheme="minorHAnsi" w:cstheme="minorBidi"/>
          <w:noProof/>
          <w:szCs w:val="22"/>
        </w:rPr>
      </w:pPr>
      <w:hyperlink w:anchor="_Toc326217124" w:history="1">
        <w:r w:rsidR="00C101F6" w:rsidRPr="00DA20F5">
          <w:rPr>
            <w:rStyle w:val="Hypertextovprepojenie"/>
            <w:noProof/>
          </w:rPr>
          <w:t>Príloh</w:t>
        </w:r>
        <w:r w:rsidR="00C83676" w:rsidRPr="00DA20F5">
          <w:rPr>
            <w:rStyle w:val="Hypertextovprepojenie"/>
            <w:noProof/>
          </w:rPr>
          <w:t>a</w:t>
        </w:r>
        <w:r w:rsidR="00C101F6" w:rsidRPr="00DA20F5">
          <w:rPr>
            <w:rStyle w:val="Hypertextovprepojenie"/>
            <w:noProof/>
          </w:rPr>
          <w:t xml:space="preserve"> ku kapitole 5</w:t>
        </w:r>
        <w:r w:rsidR="00C101F6" w:rsidRPr="00DA20F5">
          <w:rPr>
            <w:noProof/>
            <w:webHidden/>
          </w:rPr>
          <w:tab/>
        </w:r>
        <w:r w:rsidR="00C101F6" w:rsidRPr="00DA20F5">
          <w:rPr>
            <w:noProof/>
            <w:webHidden/>
          </w:rPr>
          <w:fldChar w:fldCharType="begin"/>
        </w:r>
        <w:r w:rsidR="00C101F6" w:rsidRPr="00DA20F5">
          <w:rPr>
            <w:noProof/>
            <w:webHidden/>
          </w:rPr>
          <w:instrText xml:space="preserve"> PAGEREF _Toc326217124 \h </w:instrText>
        </w:r>
        <w:r w:rsidR="00C101F6" w:rsidRPr="00DA20F5">
          <w:rPr>
            <w:noProof/>
            <w:webHidden/>
          </w:rPr>
        </w:r>
        <w:r w:rsidR="00C101F6" w:rsidRPr="00DA20F5">
          <w:rPr>
            <w:noProof/>
            <w:webHidden/>
          </w:rPr>
          <w:fldChar w:fldCharType="separate"/>
        </w:r>
        <w:r w:rsidR="00166D73">
          <w:rPr>
            <w:noProof/>
            <w:webHidden/>
          </w:rPr>
          <w:t>127</w:t>
        </w:r>
        <w:r w:rsidR="00C101F6" w:rsidRPr="00DA20F5">
          <w:rPr>
            <w:noProof/>
            <w:webHidden/>
          </w:rPr>
          <w:fldChar w:fldCharType="end"/>
        </w:r>
      </w:hyperlink>
    </w:p>
    <w:p w:rsidR="002275F2" w:rsidRPr="00DA20F5" w:rsidRDefault="00A55B62" w:rsidP="00D36FB8">
      <w:r w:rsidRPr="00DA20F5">
        <w:fldChar w:fldCharType="end"/>
      </w:r>
      <w:r w:rsidRPr="00DA20F5">
        <w:fldChar w:fldCharType="begin"/>
      </w:r>
      <w:r w:rsidR="002275F2" w:rsidRPr="00DA20F5">
        <w:instrText xml:space="preserve"> TOC \o "1-3" \h \z \u </w:instrText>
      </w:r>
      <w:r w:rsidRPr="00DA20F5">
        <w:fldChar w:fldCharType="separate"/>
      </w:r>
    </w:p>
    <w:p w:rsidR="002275F2" w:rsidRPr="00DA20F5" w:rsidRDefault="002275F2" w:rsidP="00D36FB8"/>
    <w:p w:rsidR="00F64417" w:rsidRPr="00DA20F5" w:rsidRDefault="00F64417" w:rsidP="00D36FB8"/>
    <w:p w:rsidR="002275F2" w:rsidRPr="00DA20F5" w:rsidRDefault="002275F2" w:rsidP="00D36FB8">
      <w:pPr>
        <w:sectPr w:rsidR="002275F2" w:rsidRPr="00DA20F5" w:rsidSect="001D262C">
          <w:headerReference w:type="even" r:id="rId11"/>
          <w:headerReference w:type="first" r:id="rId12"/>
          <w:type w:val="oddPage"/>
          <w:pgSz w:w="11906" w:h="16838" w:code="9"/>
          <w:pgMar w:top="851" w:right="1418" w:bottom="851" w:left="1134" w:header="709" w:footer="709" w:gutter="0"/>
          <w:pgNumType w:start="1"/>
          <w:cols w:space="708"/>
          <w:titlePg/>
          <w:docGrid w:linePitch="360"/>
        </w:sectPr>
      </w:pPr>
    </w:p>
    <w:p w:rsidR="007A29A1" w:rsidRPr="00DA20F5" w:rsidRDefault="00A55B62" w:rsidP="00D36FB8">
      <w:pPr>
        <w:pStyle w:val="Nadpis1"/>
        <w:numPr>
          <w:ilvl w:val="0"/>
          <w:numId w:val="0"/>
        </w:numPr>
      </w:pPr>
      <w:r w:rsidRPr="00DA20F5">
        <w:lastRenderedPageBreak/>
        <w:fldChar w:fldCharType="end"/>
      </w:r>
      <w:bookmarkStart w:id="43" w:name="_Toc326216946"/>
      <w:bookmarkStart w:id="44" w:name="_Toc165882896"/>
      <w:r w:rsidR="002275F2" w:rsidRPr="00DA20F5">
        <w:t>Zoznam skratiek</w:t>
      </w:r>
      <w:bookmarkEnd w:id="43"/>
    </w:p>
    <w:p w:rsidR="00F22F50" w:rsidRPr="00DA20F5" w:rsidRDefault="00F22F50" w:rsidP="00D36FB8">
      <w:pPr>
        <w:jc w:val="left"/>
        <w:rPr>
          <w:color w:val="000000"/>
        </w:rPr>
      </w:pPr>
      <w:r w:rsidRPr="00DA20F5">
        <w:rPr>
          <w:b/>
          <w:color w:val="000000"/>
        </w:rPr>
        <w:t xml:space="preserve">a.s. </w:t>
      </w:r>
      <w:r w:rsidRPr="00DA20F5">
        <w:rPr>
          <w:color w:val="000000"/>
        </w:rPr>
        <w:t>– akciová spoločnosť</w:t>
      </w:r>
    </w:p>
    <w:p w:rsidR="00527130" w:rsidRPr="00DA20F5" w:rsidRDefault="00527130" w:rsidP="00D36FB8">
      <w:pPr>
        <w:jc w:val="left"/>
        <w:rPr>
          <w:color w:val="000000"/>
        </w:rPr>
      </w:pPr>
      <w:r w:rsidRPr="00DA20F5">
        <w:rPr>
          <w:b/>
          <w:color w:val="000000"/>
        </w:rPr>
        <w:t>ADDS</w:t>
      </w:r>
      <w:r w:rsidRPr="00DA20F5">
        <w:rPr>
          <w:color w:val="000000"/>
        </w:rPr>
        <w:t xml:space="preserve"> – Asociácia doplnkových dôchodkových spoločností</w:t>
      </w:r>
    </w:p>
    <w:p w:rsidR="008A2C08" w:rsidRPr="00DA20F5" w:rsidRDefault="008A2C08" w:rsidP="00D36FB8">
      <w:r w:rsidRPr="00DA20F5">
        <w:rPr>
          <w:b/>
          <w:bCs/>
        </w:rPr>
        <w:t>AOTP</w:t>
      </w:r>
      <w:r w:rsidRPr="00DA20F5">
        <w:t xml:space="preserve"> – aktívne opatrenia trhu práce</w:t>
      </w:r>
    </w:p>
    <w:p w:rsidR="008A2C08" w:rsidRPr="00DA20F5" w:rsidRDefault="008A2C08" w:rsidP="00D36FB8">
      <w:pPr>
        <w:rPr>
          <w:color w:val="000000"/>
        </w:rPr>
      </w:pPr>
      <w:r w:rsidRPr="00DA20F5">
        <w:rPr>
          <w:b/>
          <w:bCs/>
        </w:rPr>
        <w:t>APTP</w:t>
      </w:r>
      <w:r w:rsidRPr="00DA20F5">
        <w:t xml:space="preserve"> – aktívna politika trhu práce</w:t>
      </w:r>
    </w:p>
    <w:p w:rsidR="008A2C08" w:rsidRPr="00DA20F5" w:rsidRDefault="008A2C08" w:rsidP="00D36FB8">
      <w:pPr>
        <w:ind w:left="567" w:hanging="567"/>
      </w:pPr>
      <w:r w:rsidRPr="00DA20F5">
        <w:rPr>
          <w:b/>
          <w:bCs/>
        </w:rPr>
        <w:t xml:space="preserve">APV ISOP </w:t>
      </w:r>
      <w:r w:rsidRPr="00DA20F5">
        <w:t>– aplikačné programové vybavenie na podporu agend vyplácania dávok sociálnej podpory a pomoci</w:t>
      </w:r>
    </w:p>
    <w:p w:rsidR="008A2C08" w:rsidRPr="00DA20F5" w:rsidRDefault="008A2C08" w:rsidP="00D36FB8">
      <w:r w:rsidRPr="00DA20F5">
        <w:rPr>
          <w:b/>
          <w:bCs/>
        </w:rPr>
        <w:t>BSK, BSK-OP</w:t>
      </w:r>
      <w:r w:rsidRPr="00DA20F5">
        <w:t xml:space="preserve"> – operačný program Bratislavský samosprávny kraj</w:t>
      </w:r>
    </w:p>
    <w:p w:rsidR="00F22F50" w:rsidRPr="00DA20F5" w:rsidRDefault="00F22F50" w:rsidP="00387249">
      <w:pPr>
        <w:rPr>
          <w:bCs/>
        </w:rPr>
      </w:pPr>
      <w:r w:rsidRPr="00DA20F5">
        <w:rPr>
          <w:b/>
          <w:bCs/>
        </w:rPr>
        <w:t xml:space="preserve">CEDEFOP </w:t>
      </w:r>
      <w:r w:rsidRPr="00DA20F5">
        <w:rPr>
          <w:bCs/>
        </w:rPr>
        <w:t>– Európske centrum pre rozvoj odborného vzdelávania</w:t>
      </w:r>
    </w:p>
    <w:p w:rsidR="00387249" w:rsidRPr="00DA20F5" w:rsidRDefault="00387249" w:rsidP="00387249">
      <w:pPr>
        <w:rPr>
          <w:bCs/>
        </w:rPr>
      </w:pPr>
      <w:r w:rsidRPr="00DA20F5">
        <w:rPr>
          <w:b/>
          <w:bCs/>
        </w:rPr>
        <w:t xml:space="preserve">CEEP </w:t>
      </w:r>
      <w:r w:rsidRPr="00DA20F5">
        <w:rPr>
          <w:bCs/>
        </w:rPr>
        <w:t>– Európske centrum podnikov s verejnou účasťou a podnikov všeobecného hospodárskeho záujmu</w:t>
      </w:r>
    </w:p>
    <w:p w:rsidR="008A2C08" w:rsidRPr="00DA20F5" w:rsidRDefault="008A2C08" w:rsidP="00387249">
      <w:r w:rsidRPr="00DA20F5">
        <w:rPr>
          <w:b/>
          <w:bCs/>
        </w:rPr>
        <w:t>COICOP</w:t>
      </w:r>
      <w:r w:rsidRPr="00DA20F5">
        <w:t xml:space="preserve"> – Klasifikácia individuálnej spotreby podľa spôsobu použitia</w:t>
      </w:r>
    </w:p>
    <w:p w:rsidR="00527130" w:rsidRPr="00DA20F5" w:rsidRDefault="00527130" w:rsidP="00D36FB8">
      <w:pPr>
        <w:jc w:val="left"/>
        <w:rPr>
          <w:color w:val="000000"/>
        </w:rPr>
      </w:pPr>
      <w:r w:rsidRPr="00DA20F5">
        <w:rPr>
          <w:b/>
          <w:color w:val="000000"/>
        </w:rPr>
        <w:t>DDS</w:t>
      </w:r>
      <w:r w:rsidR="00F22F50" w:rsidRPr="00DA20F5">
        <w:rPr>
          <w:b/>
          <w:color w:val="000000"/>
        </w:rPr>
        <w:t>,</w:t>
      </w:r>
      <w:r w:rsidRPr="00DA20F5">
        <w:rPr>
          <w:color w:val="000000"/>
        </w:rPr>
        <w:t xml:space="preserve"> </w:t>
      </w:r>
      <w:r w:rsidR="00F22F50" w:rsidRPr="00DA20F5">
        <w:rPr>
          <w:b/>
        </w:rPr>
        <w:t xml:space="preserve">d.d.s. </w:t>
      </w:r>
      <w:r w:rsidRPr="00DA20F5">
        <w:rPr>
          <w:color w:val="000000"/>
        </w:rPr>
        <w:t>– doplnková dôchodková spoločnosť</w:t>
      </w:r>
    </w:p>
    <w:p w:rsidR="008A2C08" w:rsidRPr="00DA20F5" w:rsidRDefault="008A2C08" w:rsidP="00D36FB8">
      <w:r w:rsidRPr="00DA20F5">
        <w:rPr>
          <w:b/>
          <w:bCs/>
        </w:rPr>
        <w:t>DHN</w:t>
      </w:r>
      <w:r w:rsidR="00F22F50" w:rsidRPr="00DA20F5">
        <w:rPr>
          <w:b/>
          <w:bCs/>
        </w:rPr>
        <w:t>, dávka</w:t>
      </w:r>
      <w:r w:rsidRPr="00DA20F5">
        <w:t xml:space="preserve"> – dávka v hmotnej núdzi </w:t>
      </w:r>
    </w:p>
    <w:p w:rsidR="00527130" w:rsidRPr="00DA20F5" w:rsidRDefault="00527130" w:rsidP="00D36FB8">
      <w:pPr>
        <w:jc w:val="left"/>
        <w:rPr>
          <w:color w:val="000000"/>
        </w:rPr>
      </w:pPr>
      <w:r w:rsidRPr="00DA20F5">
        <w:rPr>
          <w:b/>
          <w:color w:val="000000"/>
        </w:rPr>
        <w:t>DI</w:t>
      </w:r>
      <w:r w:rsidRPr="00DA20F5">
        <w:rPr>
          <w:color w:val="000000"/>
        </w:rPr>
        <w:t xml:space="preserve"> – deinštitucionalizácia</w:t>
      </w:r>
    </w:p>
    <w:p w:rsidR="00F97C8F" w:rsidRPr="00DA20F5" w:rsidRDefault="00F97C8F" w:rsidP="00D36FB8">
      <w:pPr>
        <w:jc w:val="left"/>
        <w:rPr>
          <w:color w:val="000000"/>
        </w:rPr>
      </w:pPr>
      <w:r w:rsidRPr="00DA20F5">
        <w:rPr>
          <w:b/>
          <w:color w:val="000000"/>
        </w:rPr>
        <w:t xml:space="preserve">DOP </w:t>
      </w:r>
      <w:r w:rsidRPr="00DA20F5">
        <w:rPr>
          <w:color w:val="000000"/>
        </w:rPr>
        <w:t>– dopytovo-orientovaný projekt</w:t>
      </w:r>
    </w:p>
    <w:p w:rsidR="00527130" w:rsidRPr="00DA20F5" w:rsidRDefault="00527130" w:rsidP="00D36FB8">
      <w:pPr>
        <w:jc w:val="left"/>
        <w:rPr>
          <w:color w:val="000000"/>
        </w:rPr>
      </w:pPr>
      <w:r w:rsidRPr="00DA20F5">
        <w:rPr>
          <w:b/>
          <w:color w:val="000000"/>
        </w:rPr>
        <w:t>DPN</w:t>
      </w:r>
      <w:r w:rsidRPr="00DA20F5">
        <w:rPr>
          <w:color w:val="000000"/>
        </w:rPr>
        <w:t xml:space="preserve"> – dočasná pracovná neschopnosť</w:t>
      </w:r>
    </w:p>
    <w:p w:rsidR="008A2C08" w:rsidRPr="00DA20F5" w:rsidRDefault="008A2C08" w:rsidP="00D36FB8">
      <w:r w:rsidRPr="00DA20F5">
        <w:rPr>
          <w:b/>
          <w:bCs/>
        </w:rPr>
        <w:t xml:space="preserve">DSS </w:t>
      </w:r>
      <w:r w:rsidRPr="00DA20F5">
        <w:t>– dôchodková správcovská spoločnosť</w:t>
      </w:r>
    </w:p>
    <w:p w:rsidR="00387249" w:rsidRPr="00DA20F5" w:rsidRDefault="00387249" w:rsidP="00D36FB8">
      <w:pPr>
        <w:rPr>
          <w:bCs/>
        </w:rPr>
      </w:pPr>
      <w:r w:rsidRPr="00DA20F5">
        <w:rPr>
          <w:b/>
          <w:bCs/>
        </w:rPr>
        <w:t xml:space="preserve">EK </w:t>
      </w:r>
      <w:r w:rsidRPr="00DA20F5">
        <w:rPr>
          <w:bCs/>
        </w:rPr>
        <w:t xml:space="preserve">– </w:t>
      </w:r>
      <w:r w:rsidR="00DA20F5" w:rsidRPr="00DA20F5">
        <w:rPr>
          <w:bCs/>
        </w:rPr>
        <w:t>Európska</w:t>
      </w:r>
      <w:r w:rsidRPr="00DA20F5">
        <w:rPr>
          <w:bCs/>
        </w:rPr>
        <w:t xml:space="preserve"> komisia</w:t>
      </w:r>
    </w:p>
    <w:p w:rsidR="008A2C08" w:rsidRPr="00DA20F5" w:rsidRDefault="008A2C08" w:rsidP="00D36FB8">
      <w:r w:rsidRPr="00DA20F5">
        <w:rPr>
          <w:b/>
          <w:bCs/>
        </w:rPr>
        <w:t xml:space="preserve">ESF </w:t>
      </w:r>
      <w:r w:rsidR="00852830" w:rsidRPr="00DA20F5">
        <w:t>–</w:t>
      </w:r>
      <w:r w:rsidRPr="00DA20F5">
        <w:t xml:space="preserve"> </w:t>
      </w:r>
      <w:r w:rsidR="000D5ABC" w:rsidRPr="00DA20F5">
        <w:t>Eur</w:t>
      </w:r>
      <w:r w:rsidRPr="00DA20F5">
        <w:t>ópsky sociálny fond</w:t>
      </w:r>
    </w:p>
    <w:p w:rsidR="008A2C08" w:rsidRPr="00DA20F5" w:rsidRDefault="008A2C08" w:rsidP="00D36FB8">
      <w:r w:rsidRPr="00DA20F5">
        <w:rPr>
          <w:b/>
        </w:rPr>
        <w:t>ESSPROS</w:t>
      </w:r>
      <w:r w:rsidRPr="00DA20F5">
        <w:t xml:space="preserve"> – </w:t>
      </w:r>
      <w:r w:rsidR="004C6309" w:rsidRPr="00DA20F5">
        <w:t>Európs</w:t>
      </w:r>
      <w:r w:rsidRPr="00DA20F5">
        <w:t>ky systém jednotných štatistík sociálnej ochrany</w:t>
      </w:r>
    </w:p>
    <w:p w:rsidR="00387249" w:rsidRPr="00DA20F5" w:rsidRDefault="00387249" w:rsidP="00D36FB8">
      <w:pPr>
        <w:rPr>
          <w:bCs/>
        </w:rPr>
      </w:pPr>
      <w:r w:rsidRPr="00DA20F5">
        <w:rPr>
          <w:b/>
          <w:bCs/>
        </w:rPr>
        <w:t xml:space="preserve">ETUC </w:t>
      </w:r>
      <w:r w:rsidRPr="00DA20F5">
        <w:rPr>
          <w:bCs/>
        </w:rPr>
        <w:t>– Európska federácia odborových zväzov</w:t>
      </w:r>
    </w:p>
    <w:p w:rsidR="00F97C8F" w:rsidRPr="00DA20F5" w:rsidRDefault="00F97C8F" w:rsidP="00D36FB8">
      <w:pPr>
        <w:rPr>
          <w:bCs/>
        </w:rPr>
      </w:pPr>
      <w:r w:rsidRPr="00DA20F5">
        <w:rPr>
          <w:b/>
          <w:bCs/>
        </w:rPr>
        <w:t xml:space="preserve">EU SILC </w:t>
      </w:r>
      <w:r w:rsidRPr="00DA20F5">
        <w:rPr>
          <w:bCs/>
        </w:rPr>
        <w:t>– European Union Statistics on Income and Living Conditions</w:t>
      </w:r>
    </w:p>
    <w:p w:rsidR="008A2C08" w:rsidRPr="00DA20F5" w:rsidRDefault="008A2C08" w:rsidP="00D36FB8">
      <w:r w:rsidRPr="00DA20F5">
        <w:rPr>
          <w:b/>
          <w:bCs/>
        </w:rPr>
        <w:t xml:space="preserve">EÚ </w:t>
      </w:r>
      <w:r w:rsidRPr="00DA20F5">
        <w:t xml:space="preserve">– </w:t>
      </w:r>
      <w:r w:rsidR="000D5ABC" w:rsidRPr="00DA20F5">
        <w:t>Eur</w:t>
      </w:r>
      <w:r w:rsidRPr="00DA20F5">
        <w:t>ópska únia</w:t>
      </w:r>
    </w:p>
    <w:p w:rsidR="00A64288" w:rsidRPr="00DA20F5" w:rsidRDefault="00A64288" w:rsidP="00D36FB8">
      <w:pPr>
        <w:rPr>
          <w:bCs/>
        </w:rPr>
      </w:pPr>
      <w:r w:rsidRPr="00DA20F5">
        <w:rPr>
          <w:b/>
          <w:bCs/>
        </w:rPr>
        <w:t>FO</w:t>
      </w:r>
      <w:r w:rsidRPr="00DA20F5">
        <w:rPr>
          <w:bCs/>
        </w:rPr>
        <w:t xml:space="preserve"> - fyzická osoba</w:t>
      </w:r>
    </w:p>
    <w:p w:rsidR="008A2C08" w:rsidRPr="00DA20F5" w:rsidRDefault="008A2C08" w:rsidP="00D36FB8">
      <w:r w:rsidRPr="00DA20F5">
        <w:rPr>
          <w:b/>
          <w:bCs/>
        </w:rPr>
        <w:t xml:space="preserve">FSR </w:t>
      </w:r>
      <w:r w:rsidRPr="00DA20F5">
        <w:t>– Fond sociálneho rozvoja</w:t>
      </w:r>
    </w:p>
    <w:p w:rsidR="00AF20A2" w:rsidRPr="00DA20F5" w:rsidRDefault="00AF20A2" w:rsidP="00D36FB8">
      <w:pPr>
        <w:jc w:val="left"/>
        <w:rPr>
          <w:color w:val="000000"/>
        </w:rPr>
      </w:pPr>
      <w:r w:rsidRPr="00DA20F5">
        <w:rPr>
          <w:b/>
          <w:color w:val="000000"/>
        </w:rPr>
        <w:t xml:space="preserve">HDP </w:t>
      </w:r>
      <w:r w:rsidRPr="00DA20F5">
        <w:rPr>
          <w:color w:val="000000"/>
        </w:rPr>
        <w:t>– hrubý domáci produkt</w:t>
      </w:r>
    </w:p>
    <w:p w:rsidR="00C263E3" w:rsidRPr="00DA20F5" w:rsidRDefault="00C263E3" w:rsidP="00D36FB8">
      <w:pPr>
        <w:jc w:val="left"/>
        <w:rPr>
          <w:color w:val="000000"/>
        </w:rPr>
      </w:pPr>
      <w:r w:rsidRPr="00DA20F5">
        <w:rPr>
          <w:b/>
          <w:color w:val="000000"/>
        </w:rPr>
        <w:t xml:space="preserve">ISCED </w:t>
      </w:r>
      <w:r w:rsidRPr="00DA20F5">
        <w:rPr>
          <w:color w:val="000000"/>
        </w:rPr>
        <w:t>- International Standard Classification of Education, medzinárodná norma klasifikácie vzdelávania</w:t>
      </w:r>
    </w:p>
    <w:p w:rsidR="003B6F57" w:rsidRPr="00DA20F5" w:rsidRDefault="003B6F57" w:rsidP="00D36FB8">
      <w:pPr>
        <w:jc w:val="left"/>
        <w:rPr>
          <w:color w:val="000000"/>
        </w:rPr>
      </w:pPr>
      <w:r w:rsidRPr="00DA20F5">
        <w:rPr>
          <w:b/>
          <w:color w:val="000000"/>
        </w:rPr>
        <w:t xml:space="preserve">ISCP </w:t>
      </w:r>
      <w:r w:rsidRPr="00DA20F5">
        <w:rPr>
          <w:color w:val="000000"/>
        </w:rPr>
        <w:t>– Informačný systém o cene práce</w:t>
      </w:r>
    </w:p>
    <w:p w:rsidR="00527130" w:rsidRPr="00DA20F5" w:rsidRDefault="00527130" w:rsidP="00D36FB8">
      <w:pPr>
        <w:jc w:val="left"/>
        <w:rPr>
          <w:color w:val="000000"/>
        </w:rPr>
      </w:pPr>
      <w:r w:rsidRPr="00DA20F5">
        <w:rPr>
          <w:b/>
          <w:color w:val="000000"/>
        </w:rPr>
        <w:t>ITMS</w:t>
      </w:r>
      <w:r w:rsidR="00AC17A2" w:rsidRPr="00DA20F5">
        <w:rPr>
          <w:color w:val="000000"/>
        </w:rPr>
        <w:t xml:space="preserve"> – IT monitorovací systém pre štrukturálne fondy a Kohézny fond</w:t>
      </w:r>
    </w:p>
    <w:p w:rsidR="008A2C08" w:rsidRPr="00DA20F5" w:rsidRDefault="008A2C08" w:rsidP="00D36FB8">
      <w:r w:rsidRPr="00DA20F5">
        <w:rPr>
          <w:b/>
          <w:bCs/>
        </w:rPr>
        <w:t xml:space="preserve">IVPR </w:t>
      </w:r>
      <w:r w:rsidR="00852830" w:rsidRPr="00DA20F5">
        <w:t>–</w:t>
      </w:r>
      <w:r w:rsidRPr="00DA20F5">
        <w:t xml:space="preserve"> Inštitút pre výskum práce a rodiny </w:t>
      </w:r>
    </w:p>
    <w:p w:rsidR="008A2C08" w:rsidRPr="00DA20F5" w:rsidRDefault="008A2C08" w:rsidP="00D36FB8">
      <w:pPr>
        <w:rPr>
          <w:color w:val="000000"/>
        </w:rPr>
      </w:pPr>
      <w:r w:rsidRPr="00DA20F5">
        <w:rPr>
          <w:b/>
          <w:bCs/>
        </w:rPr>
        <w:t>KZAM</w:t>
      </w:r>
      <w:r w:rsidRPr="00DA20F5">
        <w:t xml:space="preserve"> </w:t>
      </w:r>
      <w:r w:rsidR="00852830" w:rsidRPr="00DA20F5">
        <w:t>–</w:t>
      </w:r>
      <w:r w:rsidRPr="00DA20F5">
        <w:t xml:space="preserve"> klasifikácia zamestnaní </w:t>
      </w:r>
    </w:p>
    <w:p w:rsidR="00527130" w:rsidRPr="00DA20F5" w:rsidRDefault="00527130" w:rsidP="00D36FB8">
      <w:pPr>
        <w:jc w:val="left"/>
        <w:rPr>
          <w:color w:val="000000"/>
        </w:rPr>
      </w:pPr>
      <w:r w:rsidRPr="00DA20F5">
        <w:rPr>
          <w:b/>
          <w:color w:val="000000"/>
        </w:rPr>
        <w:t xml:space="preserve">KZVS </w:t>
      </w:r>
      <w:r w:rsidRPr="00DA20F5">
        <w:rPr>
          <w:color w:val="000000"/>
        </w:rPr>
        <w:t>– kolektívna zmluva vyššieho stupňa</w:t>
      </w:r>
    </w:p>
    <w:p w:rsidR="00F20EE7" w:rsidRPr="00DA20F5" w:rsidRDefault="00F20EE7" w:rsidP="00D36FB8">
      <w:pPr>
        <w:jc w:val="left"/>
        <w:rPr>
          <w:color w:val="000000"/>
        </w:rPr>
      </w:pPr>
      <w:r w:rsidRPr="00DA20F5">
        <w:rPr>
          <w:b/>
          <w:color w:val="000000"/>
        </w:rPr>
        <w:t>mil. –</w:t>
      </w:r>
      <w:r w:rsidRPr="00DA20F5">
        <w:rPr>
          <w:color w:val="000000"/>
        </w:rPr>
        <w:t xml:space="preserve"> milión</w:t>
      </w:r>
    </w:p>
    <w:p w:rsidR="00F20EE7" w:rsidRPr="00DA20F5" w:rsidRDefault="00F20EE7" w:rsidP="00D36FB8">
      <w:pPr>
        <w:jc w:val="left"/>
        <w:rPr>
          <w:color w:val="000000"/>
        </w:rPr>
      </w:pPr>
      <w:r w:rsidRPr="00DA20F5">
        <w:rPr>
          <w:b/>
          <w:color w:val="000000"/>
        </w:rPr>
        <w:t xml:space="preserve">mld. </w:t>
      </w:r>
      <w:r w:rsidRPr="00DA20F5">
        <w:rPr>
          <w:color w:val="000000"/>
        </w:rPr>
        <w:t>– miliarda</w:t>
      </w:r>
    </w:p>
    <w:p w:rsidR="00527130" w:rsidRPr="00DA20F5" w:rsidRDefault="00527130" w:rsidP="00D36FB8">
      <w:pPr>
        <w:jc w:val="left"/>
        <w:rPr>
          <w:color w:val="000000"/>
        </w:rPr>
      </w:pPr>
      <w:r w:rsidRPr="00DA20F5">
        <w:rPr>
          <w:b/>
          <w:color w:val="000000"/>
        </w:rPr>
        <w:t>MO</w:t>
      </w:r>
      <w:r w:rsidRPr="00DA20F5">
        <w:rPr>
          <w:color w:val="000000"/>
        </w:rPr>
        <w:t xml:space="preserve"> – medzinárodná organizácia</w:t>
      </w:r>
    </w:p>
    <w:p w:rsidR="008A2C08" w:rsidRPr="00DA20F5" w:rsidRDefault="008A2C08" w:rsidP="00D36FB8">
      <w:r w:rsidRPr="00DA20F5">
        <w:rPr>
          <w:b/>
          <w:bCs/>
        </w:rPr>
        <w:t>MPSVR SR</w:t>
      </w:r>
      <w:r w:rsidRPr="00DA20F5">
        <w:t xml:space="preserve"> - Ministerstvo práce, sociálnych vecí a rodiny SR </w:t>
      </w:r>
      <w:r w:rsidR="00AF0A3F" w:rsidRPr="00DA20F5">
        <w:t>; ministerstvo</w:t>
      </w:r>
    </w:p>
    <w:p w:rsidR="00F97C8F" w:rsidRPr="00DA20F5" w:rsidRDefault="00F97C8F" w:rsidP="00D36FB8">
      <w:pPr>
        <w:jc w:val="left"/>
        <w:rPr>
          <w:bCs/>
        </w:rPr>
      </w:pPr>
      <w:r w:rsidRPr="00DA20F5">
        <w:rPr>
          <w:b/>
          <w:bCs/>
        </w:rPr>
        <w:t xml:space="preserve">NFP </w:t>
      </w:r>
      <w:r w:rsidRPr="00DA20F5">
        <w:rPr>
          <w:bCs/>
        </w:rPr>
        <w:t>– nenávratný finančný príspevok</w:t>
      </w:r>
    </w:p>
    <w:p w:rsidR="0036562F" w:rsidRPr="00DA20F5" w:rsidRDefault="0036562F" w:rsidP="00D36FB8">
      <w:pPr>
        <w:jc w:val="left"/>
        <w:rPr>
          <w:bCs/>
        </w:rPr>
      </w:pPr>
      <w:r w:rsidRPr="00DA20F5">
        <w:rPr>
          <w:b/>
          <w:bCs/>
        </w:rPr>
        <w:t xml:space="preserve">NISD </w:t>
      </w:r>
      <w:r w:rsidRPr="00DA20F5">
        <w:rPr>
          <w:bCs/>
        </w:rPr>
        <w:t>– neziskové inštitúcie slúžiace domácnostiam</w:t>
      </w:r>
    </w:p>
    <w:p w:rsidR="00F97C8F" w:rsidRPr="00DA20F5" w:rsidRDefault="00F97C8F" w:rsidP="00D36FB8">
      <w:pPr>
        <w:jc w:val="left"/>
        <w:rPr>
          <w:color w:val="000000"/>
        </w:rPr>
      </w:pPr>
      <w:r w:rsidRPr="00DA20F5">
        <w:rPr>
          <w:b/>
          <w:color w:val="000000"/>
        </w:rPr>
        <w:t xml:space="preserve">NP </w:t>
      </w:r>
      <w:r w:rsidRPr="00DA20F5">
        <w:rPr>
          <w:color w:val="000000"/>
        </w:rPr>
        <w:t>– národný projekt</w:t>
      </w:r>
    </w:p>
    <w:p w:rsidR="008A2C08" w:rsidRPr="00DA20F5" w:rsidRDefault="00F20EE7" w:rsidP="00D36FB8">
      <w:pPr>
        <w:jc w:val="left"/>
        <w:rPr>
          <w:color w:val="000000"/>
        </w:rPr>
      </w:pPr>
      <w:r w:rsidRPr="00DA20F5">
        <w:rPr>
          <w:b/>
          <w:color w:val="000000"/>
        </w:rPr>
        <w:t xml:space="preserve">NR SR </w:t>
      </w:r>
      <w:r w:rsidRPr="00DA20F5">
        <w:rPr>
          <w:color w:val="000000"/>
        </w:rPr>
        <w:t>– Národná rada Slovenskej republiky</w:t>
      </w:r>
    </w:p>
    <w:p w:rsidR="00D37F56" w:rsidRPr="00DA20F5" w:rsidRDefault="00D37F56" w:rsidP="00D36FB8">
      <w:pPr>
        <w:jc w:val="left"/>
        <w:rPr>
          <w:b/>
          <w:color w:val="000000"/>
        </w:rPr>
      </w:pPr>
      <w:r w:rsidRPr="00DA20F5">
        <w:rPr>
          <w:b/>
          <w:color w:val="000000"/>
        </w:rPr>
        <w:t xml:space="preserve">NRS </w:t>
      </w:r>
      <w:r w:rsidRPr="00DA20F5">
        <w:rPr>
          <w:color w:val="000000"/>
        </w:rPr>
        <w:t>– náhradná rodinná starostlivosť</w:t>
      </w:r>
    </w:p>
    <w:p w:rsidR="008A2C08" w:rsidRPr="00DA20F5" w:rsidRDefault="008A2C08" w:rsidP="00D36FB8">
      <w:r w:rsidRPr="00DA20F5">
        <w:rPr>
          <w:b/>
          <w:bCs/>
        </w:rPr>
        <w:t xml:space="preserve">OMK </w:t>
      </w:r>
      <w:r w:rsidRPr="00DA20F5">
        <w:t xml:space="preserve">– otvorená metóda koordinácie </w:t>
      </w:r>
    </w:p>
    <w:p w:rsidR="008A2C08" w:rsidRPr="00DA20F5" w:rsidRDefault="008A2C08" w:rsidP="00D36FB8">
      <w:r w:rsidRPr="00DA20F5">
        <w:rPr>
          <w:b/>
          <w:bCs/>
        </w:rPr>
        <w:t>OP ZaSI</w:t>
      </w:r>
      <w:r w:rsidRPr="00DA20F5">
        <w:t xml:space="preserve"> – Operačný program Zamestnanosť a sociálna inklúzia</w:t>
      </w:r>
    </w:p>
    <w:p w:rsidR="008A2C08" w:rsidRPr="00DA20F5" w:rsidRDefault="008A2C08" w:rsidP="00D36FB8">
      <w:r w:rsidRPr="00DA20F5">
        <w:rPr>
          <w:b/>
          <w:bCs/>
        </w:rPr>
        <w:t>p.</w:t>
      </w:r>
      <w:r w:rsidR="007B624E" w:rsidRPr="00DA20F5">
        <w:rPr>
          <w:b/>
          <w:bCs/>
        </w:rPr>
        <w:t xml:space="preserve"> </w:t>
      </w:r>
      <w:r w:rsidRPr="00DA20F5">
        <w:rPr>
          <w:b/>
          <w:bCs/>
        </w:rPr>
        <w:t xml:space="preserve">b. </w:t>
      </w:r>
      <w:r w:rsidRPr="00DA20F5">
        <w:t>– percentuálny bod</w:t>
      </w:r>
    </w:p>
    <w:p w:rsidR="0036562F" w:rsidRPr="00DA20F5" w:rsidRDefault="0036562F" w:rsidP="00D36FB8">
      <w:pPr>
        <w:jc w:val="left"/>
        <w:rPr>
          <w:color w:val="000000"/>
        </w:rPr>
      </w:pPr>
      <w:r w:rsidRPr="00DA20F5">
        <w:rPr>
          <w:b/>
          <w:color w:val="000000"/>
        </w:rPr>
        <w:t xml:space="preserve">PP </w:t>
      </w:r>
      <w:r w:rsidRPr="00DA20F5">
        <w:rPr>
          <w:color w:val="000000"/>
        </w:rPr>
        <w:t>– peňažný príspevok</w:t>
      </w:r>
    </w:p>
    <w:p w:rsidR="00527130" w:rsidRPr="00DA20F5" w:rsidRDefault="00527130" w:rsidP="00D36FB8">
      <w:pPr>
        <w:jc w:val="left"/>
        <w:rPr>
          <w:color w:val="000000"/>
        </w:rPr>
      </w:pPr>
      <w:r w:rsidRPr="00DA20F5">
        <w:rPr>
          <w:b/>
          <w:color w:val="000000"/>
        </w:rPr>
        <w:t>PPS</w:t>
      </w:r>
      <w:r w:rsidRPr="00DA20F5">
        <w:rPr>
          <w:color w:val="000000"/>
        </w:rPr>
        <w:t xml:space="preserve"> – purchasing power standard</w:t>
      </w:r>
    </w:p>
    <w:p w:rsidR="00527130" w:rsidRPr="00DA20F5" w:rsidRDefault="00527130" w:rsidP="00D36FB8">
      <w:pPr>
        <w:rPr>
          <w:b/>
          <w:bCs/>
        </w:rPr>
      </w:pPr>
      <w:r w:rsidRPr="00DA20F5">
        <w:rPr>
          <w:b/>
          <w:color w:val="000000"/>
        </w:rPr>
        <w:t>RO</w:t>
      </w:r>
      <w:r w:rsidRPr="00DA20F5">
        <w:rPr>
          <w:color w:val="000000"/>
        </w:rPr>
        <w:t xml:space="preserve"> – riadiaci orgán</w:t>
      </w:r>
      <w:r w:rsidRPr="00DA20F5">
        <w:rPr>
          <w:b/>
          <w:bCs/>
        </w:rPr>
        <w:t xml:space="preserve"> </w:t>
      </w:r>
    </w:p>
    <w:p w:rsidR="008A2C08" w:rsidRPr="00DA20F5" w:rsidRDefault="008A2C08" w:rsidP="00D36FB8">
      <w:r w:rsidRPr="00DA20F5">
        <w:rPr>
          <w:b/>
          <w:bCs/>
        </w:rPr>
        <w:t xml:space="preserve">RPPS </w:t>
      </w:r>
      <w:r w:rsidRPr="00DA20F5">
        <w:t xml:space="preserve">- referát poradensko-psychologických služieb </w:t>
      </w:r>
    </w:p>
    <w:p w:rsidR="008A2C08" w:rsidRPr="00DA20F5" w:rsidRDefault="008A2C08" w:rsidP="00D36FB8">
      <w:r w:rsidRPr="00DA20F5">
        <w:rPr>
          <w:b/>
          <w:bCs/>
        </w:rPr>
        <w:t xml:space="preserve">SPODaSK </w:t>
      </w:r>
      <w:r w:rsidRPr="00DA20F5">
        <w:t>– sociálnoprávna ochrana detí a sociálna kuratela</w:t>
      </w:r>
    </w:p>
    <w:p w:rsidR="008A2C08" w:rsidRPr="00DA20F5" w:rsidRDefault="008A2C08" w:rsidP="00D36FB8">
      <w:r w:rsidRPr="00DA20F5">
        <w:rPr>
          <w:b/>
          <w:bCs/>
        </w:rPr>
        <w:t>Správa</w:t>
      </w:r>
      <w:r w:rsidRPr="00DA20F5">
        <w:t xml:space="preserve"> – Správa o sociálnej situácii obyvateľstva Slovenskej republiky </w:t>
      </w:r>
    </w:p>
    <w:p w:rsidR="008A2C08" w:rsidRPr="00DA20F5" w:rsidRDefault="008A2C08" w:rsidP="00D36FB8">
      <w:r w:rsidRPr="00DA20F5">
        <w:rPr>
          <w:b/>
        </w:rPr>
        <w:t xml:space="preserve">SZČO </w:t>
      </w:r>
      <w:r w:rsidRPr="00DA20F5">
        <w:t>– samostatne zárobkovo činná osoba</w:t>
      </w:r>
    </w:p>
    <w:p w:rsidR="00D36FB8" w:rsidRPr="00DA20F5" w:rsidRDefault="00D36FB8" w:rsidP="00D36FB8">
      <w:pPr>
        <w:rPr>
          <w:bCs/>
        </w:rPr>
      </w:pPr>
      <w:r w:rsidRPr="00DA20F5">
        <w:rPr>
          <w:b/>
          <w:bCs/>
        </w:rPr>
        <w:lastRenderedPageBreak/>
        <w:t xml:space="preserve">ŠR </w:t>
      </w:r>
      <w:r w:rsidRPr="00DA20F5">
        <w:rPr>
          <w:bCs/>
        </w:rPr>
        <w:t>– štátny rozpočet</w:t>
      </w:r>
    </w:p>
    <w:p w:rsidR="008A2C08" w:rsidRPr="00DA20F5" w:rsidRDefault="008A2C08" w:rsidP="00D36FB8">
      <w:r w:rsidRPr="00DA20F5">
        <w:rPr>
          <w:b/>
          <w:bCs/>
        </w:rPr>
        <w:t>ŠÚ SR</w:t>
      </w:r>
      <w:r w:rsidRPr="00DA20F5">
        <w:t xml:space="preserve"> – Štatistický úrad Slovenskej republiky</w:t>
      </w:r>
    </w:p>
    <w:p w:rsidR="00F20EE7" w:rsidRPr="00DA20F5" w:rsidRDefault="00F20EE7" w:rsidP="00D36FB8">
      <w:pPr>
        <w:jc w:val="left"/>
        <w:rPr>
          <w:color w:val="000000"/>
        </w:rPr>
      </w:pPr>
      <w:r w:rsidRPr="00DA20F5">
        <w:rPr>
          <w:b/>
          <w:color w:val="000000"/>
        </w:rPr>
        <w:t xml:space="preserve">tis. – </w:t>
      </w:r>
      <w:r w:rsidRPr="00DA20F5">
        <w:rPr>
          <w:color w:val="000000"/>
        </w:rPr>
        <w:t>tisíc</w:t>
      </w:r>
    </w:p>
    <w:p w:rsidR="008A2C08" w:rsidRPr="00DA20F5" w:rsidRDefault="008A2C08" w:rsidP="00D36FB8">
      <w:r w:rsidRPr="00DA20F5">
        <w:rPr>
          <w:b/>
          <w:bCs/>
        </w:rPr>
        <w:t xml:space="preserve">ŤZP </w:t>
      </w:r>
      <w:r w:rsidRPr="00DA20F5">
        <w:t>– ťažko zdravotne postihnutý(í)</w:t>
      </w:r>
      <w:r w:rsidR="00D36FB8" w:rsidRPr="00DA20F5">
        <w:t>/ ťažké zdravotné postihnutie</w:t>
      </w:r>
    </w:p>
    <w:p w:rsidR="00387249" w:rsidRPr="00DA20F5" w:rsidRDefault="00387249" w:rsidP="00D36FB8">
      <w:pPr>
        <w:rPr>
          <w:bCs/>
        </w:rPr>
      </w:pPr>
      <w:r w:rsidRPr="00DA20F5">
        <w:rPr>
          <w:b/>
          <w:bCs/>
        </w:rPr>
        <w:t xml:space="preserve">UEAPME </w:t>
      </w:r>
      <w:r w:rsidRPr="00DA20F5">
        <w:rPr>
          <w:bCs/>
        </w:rPr>
        <w:t>– Európska asociácia remesiel, malých a stredných podnikov</w:t>
      </w:r>
    </w:p>
    <w:p w:rsidR="008A2C08" w:rsidRPr="00DA20F5" w:rsidRDefault="008A2C08" w:rsidP="00D36FB8">
      <w:pPr>
        <w:rPr>
          <w:b/>
          <w:bCs/>
        </w:rPr>
      </w:pPr>
      <w:r w:rsidRPr="00DA20F5">
        <w:rPr>
          <w:b/>
          <w:bCs/>
        </w:rPr>
        <w:t xml:space="preserve">UoZ </w:t>
      </w:r>
      <w:r w:rsidRPr="00DA20F5">
        <w:t>– uchádzač o zamestnanie</w:t>
      </w:r>
    </w:p>
    <w:p w:rsidR="008A2C08" w:rsidRPr="00DA20F5" w:rsidRDefault="008A2C08" w:rsidP="00D36FB8">
      <w:r w:rsidRPr="00DA20F5">
        <w:rPr>
          <w:b/>
          <w:bCs/>
        </w:rPr>
        <w:t xml:space="preserve">ÚPSVR </w:t>
      </w:r>
      <w:r w:rsidR="00852830" w:rsidRPr="00DA20F5">
        <w:rPr>
          <w:b/>
          <w:bCs/>
        </w:rPr>
        <w:t>–</w:t>
      </w:r>
      <w:r w:rsidRPr="00DA20F5">
        <w:t xml:space="preserve"> Ústredie práce, sociálnych vecí a</w:t>
      </w:r>
      <w:r w:rsidR="00007827" w:rsidRPr="00DA20F5">
        <w:t> </w:t>
      </w:r>
      <w:r w:rsidRPr="00DA20F5">
        <w:t>rodiny</w:t>
      </w:r>
    </w:p>
    <w:p w:rsidR="00007827" w:rsidRPr="00DA20F5" w:rsidRDefault="007C0D64" w:rsidP="00D36FB8">
      <w:r w:rsidRPr="00DA20F5">
        <w:rPr>
          <w:b/>
        </w:rPr>
        <w:t>ú</w:t>
      </w:r>
      <w:r w:rsidR="00007827" w:rsidRPr="00DA20F5">
        <w:rPr>
          <w:b/>
        </w:rPr>
        <w:t xml:space="preserve">rad práce </w:t>
      </w:r>
      <w:r w:rsidR="00007827" w:rsidRPr="00DA20F5">
        <w:t>–</w:t>
      </w:r>
      <w:r w:rsidR="00007827" w:rsidRPr="00DA20F5">
        <w:rPr>
          <w:b/>
        </w:rPr>
        <w:t xml:space="preserve"> </w:t>
      </w:r>
      <w:r w:rsidR="00007827" w:rsidRPr="00DA20F5">
        <w:t xml:space="preserve">Úrad práce, sociálnych vecí a rodiny </w:t>
      </w:r>
    </w:p>
    <w:p w:rsidR="00527130" w:rsidRPr="00DA20F5" w:rsidRDefault="00527130" w:rsidP="00D36FB8">
      <w:pPr>
        <w:jc w:val="left"/>
        <w:rPr>
          <w:color w:val="000000"/>
        </w:rPr>
      </w:pPr>
      <w:r w:rsidRPr="00DA20F5">
        <w:rPr>
          <w:b/>
          <w:color w:val="000000"/>
        </w:rPr>
        <w:t>VPM</w:t>
      </w:r>
      <w:r w:rsidRPr="00DA20F5">
        <w:rPr>
          <w:color w:val="000000"/>
        </w:rPr>
        <w:t xml:space="preserve"> – voľné pracovné miesto</w:t>
      </w:r>
    </w:p>
    <w:p w:rsidR="00387249" w:rsidRPr="00DA20F5" w:rsidRDefault="00387249" w:rsidP="00D36FB8">
      <w:pPr>
        <w:rPr>
          <w:bCs/>
        </w:rPr>
      </w:pPr>
      <w:r w:rsidRPr="00DA20F5">
        <w:rPr>
          <w:b/>
          <w:bCs/>
        </w:rPr>
        <w:t xml:space="preserve">VÚC </w:t>
      </w:r>
      <w:r w:rsidRPr="00DA20F5">
        <w:rPr>
          <w:bCs/>
        </w:rPr>
        <w:t>– vyšší územný celok</w:t>
      </w:r>
    </w:p>
    <w:p w:rsidR="008A2C08" w:rsidRPr="00DA20F5" w:rsidRDefault="008A2C08" w:rsidP="00D36FB8">
      <w:r w:rsidRPr="00DA20F5">
        <w:rPr>
          <w:b/>
          <w:bCs/>
        </w:rPr>
        <w:t xml:space="preserve">VZPS </w:t>
      </w:r>
      <w:r w:rsidRPr="00DA20F5">
        <w:t xml:space="preserve">– výberové zisťovanie pracovných síl </w:t>
      </w:r>
    </w:p>
    <w:p w:rsidR="00387249" w:rsidRPr="00DA20F5" w:rsidRDefault="00387249" w:rsidP="00D36FB8">
      <w:r w:rsidRPr="00DA20F5">
        <w:rPr>
          <w:b/>
        </w:rPr>
        <w:t xml:space="preserve">WI </w:t>
      </w:r>
      <w:r w:rsidRPr="00DA20F5">
        <w:t>– intenzita práce (work intensity)</w:t>
      </w:r>
    </w:p>
    <w:p w:rsidR="0036562F" w:rsidRPr="00DA20F5" w:rsidRDefault="0036562F" w:rsidP="00D36FB8">
      <w:r w:rsidRPr="00DA20F5">
        <w:rPr>
          <w:b/>
        </w:rPr>
        <w:t xml:space="preserve">ZFNP </w:t>
      </w:r>
      <w:r w:rsidRPr="00DA20F5">
        <w:t>– základný fond nemocenského poistenia</w:t>
      </w:r>
    </w:p>
    <w:p w:rsidR="008A2C08" w:rsidRPr="00DA20F5" w:rsidRDefault="008A2C08" w:rsidP="00D36FB8">
      <w:r w:rsidRPr="00DA20F5">
        <w:rPr>
          <w:b/>
        </w:rPr>
        <w:t>ZoZ</w:t>
      </w:r>
      <w:r w:rsidRPr="00DA20F5">
        <w:t xml:space="preserve"> – záujemca o zamestnanie</w:t>
      </w:r>
    </w:p>
    <w:p w:rsidR="00527130" w:rsidRPr="00DA20F5" w:rsidRDefault="00527130" w:rsidP="00D36FB8">
      <w:pPr>
        <w:jc w:val="left"/>
        <w:rPr>
          <w:color w:val="000000"/>
        </w:rPr>
      </w:pPr>
      <w:r w:rsidRPr="00DA20F5">
        <w:rPr>
          <w:b/>
          <w:color w:val="000000"/>
        </w:rPr>
        <w:t>ZP</w:t>
      </w:r>
      <w:r w:rsidRPr="00DA20F5">
        <w:rPr>
          <w:color w:val="000000"/>
        </w:rPr>
        <w:t xml:space="preserve"> – zdravotné postihnutie</w:t>
      </w:r>
    </w:p>
    <w:p w:rsidR="00527130" w:rsidRPr="00DA20F5" w:rsidRDefault="00527130" w:rsidP="00D36FB8">
      <w:pPr>
        <w:jc w:val="left"/>
        <w:rPr>
          <w:color w:val="000000"/>
        </w:rPr>
      </w:pPr>
      <w:r w:rsidRPr="00DA20F5">
        <w:rPr>
          <w:b/>
          <w:color w:val="000000"/>
        </w:rPr>
        <w:t xml:space="preserve">Z. z. </w:t>
      </w:r>
      <w:r w:rsidRPr="00DA20F5">
        <w:rPr>
          <w:color w:val="000000"/>
        </w:rPr>
        <w:t>– Zbierka zákonov</w:t>
      </w:r>
    </w:p>
    <w:p w:rsidR="00852830" w:rsidRPr="00DA20F5" w:rsidRDefault="008A2C08" w:rsidP="00D36FB8">
      <w:pPr>
        <w:rPr>
          <w:color w:val="000000"/>
        </w:rPr>
      </w:pPr>
      <w:r w:rsidRPr="00DA20F5">
        <w:rPr>
          <w:b/>
          <w:bCs/>
        </w:rPr>
        <w:t>ŽM</w:t>
      </w:r>
      <w:r w:rsidRPr="00DA20F5">
        <w:t xml:space="preserve"> – životné minimum</w:t>
      </w:r>
      <w:bookmarkEnd w:id="44"/>
    </w:p>
    <w:p w:rsidR="00852830" w:rsidRPr="00DA20F5" w:rsidRDefault="00852830" w:rsidP="00D36FB8">
      <w:pPr>
        <w:jc w:val="left"/>
        <w:rPr>
          <w:color w:val="000000"/>
        </w:rPr>
        <w:sectPr w:rsidR="00852830" w:rsidRPr="00DA20F5" w:rsidSect="001D262C">
          <w:footerReference w:type="even" r:id="rId13"/>
          <w:footerReference w:type="default" r:id="rId14"/>
          <w:pgSz w:w="11906" w:h="16838" w:code="9"/>
          <w:pgMar w:top="1440" w:right="1474" w:bottom="1440" w:left="1474" w:header="709" w:footer="709" w:gutter="0"/>
          <w:cols w:space="708" w:equalWidth="0">
            <w:col w:w="8418"/>
          </w:cols>
          <w:noEndnote/>
          <w:docGrid w:linePitch="299"/>
        </w:sectPr>
      </w:pPr>
    </w:p>
    <w:p w:rsidR="007A29A1" w:rsidRPr="00DA20F5" w:rsidRDefault="00976E6C" w:rsidP="00D36FB8">
      <w:pPr>
        <w:pStyle w:val="Nadpis1"/>
        <w:numPr>
          <w:ilvl w:val="0"/>
          <w:numId w:val="0"/>
        </w:numPr>
      </w:pPr>
      <w:bookmarkStart w:id="45" w:name="_Toc326216947"/>
      <w:r w:rsidRPr="00DA20F5">
        <w:lastRenderedPageBreak/>
        <w:t>ÚVOD</w:t>
      </w:r>
      <w:bookmarkEnd w:id="45"/>
    </w:p>
    <w:p w:rsidR="008A1EEC" w:rsidRPr="00DA20F5" w:rsidRDefault="008A1EEC" w:rsidP="00D36FB8"/>
    <w:p w:rsidR="009A2335" w:rsidRPr="00DA20F5" w:rsidRDefault="003730A7" w:rsidP="00D36FB8">
      <w:pPr>
        <w:rPr>
          <w:color w:val="000000" w:themeColor="text1"/>
        </w:rPr>
      </w:pPr>
      <w:r w:rsidRPr="00DA20F5">
        <w:rPr>
          <w:color w:val="000000" w:themeColor="text1"/>
        </w:rPr>
        <w:t>Ministerstvo práce, sociálnych vecí a rodiny Slovenskej republiky (ďalej len „MPSVR SR“) každoročne pripravuje a predkladá na rokovanie vlády Slovenskej republiky (ďalej aj vlády SR)</w:t>
      </w:r>
      <w:r w:rsidR="00D0334D" w:rsidRPr="00DA20F5">
        <w:rPr>
          <w:color w:val="000000" w:themeColor="text1"/>
        </w:rPr>
        <w:t>,</w:t>
      </w:r>
      <w:r w:rsidRPr="00DA20F5">
        <w:rPr>
          <w:color w:val="000000" w:themeColor="text1"/>
        </w:rPr>
        <w:t xml:space="preserve"> Hospodárskej a sociálnej rady Slovenskej republiky a Výboru Národnej rady Slovenskej republiky pre sociálne veci Správu o sociálnej situácii obyvateľstva Slovenskej republiky (ďalej len „správa“) za predchádzajúci kalendárny rok. Jej cieľom je informovať o stave a vývoji sociálnej situácie obyvateľstva na Slovensku na základe sociálno-ekonomických ukazovateľov, získaných zo štátnych štatistických zisťovaní, administratívnych zdrojov údajov Ústredia práce, sociálnych vecí a rodiny a Sociálnej poisťovne.</w:t>
      </w:r>
      <w:r w:rsidR="009A2335" w:rsidRPr="00DA20F5">
        <w:rPr>
          <w:color w:val="000000" w:themeColor="text1"/>
        </w:rPr>
        <w:tab/>
      </w:r>
    </w:p>
    <w:p w:rsidR="003730A7" w:rsidRPr="00DA20F5" w:rsidRDefault="003730A7" w:rsidP="00D36FB8">
      <w:pPr>
        <w:rPr>
          <w:color w:val="000000" w:themeColor="text1"/>
        </w:rPr>
      </w:pPr>
    </w:p>
    <w:p w:rsidR="009A2335" w:rsidRPr="00DA20F5" w:rsidRDefault="003730A7" w:rsidP="00D36FB8">
      <w:pPr>
        <w:rPr>
          <w:color w:val="000000" w:themeColor="text1"/>
        </w:rPr>
      </w:pPr>
      <w:r w:rsidRPr="00DA20F5">
        <w:rPr>
          <w:color w:val="000000" w:themeColor="text1"/>
        </w:rPr>
        <w:t>Prvá kapitola správy poskytuje stručný prehľad o základných ukazovateľoch makroekonomického prostredia a demografického vývoja v Slovenskej republike za rok 2011.</w:t>
      </w:r>
    </w:p>
    <w:p w:rsidR="003730A7" w:rsidRPr="00DA20F5" w:rsidRDefault="003730A7" w:rsidP="00D36FB8">
      <w:pPr>
        <w:rPr>
          <w:color w:val="000000" w:themeColor="text1"/>
        </w:rPr>
      </w:pPr>
    </w:p>
    <w:p w:rsidR="009A2335" w:rsidRPr="00DA20F5" w:rsidRDefault="009A2335" w:rsidP="00D36FB8">
      <w:pPr>
        <w:rPr>
          <w:color w:val="000000" w:themeColor="text1"/>
        </w:rPr>
      </w:pPr>
      <w:r w:rsidRPr="00DA20F5">
        <w:rPr>
          <w:color w:val="000000" w:themeColor="text1"/>
        </w:rPr>
        <w:t>Druhá kapitola hodnotí legislatívne zmeny v roku 201</w:t>
      </w:r>
      <w:r w:rsidR="002F4A5E" w:rsidRPr="00DA20F5">
        <w:rPr>
          <w:color w:val="000000" w:themeColor="text1"/>
        </w:rPr>
        <w:t>1</w:t>
      </w:r>
      <w:r w:rsidRPr="00DA20F5">
        <w:rPr>
          <w:color w:val="000000" w:themeColor="text1"/>
        </w:rPr>
        <w:t xml:space="preserve"> v oblasti služieb zamestnanosti, pracovnoprávnych vzťahov, verejnej a štátnej služby a sociálneho dialógu, zameriava sa na vývoj na trhu práce z agregovaného a zo štrukturálneho hľadiska, hodnotí jednotlivé nástroje aktívnej politiky trhu práce</w:t>
      </w:r>
      <w:r w:rsidR="00EE0C89" w:rsidRPr="00DA20F5">
        <w:rPr>
          <w:color w:val="000000" w:themeColor="text1"/>
        </w:rPr>
        <w:t xml:space="preserve"> (APTP)</w:t>
      </w:r>
      <w:r w:rsidRPr="00DA20F5">
        <w:rPr>
          <w:color w:val="000000" w:themeColor="text1"/>
        </w:rPr>
        <w:t>,</w:t>
      </w:r>
      <w:r w:rsidR="002271D4" w:rsidRPr="00DA20F5">
        <w:rPr>
          <w:color w:val="000000" w:themeColor="text1"/>
        </w:rPr>
        <w:t xml:space="preserve"> </w:t>
      </w:r>
      <w:r w:rsidRPr="00DA20F5">
        <w:rPr>
          <w:color w:val="000000" w:themeColor="text1"/>
        </w:rPr>
        <w:t>mzdový vývoj a pracovné podmienky v rámci</w:t>
      </w:r>
      <w:r w:rsidR="002271D4" w:rsidRPr="00DA20F5">
        <w:rPr>
          <w:color w:val="000000" w:themeColor="text1"/>
        </w:rPr>
        <w:t xml:space="preserve"> </w:t>
      </w:r>
      <w:r w:rsidRPr="00DA20F5">
        <w:rPr>
          <w:color w:val="000000" w:themeColor="text1"/>
        </w:rPr>
        <w:t>kolektívneho vyjednávania a</w:t>
      </w:r>
      <w:r w:rsidR="00161E87" w:rsidRPr="00DA20F5">
        <w:rPr>
          <w:color w:val="000000" w:themeColor="text1"/>
        </w:rPr>
        <w:t> </w:t>
      </w:r>
      <w:r w:rsidRPr="00DA20F5">
        <w:rPr>
          <w:color w:val="000000" w:themeColor="text1"/>
        </w:rPr>
        <w:t>bezpečnosti a ochrany zdravia pri práci. Súčasťou tejto časti správy je aj</w:t>
      </w:r>
      <w:r w:rsidR="002271D4" w:rsidRPr="00DA20F5">
        <w:rPr>
          <w:color w:val="000000" w:themeColor="text1"/>
        </w:rPr>
        <w:t xml:space="preserve"> </w:t>
      </w:r>
      <w:r w:rsidRPr="00DA20F5">
        <w:rPr>
          <w:color w:val="000000" w:themeColor="text1"/>
        </w:rPr>
        <w:t>analýza úplných nákladov práce.</w:t>
      </w:r>
    </w:p>
    <w:p w:rsidR="009A2335" w:rsidRPr="00DA20F5" w:rsidRDefault="009A2335" w:rsidP="00D36FB8">
      <w:pPr>
        <w:rPr>
          <w:color w:val="000000" w:themeColor="text1"/>
        </w:rPr>
      </w:pPr>
    </w:p>
    <w:p w:rsidR="00E508A6" w:rsidRPr="00DA20F5" w:rsidRDefault="009A2335" w:rsidP="00D36FB8">
      <w:pPr>
        <w:rPr>
          <w:color w:val="000000" w:themeColor="text1"/>
        </w:rPr>
      </w:pPr>
      <w:r w:rsidRPr="00DA20F5">
        <w:rPr>
          <w:color w:val="000000" w:themeColor="text1"/>
        </w:rPr>
        <w:t>Tretia kapitola zahŕňa</w:t>
      </w:r>
      <w:r w:rsidR="002271D4" w:rsidRPr="00DA20F5">
        <w:rPr>
          <w:color w:val="000000" w:themeColor="text1"/>
        </w:rPr>
        <w:t xml:space="preserve"> </w:t>
      </w:r>
      <w:r w:rsidRPr="00DA20F5">
        <w:rPr>
          <w:color w:val="000000" w:themeColor="text1"/>
        </w:rPr>
        <w:t>hlavné formy, stav a zmeny v systéme sociálnej ochrany v roku 201</w:t>
      </w:r>
      <w:r w:rsidR="002F4A5E" w:rsidRPr="00DA20F5">
        <w:rPr>
          <w:color w:val="000000" w:themeColor="text1"/>
        </w:rPr>
        <w:t>1</w:t>
      </w:r>
      <w:r w:rsidRPr="00DA20F5">
        <w:rPr>
          <w:color w:val="000000" w:themeColor="text1"/>
        </w:rPr>
        <w:t>. Zaoberá sa medziročným porovnaním a analýzou jednotlivých prvkov sociálneho poistenia,</w:t>
      </w:r>
      <w:r w:rsidR="002271D4" w:rsidRPr="00DA20F5">
        <w:rPr>
          <w:color w:val="000000" w:themeColor="text1"/>
        </w:rPr>
        <w:t xml:space="preserve"> </w:t>
      </w:r>
      <w:r w:rsidRPr="00DA20F5">
        <w:rPr>
          <w:color w:val="000000" w:themeColor="text1"/>
        </w:rPr>
        <w:t>dôchodkového sporenia, systému štátnej sociálnej podpory a sociálnej pomoci. Podáva informáciu o dotáciách, poskytovaných v pôsobnosti MPSVR SR a tiež informácie o Operačnom</w:t>
      </w:r>
      <w:r w:rsidR="002271D4" w:rsidRPr="00DA20F5">
        <w:rPr>
          <w:color w:val="000000" w:themeColor="text1"/>
        </w:rPr>
        <w:t xml:space="preserve"> </w:t>
      </w:r>
      <w:r w:rsidRPr="00DA20F5">
        <w:rPr>
          <w:color w:val="000000" w:themeColor="text1"/>
        </w:rPr>
        <w:t>programe Zamestnanosť a sociálna inklúzia v programovom období 2007-2013,</w:t>
      </w:r>
      <w:r w:rsidR="002271D4" w:rsidRPr="00DA20F5">
        <w:rPr>
          <w:color w:val="000000" w:themeColor="text1"/>
        </w:rPr>
        <w:t xml:space="preserve"> </w:t>
      </w:r>
      <w:r w:rsidRPr="00DA20F5">
        <w:rPr>
          <w:color w:val="000000" w:themeColor="text1"/>
        </w:rPr>
        <w:t>podporovaných z </w:t>
      </w:r>
      <w:r w:rsidR="004C6309" w:rsidRPr="00DA20F5">
        <w:rPr>
          <w:color w:val="000000" w:themeColor="text1"/>
        </w:rPr>
        <w:t>Európs</w:t>
      </w:r>
      <w:r w:rsidRPr="00DA20F5">
        <w:rPr>
          <w:color w:val="000000" w:themeColor="text1"/>
        </w:rPr>
        <w:t>keho sociálneho fondu. Kapitola obsahuje aj</w:t>
      </w:r>
      <w:r w:rsidR="002271D4" w:rsidRPr="00DA20F5">
        <w:rPr>
          <w:color w:val="000000" w:themeColor="text1"/>
        </w:rPr>
        <w:t xml:space="preserve"> </w:t>
      </w:r>
      <w:r w:rsidRPr="00DA20F5">
        <w:rPr>
          <w:color w:val="000000" w:themeColor="text1"/>
        </w:rPr>
        <w:t xml:space="preserve">výstupy </w:t>
      </w:r>
      <w:r w:rsidR="004C6309" w:rsidRPr="00DA20F5">
        <w:rPr>
          <w:color w:val="000000" w:themeColor="text1"/>
        </w:rPr>
        <w:t>Európs</w:t>
      </w:r>
      <w:r w:rsidRPr="00DA20F5">
        <w:rPr>
          <w:color w:val="000000" w:themeColor="text1"/>
        </w:rPr>
        <w:t>keho integrovaného systému jednotných štatistík sociálnej</w:t>
      </w:r>
      <w:r w:rsidR="00221A28" w:rsidRPr="00DA20F5">
        <w:rPr>
          <w:color w:val="000000" w:themeColor="text1"/>
        </w:rPr>
        <w:t xml:space="preserve">  </w:t>
      </w:r>
      <w:r w:rsidRPr="00DA20F5">
        <w:rPr>
          <w:color w:val="000000" w:themeColor="text1"/>
        </w:rPr>
        <w:t>ochrany</w:t>
      </w:r>
      <w:r w:rsidR="00527130" w:rsidRPr="00DA20F5">
        <w:rPr>
          <w:color w:val="000000" w:themeColor="text1"/>
        </w:rPr>
        <w:t xml:space="preserve"> (ESSPROS)</w:t>
      </w:r>
      <w:r w:rsidRPr="00DA20F5">
        <w:rPr>
          <w:color w:val="000000" w:themeColor="text1"/>
        </w:rPr>
        <w:t xml:space="preserve">, jedného zo základných nástrojov štatistického sledovania o systémoch, súčasnom stave a rozvoji sociálnej ochrany </w:t>
      </w:r>
      <w:r w:rsidR="00E508A6" w:rsidRPr="00DA20F5">
        <w:rPr>
          <w:color w:val="000000" w:themeColor="text1"/>
        </w:rPr>
        <w:t>v členských štátoch Európskej únie (ďalej aj EÚ).</w:t>
      </w:r>
    </w:p>
    <w:p w:rsidR="00E508A6" w:rsidRPr="00DA20F5" w:rsidRDefault="00E508A6" w:rsidP="00D36FB8">
      <w:pPr>
        <w:rPr>
          <w:color w:val="000000" w:themeColor="text1"/>
        </w:rPr>
      </w:pPr>
    </w:p>
    <w:p w:rsidR="007D042C" w:rsidRPr="00DA20F5" w:rsidRDefault="009A2335" w:rsidP="00D36FB8">
      <w:pPr>
        <w:rPr>
          <w:color w:val="000000" w:themeColor="text1"/>
        </w:rPr>
      </w:pPr>
      <w:r w:rsidRPr="00DA20F5">
        <w:rPr>
          <w:color w:val="000000" w:themeColor="text1"/>
        </w:rPr>
        <w:t>Náplň štvrtej kapitoly tvoria dostupné údaje o peňažných príjmoch a výdavkoch súkromných domácností zo štatistických zdrojov Štatistického úradu SR. Správa je obohatená o stručné vyhodnotenie národných indikátorov chudoby a sociálneho vylúčenia.</w:t>
      </w:r>
      <w:r w:rsidR="002271D4" w:rsidRPr="00DA20F5">
        <w:rPr>
          <w:color w:val="000000" w:themeColor="text1"/>
        </w:rPr>
        <w:t xml:space="preserve"> </w:t>
      </w:r>
      <w:r w:rsidR="007D042C" w:rsidRPr="00DA20F5">
        <w:rPr>
          <w:color w:val="000000" w:themeColor="text1"/>
        </w:rPr>
        <w:t>Zahŕňa aj súhrnné zistenia o</w:t>
      </w:r>
      <w:r w:rsidR="00161E87" w:rsidRPr="00DA20F5">
        <w:rPr>
          <w:color w:val="000000" w:themeColor="text1"/>
        </w:rPr>
        <w:t> </w:t>
      </w:r>
      <w:r w:rsidR="007D042C" w:rsidRPr="00DA20F5">
        <w:rPr>
          <w:color w:val="000000" w:themeColor="text1"/>
        </w:rPr>
        <w:t>stave rodovej r</w:t>
      </w:r>
      <w:r w:rsidR="003E5A34" w:rsidRPr="00DA20F5">
        <w:rPr>
          <w:color w:val="000000" w:themeColor="text1"/>
        </w:rPr>
        <w:t>o</w:t>
      </w:r>
      <w:r w:rsidR="00D0334D" w:rsidRPr="00DA20F5">
        <w:rPr>
          <w:color w:val="000000" w:themeColor="text1"/>
        </w:rPr>
        <w:t>vnosti na Slovensku za rok 2011 a vybrané výsledky z výskumu životných podmienok rómskych komunít.</w:t>
      </w:r>
    </w:p>
    <w:p w:rsidR="007D042C" w:rsidRPr="00DA20F5" w:rsidRDefault="007D042C" w:rsidP="00D36FB8">
      <w:pPr>
        <w:rPr>
          <w:color w:val="000000" w:themeColor="text1"/>
        </w:rPr>
      </w:pPr>
    </w:p>
    <w:p w:rsidR="008A1EEC" w:rsidRPr="00DA20F5" w:rsidRDefault="009A2335" w:rsidP="00D36FB8">
      <w:pPr>
        <w:rPr>
          <w:color w:val="000000" w:themeColor="text1"/>
        </w:rPr>
      </w:pPr>
      <w:r w:rsidRPr="00DA20F5">
        <w:rPr>
          <w:color w:val="000000" w:themeColor="text1"/>
        </w:rPr>
        <w:t xml:space="preserve">Obsahom piatej kapitoly je </w:t>
      </w:r>
      <w:r w:rsidR="008A1EEC" w:rsidRPr="00DA20F5">
        <w:rPr>
          <w:color w:val="000000" w:themeColor="text1"/>
        </w:rPr>
        <w:t>porovnanie vybraných ukazovateľov medzi krajinami EÚ v kontexte stratégie Európa 2020</w:t>
      </w:r>
      <w:r w:rsidR="005E4457" w:rsidRPr="00DA20F5">
        <w:rPr>
          <w:color w:val="000000" w:themeColor="text1"/>
        </w:rPr>
        <w:t xml:space="preserve">, </w:t>
      </w:r>
      <w:r w:rsidR="00966C5D" w:rsidRPr="00DA20F5">
        <w:rPr>
          <w:color w:val="000000" w:themeColor="text1"/>
        </w:rPr>
        <w:t>ktorá stanovuje hlavné ciele EÚ v nadväznosti na Lisabonskú stratégiu</w:t>
      </w:r>
      <w:r w:rsidR="008A1EEC" w:rsidRPr="00DA20F5">
        <w:rPr>
          <w:color w:val="000000" w:themeColor="text1"/>
        </w:rPr>
        <w:t>.</w:t>
      </w:r>
      <w:r w:rsidR="004F58C9" w:rsidRPr="00DA20F5">
        <w:rPr>
          <w:color w:val="000000" w:themeColor="text1"/>
        </w:rPr>
        <w:t xml:space="preserve"> </w:t>
      </w:r>
    </w:p>
    <w:p w:rsidR="008A1EEC" w:rsidRPr="00DA20F5" w:rsidRDefault="008A1EEC" w:rsidP="00D36FB8">
      <w:pPr>
        <w:rPr>
          <w:color w:val="000000" w:themeColor="text1"/>
        </w:rPr>
        <w:sectPr w:rsidR="008A1EEC" w:rsidRPr="00DA20F5" w:rsidSect="00570ECB">
          <w:headerReference w:type="default" r:id="rId15"/>
          <w:footerReference w:type="even" r:id="rId16"/>
          <w:footerReference w:type="default" r:id="rId17"/>
          <w:pgSz w:w="11906" w:h="16838"/>
          <w:pgMar w:top="1418" w:right="1418" w:bottom="1418" w:left="1418" w:header="709" w:footer="709" w:gutter="0"/>
          <w:cols w:space="708"/>
          <w:docGrid w:linePitch="360"/>
        </w:sectPr>
      </w:pPr>
    </w:p>
    <w:bookmarkStart w:id="46" w:name="_Toc294016300"/>
    <w:bookmarkStart w:id="47" w:name="_Toc195695049"/>
    <w:bookmarkStart w:id="48" w:name="_Toc195695104"/>
    <w:bookmarkStart w:id="49" w:name="_Toc195695142"/>
    <w:bookmarkStart w:id="50" w:name="_Toc195695212"/>
    <w:bookmarkStart w:id="51" w:name="_Toc195695276"/>
    <w:bookmarkStart w:id="52" w:name="_Toc195695051"/>
    <w:bookmarkStart w:id="53" w:name="_Toc195695106"/>
    <w:bookmarkStart w:id="54" w:name="_Toc195695144"/>
    <w:bookmarkStart w:id="55" w:name="_Toc195695214"/>
    <w:bookmarkStart w:id="56" w:name="_Toc195695278"/>
    <w:p w:rsidR="003221F9" w:rsidRPr="00DA20F5" w:rsidRDefault="00A55B62" w:rsidP="00DB509D">
      <w:pPr>
        <w:pStyle w:val="Nadpis1"/>
        <w:numPr>
          <w:ilvl w:val="0"/>
          <w:numId w:val="40"/>
        </w:numPr>
      </w:pPr>
      <w:r w:rsidRPr="00DA20F5">
        <w:lastRenderedPageBreak/>
        <w:fldChar w:fldCharType="begin"/>
      </w:r>
      <w:r w:rsidR="003221F9" w:rsidRPr="00DA20F5">
        <w:instrText>HYPERLINK \l "_Toc168135213"</w:instrText>
      </w:r>
      <w:r w:rsidRPr="00DA20F5">
        <w:fldChar w:fldCharType="separate"/>
      </w:r>
      <w:bookmarkStart w:id="57" w:name="_Toc326216948"/>
      <w:r w:rsidR="003221F9" w:rsidRPr="00DA20F5">
        <w:rPr>
          <w:rStyle w:val="Hypertextovprepojenie"/>
          <w:color w:val="244061"/>
          <w:u w:val="none"/>
        </w:rPr>
        <w:t>HLAVNÉ</w:t>
      </w:r>
      <w:r w:rsidR="002271D4" w:rsidRPr="00DA20F5">
        <w:rPr>
          <w:rStyle w:val="Hypertextovprepojenie"/>
          <w:color w:val="244061"/>
          <w:u w:val="none"/>
        </w:rPr>
        <w:t xml:space="preserve"> </w:t>
      </w:r>
      <w:r w:rsidR="003221F9" w:rsidRPr="00DA20F5">
        <w:rPr>
          <w:rStyle w:val="Hypertextovprepojenie"/>
          <w:color w:val="244061"/>
          <w:u w:val="none"/>
        </w:rPr>
        <w:t>MAKROEKONOMICKO-DEMOGRAFICKÉ</w:t>
      </w:r>
      <w:bookmarkEnd w:id="46"/>
      <w:r w:rsidR="00527130" w:rsidRPr="00DA20F5">
        <w:rPr>
          <w:rStyle w:val="Hypertextovprepojenie"/>
          <w:color w:val="244061"/>
          <w:u w:val="none"/>
        </w:rPr>
        <w:br/>
      </w:r>
      <w:r w:rsidR="006C1C9A" w:rsidRPr="00DA20F5">
        <w:rPr>
          <w:rStyle w:val="Hypertextovprepojenie"/>
          <w:color w:val="244061"/>
          <w:u w:val="none"/>
        </w:rPr>
        <w:t xml:space="preserve"> </w:t>
      </w:r>
      <w:r w:rsidR="003221F9" w:rsidRPr="00DA20F5">
        <w:rPr>
          <w:rStyle w:val="Hypertextovprepojenie"/>
          <w:color w:val="244061"/>
          <w:u w:val="none"/>
        </w:rPr>
        <w:t xml:space="preserve">UKAZOVATELE </w:t>
      </w:r>
      <w:r w:rsidRPr="00DA20F5">
        <w:fldChar w:fldCharType="end"/>
      </w:r>
      <w:r w:rsidR="003221F9" w:rsidRPr="00DA20F5">
        <w:t>V PODMIENKACH SR</w:t>
      </w:r>
      <w:bookmarkEnd w:id="57"/>
      <w:r w:rsidR="00391842" w:rsidRPr="00DA20F5">
        <w:tab/>
      </w:r>
    </w:p>
    <w:p w:rsidR="003221F9" w:rsidRPr="00DA20F5" w:rsidRDefault="003221F9" w:rsidP="00D36FB8">
      <w:pPr>
        <w:pStyle w:val="nadpis2"/>
      </w:pPr>
      <w:bookmarkStart w:id="58" w:name="_Toc326216949"/>
      <w:r w:rsidRPr="00DA20F5">
        <w:t>Základné makroekonomické charakteristiky</w:t>
      </w:r>
      <w:r w:rsidRPr="00DA20F5">
        <w:rPr>
          <w:rStyle w:val="Odkaznapoznmkupodiarou"/>
        </w:rPr>
        <w:footnoteReference w:id="1"/>
      </w:r>
      <w:bookmarkEnd w:id="58"/>
    </w:p>
    <w:p w:rsidR="00A350B1" w:rsidRPr="00DA20F5" w:rsidRDefault="00A350B1" w:rsidP="00D36FB8">
      <w:pPr>
        <w:ind w:firstLine="357"/>
      </w:pPr>
      <w:r w:rsidRPr="00DA20F5">
        <w:t>V roku 2011 pokračovalo mierne zlepšovanie makroekonomickej situácie, ktoré sa konečne prejavilo aj na trhu práce. Reálny hrubý domáci produkt rástol a zvyšovala sa i produktivita práce</w:t>
      </w:r>
      <w:r w:rsidR="004F3EF0" w:rsidRPr="00DA20F5">
        <w:t>.</w:t>
      </w:r>
      <w:r w:rsidRPr="00DA20F5">
        <w:t xml:space="preserve"> Situácia na trhu práce bola priaznivejšia ako v predchádzajúcom roku, po dvojročnom zhoršovaní hlavných ukazovateľov</w:t>
      </w:r>
      <w:r w:rsidR="00AC5AAB" w:rsidRPr="00DA20F5">
        <w:t xml:space="preserve"> </w:t>
      </w:r>
      <w:r w:rsidRPr="00DA20F5">
        <w:t>zamestnanosť medziročne vzrástla a nezamestnanosť klesla. Vyšší nárast spotrebiteľských cien</w:t>
      </w:r>
      <w:r w:rsidR="004F3EF0" w:rsidRPr="00DA20F5">
        <w:t>,</w:t>
      </w:r>
      <w:r w:rsidRPr="00DA20F5">
        <w:t xml:space="preserve"> ako </w:t>
      </w:r>
      <w:r w:rsidR="004F3EF0" w:rsidRPr="00DA20F5">
        <w:t xml:space="preserve">bol </w:t>
      </w:r>
      <w:r w:rsidRPr="00DA20F5">
        <w:t>nárast miezd</w:t>
      </w:r>
      <w:r w:rsidR="004F3EF0" w:rsidRPr="00DA20F5">
        <w:t>,</w:t>
      </w:r>
      <w:r w:rsidRPr="00DA20F5">
        <w:t xml:space="preserve"> mal za následok pokles priemernej reálnej mzdy. </w:t>
      </w:r>
    </w:p>
    <w:p w:rsidR="00A350B1" w:rsidRPr="00DA20F5" w:rsidRDefault="00A350B1" w:rsidP="00D36FB8">
      <w:pPr>
        <w:pStyle w:val="Normlnysozarkami12"/>
      </w:pPr>
      <w:r w:rsidRPr="00DA20F5">
        <w:rPr>
          <w:b/>
        </w:rPr>
        <w:t>Hrubý domáci produkt</w:t>
      </w:r>
      <w:r w:rsidR="00AF20A2" w:rsidRPr="00DA20F5">
        <w:rPr>
          <w:b/>
        </w:rPr>
        <w:t xml:space="preserve"> </w:t>
      </w:r>
      <w:r w:rsidR="00AF20A2" w:rsidRPr="00DA20F5">
        <w:t>(HDP)</w:t>
      </w:r>
      <w:r w:rsidRPr="00DA20F5">
        <w:rPr>
          <w:b/>
        </w:rPr>
        <w:t xml:space="preserve"> </w:t>
      </w:r>
      <w:r w:rsidRPr="00DA20F5">
        <w:t>sa</w:t>
      </w:r>
      <w:r w:rsidRPr="00DA20F5">
        <w:rPr>
          <w:b/>
        </w:rPr>
        <w:t xml:space="preserve"> </w:t>
      </w:r>
      <w:r w:rsidRPr="00DA20F5">
        <w:t>medziročne zvýšil podľa spresneného odhadu v stálych cenách na</w:t>
      </w:r>
      <w:r w:rsidR="00161E87" w:rsidRPr="00DA20F5">
        <w:t> </w:t>
      </w:r>
      <w:r w:rsidRPr="00DA20F5">
        <w:t>základe metodiky ESNÚ 95 o 3,3 %. Tempo rastu medziročného rastu sa zmiernilo o 0,9 p. b. V bežných cenách vzrástlo HDP na 69,06 mld. </w:t>
      </w:r>
      <w:r w:rsidR="004F3EF0" w:rsidRPr="00DA20F5">
        <w:t>€</w:t>
      </w:r>
      <w:r w:rsidRPr="00DA20F5">
        <w:t>, čo je o 5 % viac ako v roku 2010.</w:t>
      </w:r>
    </w:p>
    <w:p w:rsidR="00A350B1" w:rsidRPr="00DA20F5" w:rsidRDefault="00A350B1" w:rsidP="00975B41">
      <w:pPr>
        <w:pStyle w:val="Nadpis7"/>
        <w:spacing w:before="120" w:after="0"/>
      </w:pPr>
      <w:bookmarkStart w:id="59" w:name="_Toc294023470"/>
      <w:bookmarkStart w:id="60" w:name="_Toc294025709"/>
      <w:bookmarkStart w:id="61" w:name="_Toc294027948"/>
      <w:bookmarkStart w:id="62" w:name="_Toc313877439"/>
      <w:bookmarkStart w:id="63" w:name="_Toc325438102"/>
      <w:bookmarkStart w:id="64" w:name="_Toc325440876"/>
      <w:bookmarkStart w:id="65" w:name="_Toc325626689"/>
      <w:bookmarkStart w:id="66" w:name="_Toc326216950"/>
      <w:r w:rsidRPr="00DA20F5">
        <w:t>Graf 1.1 Vývoj hrubého domáceho produktu v bežných a stálych cenách</w:t>
      </w:r>
      <w:bookmarkEnd w:id="59"/>
      <w:bookmarkEnd w:id="60"/>
      <w:bookmarkEnd w:id="61"/>
      <w:bookmarkEnd w:id="62"/>
      <w:bookmarkEnd w:id="63"/>
      <w:bookmarkEnd w:id="64"/>
      <w:bookmarkEnd w:id="65"/>
      <w:bookmarkEnd w:id="66"/>
    </w:p>
    <w:p w:rsidR="00A350B1" w:rsidRPr="00DA20F5" w:rsidRDefault="00A350B1" w:rsidP="00975B41">
      <w:pPr>
        <w:pStyle w:val="AAAAodstavecsprava"/>
        <w:spacing w:after="0"/>
        <w:ind w:firstLine="0"/>
        <w:jc w:val="center"/>
        <w:rPr>
          <w:color w:val="4F81BD" w:themeColor="accent1"/>
          <w:sz w:val="22"/>
          <w:szCs w:val="22"/>
        </w:rPr>
      </w:pPr>
      <w:r w:rsidRPr="00DA20F5">
        <w:rPr>
          <w:noProof/>
          <w:color w:val="4F81BD" w:themeColor="accent1"/>
          <w:lang w:eastAsia="sk-SK"/>
        </w:rPr>
        <w:drawing>
          <wp:inline distT="0" distB="0" distL="0" distR="0" wp14:anchorId="01727EA6" wp14:editId="207146D3">
            <wp:extent cx="3739487" cy="2258704"/>
            <wp:effectExtent l="0" t="0" r="0" b="8255"/>
            <wp:docPr id="5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50B1" w:rsidRPr="00DA20F5" w:rsidRDefault="00A350B1" w:rsidP="00975B41">
      <w:pPr>
        <w:pStyle w:val="zdroj"/>
        <w:spacing w:before="0"/>
        <w:rPr>
          <w:color w:val="auto"/>
        </w:rPr>
      </w:pPr>
      <w:r w:rsidRPr="00DA20F5">
        <w:rPr>
          <w:color w:val="auto"/>
        </w:rPr>
        <w:t>Zdroj: ŠÚ SR</w:t>
      </w:r>
    </w:p>
    <w:p w:rsidR="00A350B1" w:rsidRPr="00DA20F5" w:rsidRDefault="00A350B1" w:rsidP="00D36FB8">
      <w:r w:rsidRPr="00DA20F5">
        <w:t>Medziročný rast hrubého domáceho produktu najviac ovplyvnilo reálne zvýšenie zahraničného dopytu o 10,8 %, dovoz výrobkov a služieb stúpol o 4,5 %. Domáci dopyt klesol o 1,5 % a jeho zníženie ovplyvnil pokles tvorby hrubého kapitálu o 2,7 % (tvorba hrubého fixného kapitálu rástla o 5,7 %), pokles konečnej spotreby verejnej správy o 3,5 % a</w:t>
      </w:r>
      <w:r w:rsidR="00531A70" w:rsidRPr="00DA20F5">
        <w:t xml:space="preserve"> pokles </w:t>
      </w:r>
      <w:r w:rsidRPr="00DA20F5">
        <w:t>konečnej spotreby domácností o 0,4 %. Konečná spotreba neziskových inštitúcií slúžiacich domácnostiam vzrástla v stálych cenách o 1,2 %. Podľa produkcie k tvorbe HDP najviac prispel rast pridanej hodnoty v odvetví priemyselnej výroby</w:t>
      </w:r>
      <w:r w:rsidR="00531A70" w:rsidRPr="00DA20F5">
        <w:t xml:space="preserve"> </w:t>
      </w:r>
      <w:r w:rsidRPr="00DA20F5">
        <w:t>(o</w:t>
      </w:r>
      <w:r w:rsidR="00161E87" w:rsidRPr="00DA20F5">
        <w:t> </w:t>
      </w:r>
      <w:r w:rsidRPr="00DA20F5">
        <w:t>15 %).</w:t>
      </w:r>
      <w:r w:rsidR="00531A70" w:rsidRPr="00DA20F5">
        <w:t xml:space="preserve"> </w:t>
      </w:r>
      <w:r w:rsidRPr="00DA20F5">
        <w:t xml:space="preserve">Celková hrubá produkcia reálne vzrástla o 5,1 %, medzispotreba o 6,4 %, pridaná hodnota o 3 % a objem čistých daní z produktov o 6,4 %. </w:t>
      </w:r>
    </w:p>
    <w:p w:rsidR="00A350B1" w:rsidRPr="00DA20F5" w:rsidRDefault="00A350B1" w:rsidP="00D36FB8">
      <w:pPr>
        <w:pStyle w:val="Normlnysozarkami12"/>
      </w:pPr>
      <w:r w:rsidRPr="00DA20F5">
        <w:rPr>
          <w:b/>
        </w:rPr>
        <w:t>Produktivita práce</w:t>
      </w:r>
      <w:r w:rsidRPr="00DA20F5">
        <w:rPr>
          <w:rStyle w:val="Odkaznapoznmkupodiarou"/>
          <w:szCs w:val="22"/>
        </w:rPr>
        <w:footnoteReference w:id="2"/>
      </w:r>
      <w:r w:rsidRPr="00DA20F5">
        <w:t xml:space="preserve"> sa medziročne zvýšila reálne o 0,8 % a nominálne o 2,5 %. Dynamika rastu produktivity práce však bola nižšia ako v predchádzajúcom roku.</w:t>
      </w:r>
    </w:p>
    <w:p w:rsidR="00A350B1" w:rsidRPr="00DA20F5" w:rsidRDefault="00A350B1" w:rsidP="00D36FB8">
      <w:pPr>
        <w:pStyle w:val="Normlnysozarkami12"/>
      </w:pPr>
      <w:r w:rsidRPr="00DA20F5">
        <w:t xml:space="preserve">Medziročná </w:t>
      </w:r>
      <w:r w:rsidRPr="00DA20F5">
        <w:rPr>
          <w:b/>
        </w:rPr>
        <w:t>miera inflácie</w:t>
      </w:r>
      <w:r w:rsidRPr="00DA20F5">
        <w:t xml:space="preserve"> dosiahla za rok 2011 v priemere 3,9 %, čo znamená, že oproti predchádzajúcemu roku sa zvýšila o 2,9 p. b. Medziročný rast spotrebiteľských cien sa v jednotlivých štvrťrokoch roka 2011 postupne zrýchľoval. Jadrová inflácia sa v priemere za rok zvýšila o 1,1 </w:t>
      </w:r>
      <w:r w:rsidR="00975B41" w:rsidRPr="00DA20F5">
        <w:t>p. b. na </w:t>
      </w:r>
      <w:r w:rsidRPr="00DA20F5">
        <w:t>2,3 % najmä v súvislosti s rastom cien potravín o 5,3 %. Čistá inflácia zvýšila medziročne dynamiku svojho rastu o 0,6 p. b. na 1,5 %. Index spotrebiteľských cien za nízkopríjmové domácnosti v priemere</w:t>
      </w:r>
      <w:r w:rsidRPr="00DA20F5">
        <w:rPr>
          <w:color w:val="4F81BD" w:themeColor="accent1"/>
        </w:rPr>
        <w:t xml:space="preserve"> </w:t>
      </w:r>
      <w:r w:rsidRPr="00DA20F5">
        <w:t>za rok 2011 medziročne vzrástol o 4,4 %. Priemerná inflácia meraná podľa harmonizovaného indexu spo</w:t>
      </w:r>
      <w:r w:rsidRPr="00DA20F5">
        <w:softHyphen/>
        <w:t>trebiteľských cien za rok 2011 dosiahla 4,1 % na Slovensku a 3,1 % v priemere za EÚ 27.</w:t>
      </w:r>
    </w:p>
    <w:p w:rsidR="00A350B1" w:rsidRPr="00DA20F5" w:rsidRDefault="00A350B1" w:rsidP="00D36FB8">
      <w:pPr>
        <w:pStyle w:val="Normlnysozarkami12"/>
      </w:pPr>
      <w:r w:rsidRPr="00DA20F5">
        <w:t xml:space="preserve">Celkovú úroveň cien v štruktúre individuálnej spotreby podľa klasifikácie individuálnej spotreby podľa účelu (COICOP) najviac ovplyvnili rast cien za potraviny a nealkoholické nápoje (o 6,1 %) </w:t>
      </w:r>
      <w:r w:rsidRPr="00DA20F5">
        <w:lastRenderedPageBreak/>
        <w:t>a rast cien za bývanie, vodu, elektri</w:t>
      </w:r>
      <w:r w:rsidR="0060765A" w:rsidRPr="00DA20F5">
        <w:t>n</w:t>
      </w:r>
      <w:r w:rsidRPr="00DA20F5">
        <w:t>u, plyn a iné palivá (o 5 %). Výrazne rástli aj ceny v</w:t>
      </w:r>
      <w:r w:rsidR="0060765A" w:rsidRPr="00DA20F5">
        <w:t> </w:t>
      </w:r>
      <w:r w:rsidRPr="00DA20F5">
        <w:t>doprave</w:t>
      </w:r>
      <w:r w:rsidR="0060765A" w:rsidRPr="00DA20F5">
        <w:t xml:space="preserve"> </w:t>
      </w:r>
      <w:r w:rsidRPr="00DA20F5">
        <w:t>(o</w:t>
      </w:r>
      <w:r w:rsidR="00F02F4F" w:rsidRPr="00DA20F5">
        <w:t> </w:t>
      </w:r>
      <w:r w:rsidRPr="00DA20F5">
        <w:t>6,9 %) a v oblasti vzdelávania (o 5 %). V priemere za rok sa znížili iba ceny za nábytok, vybavenie domácnosti a bežnú údržbu bytu (o 3,5 %).</w:t>
      </w:r>
    </w:p>
    <w:p w:rsidR="00A350B1" w:rsidRPr="00DA20F5" w:rsidRDefault="00A350B1" w:rsidP="00D36FB8">
      <w:pPr>
        <w:pStyle w:val="Normlnysozarkami12"/>
      </w:pPr>
      <w:r w:rsidRPr="00DA20F5">
        <w:t xml:space="preserve">Situácia na </w:t>
      </w:r>
      <w:r w:rsidRPr="00DA20F5">
        <w:rPr>
          <w:b/>
        </w:rPr>
        <w:t>trhu práce</w:t>
      </w:r>
      <w:r w:rsidRPr="00DA20F5">
        <w:t xml:space="preserve"> poznačená znížením ekonomickej výkonnosti krajiny v dôsledku ekonomickej krízy sa v roku 2011 mierne zlepšila. Celková </w:t>
      </w:r>
      <w:r w:rsidRPr="00DA20F5">
        <w:rPr>
          <w:b/>
        </w:rPr>
        <w:t>zamestnanosť</w:t>
      </w:r>
      <w:r w:rsidRPr="00DA20F5">
        <w:rPr>
          <w:rStyle w:val="Odkaznapoznmkupodiarou"/>
          <w:szCs w:val="22"/>
        </w:rPr>
        <w:footnoteReference w:id="3"/>
      </w:r>
      <w:r w:rsidRPr="00DA20F5">
        <w:t xml:space="preserve"> po dvojročnom poklese v roku 2011 medziročne vzrástla, a to o 1,5 % na 2 351,4 tis. osôb. Zvýšenie ovplyvnil hlavne rast počtu zamestnancov o 1,6 % na 1 977,5 tis.</w:t>
      </w:r>
      <w:r w:rsidR="00F02F4F" w:rsidRPr="00DA20F5">
        <w:t>,</w:t>
      </w:r>
      <w:r w:rsidRPr="00DA20F5">
        <w:t xml:space="preserve"> z odvetvového hľadiska to bol najmä rast v oblasti priemyslu a priemyselnej výroby, v ktorej pracuje viac ako štvrtina všetkých pracujúcich. Počet podnikateľov spolu vzrástol o 5,4 tis. na 372,4 tis. osôb </w:t>
      </w:r>
      <w:r w:rsidR="00F02F4F" w:rsidRPr="00DA20F5">
        <w:t xml:space="preserve">najmä </w:t>
      </w:r>
      <w:r w:rsidRPr="00DA20F5">
        <w:t>v dôsledku rastu počtu podnikateľov bez zamestnancov (o 5,9 tis. na 290,3 tis.), počet podnikateľov so zamestnancami klesol o 0,6 tis. osôb (na</w:t>
      </w:r>
      <w:r w:rsidR="00F02F4F" w:rsidRPr="00DA20F5">
        <w:t> </w:t>
      </w:r>
      <w:r w:rsidRPr="00DA20F5">
        <w:t>82,1 tis. osôb). Miera zamestnanosti</w:t>
      </w:r>
      <w:r w:rsidRPr="00DA20F5">
        <w:rPr>
          <w:vertAlign w:val="superscript"/>
        </w:rPr>
        <w:footnoteReference w:id="4"/>
      </w:r>
      <w:r w:rsidRPr="00DA20F5">
        <w:t xml:space="preserve"> sa medziročne zvýšila o 0,7 p. b. na 59,5 %, pričom u mužov sa zvýšila viac ako u žien. Nezamestnanosť po dvojročnom raste</w:t>
      </w:r>
      <w:r w:rsidR="00975B41" w:rsidRPr="00DA20F5">
        <w:t xml:space="preserve"> mierne poklesla. V priemere za </w:t>
      </w:r>
      <w:r w:rsidRPr="00DA20F5">
        <w:t>rok</w:t>
      </w:r>
      <w:r w:rsidR="00F02F4F" w:rsidRPr="00DA20F5">
        <w:t> </w:t>
      </w:r>
      <w:r w:rsidRPr="00DA20F5">
        <w:t>2011 sa počet nezamestnaných (podľa VZPS) medziročne znížil o 5,4 % na 367,9 tis. osôb. Miera nezamestnanosti klesla o 0,9 p. b. na 13,5 %. Zníženie nezamestnanosti sprevádzal v roku 2011 mierny rast ponuky voľných pracovných miest. Ich počet sa v priemere za rok medziročne zvýšil</w:t>
      </w:r>
      <w:r w:rsidR="003120FD" w:rsidRPr="00DA20F5">
        <w:t xml:space="preserve"> </w:t>
      </w:r>
      <w:r w:rsidR="00975B41" w:rsidRPr="00DA20F5">
        <w:t>o 5,5 </w:t>
      </w:r>
      <w:r w:rsidRPr="00DA20F5">
        <w:t>% na 14</w:t>
      </w:r>
      <w:r w:rsidR="003120FD" w:rsidRPr="00DA20F5">
        <w:t> </w:t>
      </w:r>
      <w:r w:rsidRPr="00DA20F5">
        <w:t>165</w:t>
      </w:r>
      <w:r w:rsidR="003120FD" w:rsidRPr="00DA20F5">
        <w:t>.</w:t>
      </w:r>
    </w:p>
    <w:p w:rsidR="00A350B1" w:rsidRPr="00DA20F5" w:rsidRDefault="00A350B1" w:rsidP="00D36FB8">
      <w:pPr>
        <w:pStyle w:val="Normlnysozarkami12"/>
        <w:rPr>
          <w:color w:val="000000" w:themeColor="text1"/>
        </w:rPr>
      </w:pPr>
      <w:r w:rsidRPr="00DA20F5">
        <w:rPr>
          <w:b/>
        </w:rPr>
        <w:t>Priemerná mesačná nominálna mzda</w:t>
      </w:r>
      <w:r w:rsidRPr="00DA20F5">
        <w:rPr>
          <w:vertAlign w:val="superscript"/>
        </w:rPr>
        <w:footnoteReference w:id="5"/>
      </w:r>
      <w:r w:rsidRPr="00DA20F5">
        <w:t xml:space="preserve"> zamestnanca v hospodárstve sa v priemere za rok 2011 medziročne zvýšila o 2,2 % na 786 €. Po zohľadnení vývoja spotrebiteľských cien reálna mzda klesla o 1,6 %. Štrukturálne hlbšie porovnanie makroekonomických ukazovateľov ako aj porovnanie v </w:t>
      </w:r>
      <w:r w:rsidRPr="00DA20F5">
        <w:rPr>
          <w:color w:val="000000" w:themeColor="text1"/>
        </w:rPr>
        <w:t xml:space="preserve">medzinárodnom meradle je uvedené v nasledujúcich kapitolách správy. </w:t>
      </w:r>
    </w:p>
    <w:p w:rsidR="00A350B1" w:rsidRPr="00DA20F5" w:rsidRDefault="00A350B1" w:rsidP="00D36FB8">
      <w:pPr>
        <w:pStyle w:val="Normlnysozarkami12"/>
        <w:rPr>
          <w:color w:val="000000" w:themeColor="text1"/>
        </w:rPr>
      </w:pPr>
      <w:r w:rsidRPr="00DA20F5">
        <w:rPr>
          <w:color w:val="000000" w:themeColor="text1"/>
        </w:rPr>
        <w:t>Bežné príjmy domácností</w:t>
      </w:r>
      <w:r w:rsidRPr="00DA20F5">
        <w:rPr>
          <w:color w:val="000000" w:themeColor="text1"/>
          <w:vertAlign w:val="superscript"/>
        </w:rPr>
        <w:footnoteReference w:id="6"/>
      </w:r>
      <w:r w:rsidRPr="00DA20F5">
        <w:rPr>
          <w:color w:val="000000" w:themeColor="text1"/>
        </w:rPr>
        <w:t xml:space="preserve"> medziročne nominálne vzrástli o 3 %. Z celkového objemu</w:t>
      </w:r>
      <w:r w:rsidR="00437D25" w:rsidRPr="00DA20F5">
        <w:rPr>
          <w:color w:val="000000" w:themeColor="text1"/>
        </w:rPr>
        <w:t xml:space="preserve"> </w:t>
      </w:r>
      <w:r w:rsidR="00975B41" w:rsidRPr="00DA20F5">
        <w:rPr>
          <w:color w:val="000000" w:themeColor="text1"/>
        </w:rPr>
        <w:t>58 139,9 </w:t>
      </w:r>
      <w:r w:rsidRPr="00DA20F5">
        <w:rPr>
          <w:color w:val="000000" w:themeColor="text1"/>
        </w:rPr>
        <w:t>mil. € najväčšiu časť tvorili od</w:t>
      </w:r>
      <w:r w:rsidRPr="00DA20F5">
        <w:rPr>
          <w:color w:val="000000" w:themeColor="text1"/>
        </w:rPr>
        <w:softHyphen/>
        <w:t>me</w:t>
      </w:r>
      <w:r w:rsidRPr="00DA20F5">
        <w:rPr>
          <w:color w:val="000000" w:themeColor="text1"/>
        </w:rPr>
        <w:softHyphen/>
        <w:t>ny zamestnancov (27 095,1 mil. €). Hrubý zmiešaný dôchodok dosiahol 17 357,</w:t>
      </w:r>
      <w:r w:rsidR="00285E1A" w:rsidRPr="00DA20F5">
        <w:rPr>
          <w:color w:val="000000" w:themeColor="text1"/>
        </w:rPr>
        <w:t>2</w:t>
      </w:r>
      <w:r w:rsidRPr="00DA20F5">
        <w:rPr>
          <w:color w:val="000000" w:themeColor="text1"/>
        </w:rPr>
        <w:t xml:space="preserve"> mil. €, sociálne dávky</w:t>
      </w:r>
      <w:r w:rsidRPr="00DA20F5">
        <w:rPr>
          <w:color w:val="000000" w:themeColor="text1"/>
          <w:vertAlign w:val="superscript"/>
        </w:rPr>
        <w:footnoteReference w:id="7"/>
      </w:r>
      <w:r w:rsidR="00975B41" w:rsidRPr="00DA20F5">
        <w:rPr>
          <w:color w:val="000000" w:themeColor="text1"/>
        </w:rPr>
        <w:t xml:space="preserve"> 9 598 </w:t>
      </w:r>
      <w:r w:rsidRPr="00DA20F5">
        <w:rPr>
          <w:color w:val="000000" w:themeColor="text1"/>
        </w:rPr>
        <w:t>mil.</w:t>
      </w:r>
      <w:r w:rsidR="00975B41" w:rsidRPr="00DA20F5">
        <w:rPr>
          <w:color w:val="000000" w:themeColor="text1"/>
        </w:rPr>
        <w:t> </w:t>
      </w:r>
      <w:r w:rsidRPr="00DA20F5">
        <w:rPr>
          <w:color w:val="000000" w:themeColor="text1"/>
        </w:rPr>
        <w:t>€, ostat</w:t>
      </w:r>
      <w:r w:rsidR="00975B41" w:rsidRPr="00DA20F5">
        <w:rPr>
          <w:color w:val="000000" w:themeColor="text1"/>
        </w:rPr>
        <w:t>né bežné transfery 2 234,9 mil. </w:t>
      </w:r>
      <w:r w:rsidRPr="00DA20F5">
        <w:rPr>
          <w:color w:val="000000" w:themeColor="text1"/>
        </w:rPr>
        <w:t>€ a</w:t>
      </w:r>
      <w:r w:rsidR="00F02F4F" w:rsidRPr="00DA20F5">
        <w:rPr>
          <w:color w:val="000000" w:themeColor="text1"/>
        </w:rPr>
        <w:t> </w:t>
      </w:r>
      <w:r w:rsidRPr="00DA20F5">
        <w:rPr>
          <w:color w:val="000000" w:themeColor="text1"/>
        </w:rPr>
        <w:t>dôchodky z majetku (príjmové) 1 854,5 mil. €. Nominálny nárast bežných príjmov domácností najviac ovplyvnili odmeny zamestnancov, ktoré sa medziročne zvýšili o 2,8 % a rast hrubého zmiešaného dôchodku o 5,3 %. Vzrástli aj príjmy z dôchodku z majetku (o 1,7 %), mierny úbytok bol zaznamenaný iba pri príjmoch zo sociálnych dávok, a to o 0,</w:t>
      </w:r>
      <w:r w:rsidR="00285E1A" w:rsidRPr="00DA20F5">
        <w:rPr>
          <w:color w:val="000000" w:themeColor="text1"/>
        </w:rPr>
        <w:t>7</w:t>
      </w:r>
      <w:r w:rsidRPr="00DA20F5">
        <w:rPr>
          <w:color w:val="000000" w:themeColor="text1"/>
        </w:rPr>
        <w:t xml:space="preserve"> %. </w:t>
      </w:r>
    </w:p>
    <w:p w:rsidR="00A350B1" w:rsidRPr="00DA20F5" w:rsidRDefault="00A350B1" w:rsidP="00D36FB8">
      <w:pPr>
        <w:pStyle w:val="Normlnysozarkami12"/>
      </w:pPr>
      <w:r w:rsidRPr="00DA20F5">
        <w:rPr>
          <w:color w:val="000000" w:themeColor="text1"/>
        </w:rPr>
        <w:t>Bežné výdavky do</w:t>
      </w:r>
      <w:r w:rsidRPr="00DA20F5">
        <w:rPr>
          <w:color w:val="000000" w:themeColor="text1"/>
        </w:rPr>
        <w:softHyphen/>
        <w:t>mác</w:t>
      </w:r>
      <w:r w:rsidRPr="00DA20F5">
        <w:rPr>
          <w:color w:val="000000" w:themeColor="text1"/>
        </w:rPr>
        <w:softHyphen/>
        <w:t>ností</w:t>
      </w:r>
      <w:r w:rsidRPr="00DA20F5">
        <w:rPr>
          <w:color w:val="000000" w:themeColor="text1"/>
          <w:vertAlign w:val="superscript"/>
        </w:rPr>
        <w:footnoteReference w:id="8"/>
      </w:r>
      <w:r w:rsidRPr="00DA20F5">
        <w:rPr>
          <w:color w:val="000000" w:themeColor="text1"/>
        </w:rPr>
        <w:t xml:space="preserve"> dosiahli 15 016 mil. € a v porovnaní s rokom</w:t>
      </w:r>
      <w:r w:rsidRPr="00DA20F5">
        <w:t xml:space="preserve"> 2010 no</w:t>
      </w:r>
      <w:r w:rsidRPr="00DA20F5">
        <w:softHyphen/>
        <w:t>minálne vzrástli o 3,1 %. Rast bežných výdavkov súvisel najmä so zvýšením bežných daní z dôchodkov, majetku atď. (o 7,4 %), sociálnych príspevkov (o 2,9 %) a výdavkových dôchodkov z majetku (o 3,9 %). Po</w:t>
      </w:r>
      <w:r w:rsidR="00F02F4F" w:rsidRPr="00DA20F5">
        <w:t> </w:t>
      </w:r>
      <w:r w:rsidRPr="00DA20F5">
        <w:t>uhradení bež</w:t>
      </w:r>
      <w:r w:rsidRPr="00DA20F5">
        <w:softHyphen/>
        <w:t>ných výdavkov ostal domácnostiam na ďalšie po</w:t>
      </w:r>
      <w:r w:rsidRPr="00DA20F5">
        <w:softHyphen/>
        <w:t>užitie hrubý disponibilný dôchodok vo výške 43 123,9 mil. €, ktorý sa medziročne zvýšil o 2,9 %.</w:t>
      </w:r>
    </w:p>
    <w:p w:rsidR="00A350B1" w:rsidRPr="00DA20F5" w:rsidRDefault="00A350B1" w:rsidP="00D36FB8">
      <w:pPr>
        <w:pStyle w:val="Normlnysozarkami12"/>
      </w:pPr>
      <w:r w:rsidRPr="00DA20F5">
        <w:t>Z hrubého disponibilného dôchodku použili domácnosti na konečnú spotrebu 39 018,4 mil. €, zvyšok smeroval do hrubých úspo</w:t>
      </w:r>
      <w:r w:rsidRPr="00DA20F5">
        <w:softHyphen/>
        <w:t>r, ktoré tvorili 5 126,1 mil. €. Konečná spotreba domácností vzrástla nominálne o 3,4 % a hrubé úspory klesli o 0,1 %. Miera hrubých úspor (podiel hrubých úspor na hru</w:t>
      </w:r>
      <w:r w:rsidRPr="00DA20F5">
        <w:softHyphen/>
        <w:t>bom dis</w:t>
      </w:r>
      <w:r w:rsidRPr="00DA20F5">
        <w:softHyphen/>
        <w:t>ponibilnom dôchodku) klesla o 0,3 p. b. na 11,9 %. Domácnosti v roku 2011 vynaložili viac finančných prostriedkov najmä na rozličné tovary a služby (o 7,8 %), na bývanie, vodu, elektrinu, plyn a iné palivá (o 4,7 %), na vzdelávanie (o 4,7 %), na dopravu (</w:t>
      </w:r>
      <w:r w:rsidR="00F02F4F" w:rsidRPr="00DA20F5">
        <w:t xml:space="preserve">o </w:t>
      </w:r>
      <w:r w:rsidRPr="00DA20F5">
        <w:t>3,7 %) a na potraviny a nealkoholické nápoje (</w:t>
      </w:r>
      <w:r w:rsidR="00F02F4F" w:rsidRPr="00DA20F5">
        <w:t xml:space="preserve">o </w:t>
      </w:r>
      <w:r w:rsidRPr="00DA20F5">
        <w:t>3,6 %). Okrem mierneho poklesu výdavkov na nábytok, bytové zariadenia a bežnú údržbu bytu (o 0,5 %) a na poštu a telekomunikácie (o 0,2 %), vzrástli výdavky vo všetkých oblastiach spotreby.</w:t>
      </w:r>
      <w:r w:rsidR="00437D25" w:rsidRPr="00DA20F5">
        <w:t xml:space="preserve"> </w:t>
      </w:r>
      <w:r w:rsidRPr="00DA20F5">
        <w:t>Z hľadiska podielu tvorili najväčšiu časť súkromnej spotreby výdavky na bývanie 26,1 % a</w:t>
      </w:r>
      <w:r w:rsidR="00F02F4F" w:rsidRPr="00DA20F5">
        <w:t> </w:t>
      </w:r>
      <w:r w:rsidRPr="00DA20F5">
        <w:t>nákupy potravinárskeho tovaru 18 %.</w:t>
      </w:r>
    </w:p>
    <w:p w:rsidR="00A350B1" w:rsidRPr="00DA20F5" w:rsidRDefault="00A350B1" w:rsidP="00D36FB8">
      <w:pPr>
        <w:pStyle w:val="Normlnysozarkami12"/>
      </w:pPr>
      <w:r w:rsidRPr="00DA20F5">
        <w:t>V priebehu roka 2011 sa začala výstavba 12 740 bytov, dokončilo sa 14 608 a ku kon</w:t>
      </w:r>
      <w:r w:rsidRPr="00DA20F5">
        <w:softHyphen/>
        <w:t>cu decembra bolo rozostavaných 64 734 by</w:t>
      </w:r>
      <w:r w:rsidRPr="00DA20F5">
        <w:softHyphen/>
        <w:t>tov. Ubudlo spolu 1 226 bytov, z toho asanáciou 1 085 bytov.</w:t>
      </w:r>
      <w:r w:rsidRPr="00DA20F5">
        <w:rPr>
          <w:color w:val="4F81BD" w:themeColor="accent1"/>
        </w:rPr>
        <w:t xml:space="preserve"> </w:t>
      </w:r>
      <w:r w:rsidRPr="00DA20F5">
        <w:t>V porovnaní s rokom 2010 sa počet rozostavaných bytov znížil o 2,8 % a dokon</w:t>
      </w:r>
      <w:r w:rsidRPr="00DA20F5">
        <w:softHyphen/>
        <w:t xml:space="preserve">čených bytov o 14,5 %. Počet začatých bytov sa medziročne znížil o 21,4 %. </w:t>
      </w:r>
    </w:p>
    <w:p w:rsidR="00A350B1" w:rsidRPr="00DA20F5" w:rsidRDefault="00A350B1" w:rsidP="00D36FB8"/>
    <w:p w:rsidR="00A350B1" w:rsidRPr="00DA20F5" w:rsidRDefault="00A350B1" w:rsidP="00D36FB8">
      <w:r w:rsidRPr="00DA20F5">
        <w:t>Makroekonomické ukazovatele sú zhrnuté v príloh</w:t>
      </w:r>
      <w:r w:rsidR="00C83676" w:rsidRPr="00DA20F5">
        <w:t>e</w:t>
      </w:r>
      <w:r w:rsidRPr="00DA20F5">
        <w:t xml:space="preserve"> ku kapitole 1.</w:t>
      </w:r>
    </w:p>
    <w:p w:rsidR="00A350B1" w:rsidRPr="00DA20F5" w:rsidRDefault="00A350B1" w:rsidP="00D36FB8">
      <w:pPr>
        <w:pStyle w:val="nadpis2"/>
      </w:pPr>
      <w:bookmarkStart w:id="67" w:name="_Toc294023471"/>
      <w:bookmarkStart w:id="68" w:name="_Toc326216951"/>
      <w:r w:rsidRPr="00DA20F5">
        <w:lastRenderedPageBreak/>
        <w:t>Vybrané demografické ukazovatele</w:t>
      </w:r>
      <w:bookmarkEnd w:id="67"/>
      <w:bookmarkEnd w:id="68"/>
    </w:p>
    <w:p w:rsidR="00A350B1" w:rsidRPr="00DA20F5" w:rsidRDefault="00A350B1" w:rsidP="00D36FB8">
      <w:r w:rsidRPr="00DA20F5">
        <w:t xml:space="preserve">V roku 2011 sa podľa údajov Štatistického úradu SR </w:t>
      </w:r>
      <w:r w:rsidR="003B6F57" w:rsidRPr="00DA20F5">
        <w:t xml:space="preserve">(ŠÚ SR) </w:t>
      </w:r>
      <w:r w:rsidRPr="00DA20F5">
        <w:t>v Slovenskej republike narodilo 60 813 živých detí (o 403 viac ako v roku 2010) a zomrelo 51 903 osôb (o 1 542 menej ako v roku 2010</w:t>
      </w:r>
      <w:r w:rsidR="001D08D0" w:rsidRPr="00DA20F5">
        <w:t>.</w:t>
      </w:r>
    </w:p>
    <w:p w:rsidR="00A350B1" w:rsidRPr="00DA20F5" w:rsidRDefault="00A350B1" w:rsidP="00D36FB8">
      <w:pPr>
        <w:pStyle w:val="Normlnysozarkami12"/>
      </w:pPr>
      <w:r w:rsidRPr="00DA20F5">
        <w:t>Uzavretých bolo 25 621 manželstiev a rozviedlo sa 11 102 manželských dvojíc. V porovnaní s rokom 2010 bol počet sobášov vyšší o 206 a počet rozvodov nižší o 913. Na 100 uzavretých manželstiev pripadlo 43,3 roz</w:t>
      </w:r>
      <w:r w:rsidRPr="00DA20F5">
        <w:softHyphen/>
        <w:t>vodov. Tieto údaje potvrdili doterajší kolísavý trend vývoja sobášnosti. V prípade rozvodovosti ide o pokračovanie v miernom pribrzďovaní dlhodobo rastúceho trendu.</w:t>
      </w:r>
    </w:p>
    <w:p w:rsidR="00A350B1" w:rsidRPr="00DA20F5" w:rsidRDefault="00A350B1" w:rsidP="00D36FB8">
      <w:pPr>
        <w:pStyle w:val="Normlnysozarkami12"/>
        <w:rPr>
          <w:color w:val="000000" w:themeColor="text1"/>
        </w:rPr>
      </w:pPr>
      <w:r w:rsidRPr="00DA20F5">
        <w:t xml:space="preserve">V dôsledku zvýšenia pôrodnosti a zníženia úmrtnosti sa prirodzený prírastok obyvateľstva v roku 2011 v </w:t>
      </w:r>
      <w:r w:rsidRPr="00DA20F5">
        <w:rPr>
          <w:color w:val="000000" w:themeColor="text1"/>
        </w:rPr>
        <w:t>porovnaní s rokom 2010 zvýšil o 1 945 osôb. Nižší oproti roku 2010 bol v roku 2011 migračný prírastok (o 471 osôb). Zahraničnou migráciou získa</w:t>
      </w:r>
      <w:r w:rsidRPr="00DA20F5">
        <w:rPr>
          <w:color w:val="000000" w:themeColor="text1"/>
        </w:rPr>
        <w:softHyphen/>
        <w:t>la Slovenská republika 2 966 osôb, pričom sa prisťa</w:t>
      </w:r>
      <w:r w:rsidRPr="00DA20F5">
        <w:rPr>
          <w:color w:val="000000" w:themeColor="text1"/>
        </w:rPr>
        <w:softHyphen/>
        <w:t>hovalo 4 829 osôb a vysťahovalo 1 863 osôb. Celkový prírastok obyvateľstva sa však zvýšil o 1 528 osôb na 11 876 osôb.</w:t>
      </w:r>
    </w:p>
    <w:p w:rsidR="00A350B1" w:rsidRPr="00DA20F5" w:rsidRDefault="00A350B1" w:rsidP="00D36FB8">
      <w:pPr>
        <w:pStyle w:val="Normlnysozarkami12"/>
        <w:rPr>
          <w:color w:val="000000" w:themeColor="text1"/>
        </w:rPr>
      </w:pPr>
      <w:r w:rsidRPr="00DA20F5">
        <w:rPr>
          <w:color w:val="000000" w:themeColor="text1"/>
        </w:rPr>
        <w:t xml:space="preserve">K 31. decembru 2011 mala Slovenská republika </w:t>
      </w:r>
      <w:r w:rsidR="00A505E8" w:rsidRPr="00DA20F5">
        <w:rPr>
          <w:color w:val="000000" w:themeColor="text1"/>
        </w:rPr>
        <w:t>5 404 322 o</w:t>
      </w:r>
      <w:r w:rsidRPr="00DA20F5">
        <w:rPr>
          <w:color w:val="000000" w:themeColor="text1"/>
        </w:rPr>
        <w:t>byvateľov. Podiel žien na celkovom počte obyvateľstva tvoril 51,</w:t>
      </w:r>
      <w:r w:rsidR="00A505E8" w:rsidRPr="00DA20F5">
        <w:rPr>
          <w:color w:val="000000" w:themeColor="text1"/>
        </w:rPr>
        <w:t>3</w:t>
      </w:r>
      <w:r w:rsidRPr="00DA20F5">
        <w:rPr>
          <w:color w:val="000000" w:themeColor="text1"/>
        </w:rPr>
        <w:t xml:space="preserve"> %.</w:t>
      </w:r>
    </w:p>
    <w:p w:rsidR="00A350B1" w:rsidRPr="00DA20F5" w:rsidRDefault="002256A0" w:rsidP="00D36FB8">
      <w:pPr>
        <w:pStyle w:val="Nadpis7"/>
      </w:pPr>
      <w:bookmarkStart w:id="69" w:name="_Toc294023472"/>
      <w:bookmarkStart w:id="70" w:name="_Toc294025711"/>
      <w:bookmarkStart w:id="71" w:name="_Toc294027950"/>
      <w:bookmarkStart w:id="72" w:name="_Toc313877441"/>
      <w:bookmarkStart w:id="73" w:name="_Toc325438104"/>
      <w:bookmarkStart w:id="74" w:name="_Toc325440878"/>
      <w:bookmarkStart w:id="75" w:name="_Toc325626691"/>
      <w:bookmarkStart w:id="76" w:name="_Toc326216952"/>
      <w:r w:rsidRPr="00DA20F5">
        <w:t xml:space="preserve">Tab. </w:t>
      </w:r>
      <w:r w:rsidR="00A350B1" w:rsidRPr="00DA20F5">
        <w:t>1.1</w:t>
      </w:r>
      <w:r w:rsidRPr="00DA20F5">
        <w:t xml:space="preserve"> </w:t>
      </w:r>
      <w:r w:rsidR="00A350B1" w:rsidRPr="00DA20F5">
        <w:t>Prírastky obyvateľstva SR v rokoch 2010 a 201</w:t>
      </w:r>
      <w:bookmarkEnd w:id="69"/>
      <w:bookmarkEnd w:id="70"/>
      <w:bookmarkEnd w:id="71"/>
      <w:bookmarkEnd w:id="72"/>
      <w:r w:rsidR="00A350B1" w:rsidRPr="00DA20F5">
        <w:t>1</w:t>
      </w:r>
      <w:bookmarkEnd w:id="73"/>
      <w:bookmarkEnd w:id="74"/>
      <w:bookmarkEnd w:id="75"/>
      <w:bookmarkEnd w:id="76"/>
    </w:p>
    <w:tbl>
      <w:tblPr>
        <w:tblW w:w="8914"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87"/>
        <w:gridCol w:w="1488"/>
        <w:gridCol w:w="1555"/>
        <w:gridCol w:w="1487"/>
        <w:gridCol w:w="1658"/>
        <w:gridCol w:w="1839"/>
      </w:tblGrid>
      <w:tr w:rsidR="00A350B1" w:rsidRPr="00DA20F5" w:rsidTr="00A65134">
        <w:trPr>
          <w:trHeight w:val="502"/>
          <w:jc w:val="center"/>
        </w:trPr>
        <w:tc>
          <w:tcPr>
            <w:tcW w:w="895" w:type="dxa"/>
            <w:shd w:val="clear" w:color="auto" w:fill="4F81BD"/>
            <w:vAlign w:val="center"/>
            <w:hideMark/>
          </w:tcPr>
          <w:p w:rsidR="00A350B1" w:rsidRPr="00DA20F5" w:rsidRDefault="00A350B1" w:rsidP="00D36FB8">
            <w:pPr>
              <w:rPr>
                <w:b/>
                <w:color w:val="FFFFFF" w:themeColor="background1"/>
              </w:rPr>
            </w:pPr>
            <w:bookmarkStart w:id="77" w:name="_Toc294016304"/>
            <w:bookmarkStart w:id="78" w:name="_Toc294018433"/>
            <w:bookmarkStart w:id="79" w:name="_Toc294023473"/>
            <w:bookmarkStart w:id="80" w:name="_Toc294025712"/>
            <w:bookmarkStart w:id="81" w:name="_Toc294027951"/>
            <w:bookmarkStart w:id="82" w:name="_Toc313877442"/>
            <w:r w:rsidRPr="00DA20F5">
              <w:rPr>
                <w:b/>
                <w:color w:val="FFFFFF" w:themeColor="background1"/>
              </w:rPr>
              <w:t>Rok</w:t>
            </w:r>
            <w:bookmarkEnd w:id="77"/>
            <w:bookmarkEnd w:id="78"/>
            <w:bookmarkEnd w:id="79"/>
            <w:bookmarkEnd w:id="80"/>
            <w:bookmarkEnd w:id="81"/>
            <w:bookmarkEnd w:id="82"/>
          </w:p>
        </w:tc>
        <w:tc>
          <w:tcPr>
            <w:tcW w:w="1430" w:type="dxa"/>
            <w:shd w:val="clear" w:color="auto" w:fill="4F81BD"/>
            <w:vAlign w:val="center"/>
            <w:hideMark/>
          </w:tcPr>
          <w:p w:rsidR="00A350B1" w:rsidRPr="00DA20F5" w:rsidRDefault="00A350B1" w:rsidP="00D36FB8">
            <w:pPr>
              <w:jc w:val="center"/>
              <w:rPr>
                <w:b/>
                <w:color w:val="FFFFFF" w:themeColor="background1"/>
              </w:rPr>
            </w:pPr>
            <w:bookmarkStart w:id="83" w:name="_Toc294016305"/>
            <w:bookmarkStart w:id="84" w:name="_Toc294018434"/>
            <w:bookmarkStart w:id="85" w:name="_Toc294023474"/>
            <w:bookmarkStart w:id="86" w:name="_Toc294025713"/>
            <w:bookmarkStart w:id="87" w:name="_Toc294027952"/>
            <w:bookmarkStart w:id="88" w:name="_Toc313877443"/>
            <w:bookmarkStart w:id="89" w:name="_Toc325438105"/>
            <w:r w:rsidRPr="00DA20F5">
              <w:rPr>
                <w:b/>
                <w:color w:val="FFFFFF" w:themeColor="background1"/>
              </w:rPr>
              <w:t>Živonarodení</w:t>
            </w:r>
            <w:bookmarkEnd w:id="83"/>
            <w:bookmarkEnd w:id="84"/>
            <w:bookmarkEnd w:id="85"/>
            <w:bookmarkEnd w:id="86"/>
            <w:bookmarkEnd w:id="87"/>
            <w:bookmarkEnd w:id="88"/>
            <w:bookmarkEnd w:id="89"/>
          </w:p>
        </w:tc>
        <w:tc>
          <w:tcPr>
            <w:tcW w:w="1569" w:type="dxa"/>
            <w:shd w:val="clear" w:color="auto" w:fill="4F81BD"/>
            <w:vAlign w:val="center"/>
            <w:hideMark/>
          </w:tcPr>
          <w:p w:rsidR="00A350B1" w:rsidRPr="00DA20F5" w:rsidRDefault="00A350B1" w:rsidP="00D36FB8">
            <w:pPr>
              <w:jc w:val="center"/>
              <w:rPr>
                <w:b/>
                <w:color w:val="FFFFFF" w:themeColor="background1"/>
              </w:rPr>
            </w:pPr>
            <w:bookmarkStart w:id="90" w:name="_Toc294016306"/>
            <w:bookmarkStart w:id="91" w:name="_Toc294018435"/>
            <w:bookmarkStart w:id="92" w:name="_Toc294023475"/>
            <w:bookmarkStart w:id="93" w:name="_Toc294025714"/>
            <w:bookmarkStart w:id="94" w:name="_Toc294027953"/>
            <w:bookmarkStart w:id="95" w:name="_Toc313877444"/>
            <w:bookmarkStart w:id="96" w:name="_Toc325438106"/>
            <w:r w:rsidRPr="00DA20F5">
              <w:rPr>
                <w:b/>
                <w:color w:val="FFFFFF" w:themeColor="background1"/>
              </w:rPr>
              <w:t>Zomretí</w:t>
            </w:r>
            <w:bookmarkEnd w:id="90"/>
            <w:bookmarkEnd w:id="91"/>
            <w:bookmarkEnd w:id="92"/>
            <w:bookmarkEnd w:id="93"/>
            <w:bookmarkEnd w:id="94"/>
            <w:bookmarkEnd w:id="95"/>
            <w:bookmarkEnd w:id="96"/>
          </w:p>
        </w:tc>
        <w:tc>
          <w:tcPr>
            <w:tcW w:w="1492" w:type="dxa"/>
            <w:shd w:val="clear" w:color="auto" w:fill="4F81BD"/>
            <w:vAlign w:val="center"/>
            <w:hideMark/>
          </w:tcPr>
          <w:p w:rsidR="00A350B1" w:rsidRPr="00DA20F5" w:rsidRDefault="00A350B1" w:rsidP="00D36FB8">
            <w:pPr>
              <w:jc w:val="center"/>
              <w:rPr>
                <w:b/>
                <w:color w:val="FFFFFF" w:themeColor="background1"/>
              </w:rPr>
            </w:pPr>
            <w:bookmarkStart w:id="97" w:name="_Toc294016307"/>
            <w:bookmarkStart w:id="98" w:name="_Toc294018436"/>
            <w:bookmarkStart w:id="99" w:name="_Toc294023476"/>
            <w:bookmarkStart w:id="100" w:name="_Toc294025715"/>
            <w:bookmarkStart w:id="101" w:name="_Toc294027954"/>
            <w:bookmarkStart w:id="102" w:name="_Toc313877445"/>
            <w:bookmarkStart w:id="103" w:name="_Toc325438107"/>
            <w:r w:rsidRPr="00DA20F5">
              <w:rPr>
                <w:b/>
                <w:color w:val="FFFFFF" w:themeColor="background1"/>
              </w:rPr>
              <w:t>Prirodzený prírastok</w:t>
            </w:r>
            <w:bookmarkEnd w:id="97"/>
            <w:bookmarkEnd w:id="98"/>
            <w:bookmarkEnd w:id="99"/>
            <w:bookmarkEnd w:id="100"/>
            <w:bookmarkEnd w:id="101"/>
            <w:bookmarkEnd w:id="102"/>
            <w:bookmarkEnd w:id="103"/>
          </w:p>
        </w:tc>
        <w:tc>
          <w:tcPr>
            <w:tcW w:w="1671" w:type="dxa"/>
            <w:shd w:val="clear" w:color="auto" w:fill="4F81BD"/>
            <w:vAlign w:val="center"/>
            <w:hideMark/>
          </w:tcPr>
          <w:p w:rsidR="00A350B1" w:rsidRPr="00DA20F5" w:rsidRDefault="00A350B1" w:rsidP="00D36FB8">
            <w:pPr>
              <w:jc w:val="center"/>
              <w:rPr>
                <w:b/>
                <w:color w:val="FFFFFF" w:themeColor="background1"/>
              </w:rPr>
            </w:pPr>
            <w:bookmarkStart w:id="104" w:name="_Toc294016308"/>
            <w:bookmarkStart w:id="105" w:name="_Toc294018437"/>
            <w:bookmarkStart w:id="106" w:name="_Toc294023477"/>
            <w:bookmarkStart w:id="107" w:name="_Toc294025716"/>
            <w:bookmarkStart w:id="108" w:name="_Toc294027955"/>
            <w:bookmarkStart w:id="109" w:name="_Toc313877446"/>
            <w:bookmarkStart w:id="110" w:name="_Toc325438108"/>
            <w:r w:rsidRPr="00DA20F5">
              <w:rPr>
                <w:b/>
                <w:color w:val="FFFFFF" w:themeColor="background1"/>
              </w:rPr>
              <w:t>Migračné saldo</w:t>
            </w:r>
            <w:bookmarkEnd w:id="104"/>
            <w:bookmarkEnd w:id="105"/>
            <w:bookmarkEnd w:id="106"/>
            <w:bookmarkEnd w:id="107"/>
            <w:bookmarkEnd w:id="108"/>
            <w:bookmarkEnd w:id="109"/>
            <w:bookmarkEnd w:id="110"/>
          </w:p>
        </w:tc>
        <w:tc>
          <w:tcPr>
            <w:tcW w:w="1857" w:type="dxa"/>
            <w:shd w:val="clear" w:color="auto" w:fill="4F81BD"/>
            <w:vAlign w:val="center"/>
            <w:hideMark/>
          </w:tcPr>
          <w:p w:rsidR="00A350B1" w:rsidRPr="00DA20F5" w:rsidRDefault="00A350B1" w:rsidP="00D36FB8">
            <w:pPr>
              <w:jc w:val="center"/>
              <w:rPr>
                <w:b/>
                <w:color w:val="FFFFFF" w:themeColor="background1"/>
              </w:rPr>
            </w:pPr>
            <w:bookmarkStart w:id="111" w:name="_Toc294016309"/>
            <w:bookmarkStart w:id="112" w:name="_Toc294018438"/>
            <w:bookmarkStart w:id="113" w:name="_Toc294023478"/>
            <w:bookmarkStart w:id="114" w:name="_Toc294025717"/>
            <w:bookmarkStart w:id="115" w:name="_Toc294027956"/>
            <w:bookmarkStart w:id="116" w:name="_Toc313877447"/>
            <w:bookmarkStart w:id="117" w:name="_Toc325438109"/>
            <w:r w:rsidRPr="00DA20F5">
              <w:rPr>
                <w:b/>
                <w:color w:val="FFFFFF" w:themeColor="background1"/>
              </w:rPr>
              <w:t>Celkový prírastok</w:t>
            </w:r>
            <w:bookmarkEnd w:id="111"/>
            <w:bookmarkEnd w:id="112"/>
            <w:bookmarkEnd w:id="113"/>
            <w:bookmarkEnd w:id="114"/>
            <w:bookmarkEnd w:id="115"/>
            <w:bookmarkEnd w:id="116"/>
            <w:bookmarkEnd w:id="117"/>
          </w:p>
        </w:tc>
      </w:tr>
      <w:tr w:rsidR="00A350B1" w:rsidRPr="00DA20F5" w:rsidTr="00A65134">
        <w:trPr>
          <w:trHeight w:val="243"/>
          <w:jc w:val="center"/>
        </w:trPr>
        <w:tc>
          <w:tcPr>
            <w:tcW w:w="895" w:type="dxa"/>
            <w:vAlign w:val="center"/>
            <w:hideMark/>
          </w:tcPr>
          <w:p w:rsidR="00A350B1" w:rsidRPr="00DA20F5" w:rsidRDefault="00A350B1" w:rsidP="00D36FB8">
            <w:pPr>
              <w:rPr>
                <w:sz w:val="20"/>
                <w:szCs w:val="20"/>
              </w:rPr>
            </w:pPr>
            <w:bookmarkStart w:id="118" w:name="_Toc294016310"/>
            <w:bookmarkStart w:id="119" w:name="_Toc294018439"/>
            <w:bookmarkStart w:id="120" w:name="_Toc294023479"/>
            <w:bookmarkStart w:id="121" w:name="_Toc294025718"/>
            <w:bookmarkStart w:id="122" w:name="_Toc294027957"/>
            <w:bookmarkStart w:id="123" w:name="_Toc313877448"/>
            <w:r w:rsidRPr="00DA20F5">
              <w:rPr>
                <w:sz w:val="20"/>
                <w:szCs w:val="20"/>
              </w:rPr>
              <w:t>20</w:t>
            </w:r>
            <w:bookmarkEnd w:id="118"/>
            <w:bookmarkEnd w:id="119"/>
            <w:bookmarkEnd w:id="120"/>
            <w:bookmarkEnd w:id="121"/>
            <w:bookmarkEnd w:id="122"/>
            <w:bookmarkEnd w:id="123"/>
            <w:r w:rsidRPr="00DA20F5">
              <w:rPr>
                <w:sz w:val="20"/>
                <w:szCs w:val="20"/>
              </w:rPr>
              <w:t>10</w:t>
            </w:r>
          </w:p>
        </w:tc>
        <w:tc>
          <w:tcPr>
            <w:tcW w:w="1430" w:type="dxa"/>
            <w:vAlign w:val="center"/>
            <w:hideMark/>
          </w:tcPr>
          <w:p w:rsidR="00A350B1" w:rsidRPr="00DA20F5" w:rsidRDefault="00A350B1" w:rsidP="00D36FB8">
            <w:pPr>
              <w:jc w:val="center"/>
            </w:pPr>
            <w:bookmarkStart w:id="124" w:name="_Toc294016311"/>
            <w:bookmarkStart w:id="125" w:name="_Toc294018440"/>
            <w:bookmarkStart w:id="126" w:name="_Toc294023480"/>
            <w:bookmarkStart w:id="127" w:name="_Toc294025719"/>
            <w:bookmarkStart w:id="128" w:name="_Toc294027958"/>
            <w:bookmarkStart w:id="129" w:name="_Toc313877449"/>
            <w:bookmarkStart w:id="130" w:name="_Toc294016317"/>
            <w:bookmarkStart w:id="131" w:name="_Toc294018446"/>
            <w:bookmarkStart w:id="132" w:name="_Toc294023486"/>
            <w:bookmarkStart w:id="133" w:name="_Toc294025725"/>
            <w:bookmarkStart w:id="134" w:name="_Toc294027964"/>
            <w:bookmarkStart w:id="135" w:name="_Toc313877455"/>
            <w:r w:rsidRPr="00DA20F5">
              <w:t>60 410</w:t>
            </w:r>
            <w:bookmarkEnd w:id="124"/>
            <w:bookmarkEnd w:id="125"/>
            <w:bookmarkEnd w:id="126"/>
            <w:bookmarkEnd w:id="127"/>
            <w:bookmarkEnd w:id="128"/>
            <w:bookmarkEnd w:id="129"/>
            <w:bookmarkEnd w:id="130"/>
            <w:bookmarkEnd w:id="131"/>
            <w:bookmarkEnd w:id="132"/>
            <w:bookmarkEnd w:id="133"/>
            <w:bookmarkEnd w:id="134"/>
            <w:bookmarkEnd w:id="135"/>
          </w:p>
        </w:tc>
        <w:tc>
          <w:tcPr>
            <w:tcW w:w="1569" w:type="dxa"/>
            <w:vAlign w:val="center"/>
            <w:hideMark/>
          </w:tcPr>
          <w:p w:rsidR="00A350B1" w:rsidRPr="00DA20F5" w:rsidRDefault="00A350B1" w:rsidP="00D36FB8">
            <w:pPr>
              <w:jc w:val="center"/>
            </w:pPr>
            <w:bookmarkStart w:id="136" w:name="_Toc294016318"/>
            <w:bookmarkStart w:id="137" w:name="_Toc294018447"/>
            <w:bookmarkStart w:id="138" w:name="_Toc294023487"/>
            <w:bookmarkStart w:id="139" w:name="_Toc294025726"/>
            <w:bookmarkStart w:id="140" w:name="_Toc294027965"/>
            <w:bookmarkStart w:id="141" w:name="_Toc313877456"/>
            <w:r w:rsidRPr="00DA20F5">
              <w:t>53 445</w:t>
            </w:r>
            <w:bookmarkEnd w:id="136"/>
            <w:bookmarkEnd w:id="137"/>
            <w:bookmarkEnd w:id="138"/>
            <w:bookmarkEnd w:id="139"/>
            <w:bookmarkEnd w:id="140"/>
            <w:bookmarkEnd w:id="141"/>
          </w:p>
        </w:tc>
        <w:tc>
          <w:tcPr>
            <w:tcW w:w="1492" w:type="dxa"/>
            <w:vAlign w:val="center"/>
            <w:hideMark/>
          </w:tcPr>
          <w:p w:rsidR="00A350B1" w:rsidRPr="00DA20F5" w:rsidRDefault="00A350B1" w:rsidP="00D36FB8">
            <w:pPr>
              <w:jc w:val="center"/>
            </w:pPr>
            <w:bookmarkStart w:id="142" w:name="_Toc294016319"/>
            <w:bookmarkStart w:id="143" w:name="_Toc294018448"/>
            <w:bookmarkStart w:id="144" w:name="_Toc294023488"/>
            <w:bookmarkStart w:id="145" w:name="_Toc294025727"/>
            <w:bookmarkStart w:id="146" w:name="_Toc294027966"/>
            <w:bookmarkStart w:id="147" w:name="_Toc313877457"/>
            <w:r w:rsidRPr="00DA20F5">
              <w:t>6 965</w:t>
            </w:r>
            <w:bookmarkEnd w:id="142"/>
            <w:bookmarkEnd w:id="143"/>
            <w:bookmarkEnd w:id="144"/>
            <w:bookmarkEnd w:id="145"/>
            <w:bookmarkEnd w:id="146"/>
            <w:bookmarkEnd w:id="147"/>
          </w:p>
        </w:tc>
        <w:tc>
          <w:tcPr>
            <w:tcW w:w="1671" w:type="dxa"/>
            <w:vAlign w:val="center"/>
            <w:hideMark/>
          </w:tcPr>
          <w:p w:rsidR="00A350B1" w:rsidRPr="00DA20F5" w:rsidRDefault="00A350B1" w:rsidP="00D36FB8">
            <w:pPr>
              <w:jc w:val="center"/>
            </w:pPr>
            <w:bookmarkStart w:id="148" w:name="_Toc294016320"/>
            <w:bookmarkStart w:id="149" w:name="_Toc294018449"/>
            <w:bookmarkStart w:id="150" w:name="_Toc294023489"/>
            <w:bookmarkStart w:id="151" w:name="_Toc294025728"/>
            <w:bookmarkStart w:id="152" w:name="_Toc294027967"/>
            <w:bookmarkStart w:id="153" w:name="_Toc313877458"/>
            <w:r w:rsidRPr="00DA20F5">
              <w:t>3 383</w:t>
            </w:r>
            <w:bookmarkEnd w:id="148"/>
            <w:bookmarkEnd w:id="149"/>
            <w:bookmarkEnd w:id="150"/>
            <w:bookmarkEnd w:id="151"/>
            <w:bookmarkEnd w:id="152"/>
            <w:bookmarkEnd w:id="153"/>
          </w:p>
        </w:tc>
        <w:tc>
          <w:tcPr>
            <w:tcW w:w="1857" w:type="dxa"/>
            <w:vAlign w:val="center"/>
            <w:hideMark/>
          </w:tcPr>
          <w:p w:rsidR="00A350B1" w:rsidRPr="00DA20F5" w:rsidRDefault="00A350B1" w:rsidP="00D36FB8">
            <w:pPr>
              <w:jc w:val="center"/>
            </w:pPr>
            <w:bookmarkStart w:id="154" w:name="_Toc294016321"/>
            <w:bookmarkStart w:id="155" w:name="_Toc294018450"/>
            <w:bookmarkStart w:id="156" w:name="_Toc294023490"/>
            <w:bookmarkStart w:id="157" w:name="_Toc294025729"/>
            <w:bookmarkStart w:id="158" w:name="_Toc294027968"/>
            <w:bookmarkStart w:id="159" w:name="_Toc313877459"/>
            <w:r w:rsidRPr="00DA20F5">
              <w:t>10 348</w:t>
            </w:r>
            <w:bookmarkEnd w:id="154"/>
            <w:bookmarkEnd w:id="155"/>
            <w:bookmarkEnd w:id="156"/>
            <w:bookmarkEnd w:id="157"/>
            <w:bookmarkEnd w:id="158"/>
            <w:bookmarkEnd w:id="159"/>
          </w:p>
        </w:tc>
      </w:tr>
      <w:tr w:rsidR="00A350B1" w:rsidRPr="00DA20F5" w:rsidTr="00A65134">
        <w:trPr>
          <w:trHeight w:val="243"/>
          <w:jc w:val="center"/>
        </w:trPr>
        <w:tc>
          <w:tcPr>
            <w:tcW w:w="895" w:type="dxa"/>
            <w:vAlign w:val="center"/>
            <w:hideMark/>
          </w:tcPr>
          <w:p w:rsidR="00A350B1" w:rsidRPr="00DA20F5" w:rsidRDefault="00A350B1" w:rsidP="00D36FB8">
            <w:pPr>
              <w:rPr>
                <w:sz w:val="20"/>
                <w:szCs w:val="20"/>
              </w:rPr>
            </w:pPr>
            <w:bookmarkStart w:id="160" w:name="_Toc294016316"/>
            <w:bookmarkStart w:id="161" w:name="_Toc294018445"/>
            <w:bookmarkStart w:id="162" w:name="_Toc294023485"/>
            <w:bookmarkStart w:id="163" w:name="_Toc294025724"/>
            <w:bookmarkStart w:id="164" w:name="_Toc294027963"/>
            <w:bookmarkStart w:id="165" w:name="_Toc313877454"/>
            <w:r w:rsidRPr="00DA20F5">
              <w:rPr>
                <w:sz w:val="20"/>
                <w:szCs w:val="20"/>
              </w:rPr>
              <w:t>201</w:t>
            </w:r>
            <w:bookmarkEnd w:id="160"/>
            <w:bookmarkEnd w:id="161"/>
            <w:bookmarkEnd w:id="162"/>
            <w:bookmarkEnd w:id="163"/>
            <w:bookmarkEnd w:id="164"/>
            <w:bookmarkEnd w:id="165"/>
            <w:r w:rsidRPr="00DA20F5">
              <w:rPr>
                <w:sz w:val="20"/>
                <w:szCs w:val="20"/>
              </w:rPr>
              <w:t>1</w:t>
            </w:r>
          </w:p>
        </w:tc>
        <w:tc>
          <w:tcPr>
            <w:tcW w:w="1430" w:type="dxa"/>
            <w:vAlign w:val="center"/>
            <w:hideMark/>
          </w:tcPr>
          <w:p w:rsidR="00A350B1" w:rsidRPr="00DA20F5" w:rsidRDefault="00A350B1" w:rsidP="00D36FB8">
            <w:pPr>
              <w:jc w:val="center"/>
            </w:pPr>
            <w:r w:rsidRPr="00DA20F5">
              <w:t>60 813</w:t>
            </w:r>
          </w:p>
        </w:tc>
        <w:tc>
          <w:tcPr>
            <w:tcW w:w="1569" w:type="dxa"/>
            <w:vAlign w:val="center"/>
            <w:hideMark/>
          </w:tcPr>
          <w:p w:rsidR="00A350B1" w:rsidRPr="00DA20F5" w:rsidRDefault="00A350B1" w:rsidP="00D36FB8">
            <w:pPr>
              <w:jc w:val="center"/>
            </w:pPr>
            <w:r w:rsidRPr="00DA20F5">
              <w:t>51 903</w:t>
            </w:r>
          </w:p>
        </w:tc>
        <w:tc>
          <w:tcPr>
            <w:tcW w:w="1492" w:type="dxa"/>
            <w:vAlign w:val="center"/>
            <w:hideMark/>
          </w:tcPr>
          <w:p w:rsidR="00A350B1" w:rsidRPr="00DA20F5" w:rsidRDefault="00A350B1" w:rsidP="00D36FB8">
            <w:pPr>
              <w:jc w:val="center"/>
            </w:pPr>
            <w:r w:rsidRPr="00DA20F5">
              <w:t>8 910</w:t>
            </w:r>
          </w:p>
        </w:tc>
        <w:tc>
          <w:tcPr>
            <w:tcW w:w="1671" w:type="dxa"/>
            <w:vAlign w:val="center"/>
            <w:hideMark/>
          </w:tcPr>
          <w:p w:rsidR="00A350B1" w:rsidRPr="00DA20F5" w:rsidRDefault="00A350B1" w:rsidP="00D36FB8">
            <w:pPr>
              <w:jc w:val="center"/>
            </w:pPr>
            <w:r w:rsidRPr="00DA20F5">
              <w:t>2 966</w:t>
            </w:r>
          </w:p>
        </w:tc>
        <w:tc>
          <w:tcPr>
            <w:tcW w:w="1857" w:type="dxa"/>
            <w:vAlign w:val="center"/>
            <w:hideMark/>
          </w:tcPr>
          <w:p w:rsidR="00A350B1" w:rsidRPr="00DA20F5" w:rsidRDefault="00A350B1" w:rsidP="00D36FB8">
            <w:pPr>
              <w:jc w:val="center"/>
            </w:pPr>
            <w:r w:rsidRPr="00DA20F5">
              <w:t>11 876</w:t>
            </w:r>
          </w:p>
        </w:tc>
      </w:tr>
    </w:tbl>
    <w:p w:rsidR="00A350B1" w:rsidRPr="00DA20F5" w:rsidRDefault="00A350B1" w:rsidP="00D36FB8">
      <w:pPr>
        <w:pStyle w:val="zdroj"/>
      </w:pPr>
      <w:r w:rsidRPr="00DA20F5">
        <w:t xml:space="preserve">Zdroj: ŠÚ SR </w:t>
      </w:r>
    </w:p>
    <w:bookmarkEnd w:id="47"/>
    <w:bookmarkEnd w:id="48"/>
    <w:bookmarkEnd w:id="49"/>
    <w:bookmarkEnd w:id="50"/>
    <w:bookmarkEnd w:id="51"/>
    <w:bookmarkEnd w:id="52"/>
    <w:bookmarkEnd w:id="53"/>
    <w:bookmarkEnd w:id="54"/>
    <w:bookmarkEnd w:id="55"/>
    <w:bookmarkEnd w:id="56"/>
    <w:p w:rsidR="00DF1615" w:rsidRPr="00DA20F5" w:rsidRDefault="00DF1615" w:rsidP="00D36FB8">
      <w:pPr>
        <w:pStyle w:val="Nadpis1"/>
        <w:sectPr w:rsidR="00DF1615" w:rsidRPr="00DA20F5" w:rsidSect="00570ECB">
          <w:headerReference w:type="even" r:id="rId19"/>
          <w:headerReference w:type="default" r:id="rId20"/>
          <w:pgSz w:w="11906" w:h="16838"/>
          <w:pgMar w:top="1418" w:right="1418" w:bottom="1418" w:left="1418" w:header="709" w:footer="709" w:gutter="0"/>
          <w:cols w:space="708"/>
          <w:docGrid w:linePitch="360"/>
        </w:sectPr>
      </w:pPr>
    </w:p>
    <w:p w:rsidR="00F10DB1" w:rsidRPr="00DA20F5" w:rsidRDefault="00F10DB1" w:rsidP="00D36FB8">
      <w:pPr>
        <w:pStyle w:val="Nadpis1"/>
      </w:pPr>
      <w:bookmarkStart w:id="166" w:name="_Toc326216953"/>
      <w:r w:rsidRPr="00DA20F5">
        <w:lastRenderedPageBreak/>
        <w:t>TRH PRÁCE, MZDY A PRACOVNÉ PODMIENKY</w:t>
      </w:r>
      <w:bookmarkEnd w:id="166"/>
    </w:p>
    <w:p w:rsidR="00F10DB1" w:rsidRPr="00DA20F5" w:rsidRDefault="00F10DB1" w:rsidP="00D36FB8">
      <w:pPr>
        <w:pStyle w:val="nadpis2"/>
      </w:pPr>
      <w:bookmarkStart w:id="167" w:name="_Toc326216954"/>
      <w:r w:rsidRPr="00DA20F5">
        <w:t>Trh práce</w:t>
      </w:r>
      <w:bookmarkEnd w:id="167"/>
    </w:p>
    <w:p w:rsidR="00F10DB1" w:rsidRPr="00DA20F5" w:rsidRDefault="00F10DB1" w:rsidP="000B4550">
      <w:pPr>
        <w:pStyle w:val="Nadpis6"/>
      </w:pPr>
      <w:bookmarkStart w:id="168" w:name="_Toc326216955"/>
      <w:r w:rsidRPr="00DA20F5">
        <w:t>Vývoj ekonomickej aktivity obyvateľstva</w:t>
      </w:r>
      <w:bookmarkEnd w:id="168"/>
    </w:p>
    <w:p w:rsidR="00F10DB1" w:rsidRPr="00DA20F5" w:rsidRDefault="00F10DB1" w:rsidP="00D36FB8">
      <w:pPr>
        <w:pStyle w:val="Normlnysozarkami12"/>
        <w:rPr>
          <w:color w:val="000000" w:themeColor="text1"/>
        </w:rPr>
      </w:pPr>
      <w:r w:rsidRPr="00DA20F5">
        <w:t xml:space="preserve">Priemerný počet </w:t>
      </w:r>
      <w:r w:rsidRPr="00DA20F5">
        <w:rPr>
          <w:b/>
        </w:rPr>
        <w:t xml:space="preserve">ekonomicky aktívnych obyvateľov </w:t>
      </w:r>
      <w:r w:rsidRPr="00DA20F5">
        <w:t>SR</w:t>
      </w:r>
      <w:r w:rsidRPr="00DA20F5">
        <w:rPr>
          <w:b/>
        </w:rPr>
        <w:t xml:space="preserve"> </w:t>
      </w:r>
      <w:r w:rsidRPr="00DA20F5">
        <w:t xml:space="preserve">v roku 2011 medziročne vzrástol o 12,8 tis. osôb, resp. o 0,5 % na 2 719,3 tis. osôb, čo súviselo so zvýšením počtu ekonomicky aktívnych </w:t>
      </w:r>
      <w:r w:rsidRPr="00DA20F5">
        <w:rPr>
          <w:color w:val="000000" w:themeColor="text1"/>
        </w:rPr>
        <w:t xml:space="preserve">mužov (o 17,6 tis. osôb, resp. o 1,2 %). Počet ekonomicky aktívnych žien </w:t>
      </w:r>
      <w:r w:rsidRPr="00DA20F5" w:rsidDel="00930C48">
        <w:rPr>
          <w:color w:val="000000" w:themeColor="text1"/>
        </w:rPr>
        <w:t xml:space="preserve">za rovnaké obdobie </w:t>
      </w:r>
      <w:r w:rsidRPr="00DA20F5">
        <w:rPr>
          <w:color w:val="000000" w:themeColor="text1"/>
        </w:rPr>
        <w:t>poklesol o 4,9 tis. osôb na 1 204,3 tis. osôb, resp. o 0,4 %. Nadväzne na uvedený vývoj sa podiel ekonomicky aktívnych žien na celkovom počte ekonomicky aktívnych obyvateľov mierne medziročne znížil (zo 44,7 % na 44,</w:t>
      </w:r>
      <w:r w:rsidR="00D37F56" w:rsidRPr="00DA20F5">
        <w:rPr>
          <w:color w:val="000000" w:themeColor="text1"/>
        </w:rPr>
        <w:t>3</w:t>
      </w:r>
      <w:r w:rsidRPr="00DA20F5">
        <w:rPr>
          <w:color w:val="000000" w:themeColor="text1"/>
        </w:rPr>
        <w:t xml:space="preserve"> %). </w:t>
      </w:r>
    </w:p>
    <w:p w:rsidR="00F10DB1" w:rsidRPr="00DA20F5" w:rsidDel="00930C48" w:rsidRDefault="00F10DB1" w:rsidP="00D36FB8">
      <w:pPr>
        <w:pStyle w:val="Normlnysozarkami12"/>
        <w:rPr>
          <w:color w:val="000000" w:themeColor="text1"/>
        </w:rPr>
      </w:pPr>
      <w:r w:rsidRPr="00DA20F5">
        <w:rPr>
          <w:color w:val="000000" w:themeColor="text1"/>
        </w:rPr>
        <w:t>V </w:t>
      </w:r>
      <w:r w:rsidRPr="00DA20F5" w:rsidDel="00930C48">
        <w:rPr>
          <w:color w:val="000000" w:themeColor="text1"/>
        </w:rPr>
        <w:t>štruktúr</w:t>
      </w:r>
      <w:r w:rsidRPr="00DA20F5">
        <w:rPr>
          <w:color w:val="000000" w:themeColor="text1"/>
        </w:rPr>
        <w:t>e</w:t>
      </w:r>
      <w:r w:rsidRPr="00DA20F5" w:rsidDel="00930C48">
        <w:rPr>
          <w:color w:val="000000" w:themeColor="text1"/>
        </w:rPr>
        <w:t xml:space="preserve"> </w:t>
      </w:r>
      <w:r w:rsidRPr="00DA20F5">
        <w:rPr>
          <w:color w:val="000000" w:themeColor="text1"/>
        </w:rPr>
        <w:t xml:space="preserve">ekonomicky aktívnych obyvateľov medziročne vzrástol priemerný počet pracujúcich osôb (o 33,9 tis. osôb na 2 351,4 tis. osôb, resp. o 1,5 %) a na druhej strane medziročne poklesol priemerný počet nezamestnaných (o 21,1 tis. osôb, resp. o 5,4 %). </w:t>
      </w:r>
      <w:r w:rsidRPr="00DA20F5" w:rsidDel="00930C48">
        <w:rPr>
          <w:color w:val="000000" w:themeColor="text1"/>
        </w:rPr>
        <w:t>Z celkového priemerného počtu ekonomicky aktívnych oby</w:t>
      </w:r>
      <w:r w:rsidRPr="00DA20F5">
        <w:rPr>
          <w:color w:val="000000" w:themeColor="text1"/>
        </w:rPr>
        <w:t xml:space="preserve">vateľov bolo 86,5 % pracujúcich </w:t>
      </w:r>
      <w:r w:rsidRPr="00DA20F5" w:rsidDel="00930C48">
        <w:rPr>
          <w:color w:val="000000" w:themeColor="text1"/>
        </w:rPr>
        <w:t>(8</w:t>
      </w:r>
      <w:r w:rsidRPr="00DA20F5">
        <w:rPr>
          <w:color w:val="000000" w:themeColor="text1"/>
        </w:rPr>
        <w:t>5</w:t>
      </w:r>
      <w:r w:rsidRPr="00DA20F5" w:rsidDel="00930C48">
        <w:rPr>
          <w:color w:val="000000" w:themeColor="text1"/>
        </w:rPr>
        <w:t>,</w:t>
      </w:r>
      <w:r w:rsidRPr="00DA20F5">
        <w:rPr>
          <w:color w:val="000000" w:themeColor="text1"/>
        </w:rPr>
        <w:t xml:space="preserve">6 % </w:t>
      </w:r>
      <w:r w:rsidRPr="00DA20F5" w:rsidDel="00930C48">
        <w:rPr>
          <w:color w:val="000000" w:themeColor="text1"/>
        </w:rPr>
        <w:t>v roku 20</w:t>
      </w:r>
      <w:r w:rsidRPr="00DA20F5">
        <w:rPr>
          <w:color w:val="000000" w:themeColor="text1"/>
        </w:rPr>
        <w:t>10</w:t>
      </w:r>
      <w:r w:rsidRPr="00DA20F5" w:rsidDel="00930C48">
        <w:rPr>
          <w:color w:val="000000" w:themeColor="text1"/>
        </w:rPr>
        <w:t>) a 1</w:t>
      </w:r>
      <w:r w:rsidRPr="00DA20F5">
        <w:rPr>
          <w:color w:val="000000" w:themeColor="text1"/>
        </w:rPr>
        <w:t>3</w:t>
      </w:r>
      <w:r w:rsidRPr="00DA20F5" w:rsidDel="00930C48">
        <w:rPr>
          <w:color w:val="000000" w:themeColor="text1"/>
        </w:rPr>
        <w:t>,</w:t>
      </w:r>
      <w:r w:rsidRPr="00DA20F5">
        <w:rPr>
          <w:color w:val="000000" w:themeColor="text1"/>
        </w:rPr>
        <w:t>5 % </w:t>
      </w:r>
      <w:r w:rsidRPr="00DA20F5" w:rsidDel="00930C48">
        <w:rPr>
          <w:color w:val="000000" w:themeColor="text1"/>
        </w:rPr>
        <w:t>nezamestnaných (1</w:t>
      </w:r>
      <w:r w:rsidRPr="00DA20F5">
        <w:rPr>
          <w:color w:val="000000" w:themeColor="text1"/>
        </w:rPr>
        <w:t>4</w:t>
      </w:r>
      <w:r w:rsidRPr="00DA20F5" w:rsidDel="00930C48">
        <w:rPr>
          <w:color w:val="000000" w:themeColor="text1"/>
        </w:rPr>
        <w:t>,</w:t>
      </w:r>
      <w:r w:rsidRPr="00DA20F5">
        <w:rPr>
          <w:color w:val="000000" w:themeColor="text1"/>
        </w:rPr>
        <w:t>4 %</w:t>
      </w:r>
      <w:r w:rsidRPr="00DA20F5" w:rsidDel="00930C48">
        <w:rPr>
          <w:color w:val="000000" w:themeColor="text1"/>
        </w:rPr>
        <w:t xml:space="preserve"> v roku 20</w:t>
      </w:r>
      <w:r w:rsidRPr="00DA20F5">
        <w:rPr>
          <w:color w:val="000000" w:themeColor="text1"/>
        </w:rPr>
        <w:t>10</w:t>
      </w:r>
      <w:r w:rsidRPr="00DA20F5" w:rsidDel="00930C48">
        <w:rPr>
          <w:color w:val="000000" w:themeColor="text1"/>
        </w:rPr>
        <w:t>).</w:t>
      </w:r>
    </w:p>
    <w:p w:rsidR="00F10DB1" w:rsidRPr="00DA20F5" w:rsidRDefault="00F10DB1" w:rsidP="00D36FB8">
      <w:pPr>
        <w:ind w:firstLine="357"/>
        <w:rPr>
          <w:color w:val="000000" w:themeColor="text1"/>
          <w:szCs w:val="22"/>
        </w:rPr>
      </w:pPr>
      <w:r w:rsidRPr="00DA20F5">
        <w:rPr>
          <w:color w:val="000000" w:themeColor="text1"/>
        </w:rPr>
        <w:t xml:space="preserve">V rámci celkového počtu obyvateľov vo veku 15 a viac rokov bolo 40,9 % ekonomicky neaktívnych (v roku 2010 ich bolo 41,0 %). </w:t>
      </w:r>
      <w:r w:rsidR="00D37F56" w:rsidRPr="00DA20F5">
        <w:rPr>
          <w:color w:val="000000" w:themeColor="text1"/>
          <w:szCs w:val="22"/>
        </w:rPr>
        <w:t xml:space="preserve">V porovnaní </w:t>
      </w:r>
      <w:r w:rsidR="00D37F56" w:rsidRPr="00DA20F5" w:rsidDel="00930C48">
        <w:rPr>
          <w:color w:val="000000" w:themeColor="text1"/>
          <w:szCs w:val="22"/>
        </w:rPr>
        <w:t>s </w:t>
      </w:r>
      <w:r w:rsidR="00D37F56" w:rsidRPr="00DA20F5">
        <w:rPr>
          <w:color w:val="000000" w:themeColor="text1"/>
          <w:szCs w:val="22"/>
        </w:rPr>
        <w:t xml:space="preserve">predchádzajúcim rokom sa počet ekonomicky neaktívnych osôb znížil o 2,7 tis. </w:t>
      </w:r>
      <w:r w:rsidR="00C0530A" w:rsidRPr="00DA20F5">
        <w:rPr>
          <w:color w:val="000000" w:themeColor="text1"/>
          <w:szCs w:val="22"/>
        </w:rPr>
        <w:t>osôb na 1 885,5 tis. o</w:t>
      </w:r>
      <w:r w:rsidR="00D37F56" w:rsidRPr="00DA20F5">
        <w:rPr>
          <w:color w:val="000000" w:themeColor="text1"/>
          <w:szCs w:val="22"/>
        </w:rPr>
        <w:t>sôb.</w:t>
      </w:r>
    </w:p>
    <w:p w:rsidR="00F10DB1" w:rsidRPr="00DA20F5" w:rsidRDefault="00F10DB1" w:rsidP="00D36FB8">
      <w:pPr>
        <w:pStyle w:val="Normlnysozarkami12"/>
        <w:rPr>
          <w:color w:val="000000" w:themeColor="text1"/>
        </w:rPr>
      </w:pPr>
      <w:r w:rsidRPr="00DA20F5">
        <w:rPr>
          <w:color w:val="000000" w:themeColor="text1"/>
        </w:rPr>
        <w:t xml:space="preserve">Štruktúra ekonomicky neaktívnych obyvateľov vo veku 15 a viac rokov sa v porovnaní s rokom 2010 výrazne nezmenila. Najvyšší podiel mali dôchodcovia poberajúci starobný alebo invalidný dôchodok (56,0 %, v roku 2010 to bolo 55,9 %) a študenti a učni (28,3 %, v roku 2010 to bolo 28,4 %). </w:t>
      </w:r>
    </w:p>
    <w:p w:rsidR="00F10DB1" w:rsidRPr="00DA20F5" w:rsidRDefault="00F10DB1" w:rsidP="00D36FB8">
      <w:pPr>
        <w:pStyle w:val="Normlnysozarkami12"/>
      </w:pPr>
      <w:r w:rsidRPr="00DA20F5">
        <w:rPr>
          <w:color w:val="000000" w:themeColor="text1"/>
        </w:rPr>
        <w:t xml:space="preserve">Celková </w:t>
      </w:r>
      <w:r w:rsidRPr="00DA20F5">
        <w:rPr>
          <w:b/>
          <w:color w:val="000000" w:themeColor="text1"/>
        </w:rPr>
        <w:t>miera ekonomickej aktivity</w:t>
      </w:r>
      <w:r w:rsidRPr="00DA20F5">
        <w:rPr>
          <w:color w:val="000000" w:themeColor="text1"/>
        </w:rPr>
        <w:t xml:space="preserve"> obyvateľov vo veku 15 a viac rokov dosiahla úroveň 59,1 %, pričom v porovnaní s rokom 2010 (59,0 %) sa takmer nezmenila.</w:t>
      </w:r>
      <w:r w:rsidRPr="00DA20F5" w:rsidDel="00930C48">
        <w:rPr>
          <w:color w:val="000000" w:themeColor="text1"/>
        </w:rPr>
        <w:t xml:space="preserve"> </w:t>
      </w:r>
      <w:r w:rsidRPr="00DA20F5">
        <w:rPr>
          <w:color w:val="000000" w:themeColor="text1"/>
        </w:rPr>
        <w:t>Z</w:t>
      </w:r>
      <w:r w:rsidRPr="00DA20F5">
        <w:t> hľadiska pohlavia sa miera ekonomickej aktivity mierne znížila u žien (zo 50,8 % na 50,5 %), zatiaľ čo u mužov sa zvýšila (z 67,8 % na 68,4 %).</w:t>
      </w:r>
    </w:p>
    <w:p w:rsidR="00F10DB1" w:rsidRPr="00DA20F5" w:rsidRDefault="00F10DB1" w:rsidP="00D36FB8">
      <w:pPr>
        <w:ind w:firstLine="357"/>
      </w:pPr>
      <w:r w:rsidRPr="00DA20F5">
        <w:t xml:space="preserve">Miera ekonomickej aktivity medziročne poklesla najviac v 5-ročnej vekovej skupine 20-24 rokov a 35-39 rokov, a to najmä u žien, a na druhej strane najviac vzrástla vo vekových skupinách </w:t>
      </w:r>
      <w:r w:rsidR="00697C7A" w:rsidRPr="00DA20F5">
        <w:br/>
      </w:r>
      <w:r w:rsidRPr="00DA20F5">
        <w:t>50-59</w:t>
      </w:r>
      <w:r w:rsidR="00697C7A" w:rsidRPr="00DA20F5">
        <w:t> </w:t>
      </w:r>
      <w:r w:rsidRPr="00DA20F5">
        <w:t>rokov.</w:t>
      </w:r>
    </w:p>
    <w:p w:rsidR="00F10DB1" w:rsidRPr="00DA20F5" w:rsidRDefault="00F10DB1" w:rsidP="00D36FB8">
      <w:pPr>
        <w:pStyle w:val="Normlnysozarkami12"/>
      </w:pPr>
      <w:r w:rsidRPr="00DA20F5">
        <w:t>Výrazne nadpriemerná celková miera ekonomickej aktivity (nad 80 %) bola vo všetkých päťročných vekových skupinách vo veku od 25 do 54 rokov, najmä v dôsledku vysokej miery ekonomickej aktivity mužov v uvedených vekových skupinách. U žien dosiahla miera ekonomickej aktivity hodnotu nad 80 % iba v</w:t>
      </w:r>
      <w:r w:rsidRPr="00DA20F5" w:rsidDel="00697717">
        <w:t xml:space="preserve">o </w:t>
      </w:r>
      <w:r w:rsidRPr="00DA20F5">
        <w:t>vekových skupinách od 35 do 54 rokov.</w:t>
      </w:r>
    </w:p>
    <w:p w:rsidR="00F10DB1" w:rsidRPr="00DA20F5" w:rsidRDefault="00F10DB1" w:rsidP="00D36FB8">
      <w:pPr>
        <w:pStyle w:val="Normlnysozarkami12"/>
      </w:pPr>
      <w:r w:rsidRPr="00DA20F5">
        <w:t>Miera ekonomickej aktivity mladých vo veku 15-24 rokov dosiahla v roku 2011 úroveň 30,2 % (37,4 % muži a 22,8 % ženy) a medziročne sa znížila o 0,8 p. b. (v roku 2010 o 0,4 p. b.).</w:t>
      </w:r>
      <w:r w:rsidRPr="00DA20F5" w:rsidDel="00697717">
        <w:t xml:space="preserve"> </w:t>
      </w:r>
      <w:r w:rsidRPr="00DA20F5">
        <w:t>Tento pokles súvisel s nižšou mierou ekonomickej aktivity mladých žien (25,5 % v roku 2010, 22,8 % v roku 2011), kým miera ekonomickej aktivity mladých mužov sa zvýšila (z 34,9 % v roku 2010 n</w:t>
      </w:r>
      <w:r w:rsidRPr="00DA20F5" w:rsidDel="00697717">
        <w:t>a </w:t>
      </w:r>
      <w:r w:rsidRPr="00DA20F5">
        <w:t>37,4 % v roku 2011).</w:t>
      </w:r>
    </w:p>
    <w:p w:rsidR="00F10DB1" w:rsidRPr="00DA20F5" w:rsidRDefault="00F10DB1" w:rsidP="00D36FB8">
      <w:pPr>
        <w:pStyle w:val="Normlnysozarkami12"/>
      </w:pPr>
      <w:r w:rsidRPr="00DA20F5">
        <w:t>Miera ekonomicky aktívnych starších osôb vo veku 55-64 rokov medziročne vzrástla o 0,8 p. b. (z</w:t>
      </w:r>
      <w:r w:rsidR="00697C7A" w:rsidRPr="00DA20F5">
        <w:t> </w:t>
      </w:r>
      <w:r w:rsidRPr="00DA20F5">
        <w:t>45,2 % v roku 2010 na 46,0 % v roku 2011). Rast miery ekonomickej aktivity v uvedenej vekovej skupine bol zaznamenaný tak u mužov (56,5 % v roku 2010, 58,9 % v roku 2011), ako aj u žien (32,4 % v roku 2010, 34,6 % v roku 2011).</w:t>
      </w:r>
    </w:p>
    <w:p w:rsidR="00324E2B" w:rsidRPr="00DA20F5" w:rsidRDefault="00324E2B" w:rsidP="00D36FB8">
      <w:pPr>
        <w:jc w:val="left"/>
        <w:rPr>
          <w:b/>
        </w:rPr>
      </w:pPr>
      <w:r w:rsidRPr="00DA20F5">
        <w:br w:type="page"/>
      </w:r>
    </w:p>
    <w:p w:rsidR="00F10DB1" w:rsidRPr="00DA20F5" w:rsidRDefault="00F10DB1" w:rsidP="00D36FB8">
      <w:pPr>
        <w:pStyle w:val="Nadpis7"/>
      </w:pPr>
      <w:bookmarkStart w:id="169" w:name="_Toc325438113"/>
      <w:bookmarkStart w:id="170" w:name="_Toc325440882"/>
      <w:bookmarkStart w:id="171" w:name="_Toc325626695"/>
      <w:bookmarkStart w:id="172" w:name="_Toc326216956"/>
      <w:r w:rsidRPr="00DA20F5">
        <w:lastRenderedPageBreak/>
        <w:t>Tab. 2.1</w:t>
      </w:r>
      <w:r w:rsidR="00872CBA" w:rsidRPr="00DA20F5">
        <w:t xml:space="preserve"> </w:t>
      </w:r>
      <w:r w:rsidRPr="00DA20F5">
        <w:t xml:space="preserve">Miera ekonomickej aktivity obyvateľov 15+ podľa veku a pohlavia </w:t>
      </w:r>
      <w:r w:rsidR="00697C7A" w:rsidRPr="00DA20F5">
        <w:br/>
      </w:r>
      <w:r w:rsidRPr="00DA20F5">
        <w:t>(priemer za rok v %)</w:t>
      </w:r>
      <w:bookmarkEnd w:id="169"/>
      <w:bookmarkEnd w:id="170"/>
      <w:bookmarkEnd w:id="171"/>
      <w:bookmarkEnd w:id="172"/>
    </w:p>
    <w:tbl>
      <w:tblPr>
        <w:tblW w:w="9072"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2426"/>
        <w:gridCol w:w="1149"/>
        <w:gridCol w:w="1072"/>
        <w:gridCol w:w="1250"/>
        <w:gridCol w:w="1072"/>
        <w:gridCol w:w="1072"/>
        <w:gridCol w:w="1031"/>
      </w:tblGrid>
      <w:tr w:rsidR="00F10DB1" w:rsidRPr="00DA20F5" w:rsidTr="00324E2B">
        <w:trPr>
          <w:trHeight w:val="255"/>
          <w:jc w:val="center"/>
        </w:trPr>
        <w:tc>
          <w:tcPr>
            <w:tcW w:w="1337" w:type="pct"/>
            <w:vMerge w:val="restar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Veková skupina</w:t>
            </w:r>
          </w:p>
        </w:tc>
        <w:tc>
          <w:tcPr>
            <w:tcW w:w="1224" w:type="pct"/>
            <w:gridSpan w:val="2"/>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Spolu</w:t>
            </w:r>
          </w:p>
        </w:tc>
        <w:tc>
          <w:tcPr>
            <w:tcW w:w="1280" w:type="pct"/>
            <w:gridSpan w:val="2"/>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Muži</w:t>
            </w:r>
          </w:p>
        </w:tc>
        <w:tc>
          <w:tcPr>
            <w:tcW w:w="1159" w:type="pct"/>
            <w:gridSpan w:val="2"/>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Ženy</w:t>
            </w:r>
          </w:p>
        </w:tc>
      </w:tr>
      <w:tr w:rsidR="00F10DB1" w:rsidRPr="00DA20F5" w:rsidTr="00324E2B">
        <w:trPr>
          <w:trHeight w:val="255"/>
          <w:jc w:val="center"/>
        </w:trPr>
        <w:tc>
          <w:tcPr>
            <w:tcW w:w="1337" w:type="pct"/>
            <w:vMerge/>
            <w:shd w:val="clear" w:color="auto" w:fill="4F81BD"/>
            <w:vAlign w:val="center"/>
          </w:tcPr>
          <w:p w:rsidR="00F10DB1" w:rsidRPr="00DA20F5" w:rsidRDefault="00F10DB1" w:rsidP="00D36FB8">
            <w:pPr>
              <w:jc w:val="center"/>
              <w:rPr>
                <w:b/>
                <w:color w:val="FFFFFF" w:themeColor="background1"/>
              </w:rPr>
            </w:pPr>
          </w:p>
        </w:tc>
        <w:tc>
          <w:tcPr>
            <w:tcW w:w="633"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2010</w:t>
            </w:r>
          </w:p>
        </w:tc>
        <w:tc>
          <w:tcPr>
            <w:tcW w:w="591"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2011</w:t>
            </w:r>
          </w:p>
        </w:tc>
        <w:tc>
          <w:tcPr>
            <w:tcW w:w="689" w:type="pc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2010</w:t>
            </w:r>
          </w:p>
        </w:tc>
        <w:tc>
          <w:tcPr>
            <w:tcW w:w="591" w:type="pc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2011</w:t>
            </w:r>
          </w:p>
        </w:tc>
        <w:tc>
          <w:tcPr>
            <w:tcW w:w="591" w:type="pc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2010</w:t>
            </w:r>
          </w:p>
        </w:tc>
        <w:tc>
          <w:tcPr>
            <w:tcW w:w="568" w:type="pc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2011</w:t>
            </w:r>
          </w:p>
        </w:tc>
      </w:tr>
      <w:tr w:rsidR="00F10DB1" w:rsidRPr="00DA20F5" w:rsidTr="00324E2B">
        <w:trPr>
          <w:trHeight w:val="255"/>
          <w:jc w:val="center"/>
        </w:trPr>
        <w:tc>
          <w:tcPr>
            <w:tcW w:w="1337" w:type="pct"/>
            <w:vAlign w:val="center"/>
          </w:tcPr>
          <w:p w:rsidR="00F10DB1" w:rsidRPr="00DA20F5" w:rsidRDefault="00F10DB1" w:rsidP="00D36FB8">
            <w:pPr>
              <w:rPr>
                <w:b/>
              </w:rPr>
            </w:pPr>
            <w:r w:rsidRPr="00DA20F5">
              <w:rPr>
                <w:b/>
              </w:rPr>
              <w:t>Spolu</w:t>
            </w:r>
          </w:p>
        </w:tc>
        <w:tc>
          <w:tcPr>
            <w:tcW w:w="633" w:type="pct"/>
            <w:noWrap/>
            <w:vAlign w:val="center"/>
          </w:tcPr>
          <w:p w:rsidR="00F10DB1" w:rsidRPr="00DA20F5" w:rsidRDefault="00F10DB1" w:rsidP="00D36FB8">
            <w:pPr>
              <w:ind w:right="227"/>
              <w:jc w:val="right"/>
              <w:rPr>
                <w:b/>
              </w:rPr>
            </w:pPr>
            <w:r w:rsidRPr="00DA20F5">
              <w:rPr>
                <w:b/>
              </w:rPr>
              <w:t>59,0</w:t>
            </w:r>
          </w:p>
        </w:tc>
        <w:tc>
          <w:tcPr>
            <w:tcW w:w="591" w:type="pct"/>
            <w:noWrap/>
            <w:vAlign w:val="bottom"/>
          </w:tcPr>
          <w:p w:rsidR="00F10DB1" w:rsidRPr="00DA20F5" w:rsidRDefault="00F10DB1" w:rsidP="00D36FB8">
            <w:pPr>
              <w:ind w:right="227"/>
              <w:jc w:val="right"/>
              <w:rPr>
                <w:b/>
              </w:rPr>
            </w:pPr>
            <w:r w:rsidRPr="00DA20F5">
              <w:rPr>
                <w:b/>
              </w:rPr>
              <w:t xml:space="preserve">59,1 </w:t>
            </w:r>
          </w:p>
        </w:tc>
        <w:tc>
          <w:tcPr>
            <w:tcW w:w="689" w:type="pct"/>
            <w:noWrap/>
            <w:vAlign w:val="center"/>
          </w:tcPr>
          <w:p w:rsidR="00F10DB1" w:rsidRPr="00DA20F5" w:rsidRDefault="00F10DB1" w:rsidP="00D36FB8">
            <w:pPr>
              <w:ind w:right="227"/>
              <w:jc w:val="right"/>
              <w:rPr>
                <w:b/>
              </w:rPr>
            </w:pPr>
            <w:r w:rsidRPr="00DA20F5">
              <w:rPr>
                <w:b/>
              </w:rPr>
              <w:t>67,8</w:t>
            </w:r>
          </w:p>
        </w:tc>
        <w:tc>
          <w:tcPr>
            <w:tcW w:w="591" w:type="pct"/>
            <w:noWrap/>
            <w:vAlign w:val="bottom"/>
          </w:tcPr>
          <w:p w:rsidR="00F10DB1" w:rsidRPr="00DA20F5" w:rsidRDefault="00F10DB1" w:rsidP="00D36FB8">
            <w:pPr>
              <w:ind w:right="227"/>
              <w:jc w:val="right"/>
              <w:rPr>
                <w:b/>
              </w:rPr>
            </w:pPr>
            <w:r w:rsidRPr="00DA20F5">
              <w:rPr>
                <w:b/>
              </w:rPr>
              <w:t xml:space="preserve">68,4 </w:t>
            </w:r>
          </w:p>
        </w:tc>
        <w:tc>
          <w:tcPr>
            <w:tcW w:w="591" w:type="pct"/>
            <w:noWrap/>
            <w:vAlign w:val="center"/>
          </w:tcPr>
          <w:p w:rsidR="00F10DB1" w:rsidRPr="00DA20F5" w:rsidRDefault="00F10DB1" w:rsidP="00D36FB8">
            <w:pPr>
              <w:ind w:right="227"/>
              <w:jc w:val="right"/>
              <w:rPr>
                <w:b/>
              </w:rPr>
            </w:pPr>
            <w:r w:rsidRPr="00DA20F5">
              <w:rPr>
                <w:b/>
              </w:rPr>
              <w:t>50,8</w:t>
            </w:r>
          </w:p>
        </w:tc>
        <w:tc>
          <w:tcPr>
            <w:tcW w:w="568" w:type="pct"/>
            <w:noWrap/>
            <w:vAlign w:val="bottom"/>
          </w:tcPr>
          <w:p w:rsidR="00F10DB1" w:rsidRPr="00DA20F5" w:rsidRDefault="00F10DB1" w:rsidP="00D36FB8">
            <w:pPr>
              <w:ind w:right="227"/>
              <w:jc w:val="right"/>
              <w:rPr>
                <w:b/>
              </w:rPr>
            </w:pPr>
            <w:r w:rsidRPr="00DA20F5">
              <w:rPr>
                <w:b/>
              </w:rPr>
              <w:t xml:space="preserve">50,5 </w:t>
            </w:r>
          </w:p>
        </w:tc>
      </w:tr>
      <w:tr w:rsidR="00F10DB1" w:rsidRPr="00DA20F5" w:rsidTr="00324E2B">
        <w:trPr>
          <w:trHeight w:val="255"/>
          <w:jc w:val="center"/>
        </w:trPr>
        <w:tc>
          <w:tcPr>
            <w:tcW w:w="1337" w:type="pct"/>
            <w:vAlign w:val="center"/>
          </w:tcPr>
          <w:p w:rsidR="00F10DB1" w:rsidRPr="00DA20F5" w:rsidRDefault="00F10DB1" w:rsidP="00D36FB8">
            <w:r w:rsidRPr="00DA20F5">
              <w:t>15 – 19 rokov</w:t>
            </w:r>
          </w:p>
        </w:tc>
        <w:tc>
          <w:tcPr>
            <w:tcW w:w="633" w:type="pct"/>
            <w:noWrap/>
            <w:vAlign w:val="center"/>
          </w:tcPr>
          <w:p w:rsidR="00F10DB1" w:rsidRPr="00DA20F5" w:rsidRDefault="00F10DB1" w:rsidP="00D36FB8">
            <w:pPr>
              <w:ind w:right="227"/>
              <w:jc w:val="right"/>
            </w:pPr>
            <w:r w:rsidRPr="00DA20F5">
              <w:t>6,3</w:t>
            </w:r>
          </w:p>
        </w:tc>
        <w:tc>
          <w:tcPr>
            <w:tcW w:w="591" w:type="pct"/>
            <w:noWrap/>
            <w:vAlign w:val="bottom"/>
          </w:tcPr>
          <w:p w:rsidR="00F10DB1" w:rsidRPr="00DA20F5" w:rsidRDefault="00F10DB1" w:rsidP="00D36FB8">
            <w:pPr>
              <w:ind w:right="227"/>
              <w:jc w:val="right"/>
            </w:pPr>
            <w:r w:rsidRPr="00DA20F5">
              <w:t xml:space="preserve">6,5 </w:t>
            </w:r>
          </w:p>
        </w:tc>
        <w:tc>
          <w:tcPr>
            <w:tcW w:w="689" w:type="pct"/>
            <w:noWrap/>
            <w:vAlign w:val="center"/>
          </w:tcPr>
          <w:p w:rsidR="00F10DB1" w:rsidRPr="00DA20F5" w:rsidRDefault="00F10DB1" w:rsidP="00D36FB8">
            <w:pPr>
              <w:ind w:right="227"/>
              <w:jc w:val="right"/>
            </w:pPr>
            <w:r w:rsidRPr="00DA20F5">
              <w:t>6,9</w:t>
            </w:r>
          </w:p>
        </w:tc>
        <w:tc>
          <w:tcPr>
            <w:tcW w:w="591" w:type="pct"/>
            <w:noWrap/>
            <w:vAlign w:val="bottom"/>
          </w:tcPr>
          <w:p w:rsidR="00F10DB1" w:rsidRPr="00DA20F5" w:rsidRDefault="00F10DB1" w:rsidP="00D36FB8">
            <w:pPr>
              <w:ind w:right="227"/>
              <w:jc w:val="right"/>
            </w:pPr>
            <w:r w:rsidRPr="00DA20F5">
              <w:t xml:space="preserve">7,8 </w:t>
            </w:r>
          </w:p>
        </w:tc>
        <w:tc>
          <w:tcPr>
            <w:tcW w:w="591" w:type="pct"/>
            <w:noWrap/>
            <w:vAlign w:val="center"/>
          </w:tcPr>
          <w:p w:rsidR="00F10DB1" w:rsidRPr="00DA20F5" w:rsidRDefault="00F10DB1" w:rsidP="00D36FB8">
            <w:pPr>
              <w:ind w:right="227"/>
              <w:jc w:val="right"/>
            </w:pPr>
            <w:r w:rsidRPr="00DA20F5">
              <w:t>5,7</w:t>
            </w:r>
          </w:p>
        </w:tc>
        <w:tc>
          <w:tcPr>
            <w:tcW w:w="568" w:type="pct"/>
            <w:noWrap/>
            <w:vAlign w:val="bottom"/>
          </w:tcPr>
          <w:p w:rsidR="00F10DB1" w:rsidRPr="00DA20F5" w:rsidRDefault="00F10DB1" w:rsidP="00D36FB8">
            <w:pPr>
              <w:ind w:right="227"/>
              <w:jc w:val="right"/>
            </w:pPr>
            <w:r w:rsidRPr="00DA20F5">
              <w:t xml:space="preserve">5,2 </w:t>
            </w:r>
          </w:p>
        </w:tc>
      </w:tr>
      <w:tr w:rsidR="00F10DB1" w:rsidRPr="00DA20F5" w:rsidTr="00324E2B">
        <w:trPr>
          <w:trHeight w:val="255"/>
          <w:jc w:val="center"/>
        </w:trPr>
        <w:tc>
          <w:tcPr>
            <w:tcW w:w="1337" w:type="pct"/>
            <w:vAlign w:val="center"/>
          </w:tcPr>
          <w:p w:rsidR="00F10DB1" w:rsidRPr="00DA20F5" w:rsidRDefault="00F10DB1" w:rsidP="00D36FB8">
            <w:r w:rsidRPr="00DA20F5">
              <w:t>20 – 24 rokov</w:t>
            </w:r>
          </w:p>
        </w:tc>
        <w:tc>
          <w:tcPr>
            <w:tcW w:w="633" w:type="pct"/>
            <w:noWrap/>
            <w:vAlign w:val="center"/>
          </w:tcPr>
          <w:p w:rsidR="00F10DB1" w:rsidRPr="00DA20F5" w:rsidRDefault="00F10DB1" w:rsidP="00D36FB8">
            <w:pPr>
              <w:ind w:right="227"/>
              <w:jc w:val="right"/>
            </w:pPr>
            <w:r w:rsidRPr="00DA20F5">
              <w:t>52,7</w:t>
            </w:r>
          </w:p>
        </w:tc>
        <w:tc>
          <w:tcPr>
            <w:tcW w:w="591" w:type="pct"/>
            <w:noWrap/>
            <w:vAlign w:val="bottom"/>
          </w:tcPr>
          <w:p w:rsidR="00F10DB1" w:rsidRPr="00DA20F5" w:rsidRDefault="00F10DB1" w:rsidP="00D36FB8">
            <w:pPr>
              <w:ind w:right="227"/>
              <w:jc w:val="right"/>
            </w:pPr>
            <w:r w:rsidRPr="00DA20F5">
              <w:t xml:space="preserve">50,5 </w:t>
            </w:r>
          </w:p>
        </w:tc>
        <w:tc>
          <w:tcPr>
            <w:tcW w:w="689" w:type="pct"/>
            <w:noWrap/>
            <w:vAlign w:val="center"/>
          </w:tcPr>
          <w:p w:rsidR="00F10DB1" w:rsidRPr="00DA20F5" w:rsidRDefault="00F10DB1" w:rsidP="00D36FB8">
            <w:pPr>
              <w:ind w:right="227"/>
              <w:jc w:val="right"/>
            </w:pPr>
            <w:r w:rsidRPr="00DA20F5">
              <w:t>62,1</w:t>
            </w:r>
          </w:p>
        </w:tc>
        <w:tc>
          <w:tcPr>
            <w:tcW w:w="591" w:type="pct"/>
            <w:noWrap/>
            <w:vAlign w:val="bottom"/>
          </w:tcPr>
          <w:p w:rsidR="00F10DB1" w:rsidRPr="00DA20F5" w:rsidRDefault="00F10DB1" w:rsidP="00D36FB8">
            <w:pPr>
              <w:ind w:right="227"/>
              <w:jc w:val="right"/>
            </w:pPr>
            <w:r w:rsidRPr="00DA20F5">
              <w:t xml:space="preserve">62,6 </w:t>
            </w:r>
          </w:p>
        </w:tc>
        <w:tc>
          <w:tcPr>
            <w:tcW w:w="591" w:type="pct"/>
            <w:noWrap/>
            <w:vAlign w:val="center"/>
          </w:tcPr>
          <w:p w:rsidR="00F10DB1" w:rsidRPr="00DA20F5" w:rsidRDefault="00F10DB1" w:rsidP="00D36FB8">
            <w:pPr>
              <w:ind w:right="227"/>
              <w:jc w:val="right"/>
            </w:pPr>
            <w:r w:rsidRPr="00DA20F5">
              <w:t>42,8</w:t>
            </w:r>
          </w:p>
        </w:tc>
        <w:tc>
          <w:tcPr>
            <w:tcW w:w="568" w:type="pct"/>
            <w:noWrap/>
            <w:vAlign w:val="bottom"/>
          </w:tcPr>
          <w:p w:rsidR="00F10DB1" w:rsidRPr="00DA20F5" w:rsidRDefault="00F10DB1" w:rsidP="00D36FB8">
            <w:pPr>
              <w:ind w:right="227"/>
              <w:jc w:val="right"/>
            </w:pPr>
            <w:r w:rsidRPr="00DA20F5">
              <w:t xml:space="preserve">37,8 </w:t>
            </w:r>
          </w:p>
        </w:tc>
      </w:tr>
      <w:tr w:rsidR="00F10DB1" w:rsidRPr="00DA20F5" w:rsidTr="00324E2B">
        <w:trPr>
          <w:trHeight w:val="255"/>
          <w:jc w:val="center"/>
        </w:trPr>
        <w:tc>
          <w:tcPr>
            <w:tcW w:w="1337" w:type="pct"/>
            <w:vAlign w:val="center"/>
          </w:tcPr>
          <w:p w:rsidR="00F10DB1" w:rsidRPr="00DA20F5" w:rsidRDefault="00F10DB1" w:rsidP="00D36FB8">
            <w:r w:rsidRPr="00DA20F5">
              <w:t>25 – 29 rokov</w:t>
            </w:r>
          </w:p>
        </w:tc>
        <w:tc>
          <w:tcPr>
            <w:tcW w:w="633" w:type="pct"/>
            <w:noWrap/>
            <w:vAlign w:val="center"/>
          </w:tcPr>
          <w:p w:rsidR="00F10DB1" w:rsidRPr="00DA20F5" w:rsidRDefault="00F10DB1" w:rsidP="00D36FB8">
            <w:pPr>
              <w:ind w:right="227"/>
              <w:jc w:val="right"/>
            </w:pPr>
            <w:r w:rsidRPr="00DA20F5">
              <w:t>81,7</w:t>
            </w:r>
          </w:p>
        </w:tc>
        <w:tc>
          <w:tcPr>
            <w:tcW w:w="591" w:type="pct"/>
            <w:noWrap/>
            <w:vAlign w:val="bottom"/>
          </w:tcPr>
          <w:p w:rsidR="00F10DB1" w:rsidRPr="00DA20F5" w:rsidRDefault="00F10DB1" w:rsidP="00D36FB8">
            <w:pPr>
              <w:ind w:right="227"/>
              <w:jc w:val="right"/>
            </w:pPr>
            <w:r w:rsidRPr="00DA20F5">
              <w:t xml:space="preserve">80,8 </w:t>
            </w:r>
          </w:p>
        </w:tc>
        <w:tc>
          <w:tcPr>
            <w:tcW w:w="689" w:type="pct"/>
            <w:noWrap/>
            <w:vAlign w:val="center"/>
          </w:tcPr>
          <w:p w:rsidR="00F10DB1" w:rsidRPr="00DA20F5" w:rsidRDefault="00F10DB1" w:rsidP="00D36FB8">
            <w:pPr>
              <w:ind w:right="227"/>
              <w:jc w:val="right"/>
            </w:pPr>
            <w:r w:rsidRPr="00DA20F5">
              <w:t>93,3</w:t>
            </w:r>
          </w:p>
        </w:tc>
        <w:tc>
          <w:tcPr>
            <w:tcW w:w="591" w:type="pct"/>
            <w:noWrap/>
            <w:vAlign w:val="bottom"/>
          </w:tcPr>
          <w:p w:rsidR="00F10DB1" w:rsidRPr="00DA20F5" w:rsidRDefault="00F10DB1" w:rsidP="00D36FB8">
            <w:pPr>
              <w:ind w:right="227"/>
              <w:jc w:val="right"/>
            </w:pPr>
            <w:r w:rsidRPr="00DA20F5">
              <w:t xml:space="preserve">91,8 </w:t>
            </w:r>
          </w:p>
        </w:tc>
        <w:tc>
          <w:tcPr>
            <w:tcW w:w="591" w:type="pct"/>
            <w:noWrap/>
            <w:vAlign w:val="center"/>
          </w:tcPr>
          <w:p w:rsidR="00F10DB1" w:rsidRPr="00DA20F5" w:rsidRDefault="00F10DB1" w:rsidP="00D36FB8">
            <w:pPr>
              <w:ind w:right="227"/>
              <w:jc w:val="right"/>
            </w:pPr>
            <w:r w:rsidRPr="00DA20F5">
              <w:t>69,6</w:t>
            </w:r>
          </w:p>
        </w:tc>
        <w:tc>
          <w:tcPr>
            <w:tcW w:w="568" w:type="pct"/>
            <w:noWrap/>
            <w:vAlign w:val="bottom"/>
          </w:tcPr>
          <w:p w:rsidR="00F10DB1" w:rsidRPr="00DA20F5" w:rsidRDefault="00F10DB1" w:rsidP="00D36FB8">
            <w:pPr>
              <w:ind w:right="227"/>
              <w:jc w:val="right"/>
            </w:pPr>
            <w:r w:rsidRPr="00DA20F5">
              <w:t xml:space="preserve">69,2 </w:t>
            </w:r>
          </w:p>
        </w:tc>
      </w:tr>
      <w:tr w:rsidR="00F10DB1" w:rsidRPr="00DA20F5" w:rsidTr="00324E2B">
        <w:trPr>
          <w:trHeight w:val="255"/>
          <w:jc w:val="center"/>
        </w:trPr>
        <w:tc>
          <w:tcPr>
            <w:tcW w:w="1337" w:type="pct"/>
            <w:vAlign w:val="center"/>
          </w:tcPr>
          <w:p w:rsidR="00F10DB1" w:rsidRPr="00DA20F5" w:rsidRDefault="00F10DB1" w:rsidP="00D36FB8">
            <w:r w:rsidRPr="00DA20F5">
              <w:t>30 – 34 rokov</w:t>
            </w:r>
          </w:p>
        </w:tc>
        <w:tc>
          <w:tcPr>
            <w:tcW w:w="633" w:type="pct"/>
            <w:noWrap/>
            <w:vAlign w:val="center"/>
          </w:tcPr>
          <w:p w:rsidR="00F10DB1" w:rsidRPr="00DA20F5" w:rsidRDefault="00F10DB1" w:rsidP="00D36FB8">
            <w:pPr>
              <w:ind w:right="227"/>
              <w:jc w:val="right"/>
            </w:pPr>
            <w:r w:rsidRPr="00DA20F5">
              <w:t>83,5</w:t>
            </w:r>
          </w:p>
        </w:tc>
        <w:tc>
          <w:tcPr>
            <w:tcW w:w="591" w:type="pct"/>
            <w:noWrap/>
            <w:vAlign w:val="bottom"/>
          </w:tcPr>
          <w:p w:rsidR="00F10DB1" w:rsidRPr="00DA20F5" w:rsidRDefault="00F10DB1" w:rsidP="00D36FB8">
            <w:pPr>
              <w:ind w:right="227"/>
              <w:jc w:val="right"/>
            </w:pPr>
            <w:r w:rsidRPr="00DA20F5">
              <w:t xml:space="preserve">83,4 </w:t>
            </w:r>
          </w:p>
        </w:tc>
        <w:tc>
          <w:tcPr>
            <w:tcW w:w="689" w:type="pct"/>
            <w:noWrap/>
            <w:vAlign w:val="center"/>
          </w:tcPr>
          <w:p w:rsidR="00F10DB1" w:rsidRPr="00DA20F5" w:rsidRDefault="00F10DB1" w:rsidP="00D36FB8">
            <w:pPr>
              <w:ind w:right="227"/>
              <w:jc w:val="right"/>
            </w:pPr>
            <w:r w:rsidRPr="00DA20F5">
              <w:t>95,1</w:t>
            </w:r>
          </w:p>
        </w:tc>
        <w:tc>
          <w:tcPr>
            <w:tcW w:w="591" w:type="pct"/>
            <w:noWrap/>
            <w:vAlign w:val="bottom"/>
          </w:tcPr>
          <w:p w:rsidR="00F10DB1" w:rsidRPr="00DA20F5" w:rsidRDefault="00F10DB1" w:rsidP="00D36FB8">
            <w:pPr>
              <w:ind w:right="227"/>
              <w:jc w:val="right"/>
            </w:pPr>
            <w:r w:rsidRPr="00DA20F5">
              <w:t xml:space="preserve">96,1 </w:t>
            </w:r>
          </w:p>
        </w:tc>
        <w:tc>
          <w:tcPr>
            <w:tcW w:w="591" w:type="pct"/>
            <w:noWrap/>
            <w:vAlign w:val="center"/>
          </w:tcPr>
          <w:p w:rsidR="00F10DB1" w:rsidRPr="00DA20F5" w:rsidRDefault="00F10DB1" w:rsidP="00D36FB8">
            <w:pPr>
              <w:ind w:right="227"/>
              <w:jc w:val="right"/>
            </w:pPr>
            <w:r w:rsidRPr="00DA20F5">
              <w:t>71,5</w:t>
            </w:r>
          </w:p>
        </w:tc>
        <w:tc>
          <w:tcPr>
            <w:tcW w:w="568" w:type="pct"/>
            <w:noWrap/>
            <w:vAlign w:val="bottom"/>
          </w:tcPr>
          <w:p w:rsidR="00F10DB1" w:rsidRPr="00DA20F5" w:rsidRDefault="00F10DB1" w:rsidP="00D36FB8">
            <w:pPr>
              <w:ind w:right="227"/>
              <w:jc w:val="right"/>
            </w:pPr>
            <w:r w:rsidRPr="00DA20F5">
              <w:t xml:space="preserve">70,2 </w:t>
            </w:r>
          </w:p>
        </w:tc>
      </w:tr>
      <w:tr w:rsidR="00F10DB1" w:rsidRPr="00DA20F5" w:rsidTr="00324E2B">
        <w:trPr>
          <w:trHeight w:val="255"/>
          <w:jc w:val="center"/>
        </w:trPr>
        <w:tc>
          <w:tcPr>
            <w:tcW w:w="1337" w:type="pct"/>
            <w:vAlign w:val="center"/>
          </w:tcPr>
          <w:p w:rsidR="00F10DB1" w:rsidRPr="00DA20F5" w:rsidRDefault="00F10DB1" w:rsidP="00D36FB8">
            <w:r w:rsidRPr="00DA20F5">
              <w:t>35 – 39 rokov</w:t>
            </w:r>
          </w:p>
        </w:tc>
        <w:tc>
          <w:tcPr>
            <w:tcW w:w="633" w:type="pct"/>
            <w:noWrap/>
            <w:vAlign w:val="center"/>
          </w:tcPr>
          <w:p w:rsidR="00F10DB1" w:rsidRPr="00DA20F5" w:rsidRDefault="00F10DB1" w:rsidP="00D36FB8">
            <w:pPr>
              <w:ind w:right="227"/>
              <w:jc w:val="right"/>
            </w:pPr>
            <w:r w:rsidRPr="00DA20F5">
              <w:t>90,4</w:t>
            </w:r>
          </w:p>
        </w:tc>
        <w:tc>
          <w:tcPr>
            <w:tcW w:w="591" w:type="pct"/>
            <w:noWrap/>
            <w:vAlign w:val="bottom"/>
          </w:tcPr>
          <w:p w:rsidR="00F10DB1" w:rsidRPr="00DA20F5" w:rsidRDefault="00F10DB1" w:rsidP="00D36FB8">
            <w:pPr>
              <w:ind w:right="227"/>
              <w:jc w:val="right"/>
            </w:pPr>
            <w:r w:rsidRPr="00DA20F5">
              <w:t xml:space="preserve">88,8 </w:t>
            </w:r>
          </w:p>
        </w:tc>
        <w:tc>
          <w:tcPr>
            <w:tcW w:w="689" w:type="pct"/>
            <w:noWrap/>
            <w:vAlign w:val="center"/>
          </w:tcPr>
          <w:p w:rsidR="00F10DB1" w:rsidRPr="00DA20F5" w:rsidRDefault="00F10DB1" w:rsidP="00D36FB8">
            <w:pPr>
              <w:ind w:right="227"/>
              <w:jc w:val="right"/>
            </w:pPr>
            <w:r w:rsidRPr="00DA20F5">
              <w:t>95,3</w:t>
            </w:r>
          </w:p>
        </w:tc>
        <w:tc>
          <w:tcPr>
            <w:tcW w:w="591" w:type="pct"/>
            <w:noWrap/>
            <w:vAlign w:val="bottom"/>
          </w:tcPr>
          <w:p w:rsidR="00F10DB1" w:rsidRPr="00DA20F5" w:rsidRDefault="00F10DB1" w:rsidP="00D36FB8">
            <w:pPr>
              <w:ind w:right="227"/>
              <w:jc w:val="right"/>
            </w:pPr>
            <w:r w:rsidRPr="00DA20F5">
              <w:t xml:space="preserve">96,2 </w:t>
            </w:r>
          </w:p>
        </w:tc>
        <w:tc>
          <w:tcPr>
            <w:tcW w:w="591" w:type="pct"/>
            <w:noWrap/>
            <w:vAlign w:val="center"/>
          </w:tcPr>
          <w:p w:rsidR="00F10DB1" w:rsidRPr="00DA20F5" w:rsidRDefault="00F10DB1" w:rsidP="00D36FB8">
            <w:pPr>
              <w:ind w:right="227"/>
              <w:jc w:val="right"/>
            </w:pPr>
            <w:r w:rsidRPr="00DA20F5">
              <w:t>85,4</w:t>
            </w:r>
          </w:p>
        </w:tc>
        <w:tc>
          <w:tcPr>
            <w:tcW w:w="568" w:type="pct"/>
            <w:noWrap/>
            <w:vAlign w:val="bottom"/>
          </w:tcPr>
          <w:p w:rsidR="00F10DB1" w:rsidRPr="00DA20F5" w:rsidRDefault="00F10DB1" w:rsidP="00D36FB8">
            <w:pPr>
              <w:ind w:right="227"/>
              <w:jc w:val="right"/>
            </w:pPr>
            <w:r w:rsidRPr="00DA20F5">
              <w:t xml:space="preserve">81,0 </w:t>
            </w:r>
          </w:p>
        </w:tc>
      </w:tr>
      <w:tr w:rsidR="00F10DB1" w:rsidRPr="00DA20F5" w:rsidTr="00324E2B">
        <w:trPr>
          <w:trHeight w:val="255"/>
          <w:jc w:val="center"/>
        </w:trPr>
        <w:tc>
          <w:tcPr>
            <w:tcW w:w="1337" w:type="pct"/>
            <w:vAlign w:val="center"/>
          </w:tcPr>
          <w:p w:rsidR="00F10DB1" w:rsidRPr="00DA20F5" w:rsidRDefault="00F10DB1" w:rsidP="00D36FB8">
            <w:r w:rsidRPr="00DA20F5">
              <w:t>40 – 44 rokov</w:t>
            </w:r>
          </w:p>
        </w:tc>
        <w:tc>
          <w:tcPr>
            <w:tcW w:w="633" w:type="pct"/>
            <w:noWrap/>
            <w:vAlign w:val="center"/>
          </w:tcPr>
          <w:p w:rsidR="00F10DB1" w:rsidRPr="00DA20F5" w:rsidRDefault="00F10DB1" w:rsidP="00D36FB8">
            <w:pPr>
              <w:ind w:right="227"/>
              <w:jc w:val="right"/>
            </w:pPr>
            <w:r w:rsidRPr="00DA20F5">
              <w:t>92,4</w:t>
            </w:r>
          </w:p>
        </w:tc>
        <w:tc>
          <w:tcPr>
            <w:tcW w:w="591" w:type="pct"/>
            <w:noWrap/>
            <w:vAlign w:val="bottom"/>
          </w:tcPr>
          <w:p w:rsidR="00F10DB1" w:rsidRPr="00DA20F5" w:rsidRDefault="00F10DB1" w:rsidP="00D36FB8">
            <w:pPr>
              <w:ind w:right="227"/>
              <w:jc w:val="right"/>
            </w:pPr>
            <w:r w:rsidRPr="00DA20F5">
              <w:t xml:space="preserve">92,3 </w:t>
            </w:r>
          </w:p>
        </w:tc>
        <w:tc>
          <w:tcPr>
            <w:tcW w:w="689" w:type="pct"/>
            <w:noWrap/>
            <w:vAlign w:val="center"/>
          </w:tcPr>
          <w:p w:rsidR="00F10DB1" w:rsidRPr="00DA20F5" w:rsidRDefault="00F10DB1" w:rsidP="00D36FB8">
            <w:pPr>
              <w:ind w:right="227"/>
              <w:jc w:val="right"/>
            </w:pPr>
            <w:r w:rsidRPr="00DA20F5">
              <w:t>94,0</w:t>
            </w:r>
          </w:p>
        </w:tc>
        <w:tc>
          <w:tcPr>
            <w:tcW w:w="591" w:type="pct"/>
            <w:noWrap/>
            <w:vAlign w:val="bottom"/>
          </w:tcPr>
          <w:p w:rsidR="00F10DB1" w:rsidRPr="00DA20F5" w:rsidRDefault="00F10DB1" w:rsidP="00D36FB8">
            <w:pPr>
              <w:ind w:right="227"/>
              <w:jc w:val="right"/>
            </w:pPr>
            <w:r w:rsidRPr="00DA20F5">
              <w:t xml:space="preserve">94,3 </w:t>
            </w:r>
          </w:p>
        </w:tc>
        <w:tc>
          <w:tcPr>
            <w:tcW w:w="591" w:type="pct"/>
            <w:noWrap/>
            <w:vAlign w:val="center"/>
          </w:tcPr>
          <w:p w:rsidR="00F10DB1" w:rsidRPr="00DA20F5" w:rsidRDefault="00F10DB1" w:rsidP="00D36FB8">
            <w:pPr>
              <w:ind w:right="227"/>
              <w:jc w:val="right"/>
            </w:pPr>
            <w:r w:rsidRPr="00DA20F5">
              <w:t>90,8</w:t>
            </w:r>
          </w:p>
        </w:tc>
        <w:tc>
          <w:tcPr>
            <w:tcW w:w="568" w:type="pct"/>
            <w:noWrap/>
            <w:vAlign w:val="bottom"/>
          </w:tcPr>
          <w:p w:rsidR="00F10DB1" w:rsidRPr="00DA20F5" w:rsidRDefault="00F10DB1" w:rsidP="00D36FB8">
            <w:pPr>
              <w:ind w:right="227"/>
              <w:jc w:val="right"/>
            </w:pPr>
            <w:r w:rsidRPr="00DA20F5">
              <w:t xml:space="preserve">90,3 </w:t>
            </w:r>
          </w:p>
        </w:tc>
      </w:tr>
      <w:tr w:rsidR="00F10DB1" w:rsidRPr="00DA20F5" w:rsidTr="00324E2B">
        <w:trPr>
          <w:trHeight w:val="255"/>
          <w:jc w:val="center"/>
        </w:trPr>
        <w:tc>
          <w:tcPr>
            <w:tcW w:w="1337" w:type="pct"/>
            <w:vAlign w:val="center"/>
          </w:tcPr>
          <w:p w:rsidR="00F10DB1" w:rsidRPr="00DA20F5" w:rsidRDefault="00F10DB1" w:rsidP="00D36FB8">
            <w:r w:rsidRPr="00DA20F5">
              <w:t>45 – 49 rokov</w:t>
            </w:r>
          </w:p>
        </w:tc>
        <w:tc>
          <w:tcPr>
            <w:tcW w:w="633" w:type="pct"/>
            <w:noWrap/>
            <w:vAlign w:val="center"/>
          </w:tcPr>
          <w:p w:rsidR="00F10DB1" w:rsidRPr="00DA20F5" w:rsidRDefault="00F10DB1" w:rsidP="00D36FB8">
            <w:pPr>
              <w:ind w:right="227"/>
              <w:jc w:val="right"/>
            </w:pPr>
            <w:r w:rsidRPr="00DA20F5">
              <w:t>90,4</w:t>
            </w:r>
          </w:p>
        </w:tc>
        <w:tc>
          <w:tcPr>
            <w:tcW w:w="591" w:type="pct"/>
            <w:noWrap/>
            <w:vAlign w:val="bottom"/>
          </w:tcPr>
          <w:p w:rsidR="00F10DB1" w:rsidRPr="00DA20F5" w:rsidRDefault="00F10DB1" w:rsidP="00D36FB8">
            <w:pPr>
              <w:ind w:right="227"/>
              <w:jc w:val="right"/>
            </w:pPr>
            <w:r w:rsidRPr="00DA20F5">
              <w:t xml:space="preserve">91,1 </w:t>
            </w:r>
          </w:p>
        </w:tc>
        <w:tc>
          <w:tcPr>
            <w:tcW w:w="689" w:type="pct"/>
            <w:noWrap/>
            <w:vAlign w:val="center"/>
          </w:tcPr>
          <w:p w:rsidR="00F10DB1" w:rsidRPr="00DA20F5" w:rsidRDefault="00F10DB1" w:rsidP="00D36FB8">
            <w:pPr>
              <w:ind w:right="227"/>
              <w:jc w:val="right"/>
            </w:pPr>
            <w:r w:rsidRPr="00DA20F5">
              <w:t>91,6</w:t>
            </w:r>
          </w:p>
        </w:tc>
        <w:tc>
          <w:tcPr>
            <w:tcW w:w="591" w:type="pct"/>
            <w:noWrap/>
            <w:vAlign w:val="bottom"/>
          </w:tcPr>
          <w:p w:rsidR="00F10DB1" w:rsidRPr="00DA20F5" w:rsidRDefault="00F10DB1" w:rsidP="00D36FB8">
            <w:pPr>
              <w:ind w:right="227"/>
              <w:jc w:val="right"/>
            </w:pPr>
            <w:r w:rsidRPr="00DA20F5">
              <w:t xml:space="preserve">92,4 </w:t>
            </w:r>
          </w:p>
        </w:tc>
        <w:tc>
          <w:tcPr>
            <w:tcW w:w="591" w:type="pct"/>
            <w:noWrap/>
            <w:vAlign w:val="center"/>
          </w:tcPr>
          <w:p w:rsidR="00F10DB1" w:rsidRPr="00DA20F5" w:rsidRDefault="00F10DB1" w:rsidP="00D36FB8">
            <w:pPr>
              <w:ind w:right="227"/>
              <w:jc w:val="right"/>
            </w:pPr>
            <w:r w:rsidRPr="00DA20F5">
              <w:t>89,3</w:t>
            </w:r>
          </w:p>
        </w:tc>
        <w:tc>
          <w:tcPr>
            <w:tcW w:w="568" w:type="pct"/>
            <w:noWrap/>
            <w:vAlign w:val="bottom"/>
          </w:tcPr>
          <w:p w:rsidR="00F10DB1" w:rsidRPr="00DA20F5" w:rsidRDefault="00F10DB1" w:rsidP="00D36FB8">
            <w:pPr>
              <w:ind w:right="227"/>
              <w:jc w:val="right"/>
            </w:pPr>
            <w:r w:rsidRPr="00DA20F5">
              <w:t xml:space="preserve">89,7 </w:t>
            </w:r>
          </w:p>
        </w:tc>
      </w:tr>
      <w:tr w:rsidR="00F10DB1" w:rsidRPr="00DA20F5" w:rsidTr="00324E2B">
        <w:trPr>
          <w:trHeight w:val="255"/>
          <w:jc w:val="center"/>
        </w:trPr>
        <w:tc>
          <w:tcPr>
            <w:tcW w:w="1337" w:type="pct"/>
            <w:vAlign w:val="center"/>
          </w:tcPr>
          <w:p w:rsidR="00F10DB1" w:rsidRPr="00DA20F5" w:rsidRDefault="00F10DB1" w:rsidP="00D36FB8">
            <w:r w:rsidRPr="00DA20F5">
              <w:t>50 – 54 rokov</w:t>
            </w:r>
          </w:p>
        </w:tc>
        <w:tc>
          <w:tcPr>
            <w:tcW w:w="633" w:type="pct"/>
            <w:noWrap/>
            <w:vAlign w:val="center"/>
          </w:tcPr>
          <w:p w:rsidR="00F10DB1" w:rsidRPr="00DA20F5" w:rsidRDefault="00F10DB1" w:rsidP="00D36FB8">
            <w:pPr>
              <w:ind w:right="227"/>
              <w:jc w:val="right"/>
            </w:pPr>
            <w:r w:rsidRPr="00DA20F5">
              <w:t>85,1</w:t>
            </w:r>
          </w:p>
        </w:tc>
        <w:tc>
          <w:tcPr>
            <w:tcW w:w="591" w:type="pct"/>
            <w:noWrap/>
            <w:vAlign w:val="bottom"/>
          </w:tcPr>
          <w:p w:rsidR="00F10DB1" w:rsidRPr="00DA20F5" w:rsidRDefault="00F10DB1" w:rsidP="00D36FB8">
            <w:pPr>
              <w:ind w:right="227"/>
              <w:jc w:val="right"/>
            </w:pPr>
            <w:r w:rsidRPr="00DA20F5">
              <w:t xml:space="preserve">87,8 </w:t>
            </w:r>
          </w:p>
        </w:tc>
        <w:tc>
          <w:tcPr>
            <w:tcW w:w="689" w:type="pct"/>
            <w:noWrap/>
            <w:vAlign w:val="center"/>
          </w:tcPr>
          <w:p w:rsidR="00F10DB1" w:rsidRPr="00DA20F5" w:rsidRDefault="00F10DB1" w:rsidP="00D36FB8">
            <w:pPr>
              <w:ind w:right="227"/>
              <w:jc w:val="right"/>
            </w:pPr>
            <w:r w:rsidRPr="00DA20F5">
              <w:t>87,7</w:t>
            </w:r>
          </w:p>
        </w:tc>
        <w:tc>
          <w:tcPr>
            <w:tcW w:w="591" w:type="pct"/>
            <w:noWrap/>
            <w:vAlign w:val="bottom"/>
          </w:tcPr>
          <w:p w:rsidR="00F10DB1" w:rsidRPr="00DA20F5" w:rsidRDefault="00F10DB1" w:rsidP="00D36FB8">
            <w:pPr>
              <w:ind w:right="227"/>
              <w:jc w:val="right"/>
            </w:pPr>
            <w:r w:rsidRPr="00DA20F5">
              <w:t xml:space="preserve">89,5 </w:t>
            </w:r>
          </w:p>
        </w:tc>
        <w:tc>
          <w:tcPr>
            <w:tcW w:w="591" w:type="pct"/>
            <w:noWrap/>
            <w:vAlign w:val="center"/>
          </w:tcPr>
          <w:p w:rsidR="00F10DB1" w:rsidRPr="00DA20F5" w:rsidRDefault="00F10DB1" w:rsidP="00D36FB8">
            <w:pPr>
              <w:ind w:right="227"/>
              <w:jc w:val="right"/>
            </w:pPr>
            <w:r w:rsidRPr="00DA20F5">
              <w:t>82,5</w:t>
            </w:r>
          </w:p>
        </w:tc>
        <w:tc>
          <w:tcPr>
            <w:tcW w:w="568" w:type="pct"/>
            <w:noWrap/>
            <w:vAlign w:val="bottom"/>
          </w:tcPr>
          <w:p w:rsidR="00F10DB1" w:rsidRPr="00DA20F5" w:rsidRDefault="00F10DB1" w:rsidP="00D36FB8">
            <w:pPr>
              <w:ind w:right="227"/>
              <w:jc w:val="right"/>
            </w:pPr>
            <w:r w:rsidRPr="00DA20F5">
              <w:t xml:space="preserve">86,2 </w:t>
            </w:r>
          </w:p>
        </w:tc>
      </w:tr>
      <w:tr w:rsidR="00F10DB1" w:rsidRPr="00DA20F5" w:rsidTr="00324E2B">
        <w:trPr>
          <w:trHeight w:val="255"/>
          <w:jc w:val="center"/>
        </w:trPr>
        <w:tc>
          <w:tcPr>
            <w:tcW w:w="1337" w:type="pct"/>
            <w:vAlign w:val="center"/>
          </w:tcPr>
          <w:p w:rsidR="00F10DB1" w:rsidRPr="00DA20F5" w:rsidRDefault="00F10DB1" w:rsidP="00D36FB8">
            <w:r w:rsidRPr="00DA20F5">
              <w:t>55 – 59 rokov</w:t>
            </w:r>
          </w:p>
        </w:tc>
        <w:tc>
          <w:tcPr>
            <w:tcW w:w="633" w:type="pct"/>
            <w:noWrap/>
            <w:vAlign w:val="center"/>
          </w:tcPr>
          <w:p w:rsidR="00F10DB1" w:rsidRPr="00DA20F5" w:rsidRDefault="00F10DB1" w:rsidP="00D36FB8">
            <w:pPr>
              <w:ind w:right="227"/>
              <w:jc w:val="right"/>
            </w:pPr>
            <w:r w:rsidRPr="00DA20F5">
              <w:t>65,5</w:t>
            </w:r>
          </w:p>
        </w:tc>
        <w:tc>
          <w:tcPr>
            <w:tcW w:w="591" w:type="pct"/>
            <w:noWrap/>
            <w:vAlign w:val="bottom"/>
          </w:tcPr>
          <w:p w:rsidR="00F10DB1" w:rsidRPr="00DA20F5" w:rsidRDefault="00F10DB1" w:rsidP="00D36FB8">
            <w:pPr>
              <w:ind w:right="227"/>
              <w:jc w:val="right"/>
            </w:pPr>
            <w:r w:rsidRPr="00DA20F5">
              <w:t xml:space="preserve">67,3 </w:t>
            </w:r>
          </w:p>
        </w:tc>
        <w:tc>
          <w:tcPr>
            <w:tcW w:w="689" w:type="pct"/>
            <w:noWrap/>
            <w:vAlign w:val="center"/>
          </w:tcPr>
          <w:p w:rsidR="00F10DB1" w:rsidRPr="00DA20F5" w:rsidRDefault="00F10DB1" w:rsidP="00D36FB8">
            <w:pPr>
              <w:ind w:right="227"/>
              <w:jc w:val="right"/>
            </w:pPr>
            <w:r w:rsidRPr="00DA20F5">
              <w:t>81,0</w:t>
            </w:r>
          </w:p>
        </w:tc>
        <w:tc>
          <w:tcPr>
            <w:tcW w:w="591" w:type="pct"/>
            <w:noWrap/>
            <w:vAlign w:val="bottom"/>
          </w:tcPr>
          <w:p w:rsidR="00F10DB1" w:rsidRPr="00DA20F5" w:rsidRDefault="00F10DB1" w:rsidP="00D36FB8">
            <w:pPr>
              <w:ind w:right="227"/>
              <w:jc w:val="right"/>
            </w:pPr>
            <w:r w:rsidRPr="00DA20F5">
              <w:t xml:space="preserve">81,0 </w:t>
            </w:r>
          </w:p>
        </w:tc>
        <w:tc>
          <w:tcPr>
            <w:tcW w:w="591" w:type="pct"/>
            <w:noWrap/>
            <w:vAlign w:val="center"/>
          </w:tcPr>
          <w:p w:rsidR="00F10DB1" w:rsidRPr="00DA20F5" w:rsidRDefault="00F10DB1" w:rsidP="00D36FB8">
            <w:pPr>
              <w:ind w:right="227"/>
              <w:jc w:val="right"/>
            </w:pPr>
            <w:r w:rsidRPr="00DA20F5">
              <w:t>51,3</w:t>
            </w:r>
          </w:p>
        </w:tc>
        <w:tc>
          <w:tcPr>
            <w:tcW w:w="568" w:type="pct"/>
            <w:noWrap/>
            <w:vAlign w:val="bottom"/>
          </w:tcPr>
          <w:p w:rsidR="00F10DB1" w:rsidRPr="00DA20F5" w:rsidRDefault="00F10DB1" w:rsidP="00D36FB8">
            <w:pPr>
              <w:ind w:right="227"/>
              <w:jc w:val="right"/>
            </w:pPr>
            <w:r w:rsidRPr="00DA20F5">
              <w:t xml:space="preserve">54,8 </w:t>
            </w:r>
          </w:p>
        </w:tc>
      </w:tr>
      <w:tr w:rsidR="00F10DB1" w:rsidRPr="00DA20F5" w:rsidTr="00324E2B">
        <w:trPr>
          <w:trHeight w:val="255"/>
          <w:jc w:val="center"/>
        </w:trPr>
        <w:tc>
          <w:tcPr>
            <w:tcW w:w="1337" w:type="pct"/>
            <w:vAlign w:val="center"/>
          </w:tcPr>
          <w:p w:rsidR="00F10DB1" w:rsidRPr="00DA20F5" w:rsidRDefault="00F10DB1" w:rsidP="00D36FB8">
            <w:r w:rsidRPr="00DA20F5">
              <w:t>60 – 64 rokov</w:t>
            </w:r>
          </w:p>
        </w:tc>
        <w:tc>
          <w:tcPr>
            <w:tcW w:w="633" w:type="pct"/>
            <w:noWrap/>
            <w:vAlign w:val="center"/>
          </w:tcPr>
          <w:p w:rsidR="00F10DB1" w:rsidRPr="00DA20F5" w:rsidRDefault="00F10DB1" w:rsidP="00D36FB8">
            <w:pPr>
              <w:ind w:right="227"/>
              <w:jc w:val="right"/>
            </w:pPr>
            <w:r w:rsidRPr="00DA20F5">
              <w:t>18,0</w:t>
            </w:r>
          </w:p>
        </w:tc>
        <w:tc>
          <w:tcPr>
            <w:tcW w:w="591" w:type="pct"/>
            <w:noWrap/>
            <w:vAlign w:val="bottom"/>
          </w:tcPr>
          <w:p w:rsidR="00F10DB1" w:rsidRPr="00DA20F5" w:rsidRDefault="00F10DB1" w:rsidP="00D36FB8">
            <w:pPr>
              <w:ind w:right="227"/>
              <w:jc w:val="right"/>
            </w:pPr>
            <w:r w:rsidRPr="00DA20F5">
              <w:t xml:space="preserve">18,9 </w:t>
            </w:r>
          </w:p>
        </w:tc>
        <w:tc>
          <w:tcPr>
            <w:tcW w:w="689" w:type="pct"/>
            <w:noWrap/>
            <w:vAlign w:val="center"/>
          </w:tcPr>
          <w:p w:rsidR="00F10DB1" w:rsidRPr="00DA20F5" w:rsidRDefault="00F10DB1" w:rsidP="00D36FB8">
            <w:pPr>
              <w:ind w:right="227"/>
              <w:jc w:val="right"/>
            </w:pPr>
            <w:r w:rsidRPr="00DA20F5">
              <w:t>30,0</w:t>
            </w:r>
          </w:p>
        </w:tc>
        <w:tc>
          <w:tcPr>
            <w:tcW w:w="591" w:type="pct"/>
            <w:noWrap/>
            <w:vAlign w:val="bottom"/>
          </w:tcPr>
          <w:p w:rsidR="00F10DB1" w:rsidRPr="00DA20F5" w:rsidRDefault="00F10DB1" w:rsidP="00D36FB8">
            <w:pPr>
              <w:ind w:right="227"/>
              <w:jc w:val="right"/>
            </w:pPr>
            <w:r w:rsidRPr="00DA20F5">
              <w:t xml:space="preserve">29,5 </w:t>
            </w:r>
          </w:p>
        </w:tc>
        <w:tc>
          <w:tcPr>
            <w:tcW w:w="591" w:type="pct"/>
            <w:noWrap/>
            <w:vAlign w:val="center"/>
          </w:tcPr>
          <w:p w:rsidR="00F10DB1" w:rsidRPr="00DA20F5" w:rsidRDefault="00F10DB1" w:rsidP="00D36FB8">
            <w:pPr>
              <w:ind w:right="227"/>
              <w:jc w:val="right"/>
            </w:pPr>
            <w:r w:rsidRPr="00DA20F5">
              <w:t>8,0</w:t>
            </w:r>
          </w:p>
        </w:tc>
        <w:tc>
          <w:tcPr>
            <w:tcW w:w="568" w:type="pct"/>
            <w:noWrap/>
            <w:vAlign w:val="bottom"/>
          </w:tcPr>
          <w:p w:rsidR="00F10DB1" w:rsidRPr="00DA20F5" w:rsidRDefault="00F10DB1" w:rsidP="00D36FB8">
            <w:pPr>
              <w:ind w:right="227"/>
              <w:jc w:val="right"/>
            </w:pPr>
            <w:r w:rsidRPr="00DA20F5">
              <w:t xml:space="preserve">10,0 </w:t>
            </w:r>
          </w:p>
        </w:tc>
      </w:tr>
      <w:tr w:rsidR="00F10DB1" w:rsidRPr="00DA20F5" w:rsidTr="00324E2B">
        <w:trPr>
          <w:trHeight w:val="255"/>
          <w:jc w:val="center"/>
        </w:trPr>
        <w:tc>
          <w:tcPr>
            <w:tcW w:w="1337" w:type="pct"/>
            <w:vAlign w:val="center"/>
          </w:tcPr>
          <w:p w:rsidR="00F10DB1" w:rsidRPr="00DA20F5" w:rsidRDefault="00F10DB1" w:rsidP="00D36FB8">
            <w:r w:rsidRPr="00DA20F5">
              <w:t>65 a viac rokov</w:t>
            </w:r>
          </w:p>
        </w:tc>
        <w:tc>
          <w:tcPr>
            <w:tcW w:w="633" w:type="pct"/>
            <w:noWrap/>
            <w:vAlign w:val="center"/>
          </w:tcPr>
          <w:p w:rsidR="00F10DB1" w:rsidRPr="00DA20F5" w:rsidRDefault="00F10DB1" w:rsidP="00D36FB8">
            <w:pPr>
              <w:ind w:right="227"/>
              <w:jc w:val="right"/>
            </w:pPr>
            <w:r w:rsidRPr="00DA20F5">
              <w:t>1,6</w:t>
            </w:r>
          </w:p>
        </w:tc>
        <w:tc>
          <w:tcPr>
            <w:tcW w:w="591" w:type="pct"/>
            <w:noWrap/>
            <w:vAlign w:val="bottom"/>
          </w:tcPr>
          <w:p w:rsidR="00F10DB1" w:rsidRPr="00DA20F5" w:rsidRDefault="00F10DB1" w:rsidP="00D36FB8">
            <w:pPr>
              <w:ind w:right="227"/>
              <w:jc w:val="right"/>
            </w:pPr>
            <w:r w:rsidRPr="00DA20F5">
              <w:t xml:space="preserve">1,8 </w:t>
            </w:r>
          </w:p>
        </w:tc>
        <w:tc>
          <w:tcPr>
            <w:tcW w:w="689" w:type="pct"/>
            <w:noWrap/>
            <w:vAlign w:val="center"/>
          </w:tcPr>
          <w:p w:rsidR="00F10DB1" w:rsidRPr="00DA20F5" w:rsidRDefault="00F10DB1" w:rsidP="00D36FB8">
            <w:pPr>
              <w:ind w:right="227"/>
              <w:jc w:val="right"/>
            </w:pPr>
            <w:r w:rsidRPr="00DA20F5">
              <w:t>2,6</w:t>
            </w:r>
          </w:p>
        </w:tc>
        <w:tc>
          <w:tcPr>
            <w:tcW w:w="591" w:type="pct"/>
            <w:noWrap/>
            <w:vAlign w:val="bottom"/>
          </w:tcPr>
          <w:p w:rsidR="00F10DB1" w:rsidRPr="00DA20F5" w:rsidRDefault="00F10DB1" w:rsidP="00D36FB8">
            <w:pPr>
              <w:ind w:right="227"/>
              <w:jc w:val="right"/>
            </w:pPr>
            <w:r w:rsidRPr="00DA20F5">
              <w:t xml:space="preserve">2,9 </w:t>
            </w:r>
          </w:p>
        </w:tc>
        <w:tc>
          <w:tcPr>
            <w:tcW w:w="591" w:type="pct"/>
            <w:noWrap/>
            <w:vAlign w:val="center"/>
          </w:tcPr>
          <w:p w:rsidR="00F10DB1" w:rsidRPr="00DA20F5" w:rsidRDefault="00F10DB1" w:rsidP="00D36FB8">
            <w:pPr>
              <w:ind w:right="227"/>
              <w:jc w:val="right"/>
            </w:pPr>
            <w:r w:rsidRPr="00DA20F5">
              <w:t>1,1</w:t>
            </w:r>
          </w:p>
        </w:tc>
        <w:tc>
          <w:tcPr>
            <w:tcW w:w="568" w:type="pct"/>
            <w:noWrap/>
            <w:vAlign w:val="bottom"/>
          </w:tcPr>
          <w:p w:rsidR="00F10DB1" w:rsidRPr="00DA20F5" w:rsidRDefault="00F10DB1" w:rsidP="00D36FB8">
            <w:pPr>
              <w:ind w:right="227"/>
              <w:jc w:val="right"/>
            </w:pPr>
            <w:r w:rsidRPr="00DA20F5">
              <w:t xml:space="preserve">1,2 </w:t>
            </w:r>
          </w:p>
        </w:tc>
      </w:tr>
    </w:tbl>
    <w:p w:rsidR="00F10DB1" w:rsidRPr="00DA20F5" w:rsidRDefault="00F10DB1" w:rsidP="00D36FB8">
      <w:pPr>
        <w:pStyle w:val="zdroj"/>
      </w:pPr>
      <w:r w:rsidRPr="00DA20F5">
        <w:t>Zdroj: ŠÚ SR, VZPS</w:t>
      </w:r>
      <w:r w:rsidRPr="00DA20F5">
        <w:tab/>
      </w:r>
    </w:p>
    <w:p w:rsidR="00F10DB1" w:rsidRPr="00DA20F5" w:rsidRDefault="00F10DB1" w:rsidP="00D36FB8">
      <w:pPr>
        <w:ind w:firstLine="567"/>
      </w:pPr>
      <w:r w:rsidRPr="00DA20F5">
        <w:t>Z hľadiska vzdelania najvyššiu mieru ekonomickej aktivity dosiahli osoby s vyšším odborným vzdelaním. Rast miery ekonomickej aktivity zaznamenali takmer všetky vzdelanostné skupiny (okrem skupiny osôb s učňovským vzdelaním s maturitou a s vysokoškolským vzdelaním). Najvýraznejšie zvýšenie miery ekonomickej aktivity zaznamenali</w:t>
      </w:r>
      <w:r w:rsidRPr="00DA20F5" w:rsidDel="00B772E5">
        <w:t xml:space="preserve"> </w:t>
      </w:r>
      <w:r w:rsidRPr="00DA20F5">
        <w:t>osoby s vyšším odborným vzdelaním.</w:t>
      </w:r>
    </w:p>
    <w:p w:rsidR="00F10DB1" w:rsidRPr="00DA20F5" w:rsidRDefault="00F10DB1" w:rsidP="00D36FB8">
      <w:pPr>
        <w:pStyle w:val="Nadpis7"/>
      </w:pPr>
      <w:bookmarkStart w:id="173" w:name="_Toc325438114"/>
      <w:bookmarkStart w:id="174" w:name="_Toc325440883"/>
      <w:bookmarkStart w:id="175" w:name="_Toc325626696"/>
      <w:bookmarkStart w:id="176" w:name="_Toc326216957"/>
      <w:r w:rsidRPr="00DA20F5">
        <w:t>Tab. 2.2 Miera ekonomickej aktivity obyvateľov vo veku 15 - 64 rokov podľa stupňa dosiahnutého vzdelania v roku 2011</w:t>
      </w:r>
      <w:bookmarkEnd w:id="173"/>
      <w:bookmarkEnd w:id="174"/>
      <w:bookmarkEnd w:id="175"/>
      <w:bookmarkEnd w:id="176"/>
    </w:p>
    <w:tbl>
      <w:tblPr>
        <w:tblW w:w="9072"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2646"/>
        <w:gridCol w:w="1075"/>
        <w:gridCol w:w="1074"/>
        <w:gridCol w:w="1070"/>
        <w:gridCol w:w="1070"/>
        <w:gridCol w:w="1070"/>
        <w:gridCol w:w="1067"/>
      </w:tblGrid>
      <w:tr w:rsidR="00F10DB1" w:rsidRPr="00DA20F5" w:rsidTr="00324E2B">
        <w:trPr>
          <w:trHeight w:val="255"/>
          <w:jc w:val="center"/>
        </w:trPr>
        <w:tc>
          <w:tcPr>
            <w:tcW w:w="1458" w:type="pct"/>
            <w:vMerge w:val="restar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Stupeň vzdelania</w:t>
            </w:r>
          </w:p>
        </w:tc>
        <w:tc>
          <w:tcPr>
            <w:tcW w:w="1774" w:type="pct"/>
            <w:gridSpan w:val="3"/>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v %</w:t>
            </w:r>
          </w:p>
        </w:tc>
        <w:tc>
          <w:tcPr>
            <w:tcW w:w="1768" w:type="pct"/>
            <w:gridSpan w:val="3"/>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medziročná zmena v p. b.</w:t>
            </w:r>
          </w:p>
        </w:tc>
      </w:tr>
      <w:tr w:rsidR="00F10DB1" w:rsidRPr="00DA20F5" w:rsidTr="00324E2B">
        <w:trPr>
          <w:trHeight w:val="255"/>
          <w:jc w:val="center"/>
        </w:trPr>
        <w:tc>
          <w:tcPr>
            <w:tcW w:w="1458" w:type="pct"/>
            <w:vMerge/>
            <w:shd w:val="clear" w:color="auto" w:fill="4F81BD"/>
            <w:noWrap/>
            <w:vAlign w:val="center"/>
          </w:tcPr>
          <w:p w:rsidR="00F10DB1" w:rsidRPr="00DA20F5" w:rsidRDefault="00F10DB1" w:rsidP="00D36FB8">
            <w:pPr>
              <w:jc w:val="center"/>
              <w:rPr>
                <w:b/>
                <w:color w:val="FFFFFF" w:themeColor="background1"/>
              </w:rPr>
            </w:pPr>
          </w:p>
        </w:tc>
        <w:tc>
          <w:tcPr>
            <w:tcW w:w="592"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Spolu</w:t>
            </w:r>
          </w:p>
        </w:tc>
        <w:tc>
          <w:tcPr>
            <w:tcW w:w="592" w:type="pc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Muži</w:t>
            </w:r>
          </w:p>
        </w:tc>
        <w:tc>
          <w:tcPr>
            <w:tcW w:w="590" w:type="pc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Ženy</w:t>
            </w:r>
          </w:p>
        </w:tc>
        <w:tc>
          <w:tcPr>
            <w:tcW w:w="590"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Spolu</w:t>
            </w:r>
          </w:p>
        </w:tc>
        <w:tc>
          <w:tcPr>
            <w:tcW w:w="590"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Muži</w:t>
            </w:r>
          </w:p>
        </w:tc>
        <w:tc>
          <w:tcPr>
            <w:tcW w:w="588"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Ženy</w:t>
            </w:r>
          </w:p>
        </w:tc>
      </w:tr>
      <w:tr w:rsidR="00F10DB1" w:rsidRPr="00DA20F5" w:rsidTr="00324E2B">
        <w:trPr>
          <w:trHeight w:val="255"/>
          <w:jc w:val="center"/>
        </w:trPr>
        <w:tc>
          <w:tcPr>
            <w:tcW w:w="1458" w:type="pct"/>
            <w:vAlign w:val="center"/>
          </w:tcPr>
          <w:p w:rsidR="00F10DB1" w:rsidRPr="00DA20F5" w:rsidRDefault="00F10DB1" w:rsidP="00D36FB8">
            <w:pPr>
              <w:rPr>
                <w:b/>
              </w:rPr>
            </w:pPr>
            <w:r w:rsidRPr="00DA20F5">
              <w:rPr>
                <w:b/>
              </w:rPr>
              <w:t>Spolu</w:t>
            </w:r>
          </w:p>
        </w:tc>
        <w:tc>
          <w:tcPr>
            <w:tcW w:w="592" w:type="pct"/>
            <w:noWrap/>
            <w:vAlign w:val="center"/>
          </w:tcPr>
          <w:p w:rsidR="00F10DB1" w:rsidRPr="00DA20F5" w:rsidRDefault="00F10DB1" w:rsidP="00D36FB8">
            <w:pPr>
              <w:ind w:right="284"/>
              <w:jc w:val="right"/>
              <w:rPr>
                <w:b/>
              </w:rPr>
            </w:pPr>
            <w:r w:rsidRPr="00DA20F5">
              <w:rPr>
                <w:b/>
              </w:rPr>
              <w:t>68,9</w:t>
            </w:r>
          </w:p>
        </w:tc>
        <w:tc>
          <w:tcPr>
            <w:tcW w:w="592" w:type="pct"/>
            <w:noWrap/>
            <w:vAlign w:val="center"/>
          </w:tcPr>
          <w:p w:rsidR="00F10DB1" w:rsidRPr="00DA20F5" w:rsidRDefault="00F10DB1" w:rsidP="00D36FB8">
            <w:pPr>
              <w:ind w:right="284"/>
              <w:jc w:val="right"/>
              <w:rPr>
                <w:b/>
              </w:rPr>
            </w:pPr>
            <w:r w:rsidRPr="00DA20F5">
              <w:rPr>
                <w:b/>
              </w:rPr>
              <w:t>76,7</w:t>
            </w:r>
          </w:p>
        </w:tc>
        <w:tc>
          <w:tcPr>
            <w:tcW w:w="590" w:type="pct"/>
            <w:noWrap/>
            <w:vAlign w:val="center"/>
          </w:tcPr>
          <w:p w:rsidR="00F10DB1" w:rsidRPr="00DA20F5" w:rsidRDefault="00F10DB1" w:rsidP="00D36FB8">
            <w:pPr>
              <w:ind w:right="284"/>
              <w:jc w:val="right"/>
              <w:rPr>
                <w:b/>
              </w:rPr>
            </w:pPr>
            <w:r w:rsidRPr="00DA20F5">
              <w:rPr>
                <w:b/>
              </w:rPr>
              <w:t>61,0</w:t>
            </w:r>
          </w:p>
        </w:tc>
        <w:tc>
          <w:tcPr>
            <w:tcW w:w="590" w:type="pct"/>
            <w:vAlign w:val="center"/>
          </w:tcPr>
          <w:p w:rsidR="00F10DB1" w:rsidRPr="00DA20F5" w:rsidRDefault="00F10DB1" w:rsidP="00D36FB8">
            <w:pPr>
              <w:ind w:right="284"/>
              <w:jc w:val="right"/>
              <w:rPr>
                <w:b/>
              </w:rPr>
            </w:pPr>
            <w:r w:rsidRPr="00DA20F5">
              <w:rPr>
                <w:b/>
              </w:rPr>
              <w:t>2,7</w:t>
            </w:r>
          </w:p>
        </w:tc>
        <w:tc>
          <w:tcPr>
            <w:tcW w:w="590" w:type="pct"/>
            <w:vAlign w:val="center"/>
          </w:tcPr>
          <w:p w:rsidR="00F10DB1" w:rsidRPr="00DA20F5" w:rsidRDefault="00F10DB1" w:rsidP="00D36FB8">
            <w:pPr>
              <w:ind w:right="284"/>
              <w:jc w:val="right"/>
              <w:rPr>
                <w:b/>
              </w:rPr>
            </w:pPr>
            <w:r w:rsidRPr="00DA20F5">
              <w:rPr>
                <w:b/>
              </w:rPr>
              <w:t>2,7</w:t>
            </w:r>
          </w:p>
        </w:tc>
        <w:tc>
          <w:tcPr>
            <w:tcW w:w="588" w:type="pct"/>
            <w:vAlign w:val="center"/>
          </w:tcPr>
          <w:p w:rsidR="00F10DB1" w:rsidRPr="00DA20F5" w:rsidRDefault="00F10DB1" w:rsidP="00D36FB8">
            <w:pPr>
              <w:ind w:right="284"/>
              <w:jc w:val="right"/>
              <w:rPr>
                <w:b/>
              </w:rPr>
            </w:pPr>
            <w:r w:rsidRPr="00DA20F5">
              <w:rPr>
                <w:b/>
              </w:rPr>
              <w:t>2,3</w:t>
            </w:r>
          </w:p>
        </w:tc>
      </w:tr>
      <w:tr w:rsidR="00324E2B" w:rsidRPr="00DA20F5" w:rsidTr="00324E2B">
        <w:trPr>
          <w:trHeight w:val="255"/>
          <w:jc w:val="center"/>
        </w:trPr>
        <w:tc>
          <w:tcPr>
            <w:tcW w:w="5000" w:type="pct"/>
            <w:gridSpan w:val="7"/>
            <w:vAlign w:val="center"/>
          </w:tcPr>
          <w:p w:rsidR="00324E2B" w:rsidRPr="00DA20F5" w:rsidRDefault="00324E2B" w:rsidP="00D36FB8">
            <w:pPr>
              <w:ind w:right="284"/>
              <w:jc w:val="left"/>
            </w:pPr>
            <w:r w:rsidRPr="00DA20F5">
              <w:t>v tom vzdelanie:</w:t>
            </w:r>
          </w:p>
        </w:tc>
      </w:tr>
      <w:tr w:rsidR="00F10DB1" w:rsidRPr="00DA20F5" w:rsidTr="00324E2B">
        <w:trPr>
          <w:trHeight w:val="255"/>
          <w:jc w:val="center"/>
        </w:trPr>
        <w:tc>
          <w:tcPr>
            <w:tcW w:w="1458" w:type="pct"/>
            <w:vAlign w:val="center"/>
          </w:tcPr>
          <w:p w:rsidR="00F10DB1" w:rsidRPr="00DA20F5" w:rsidRDefault="00F10DB1" w:rsidP="00D36FB8">
            <w:r w:rsidRPr="00DA20F5">
              <w:t>Základné</w:t>
            </w:r>
          </w:p>
        </w:tc>
        <w:tc>
          <w:tcPr>
            <w:tcW w:w="592" w:type="pct"/>
            <w:noWrap/>
            <w:vAlign w:val="bottom"/>
          </w:tcPr>
          <w:p w:rsidR="00F10DB1" w:rsidRPr="00DA20F5" w:rsidRDefault="00F10DB1" w:rsidP="00D36FB8">
            <w:pPr>
              <w:ind w:right="284"/>
              <w:jc w:val="right"/>
            </w:pPr>
            <w:r w:rsidRPr="00DA20F5">
              <w:t xml:space="preserve">26,3 </w:t>
            </w:r>
          </w:p>
        </w:tc>
        <w:tc>
          <w:tcPr>
            <w:tcW w:w="592" w:type="pct"/>
            <w:noWrap/>
            <w:vAlign w:val="bottom"/>
          </w:tcPr>
          <w:p w:rsidR="00F10DB1" w:rsidRPr="00DA20F5" w:rsidRDefault="00F10DB1" w:rsidP="00D36FB8">
            <w:pPr>
              <w:ind w:right="284"/>
              <w:jc w:val="right"/>
            </w:pPr>
            <w:r w:rsidRPr="00DA20F5">
              <w:t xml:space="preserve">29,7 </w:t>
            </w:r>
          </w:p>
        </w:tc>
        <w:tc>
          <w:tcPr>
            <w:tcW w:w="590" w:type="pct"/>
            <w:noWrap/>
            <w:vAlign w:val="bottom"/>
          </w:tcPr>
          <w:p w:rsidR="00F10DB1" w:rsidRPr="00DA20F5" w:rsidRDefault="00F10DB1" w:rsidP="00D36FB8">
            <w:pPr>
              <w:ind w:right="284"/>
              <w:jc w:val="right"/>
            </w:pPr>
            <w:r w:rsidRPr="00DA20F5">
              <w:t xml:space="preserve">23,6 </w:t>
            </w:r>
          </w:p>
        </w:tc>
        <w:tc>
          <w:tcPr>
            <w:tcW w:w="590" w:type="pct"/>
            <w:vAlign w:val="bottom"/>
          </w:tcPr>
          <w:p w:rsidR="00F10DB1" w:rsidRPr="00DA20F5" w:rsidRDefault="00F10DB1" w:rsidP="00D36FB8">
            <w:pPr>
              <w:ind w:right="284"/>
              <w:jc w:val="right"/>
            </w:pPr>
            <w:r w:rsidRPr="00DA20F5">
              <w:t>2,6</w:t>
            </w:r>
          </w:p>
        </w:tc>
        <w:tc>
          <w:tcPr>
            <w:tcW w:w="590" w:type="pct"/>
            <w:vAlign w:val="bottom"/>
          </w:tcPr>
          <w:p w:rsidR="00F10DB1" w:rsidRPr="00DA20F5" w:rsidRDefault="00F10DB1" w:rsidP="00D36FB8">
            <w:pPr>
              <w:ind w:right="284"/>
              <w:jc w:val="right"/>
            </w:pPr>
            <w:r w:rsidRPr="00DA20F5">
              <w:t>1,7</w:t>
            </w:r>
          </w:p>
        </w:tc>
        <w:tc>
          <w:tcPr>
            <w:tcW w:w="588" w:type="pct"/>
            <w:vAlign w:val="bottom"/>
          </w:tcPr>
          <w:p w:rsidR="00F10DB1" w:rsidRPr="00DA20F5" w:rsidRDefault="00F10DB1" w:rsidP="00D36FB8">
            <w:pPr>
              <w:ind w:right="284"/>
              <w:jc w:val="right"/>
            </w:pPr>
            <w:r w:rsidRPr="00DA20F5">
              <w:t>3,0</w:t>
            </w:r>
          </w:p>
        </w:tc>
      </w:tr>
      <w:tr w:rsidR="00F10DB1" w:rsidRPr="00DA20F5" w:rsidTr="00324E2B">
        <w:trPr>
          <w:trHeight w:val="255"/>
          <w:jc w:val="center"/>
        </w:trPr>
        <w:tc>
          <w:tcPr>
            <w:tcW w:w="1458" w:type="pct"/>
            <w:vAlign w:val="center"/>
          </w:tcPr>
          <w:p w:rsidR="00F10DB1" w:rsidRPr="00DA20F5" w:rsidRDefault="00F10DB1" w:rsidP="00D36FB8">
            <w:r w:rsidRPr="00DA20F5">
              <w:t>Učňovské</w:t>
            </w:r>
          </w:p>
        </w:tc>
        <w:tc>
          <w:tcPr>
            <w:tcW w:w="592" w:type="pct"/>
            <w:noWrap/>
            <w:vAlign w:val="bottom"/>
          </w:tcPr>
          <w:p w:rsidR="00F10DB1" w:rsidRPr="00DA20F5" w:rsidRDefault="00F10DB1" w:rsidP="00D36FB8">
            <w:pPr>
              <w:ind w:right="284"/>
              <w:jc w:val="right"/>
            </w:pPr>
            <w:r w:rsidRPr="00DA20F5">
              <w:t xml:space="preserve">77,3 </w:t>
            </w:r>
          </w:p>
        </w:tc>
        <w:tc>
          <w:tcPr>
            <w:tcW w:w="592" w:type="pct"/>
            <w:noWrap/>
            <w:vAlign w:val="bottom"/>
          </w:tcPr>
          <w:p w:rsidR="00F10DB1" w:rsidRPr="00DA20F5" w:rsidRDefault="00F10DB1" w:rsidP="00D36FB8">
            <w:pPr>
              <w:ind w:right="284"/>
              <w:jc w:val="right"/>
            </w:pPr>
            <w:r w:rsidRPr="00DA20F5">
              <w:t xml:space="preserve">84,5 </w:t>
            </w:r>
          </w:p>
        </w:tc>
        <w:tc>
          <w:tcPr>
            <w:tcW w:w="590" w:type="pct"/>
            <w:noWrap/>
            <w:vAlign w:val="bottom"/>
          </w:tcPr>
          <w:p w:rsidR="00F10DB1" w:rsidRPr="00DA20F5" w:rsidRDefault="00F10DB1" w:rsidP="00D36FB8">
            <w:pPr>
              <w:ind w:right="284"/>
              <w:jc w:val="right"/>
            </w:pPr>
            <w:r w:rsidRPr="00DA20F5">
              <w:t xml:space="preserve">66,0 </w:t>
            </w:r>
          </w:p>
        </w:tc>
        <w:tc>
          <w:tcPr>
            <w:tcW w:w="590" w:type="pct"/>
            <w:vAlign w:val="bottom"/>
          </w:tcPr>
          <w:p w:rsidR="00F10DB1" w:rsidRPr="00DA20F5" w:rsidRDefault="00F10DB1" w:rsidP="00D36FB8">
            <w:pPr>
              <w:ind w:right="284"/>
              <w:jc w:val="right"/>
            </w:pPr>
            <w:r w:rsidRPr="00DA20F5">
              <w:t>2,1</w:t>
            </w:r>
          </w:p>
        </w:tc>
        <w:tc>
          <w:tcPr>
            <w:tcW w:w="590" w:type="pct"/>
            <w:vAlign w:val="bottom"/>
          </w:tcPr>
          <w:p w:rsidR="00F10DB1" w:rsidRPr="00DA20F5" w:rsidRDefault="00F10DB1" w:rsidP="00D36FB8">
            <w:pPr>
              <w:ind w:right="284"/>
              <w:jc w:val="right"/>
            </w:pPr>
            <w:r w:rsidRPr="00DA20F5">
              <w:t>2,2</w:t>
            </w:r>
          </w:p>
        </w:tc>
        <w:tc>
          <w:tcPr>
            <w:tcW w:w="588" w:type="pct"/>
            <w:vAlign w:val="bottom"/>
          </w:tcPr>
          <w:p w:rsidR="00F10DB1" w:rsidRPr="00DA20F5" w:rsidRDefault="00F10DB1" w:rsidP="00D36FB8">
            <w:pPr>
              <w:ind w:right="284"/>
              <w:jc w:val="right"/>
            </w:pPr>
            <w:r w:rsidRPr="00DA20F5">
              <w:t>1,9</w:t>
            </w:r>
          </w:p>
        </w:tc>
      </w:tr>
      <w:tr w:rsidR="00F10DB1" w:rsidRPr="00DA20F5" w:rsidTr="00324E2B">
        <w:trPr>
          <w:trHeight w:val="255"/>
          <w:jc w:val="center"/>
        </w:trPr>
        <w:tc>
          <w:tcPr>
            <w:tcW w:w="1458" w:type="pct"/>
            <w:vAlign w:val="center"/>
          </w:tcPr>
          <w:p w:rsidR="00F10DB1" w:rsidRPr="00DA20F5" w:rsidRDefault="00F10DB1" w:rsidP="00D36FB8">
            <w:r w:rsidRPr="00DA20F5">
              <w:t>Stredné (bez maturity)</w:t>
            </w:r>
          </w:p>
        </w:tc>
        <w:tc>
          <w:tcPr>
            <w:tcW w:w="592" w:type="pct"/>
            <w:noWrap/>
            <w:vAlign w:val="bottom"/>
          </w:tcPr>
          <w:p w:rsidR="00F10DB1" w:rsidRPr="00DA20F5" w:rsidRDefault="00F10DB1" w:rsidP="00D36FB8">
            <w:pPr>
              <w:ind w:right="284"/>
              <w:jc w:val="right"/>
            </w:pPr>
            <w:r w:rsidRPr="00DA20F5">
              <w:t xml:space="preserve">83,2 </w:t>
            </w:r>
          </w:p>
        </w:tc>
        <w:tc>
          <w:tcPr>
            <w:tcW w:w="592" w:type="pct"/>
            <w:noWrap/>
            <w:vAlign w:val="bottom"/>
          </w:tcPr>
          <w:p w:rsidR="00F10DB1" w:rsidRPr="00DA20F5" w:rsidRDefault="00F10DB1" w:rsidP="00D36FB8">
            <w:pPr>
              <w:ind w:right="284"/>
              <w:jc w:val="right"/>
            </w:pPr>
            <w:r w:rsidRPr="00DA20F5">
              <w:t xml:space="preserve">91,8 </w:t>
            </w:r>
          </w:p>
        </w:tc>
        <w:tc>
          <w:tcPr>
            <w:tcW w:w="590" w:type="pct"/>
            <w:noWrap/>
            <w:vAlign w:val="bottom"/>
          </w:tcPr>
          <w:p w:rsidR="00F10DB1" w:rsidRPr="00DA20F5" w:rsidRDefault="00F10DB1" w:rsidP="00D36FB8">
            <w:pPr>
              <w:ind w:right="284"/>
              <w:jc w:val="right"/>
            </w:pPr>
            <w:r w:rsidRPr="00DA20F5">
              <w:t xml:space="preserve">70,8 </w:t>
            </w:r>
          </w:p>
        </w:tc>
        <w:tc>
          <w:tcPr>
            <w:tcW w:w="590" w:type="pct"/>
            <w:vAlign w:val="bottom"/>
          </w:tcPr>
          <w:p w:rsidR="00F10DB1" w:rsidRPr="00DA20F5" w:rsidRDefault="00F10DB1" w:rsidP="00D36FB8">
            <w:pPr>
              <w:ind w:right="284"/>
              <w:jc w:val="right"/>
            </w:pPr>
            <w:r w:rsidRPr="00DA20F5">
              <w:t>1,6</w:t>
            </w:r>
          </w:p>
        </w:tc>
        <w:tc>
          <w:tcPr>
            <w:tcW w:w="590" w:type="pct"/>
            <w:vAlign w:val="bottom"/>
          </w:tcPr>
          <w:p w:rsidR="00F10DB1" w:rsidRPr="00DA20F5" w:rsidRDefault="00F10DB1" w:rsidP="00D36FB8">
            <w:pPr>
              <w:ind w:right="284"/>
              <w:jc w:val="right"/>
            </w:pPr>
            <w:r w:rsidRPr="00DA20F5">
              <w:t>0,1</w:t>
            </w:r>
          </w:p>
        </w:tc>
        <w:tc>
          <w:tcPr>
            <w:tcW w:w="588" w:type="pct"/>
            <w:vAlign w:val="bottom"/>
          </w:tcPr>
          <w:p w:rsidR="00F10DB1" w:rsidRPr="00DA20F5" w:rsidRDefault="00F10DB1" w:rsidP="00D36FB8">
            <w:pPr>
              <w:ind w:right="284"/>
              <w:jc w:val="right"/>
            </w:pPr>
            <w:r w:rsidRPr="00DA20F5">
              <w:t>2,3</w:t>
            </w:r>
          </w:p>
        </w:tc>
      </w:tr>
      <w:tr w:rsidR="00F10DB1" w:rsidRPr="00DA20F5" w:rsidTr="00324E2B">
        <w:trPr>
          <w:trHeight w:val="255"/>
          <w:jc w:val="center"/>
        </w:trPr>
        <w:tc>
          <w:tcPr>
            <w:tcW w:w="1458" w:type="pct"/>
            <w:vAlign w:val="center"/>
          </w:tcPr>
          <w:p w:rsidR="00F10DB1" w:rsidRPr="00DA20F5" w:rsidRDefault="00F10DB1" w:rsidP="00D36FB8">
            <w:r w:rsidRPr="00DA20F5">
              <w:t>Učňovské s maturitou</w:t>
            </w:r>
          </w:p>
        </w:tc>
        <w:tc>
          <w:tcPr>
            <w:tcW w:w="592" w:type="pct"/>
            <w:noWrap/>
            <w:vAlign w:val="bottom"/>
          </w:tcPr>
          <w:p w:rsidR="00F10DB1" w:rsidRPr="00DA20F5" w:rsidRDefault="00F10DB1" w:rsidP="00D36FB8">
            <w:pPr>
              <w:ind w:right="284"/>
              <w:jc w:val="right"/>
            </w:pPr>
            <w:r w:rsidRPr="00DA20F5">
              <w:t xml:space="preserve">84,0 </w:t>
            </w:r>
          </w:p>
        </w:tc>
        <w:tc>
          <w:tcPr>
            <w:tcW w:w="592" w:type="pct"/>
            <w:noWrap/>
            <w:vAlign w:val="bottom"/>
          </w:tcPr>
          <w:p w:rsidR="00F10DB1" w:rsidRPr="00DA20F5" w:rsidRDefault="00F10DB1" w:rsidP="00D36FB8">
            <w:pPr>
              <w:ind w:right="284"/>
              <w:jc w:val="right"/>
            </w:pPr>
            <w:r w:rsidRPr="00DA20F5">
              <w:t xml:space="preserve">92,7 </w:t>
            </w:r>
          </w:p>
        </w:tc>
        <w:tc>
          <w:tcPr>
            <w:tcW w:w="590" w:type="pct"/>
            <w:noWrap/>
            <w:vAlign w:val="bottom"/>
          </w:tcPr>
          <w:p w:rsidR="00F10DB1" w:rsidRPr="00DA20F5" w:rsidRDefault="00F10DB1" w:rsidP="00D36FB8">
            <w:pPr>
              <w:ind w:right="284"/>
              <w:jc w:val="right"/>
            </w:pPr>
            <w:r w:rsidRPr="00DA20F5">
              <w:t xml:space="preserve">71,5 </w:t>
            </w:r>
          </w:p>
        </w:tc>
        <w:tc>
          <w:tcPr>
            <w:tcW w:w="590" w:type="pct"/>
            <w:vAlign w:val="bottom"/>
          </w:tcPr>
          <w:p w:rsidR="00F10DB1" w:rsidRPr="00DA20F5" w:rsidRDefault="00F10DB1" w:rsidP="00D36FB8">
            <w:pPr>
              <w:ind w:right="284"/>
              <w:jc w:val="right"/>
            </w:pPr>
            <w:r w:rsidRPr="00DA20F5">
              <w:t>-3,8</w:t>
            </w:r>
          </w:p>
        </w:tc>
        <w:tc>
          <w:tcPr>
            <w:tcW w:w="590" w:type="pct"/>
            <w:vAlign w:val="bottom"/>
          </w:tcPr>
          <w:p w:rsidR="00F10DB1" w:rsidRPr="00DA20F5" w:rsidRDefault="00F10DB1" w:rsidP="00D36FB8">
            <w:pPr>
              <w:ind w:right="284"/>
              <w:jc w:val="right"/>
            </w:pPr>
            <w:r w:rsidRPr="00DA20F5">
              <w:t>0,7</w:t>
            </w:r>
          </w:p>
        </w:tc>
        <w:tc>
          <w:tcPr>
            <w:tcW w:w="588" w:type="pct"/>
            <w:vAlign w:val="bottom"/>
          </w:tcPr>
          <w:p w:rsidR="00F10DB1" w:rsidRPr="00DA20F5" w:rsidRDefault="00F10DB1" w:rsidP="00D36FB8">
            <w:pPr>
              <w:ind w:right="284"/>
              <w:jc w:val="right"/>
            </w:pPr>
            <w:r w:rsidRPr="00DA20F5">
              <w:t>-10,6</w:t>
            </w:r>
          </w:p>
        </w:tc>
      </w:tr>
      <w:tr w:rsidR="00F10DB1" w:rsidRPr="00DA20F5" w:rsidTr="00324E2B">
        <w:trPr>
          <w:trHeight w:val="255"/>
          <w:jc w:val="center"/>
        </w:trPr>
        <w:tc>
          <w:tcPr>
            <w:tcW w:w="1458" w:type="pct"/>
            <w:vAlign w:val="center"/>
          </w:tcPr>
          <w:p w:rsidR="00F10DB1" w:rsidRPr="00DA20F5" w:rsidRDefault="00F10DB1" w:rsidP="00D36FB8">
            <w:r w:rsidRPr="00DA20F5">
              <w:t>Úplné stredné všeobecné</w:t>
            </w:r>
          </w:p>
        </w:tc>
        <w:tc>
          <w:tcPr>
            <w:tcW w:w="592" w:type="pct"/>
            <w:noWrap/>
            <w:vAlign w:val="bottom"/>
          </w:tcPr>
          <w:p w:rsidR="00F10DB1" w:rsidRPr="00DA20F5" w:rsidRDefault="00F10DB1" w:rsidP="00D36FB8">
            <w:pPr>
              <w:ind w:right="284"/>
              <w:jc w:val="right"/>
            </w:pPr>
            <w:r w:rsidRPr="00DA20F5">
              <w:t xml:space="preserve">47,1 </w:t>
            </w:r>
          </w:p>
        </w:tc>
        <w:tc>
          <w:tcPr>
            <w:tcW w:w="592" w:type="pct"/>
            <w:noWrap/>
            <w:vAlign w:val="bottom"/>
          </w:tcPr>
          <w:p w:rsidR="00F10DB1" w:rsidRPr="00DA20F5" w:rsidRDefault="00F10DB1" w:rsidP="00D36FB8">
            <w:pPr>
              <w:ind w:right="284"/>
              <w:jc w:val="right"/>
            </w:pPr>
            <w:r w:rsidRPr="00DA20F5">
              <w:t xml:space="preserve">50,0 </w:t>
            </w:r>
          </w:p>
        </w:tc>
        <w:tc>
          <w:tcPr>
            <w:tcW w:w="590" w:type="pct"/>
            <w:noWrap/>
            <w:vAlign w:val="bottom"/>
          </w:tcPr>
          <w:p w:rsidR="00F10DB1" w:rsidRPr="00DA20F5" w:rsidRDefault="00F10DB1" w:rsidP="00D36FB8">
            <w:pPr>
              <w:ind w:right="284"/>
              <w:jc w:val="right"/>
            </w:pPr>
            <w:r w:rsidRPr="00DA20F5">
              <w:t xml:space="preserve">45,5 </w:t>
            </w:r>
          </w:p>
        </w:tc>
        <w:tc>
          <w:tcPr>
            <w:tcW w:w="590" w:type="pct"/>
            <w:vAlign w:val="bottom"/>
          </w:tcPr>
          <w:p w:rsidR="00F10DB1" w:rsidRPr="00DA20F5" w:rsidRDefault="00F10DB1" w:rsidP="00D36FB8">
            <w:pPr>
              <w:ind w:right="284"/>
              <w:jc w:val="right"/>
            </w:pPr>
            <w:r w:rsidRPr="00DA20F5">
              <w:t>3,0</w:t>
            </w:r>
          </w:p>
        </w:tc>
        <w:tc>
          <w:tcPr>
            <w:tcW w:w="590" w:type="pct"/>
            <w:vAlign w:val="bottom"/>
          </w:tcPr>
          <w:p w:rsidR="00F10DB1" w:rsidRPr="00DA20F5" w:rsidRDefault="00F10DB1" w:rsidP="00D36FB8">
            <w:pPr>
              <w:ind w:right="284"/>
              <w:jc w:val="right"/>
            </w:pPr>
            <w:r w:rsidRPr="00DA20F5">
              <w:t>2,4</w:t>
            </w:r>
          </w:p>
        </w:tc>
        <w:tc>
          <w:tcPr>
            <w:tcW w:w="588" w:type="pct"/>
            <w:vAlign w:val="bottom"/>
          </w:tcPr>
          <w:p w:rsidR="00F10DB1" w:rsidRPr="00DA20F5" w:rsidRDefault="00F10DB1" w:rsidP="00D36FB8">
            <w:pPr>
              <w:ind w:right="284"/>
              <w:jc w:val="right"/>
            </w:pPr>
            <w:r w:rsidRPr="00DA20F5">
              <w:t>3,4</w:t>
            </w:r>
          </w:p>
        </w:tc>
      </w:tr>
      <w:tr w:rsidR="00F10DB1" w:rsidRPr="00DA20F5" w:rsidTr="00324E2B">
        <w:trPr>
          <w:trHeight w:val="255"/>
          <w:jc w:val="center"/>
        </w:trPr>
        <w:tc>
          <w:tcPr>
            <w:tcW w:w="1458" w:type="pct"/>
            <w:vAlign w:val="center"/>
          </w:tcPr>
          <w:p w:rsidR="00F10DB1" w:rsidRPr="00DA20F5" w:rsidRDefault="00F10DB1" w:rsidP="00D36FB8">
            <w:r w:rsidRPr="00DA20F5">
              <w:t>Úplné stredné odborné</w:t>
            </w:r>
          </w:p>
        </w:tc>
        <w:tc>
          <w:tcPr>
            <w:tcW w:w="592" w:type="pct"/>
            <w:noWrap/>
            <w:vAlign w:val="bottom"/>
          </w:tcPr>
          <w:p w:rsidR="00F10DB1" w:rsidRPr="00DA20F5" w:rsidRDefault="00F10DB1" w:rsidP="00D36FB8">
            <w:pPr>
              <w:ind w:right="284"/>
              <w:jc w:val="right"/>
            </w:pPr>
            <w:r w:rsidRPr="00DA20F5">
              <w:t xml:space="preserve">78,7 </w:t>
            </w:r>
          </w:p>
        </w:tc>
        <w:tc>
          <w:tcPr>
            <w:tcW w:w="592" w:type="pct"/>
            <w:noWrap/>
            <w:vAlign w:val="bottom"/>
          </w:tcPr>
          <w:p w:rsidR="00F10DB1" w:rsidRPr="00DA20F5" w:rsidRDefault="00F10DB1" w:rsidP="00D36FB8">
            <w:pPr>
              <w:ind w:right="284"/>
              <w:jc w:val="right"/>
            </w:pPr>
            <w:r w:rsidRPr="00DA20F5">
              <w:t xml:space="preserve">87,0 </w:t>
            </w:r>
          </w:p>
        </w:tc>
        <w:tc>
          <w:tcPr>
            <w:tcW w:w="590" w:type="pct"/>
            <w:noWrap/>
            <w:vAlign w:val="bottom"/>
          </w:tcPr>
          <w:p w:rsidR="00F10DB1" w:rsidRPr="00DA20F5" w:rsidRDefault="00F10DB1" w:rsidP="00D36FB8">
            <w:pPr>
              <w:ind w:right="284"/>
              <w:jc w:val="right"/>
            </w:pPr>
            <w:r w:rsidRPr="00DA20F5">
              <w:t xml:space="preserve">71,3 </w:t>
            </w:r>
          </w:p>
        </w:tc>
        <w:tc>
          <w:tcPr>
            <w:tcW w:w="590" w:type="pct"/>
            <w:vAlign w:val="bottom"/>
          </w:tcPr>
          <w:p w:rsidR="00F10DB1" w:rsidRPr="00DA20F5" w:rsidRDefault="00F10DB1" w:rsidP="00D36FB8">
            <w:pPr>
              <w:ind w:right="284"/>
              <w:jc w:val="right"/>
            </w:pPr>
            <w:r w:rsidRPr="00DA20F5">
              <w:t>1,3</w:t>
            </w:r>
          </w:p>
        </w:tc>
        <w:tc>
          <w:tcPr>
            <w:tcW w:w="590" w:type="pct"/>
            <w:vAlign w:val="bottom"/>
          </w:tcPr>
          <w:p w:rsidR="00F10DB1" w:rsidRPr="00DA20F5" w:rsidRDefault="00F10DB1" w:rsidP="00D36FB8">
            <w:pPr>
              <w:ind w:right="284"/>
              <w:jc w:val="right"/>
            </w:pPr>
            <w:r w:rsidRPr="00DA20F5">
              <w:t>2,6</w:t>
            </w:r>
          </w:p>
        </w:tc>
        <w:tc>
          <w:tcPr>
            <w:tcW w:w="588" w:type="pct"/>
            <w:vAlign w:val="bottom"/>
          </w:tcPr>
          <w:p w:rsidR="00F10DB1" w:rsidRPr="00DA20F5" w:rsidRDefault="00F10DB1" w:rsidP="00D36FB8">
            <w:pPr>
              <w:ind w:right="284"/>
              <w:jc w:val="right"/>
            </w:pPr>
            <w:r w:rsidRPr="00DA20F5">
              <w:t>0,1</w:t>
            </w:r>
          </w:p>
        </w:tc>
      </w:tr>
      <w:tr w:rsidR="00F10DB1" w:rsidRPr="00DA20F5" w:rsidTr="00324E2B">
        <w:trPr>
          <w:trHeight w:val="255"/>
          <w:jc w:val="center"/>
        </w:trPr>
        <w:tc>
          <w:tcPr>
            <w:tcW w:w="1458" w:type="pct"/>
            <w:vAlign w:val="center"/>
          </w:tcPr>
          <w:p w:rsidR="00F10DB1" w:rsidRPr="00DA20F5" w:rsidRDefault="00F10DB1" w:rsidP="00D36FB8">
            <w:r w:rsidRPr="00DA20F5">
              <w:t>Vyššie odborné</w:t>
            </w:r>
          </w:p>
        </w:tc>
        <w:tc>
          <w:tcPr>
            <w:tcW w:w="592" w:type="pct"/>
            <w:noWrap/>
            <w:vAlign w:val="bottom"/>
          </w:tcPr>
          <w:p w:rsidR="00F10DB1" w:rsidRPr="00DA20F5" w:rsidRDefault="00F10DB1" w:rsidP="00D36FB8">
            <w:pPr>
              <w:ind w:right="284"/>
              <w:jc w:val="right"/>
            </w:pPr>
            <w:r w:rsidRPr="00DA20F5">
              <w:t xml:space="preserve">84,7 </w:t>
            </w:r>
          </w:p>
        </w:tc>
        <w:tc>
          <w:tcPr>
            <w:tcW w:w="592" w:type="pct"/>
            <w:noWrap/>
            <w:vAlign w:val="bottom"/>
          </w:tcPr>
          <w:p w:rsidR="00F10DB1" w:rsidRPr="00DA20F5" w:rsidRDefault="00F10DB1" w:rsidP="00D36FB8">
            <w:pPr>
              <w:ind w:right="284"/>
              <w:jc w:val="right"/>
            </w:pPr>
            <w:r w:rsidRPr="00DA20F5">
              <w:t xml:space="preserve">85,1 </w:t>
            </w:r>
          </w:p>
        </w:tc>
        <w:tc>
          <w:tcPr>
            <w:tcW w:w="590" w:type="pct"/>
            <w:noWrap/>
            <w:vAlign w:val="bottom"/>
          </w:tcPr>
          <w:p w:rsidR="00F10DB1" w:rsidRPr="00DA20F5" w:rsidRDefault="00F10DB1" w:rsidP="00D36FB8">
            <w:pPr>
              <w:ind w:right="284"/>
              <w:jc w:val="right"/>
            </w:pPr>
            <w:r w:rsidRPr="00DA20F5">
              <w:t xml:space="preserve">84,5 </w:t>
            </w:r>
          </w:p>
        </w:tc>
        <w:tc>
          <w:tcPr>
            <w:tcW w:w="590" w:type="pct"/>
            <w:vAlign w:val="bottom"/>
          </w:tcPr>
          <w:p w:rsidR="00F10DB1" w:rsidRPr="00DA20F5" w:rsidRDefault="00F10DB1" w:rsidP="00D36FB8">
            <w:pPr>
              <w:ind w:right="284"/>
              <w:jc w:val="right"/>
            </w:pPr>
            <w:r w:rsidRPr="00DA20F5">
              <w:t>12,0</w:t>
            </w:r>
          </w:p>
        </w:tc>
        <w:tc>
          <w:tcPr>
            <w:tcW w:w="590" w:type="pct"/>
            <w:vAlign w:val="bottom"/>
          </w:tcPr>
          <w:p w:rsidR="00F10DB1" w:rsidRPr="00DA20F5" w:rsidRDefault="00F10DB1" w:rsidP="00D36FB8">
            <w:pPr>
              <w:ind w:right="284"/>
              <w:jc w:val="right"/>
            </w:pPr>
            <w:r w:rsidRPr="00DA20F5">
              <w:t>6,6</w:t>
            </w:r>
          </w:p>
        </w:tc>
        <w:tc>
          <w:tcPr>
            <w:tcW w:w="588" w:type="pct"/>
            <w:vAlign w:val="bottom"/>
          </w:tcPr>
          <w:p w:rsidR="00F10DB1" w:rsidRPr="00DA20F5" w:rsidRDefault="00F10DB1" w:rsidP="00D36FB8">
            <w:pPr>
              <w:ind w:right="284"/>
              <w:jc w:val="right"/>
            </w:pPr>
            <w:r w:rsidRPr="00DA20F5">
              <w:t>14,4</w:t>
            </w:r>
          </w:p>
        </w:tc>
      </w:tr>
      <w:tr w:rsidR="00F10DB1" w:rsidRPr="00DA20F5" w:rsidTr="00324E2B">
        <w:trPr>
          <w:trHeight w:val="255"/>
          <w:jc w:val="center"/>
        </w:trPr>
        <w:tc>
          <w:tcPr>
            <w:tcW w:w="1458" w:type="pct"/>
            <w:vAlign w:val="center"/>
          </w:tcPr>
          <w:p w:rsidR="00F10DB1" w:rsidRPr="00DA20F5" w:rsidRDefault="00F10DB1" w:rsidP="00D36FB8">
            <w:r w:rsidRPr="00DA20F5">
              <w:t>Vysokoškolské</w:t>
            </w:r>
          </w:p>
        </w:tc>
        <w:tc>
          <w:tcPr>
            <w:tcW w:w="592" w:type="pct"/>
            <w:noWrap/>
            <w:vAlign w:val="bottom"/>
          </w:tcPr>
          <w:p w:rsidR="00F10DB1" w:rsidRPr="00DA20F5" w:rsidRDefault="00F10DB1" w:rsidP="00D36FB8">
            <w:pPr>
              <w:ind w:right="284"/>
              <w:jc w:val="right"/>
            </w:pPr>
            <w:r w:rsidRPr="00DA20F5">
              <w:t xml:space="preserve">81,3 </w:t>
            </w:r>
          </w:p>
        </w:tc>
        <w:tc>
          <w:tcPr>
            <w:tcW w:w="592" w:type="pct"/>
            <w:noWrap/>
            <w:vAlign w:val="bottom"/>
          </w:tcPr>
          <w:p w:rsidR="00F10DB1" w:rsidRPr="00DA20F5" w:rsidRDefault="00F10DB1" w:rsidP="00D36FB8">
            <w:pPr>
              <w:ind w:right="284"/>
              <w:jc w:val="right"/>
            </w:pPr>
            <w:r w:rsidRPr="00DA20F5">
              <w:t xml:space="preserve">87,4 </w:t>
            </w:r>
          </w:p>
        </w:tc>
        <w:tc>
          <w:tcPr>
            <w:tcW w:w="590" w:type="pct"/>
            <w:noWrap/>
            <w:vAlign w:val="bottom"/>
          </w:tcPr>
          <w:p w:rsidR="00F10DB1" w:rsidRPr="00DA20F5" w:rsidRDefault="00F10DB1" w:rsidP="00D36FB8">
            <w:pPr>
              <w:ind w:right="284"/>
              <w:jc w:val="right"/>
            </w:pPr>
            <w:r w:rsidRPr="00DA20F5">
              <w:t xml:space="preserve">76,4 </w:t>
            </w:r>
          </w:p>
        </w:tc>
        <w:tc>
          <w:tcPr>
            <w:tcW w:w="590" w:type="pct"/>
            <w:vAlign w:val="bottom"/>
          </w:tcPr>
          <w:p w:rsidR="00F10DB1" w:rsidRPr="00DA20F5" w:rsidRDefault="00F10DB1" w:rsidP="00D36FB8">
            <w:pPr>
              <w:ind w:right="284"/>
              <w:jc w:val="right"/>
            </w:pPr>
            <w:r w:rsidRPr="00DA20F5">
              <w:t>-0,5</w:t>
            </w:r>
          </w:p>
        </w:tc>
        <w:tc>
          <w:tcPr>
            <w:tcW w:w="590" w:type="pct"/>
            <w:vAlign w:val="bottom"/>
          </w:tcPr>
          <w:p w:rsidR="00F10DB1" w:rsidRPr="00DA20F5" w:rsidRDefault="00F10DB1" w:rsidP="00D36FB8">
            <w:pPr>
              <w:ind w:right="284"/>
              <w:jc w:val="right"/>
            </w:pPr>
            <w:r w:rsidRPr="00DA20F5">
              <w:t>0,1</w:t>
            </w:r>
          </w:p>
        </w:tc>
        <w:tc>
          <w:tcPr>
            <w:tcW w:w="588" w:type="pct"/>
            <w:vAlign w:val="bottom"/>
          </w:tcPr>
          <w:p w:rsidR="00F10DB1" w:rsidRPr="00DA20F5" w:rsidRDefault="00F10DB1" w:rsidP="00D36FB8">
            <w:pPr>
              <w:ind w:right="284"/>
              <w:jc w:val="right"/>
            </w:pPr>
            <w:r w:rsidRPr="00DA20F5">
              <w:t>-0,9</w:t>
            </w:r>
          </w:p>
        </w:tc>
      </w:tr>
      <w:tr w:rsidR="00F10DB1" w:rsidRPr="00DA20F5" w:rsidTr="00324E2B">
        <w:trPr>
          <w:trHeight w:val="255"/>
          <w:jc w:val="center"/>
        </w:trPr>
        <w:tc>
          <w:tcPr>
            <w:tcW w:w="1458" w:type="pct"/>
            <w:vAlign w:val="center"/>
          </w:tcPr>
          <w:p w:rsidR="00F10DB1" w:rsidRPr="00DA20F5" w:rsidRDefault="00F10DB1" w:rsidP="00D36FB8">
            <w:r w:rsidRPr="00DA20F5">
              <w:t>Bez školského vzdelania</w:t>
            </w:r>
          </w:p>
        </w:tc>
        <w:tc>
          <w:tcPr>
            <w:tcW w:w="592" w:type="pct"/>
            <w:noWrap/>
            <w:vAlign w:val="bottom"/>
          </w:tcPr>
          <w:p w:rsidR="00F10DB1" w:rsidRPr="00DA20F5" w:rsidRDefault="00F10DB1" w:rsidP="00D36FB8">
            <w:pPr>
              <w:ind w:right="284"/>
              <w:jc w:val="right"/>
            </w:pPr>
            <w:r w:rsidRPr="00DA20F5">
              <w:t xml:space="preserve">3,6 </w:t>
            </w:r>
          </w:p>
        </w:tc>
        <w:tc>
          <w:tcPr>
            <w:tcW w:w="592" w:type="pct"/>
            <w:noWrap/>
            <w:vAlign w:val="bottom"/>
          </w:tcPr>
          <w:p w:rsidR="00F10DB1" w:rsidRPr="00DA20F5" w:rsidRDefault="00F10DB1" w:rsidP="00D36FB8">
            <w:pPr>
              <w:ind w:right="284"/>
              <w:jc w:val="right"/>
            </w:pPr>
            <w:r w:rsidRPr="00DA20F5">
              <w:t xml:space="preserve">6,9 </w:t>
            </w:r>
          </w:p>
        </w:tc>
        <w:tc>
          <w:tcPr>
            <w:tcW w:w="590" w:type="pct"/>
            <w:noWrap/>
            <w:vAlign w:val="bottom"/>
          </w:tcPr>
          <w:p w:rsidR="00F10DB1" w:rsidRPr="00DA20F5" w:rsidRDefault="00F10DB1" w:rsidP="00D36FB8">
            <w:pPr>
              <w:ind w:right="284"/>
              <w:jc w:val="right"/>
            </w:pPr>
            <w:r w:rsidRPr="00DA20F5">
              <w:t>-</w:t>
            </w:r>
          </w:p>
        </w:tc>
        <w:tc>
          <w:tcPr>
            <w:tcW w:w="590" w:type="pct"/>
            <w:vAlign w:val="bottom"/>
          </w:tcPr>
          <w:p w:rsidR="00F10DB1" w:rsidRPr="00DA20F5" w:rsidRDefault="00F10DB1" w:rsidP="00D36FB8">
            <w:pPr>
              <w:ind w:right="284"/>
              <w:jc w:val="right"/>
            </w:pPr>
            <w:r w:rsidRPr="00DA20F5">
              <w:t>1,8</w:t>
            </w:r>
          </w:p>
        </w:tc>
        <w:tc>
          <w:tcPr>
            <w:tcW w:w="590" w:type="pct"/>
            <w:vAlign w:val="bottom"/>
          </w:tcPr>
          <w:p w:rsidR="00F10DB1" w:rsidRPr="00DA20F5" w:rsidRDefault="00F10DB1" w:rsidP="00D36FB8">
            <w:pPr>
              <w:ind w:right="284"/>
              <w:jc w:val="right"/>
            </w:pPr>
            <w:r w:rsidRPr="00DA20F5">
              <w:t>2,2</w:t>
            </w:r>
          </w:p>
        </w:tc>
        <w:tc>
          <w:tcPr>
            <w:tcW w:w="588" w:type="pct"/>
            <w:vAlign w:val="center"/>
          </w:tcPr>
          <w:p w:rsidR="00F10DB1" w:rsidRPr="00DA20F5" w:rsidRDefault="00F10DB1" w:rsidP="00D36FB8">
            <w:pPr>
              <w:ind w:right="284"/>
              <w:jc w:val="right"/>
            </w:pPr>
            <w:r w:rsidRPr="00DA20F5">
              <w:t>-</w:t>
            </w:r>
          </w:p>
        </w:tc>
      </w:tr>
    </w:tbl>
    <w:p w:rsidR="00F10DB1" w:rsidRPr="00DA20F5" w:rsidRDefault="00F10DB1" w:rsidP="00481696">
      <w:pPr>
        <w:pStyle w:val="zdroj"/>
        <w:spacing w:after="240"/>
      </w:pPr>
      <w:r w:rsidRPr="00DA20F5">
        <w:t>Zdroj: ŠÚ SR, VZPS</w:t>
      </w:r>
    </w:p>
    <w:p w:rsidR="00F10DB1" w:rsidRPr="00DA20F5" w:rsidRDefault="00F10DB1" w:rsidP="000B4550">
      <w:pPr>
        <w:pStyle w:val="Nadpis6"/>
      </w:pPr>
      <w:bookmarkStart w:id="177" w:name="_Toc326216958"/>
      <w:r w:rsidRPr="00DA20F5">
        <w:t>Vývoj zamestnanosti</w:t>
      </w:r>
      <w:bookmarkEnd w:id="177"/>
    </w:p>
    <w:p w:rsidR="00F10DB1" w:rsidRPr="00DA20F5" w:rsidRDefault="00F10DB1" w:rsidP="00DC1659">
      <w:pPr>
        <w:pStyle w:val="Nadpis41"/>
      </w:pPr>
      <w:r w:rsidRPr="00DA20F5">
        <w:t>Zamestnanosť podľa výberového zisťovania pracovných síl</w:t>
      </w:r>
      <w:r w:rsidR="007B624E" w:rsidRPr="00DA20F5">
        <w:t xml:space="preserve"> (VZPS)</w:t>
      </w:r>
    </w:p>
    <w:p w:rsidR="00F10DB1" w:rsidRPr="00DA20F5" w:rsidRDefault="00F10DB1" w:rsidP="00D36FB8">
      <w:pPr>
        <w:pStyle w:val="BodyText21"/>
        <w:ind w:firstLine="357"/>
        <w:rPr>
          <w:lang w:val="sk-SK"/>
        </w:rPr>
      </w:pPr>
      <w:r w:rsidRPr="00DA20F5">
        <w:rPr>
          <w:b/>
          <w:lang w:val="sk-SK"/>
        </w:rPr>
        <w:t>Celková zamestnanosť</w:t>
      </w:r>
      <w:r w:rsidRPr="00DA20F5">
        <w:rPr>
          <w:lang w:val="sk-SK"/>
        </w:rPr>
        <w:t xml:space="preserve"> sa v priemere za rok 2011 zvýšila o 3</w:t>
      </w:r>
      <w:r w:rsidR="00481696" w:rsidRPr="00DA20F5">
        <w:rPr>
          <w:lang w:val="sk-SK"/>
        </w:rPr>
        <w:t>3,9 tis. osôb, resp. o 1,5 % na </w:t>
      </w:r>
      <w:r w:rsidRPr="00DA20F5">
        <w:rPr>
          <w:lang w:val="sk-SK"/>
        </w:rPr>
        <w:t>2 351,4 tis. osôb. Z hľadiska postavenia v zamestnaní sa zvýšil tak počet zamestnancov, ako aj počet podnikateľov. Počet zamestnancov medziročne vzrástol o 3</w:t>
      </w:r>
      <w:r w:rsidR="00481696" w:rsidRPr="00DA20F5">
        <w:rPr>
          <w:lang w:val="sk-SK"/>
        </w:rPr>
        <w:t>0,4 tis. osôb, resp. o 1,6 % na </w:t>
      </w:r>
      <w:r w:rsidRPr="00DA20F5">
        <w:rPr>
          <w:lang w:val="sk-SK"/>
        </w:rPr>
        <w:t>1 977,5 tis. osôb, počet podnikateľov o 5,4 tis. osôb, resp. o 1,5 % na 372,4 tis. Zvýšil sa však len počet podnikateľov bez zamestnancov o 5,9 tis. osôb, resp. 2,1 %, ký</w:t>
      </w:r>
      <w:r w:rsidR="00481696" w:rsidRPr="00DA20F5">
        <w:rPr>
          <w:lang w:val="sk-SK"/>
        </w:rPr>
        <w:t>m počet podnikateľov so </w:t>
      </w:r>
      <w:r w:rsidRPr="00DA20F5">
        <w:rPr>
          <w:lang w:val="sk-SK"/>
        </w:rPr>
        <w:t>zamestnancami poklesol o 0,6 tis. osôb, resp. o 0,7 %.</w:t>
      </w:r>
    </w:p>
    <w:p w:rsidR="00F10DB1" w:rsidRPr="00DA20F5" w:rsidRDefault="00F10DB1" w:rsidP="00D36FB8">
      <w:pPr>
        <w:pStyle w:val="Normlnysozarkami12"/>
      </w:pPr>
      <w:r w:rsidRPr="00DA20F5">
        <w:t xml:space="preserve">Z celkového počtu pracujúcich SR v roku 2011 </w:t>
      </w:r>
      <w:r w:rsidRPr="00DA20F5">
        <w:rPr>
          <w:b/>
        </w:rPr>
        <w:t>pracovalo v zahraničí</w:t>
      </w:r>
      <w:r w:rsidRPr="00DA20F5">
        <w:t xml:space="preserve"> 116,5 tis. osôb (išlo o krátkodobú zamestnanosť, t. j. osoby, ktoré pracovali v zahraničí po dobu do jedného roku). Počet pracujúcich v zahraničí sa medziročne znížil o 10,2 tis. osôb, resp. o 8,1 %, čo sa prejavilo aj </w:t>
      </w:r>
      <w:r w:rsidRPr="00DA20F5">
        <w:lastRenderedPageBreak/>
        <w:t>v</w:t>
      </w:r>
      <w:r w:rsidR="00481696" w:rsidRPr="00DA20F5">
        <w:t> </w:t>
      </w:r>
      <w:r w:rsidRPr="00DA20F5">
        <w:t xml:space="preserve">poklese ich podielu na celkovej zamestnanosti SR o 0,5 p. b. na 5 %. Najviac osôb, ktoré si našli prácu v zahraničí, bolo z Prešovského a Nitrianskeho kraja. Z európskych krajín pracovali slovenskí občania najmä v Českej republike a v Rakúsku. Medzi migrantmi prevládali pracujúci v stavebníctve (29,8 %) a v priemyselných odvetviach (28,2 %). </w:t>
      </w:r>
    </w:p>
    <w:p w:rsidR="00F10DB1" w:rsidRPr="00DA20F5" w:rsidRDefault="00F10DB1" w:rsidP="00D36FB8">
      <w:pPr>
        <w:pStyle w:val="Nadpis7"/>
        <w:spacing w:before="120"/>
      </w:pPr>
      <w:bookmarkStart w:id="178" w:name="_Toc325438116"/>
      <w:bookmarkStart w:id="179" w:name="_Toc325440885"/>
      <w:bookmarkStart w:id="180" w:name="_Toc325626698"/>
      <w:bookmarkStart w:id="181" w:name="_Toc326216959"/>
      <w:r w:rsidRPr="00DA20F5">
        <w:t>Tab. 2.3 Vývoj zahraničnej pracovnej migrácie podľa krajov</w:t>
      </w:r>
      <w:bookmarkEnd w:id="178"/>
      <w:bookmarkEnd w:id="179"/>
      <w:bookmarkEnd w:id="180"/>
      <w:bookmarkEnd w:id="181"/>
    </w:p>
    <w:tbl>
      <w:tblPr>
        <w:tblW w:w="9597" w:type="dxa"/>
        <w:jc w:val="center"/>
        <w:tblInd w:w="-8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firstRow="0" w:lastRow="0" w:firstColumn="0" w:lastColumn="0" w:noHBand="0" w:noVBand="0"/>
      </w:tblPr>
      <w:tblGrid>
        <w:gridCol w:w="1913"/>
        <w:gridCol w:w="1470"/>
        <w:gridCol w:w="1559"/>
        <w:gridCol w:w="1276"/>
        <w:gridCol w:w="1276"/>
        <w:gridCol w:w="2103"/>
      </w:tblGrid>
      <w:tr w:rsidR="00F10DB1" w:rsidRPr="00DA20F5" w:rsidTr="00481696">
        <w:trPr>
          <w:trHeight w:val="360"/>
          <w:jc w:val="center"/>
        </w:trPr>
        <w:tc>
          <w:tcPr>
            <w:tcW w:w="1913" w:type="dxa"/>
            <w:vMerge w:val="restar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Kraj</w:t>
            </w:r>
          </w:p>
        </w:tc>
        <w:tc>
          <w:tcPr>
            <w:tcW w:w="3029" w:type="dxa"/>
            <w:gridSpan w:val="2"/>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 xml:space="preserve">Pracujúci v zahraničí </w:t>
            </w:r>
            <w:r w:rsidR="00481696" w:rsidRPr="00DA20F5">
              <w:rPr>
                <w:b/>
                <w:color w:val="FFFFFF" w:themeColor="background1"/>
              </w:rPr>
              <w:br/>
            </w:r>
            <w:r w:rsidRPr="00DA20F5">
              <w:rPr>
                <w:b/>
                <w:color w:val="FFFFFF" w:themeColor="background1"/>
              </w:rPr>
              <w:t>(v tis. osôb)</w:t>
            </w:r>
          </w:p>
        </w:tc>
        <w:tc>
          <w:tcPr>
            <w:tcW w:w="1276"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Index</w:t>
            </w:r>
          </w:p>
        </w:tc>
        <w:tc>
          <w:tcPr>
            <w:tcW w:w="1276"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Podiel na SR</w:t>
            </w:r>
          </w:p>
          <w:p w:rsidR="00F10DB1" w:rsidRPr="00DA20F5" w:rsidRDefault="00F10DB1" w:rsidP="00D36FB8">
            <w:pPr>
              <w:jc w:val="center"/>
              <w:rPr>
                <w:b/>
                <w:color w:val="FFFFFF" w:themeColor="background1"/>
              </w:rPr>
            </w:pPr>
            <w:r w:rsidRPr="00DA20F5">
              <w:rPr>
                <w:b/>
                <w:color w:val="FFFFFF" w:themeColor="background1"/>
              </w:rPr>
              <w:t>(v %)</w:t>
            </w:r>
          </w:p>
        </w:tc>
        <w:tc>
          <w:tcPr>
            <w:tcW w:w="2103" w:type="dxa"/>
            <w:shd w:val="clear" w:color="auto" w:fill="4F81BD"/>
            <w:vAlign w:val="center"/>
          </w:tcPr>
          <w:p w:rsidR="00F10DB1" w:rsidRPr="00DA20F5" w:rsidRDefault="00481696" w:rsidP="00481696">
            <w:pPr>
              <w:jc w:val="center"/>
              <w:rPr>
                <w:b/>
                <w:color w:val="FFFFFF" w:themeColor="background1"/>
              </w:rPr>
            </w:pPr>
            <w:r w:rsidRPr="00DA20F5">
              <w:rPr>
                <w:b/>
                <w:color w:val="FFFFFF" w:themeColor="background1"/>
              </w:rPr>
              <w:t>Podiel pracujúcich v </w:t>
            </w:r>
            <w:r w:rsidR="00F10DB1" w:rsidRPr="00DA20F5">
              <w:rPr>
                <w:b/>
                <w:color w:val="FFFFFF" w:themeColor="background1"/>
              </w:rPr>
              <w:t>zahraničí na</w:t>
            </w:r>
            <w:r w:rsidRPr="00DA20F5">
              <w:rPr>
                <w:b/>
                <w:color w:val="FFFFFF" w:themeColor="background1"/>
              </w:rPr>
              <w:t> </w:t>
            </w:r>
            <w:r w:rsidR="00F10DB1" w:rsidRPr="00DA20F5">
              <w:rPr>
                <w:b/>
                <w:color w:val="FFFFFF" w:themeColor="background1"/>
              </w:rPr>
              <w:t>celkovej zamestnanosti. SR, resp. kraja (v %)</w:t>
            </w:r>
          </w:p>
        </w:tc>
      </w:tr>
      <w:tr w:rsidR="00F10DB1" w:rsidRPr="00DA20F5" w:rsidTr="00481696">
        <w:trPr>
          <w:trHeight w:val="360"/>
          <w:jc w:val="center"/>
        </w:trPr>
        <w:tc>
          <w:tcPr>
            <w:tcW w:w="1913" w:type="dxa"/>
            <w:vMerge/>
            <w:shd w:val="clear" w:color="auto" w:fill="4F81BD"/>
            <w:noWrap/>
            <w:vAlign w:val="center"/>
          </w:tcPr>
          <w:p w:rsidR="00F10DB1" w:rsidRPr="00DA20F5" w:rsidRDefault="00F10DB1" w:rsidP="00D36FB8">
            <w:pPr>
              <w:jc w:val="center"/>
              <w:rPr>
                <w:b/>
                <w:color w:val="FFFFFF" w:themeColor="background1"/>
              </w:rPr>
            </w:pPr>
          </w:p>
        </w:tc>
        <w:tc>
          <w:tcPr>
            <w:tcW w:w="1470"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2010</w:t>
            </w:r>
          </w:p>
        </w:tc>
        <w:tc>
          <w:tcPr>
            <w:tcW w:w="1559"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2011</w:t>
            </w:r>
          </w:p>
        </w:tc>
        <w:tc>
          <w:tcPr>
            <w:tcW w:w="1276"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2011/2010</w:t>
            </w:r>
          </w:p>
        </w:tc>
        <w:tc>
          <w:tcPr>
            <w:tcW w:w="1276"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2011</w:t>
            </w:r>
          </w:p>
        </w:tc>
        <w:tc>
          <w:tcPr>
            <w:tcW w:w="2103"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2011</w:t>
            </w:r>
          </w:p>
        </w:tc>
      </w:tr>
      <w:tr w:rsidR="00F10DB1" w:rsidRPr="00DA20F5" w:rsidTr="00481696">
        <w:trPr>
          <w:trHeight w:val="255"/>
          <w:jc w:val="center"/>
        </w:trPr>
        <w:tc>
          <w:tcPr>
            <w:tcW w:w="1913" w:type="dxa"/>
            <w:noWrap/>
            <w:vAlign w:val="center"/>
          </w:tcPr>
          <w:p w:rsidR="00F10DB1" w:rsidRPr="00DA20F5" w:rsidRDefault="00F10DB1" w:rsidP="00D36FB8">
            <w:pPr>
              <w:rPr>
                <w:b/>
              </w:rPr>
            </w:pPr>
            <w:r w:rsidRPr="00DA20F5">
              <w:rPr>
                <w:b/>
              </w:rPr>
              <w:t>SR spolu</w:t>
            </w:r>
          </w:p>
        </w:tc>
        <w:tc>
          <w:tcPr>
            <w:tcW w:w="1470" w:type="dxa"/>
            <w:noWrap/>
            <w:vAlign w:val="center"/>
          </w:tcPr>
          <w:p w:rsidR="00F10DB1" w:rsidRPr="00DA20F5" w:rsidRDefault="00F10DB1" w:rsidP="00D36FB8">
            <w:pPr>
              <w:ind w:right="364"/>
              <w:jc w:val="right"/>
              <w:rPr>
                <w:b/>
              </w:rPr>
            </w:pPr>
            <w:r w:rsidRPr="00DA20F5">
              <w:rPr>
                <w:b/>
              </w:rPr>
              <w:t>126,7</w:t>
            </w:r>
          </w:p>
        </w:tc>
        <w:tc>
          <w:tcPr>
            <w:tcW w:w="1559" w:type="dxa"/>
            <w:noWrap/>
            <w:vAlign w:val="center"/>
          </w:tcPr>
          <w:p w:rsidR="00F10DB1" w:rsidRPr="00DA20F5" w:rsidRDefault="00F10DB1" w:rsidP="00D36FB8">
            <w:pPr>
              <w:ind w:right="364"/>
              <w:jc w:val="right"/>
              <w:rPr>
                <w:b/>
              </w:rPr>
            </w:pPr>
            <w:r w:rsidRPr="00DA20F5">
              <w:rPr>
                <w:b/>
              </w:rPr>
              <w:t>116,5</w:t>
            </w:r>
          </w:p>
        </w:tc>
        <w:tc>
          <w:tcPr>
            <w:tcW w:w="1276" w:type="dxa"/>
            <w:vAlign w:val="center"/>
          </w:tcPr>
          <w:p w:rsidR="00F10DB1" w:rsidRPr="00DA20F5" w:rsidRDefault="00F10DB1" w:rsidP="00D36FB8">
            <w:pPr>
              <w:ind w:right="364"/>
              <w:jc w:val="right"/>
              <w:rPr>
                <w:b/>
              </w:rPr>
            </w:pPr>
            <w:r w:rsidRPr="00DA20F5">
              <w:rPr>
                <w:b/>
              </w:rPr>
              <w:t>91,9</w:t>
            </w:r>
          </w:p>
        </w:tc>
        <w:tc>
          <w:tcPr>
            <w:tcW w:w="1276" w:type="dxa"/>
            <w:vAlign w:val="center"/>
          </w:tcPr>
          <w:p w:rsidR="00F10DB1" w:rsidRPr="00DA20F5" w:rsidRDefault="00F10DB1" w:rsidP="00D36FB8">
            <w:pPr>
              <w:ind w:right="364"/>
              <w:jc w:val="right"/>
              <w:rPr>
                <w:b/>
              </w:rPr>
            </w:pPr>
            <w:r w:rsidRPr="00DA20F5">
              <w:rPr>
                <w:b/>
              </w:rPr>
              <w:t>100,0</w:t>
            </w:r>
          </w:p>
        </w:tc>
        <w:tc>
          <w:tcPr>
            <w:tcW w:w="2103" w:type="dxa"/>
            <w:noWrap/>
            <w:vAlign w:val="center"/>
          </w:tcPr>
          <w:p w:rsidR="00F10DB1" w:rsidRPr="00DA20F5" w:rsidRDefault="00F10DB1" w:rsidP="00481696">
            <w:pPr>
              <w:ind w:right="720"/>
              <w:jc w:val="right"/>
              <w:rPr>
                <w:b/>
              </w:rPr>
            </w:pPr>
            <w:r w:rsidRPr="00DA20F5">
              <w:rPr>
                <w:b/>
              </w:rPr>
              <w:t>5,0</w:t>
            </w:r>
          </w:p>
        </w:tc>
      </w:tr>
      <w:tr w:rsidR="00A6699D" w:rsidRPr="00DA20F5" w:rsidTr="00481696">
        <w:trPr>
          <w:trHeight w:val="255"/>
          <w:jc w:val="center"/>
        </w:trPr>
        <w:tc>
          <w:tcPr>
            <w:tcW w:w="1913" w:type="dxa"/>
            <w:noWrap/>
            <w:vAlign w:val="center"/>
          </w:tcPr>
          <w:p w:rsidR="00A6699D" w:rsidRPr="00DA20F5" w:rsidRDefault="00A6699D" w:rsidP="00D36FB8">
            <w:r w:rsidRPr="00DA20F5">
              <w:t>v tom z kraja:</w:t>
            </w:r>
          </w:p>
        </w:tc>
        <w:tc>
          <w:tcPr>
            <w:tcW w:w="7684" w:type="dxa"/>
            <w:gridSpan w:val="5"/>
            <w:noWrap/>
            <w:vAlign w:val="center"/>
          </w:tcPr>
          <w:p w:rsidR="00A6699D" w:rsidRPr="00DA20F5" w:rsidRDefault="00A6699D" w:rsidP="00481696">
            <w:pPr>
              <w:ind w:right="720"/>
              <w:jc w:val="right"/>
            </w:pPr>
          </w:p>
        </w:tc>
      </w:tr>
      <w:tr w:rsidR="00F10DB1" w:rsidRPr="00DA20F5" w:rsidTr="00481696">
        <w:trPr>
          <w:trHeight w:val="255"/>
          <w:jc w:val="center"/>
        </w:trPr>
        <w:tc>
          <w:tcPr>
            <w:tcW w:w="1913" w:type="dxa"/>
            <w:noWrap/>
            <w:vAlign w:val="center"/>
          </w:tcPr>
          <w:p w:rsidR="00F10DB1" w:rsidRPr="00DA20F5" w:rsidRDefault="00F10DB1" w:rsidP="00D36FB8">
            <w:r w:rsidRPr="00DA20F5">
              <w:t>Bratislavského</w:t>
            </w:r>
          </w:p>
        </w:tc>
        <w:tc>
          <w:tcPr>
            <w:tcW w:w="1470" w:type="dxa"/>
            <w:noWrap/>
            <w:vAlign w:val="center"/>
          </w:tcPr>
          <w:p w:rsidR="00F10DB1" w:rsidRPr="00DA20F5" w:rsidRDefault="00F10DB1" w:rsidP="00D36FB8">
            <w:pPr>
              <w:ind w:right="364"/>
              <w:jc w:val="right"/>
            </w:pPr>
            <w:r w:rsidRPr="00DA20F5">
              <w:t>3,1</w:t>
            </w:r>
          </w:p>
        </w:tc>
        <w:tc>
          <w:tcPr>
            <w:tcW w:w="1559" w:type="dxa"/>
            <w:noWrap/>
            <w:vAlign w:val="bottom"/>
          </w:tcPr>
          <w:p w:rsidR="00F10DB1" w:rsidRPr="00DA20F5" w:rsidRDefault="00F10DB1" w:rsidP="00D36FB8">
            <w:pPr>
              <w:ind w:right="364"/>
              <w:jc w:val="right"/>
            </w:pPr>
            <w:r w:rsidRPr="00DA20F5">
              <w:t>4,4</w:t>
            </w:r>
          </w:p>
        </w:tc>
        <w:tc>
          <w:tcPr>
            <w:tcW w:w="1276" w:type="dxa"/>
            <w:vAlign w:val="bottom"/>
          </w:tcPr>
          <w:p w:rsidR="00F10DB1" w:rsidRPr="00DA20F5" w:rsidRDefault="00F10DB1" w:rsidP="00D36FB8">
            <w:pPr>
              <w:ind w:right="364"/>
              <w:jc w:val="right"/>
            </w:pPr>
            <w:r w:rsidRPr="00DA20F5">
              <w:t>141,9</w:t>
            </w:r>
          </w:p>
        </w:tc>
        <w:tc>
          <w:tcPr>
            <w:tcW w:w="1276" w:type="dxa"/>
            <w:vAlign w:val="bottom"/>
          </w:tcPr>
          <w:p w:rsidR="00F10DB1" w:rsidRPr="00DA20F5" w:rsidRDefault="00F10DB1" w:rsidP="00D36FB8">
            <w:pPr>
              <w:ind w:right="364"/>
              <w:jc w:val="right"/>
              <w:rPr>
                <w:sz w:val="20"/>
                <w:szCs w:val="20"/>
              </w:rPr>
            </w:pPr>
            <w:r w:rsidRPr="00DA20F5">
              <w:rPr>
                <w:sz w:val="20"/>
                <w:szCs w:val="20"/>
              </w:rPr>
              <w:t>3,8</w:t>
            </w:r>
          </w:p>
        </w:tc>
        <w:tc>
          <w:tcPr>
            <w:tcW w:w="2103" w:type="dxa"/>
            <w:noWrap/>
            <w:vAlign w:val="bottom"/>
          </w:tcPr>
          <w:p w:rsidR="00F10DB1" w:rsidRPr="00DA20F5" w:rsidRDefault="00F10DB1" w:rsidP="00481696">
            <w:pPr>
              <w:ind w:right="720"/>
              <w:jc w:val="right"/>
            </w:pPr>
            <w:r w:rsidRPr="00DA20F5">
              <w:t>1,3</w:t>
            </w:r>
          </w:p>
        </w:tc>
      </w:tr>
      <w:tr w:rsidR="00F10DB1" w:rsidRPr="00DA20F5" w:rsidTr="00481696">
        <w:trPr>
          <w:trHeight w:val="255"/>
          <w:jc w:val="center"/>
        </w:trPr>
        <w:tc>
          <w:tcPr>
            <w:tcW w:w="1913" w:type="dxa"/>
            <w:noWrap/>
            <w:vAlign w:val="center"/>
          </w:tcPr>
          <w:p w:rsidR="00F10DB1" w:rsidRPr="00DA20F5" w:rsidRDefault="00F10DB1" w:rsidP="00D36FB8">
            <w:r w:rsidRPr="00DA20F5">
              <w:t>Trnavského</w:t>
            </w:r>
          </w:p>
        </w:tc>
        <w:tc>
          <w:tcPr>
            <w:tcW w:w="1470" w:type="dxa"/>
            <w:noWrap/>
            <w:vAlign w:val="center"/>
          </w:tcPr>
          <w:p w:rsidR="00F10DB1" w:rsidRPr="00DA20F5" w:rsidRDefault="00F10DB1" w:rsidP="00D36FB8">
            <w:pPr>
              <w:ind w:right="364"/>
              <w:jc w:val="right"/>
            </w:pPr>
            <w:r w:rsidRPr="00DA20F5">
              <w:t>5,1</w:t>
            </w:r>
          </w:p>
        </w:tc>
        <w:tc>
          <w:tcPr>
            <w:tcW w:w="1559" w:type="dxa"/>
            <w:noWrap/>
            <w:vAlign w:val="bottom"/>
          </w:tcPr>
          <w:p w:rsidR="00F10DB1" w:rsidRPr="00DA20F5" w:rsidRDefault="00F10DB1" w:rsidP="00D36FB8">
            <w:pPr>
              <w:ind w:right="364"/>
              <w:jc w:val="right"/>
            </w:pPr>
            <w:r w:rsidRPr="00DA20F5">
              <w:t>4,2</w:t>
            </w:r>
          </w:p>
        </w:tc>
        <w:tc>
          <w:tcPr>
            <w:tcW w:w="1276" w:type="dxa"/>
            <w:vAlign w:val="bottom"/>
          </w:tcPr>
          <w:p w:rsidR="00F10DB1" w:rsidRPr="00DA20F5" w:rsidRDefault="00F10DB1" w:rsidP="00D36FB8">
            <w:pPr>
              <w:ind w:right="364"/>
              <w:jc w:val="right"/>
            </w:pPr>
            <w:r w:rsidRPr="00DA20F5">
              <w:t>80,8</w:t>
            </w:r>
          </w:p>
        </w:tc>
        <w:tc>
          <w:tcPr>
            <w:tcW w:w="1276" w:type="dxa"/>
            <w:vAlign w:val="bottom"/>
          </w:tcPr>
          <w:p w:rsidR="00F10DB1" w:rsidRPr="00DA20F5" w:rsidRDefault="00F10DB1" w:rsidP="00D36FB8">
            <w:pPr>
              <w:ind w:right="364"/>
              <w:jc w:val="right"/>
              <w:rPr>
                <w:sz w:val="20"/>
                <w:szCs w:val="20"/>
              </w:rPr>
            </w:pPr>
            <w:r w:rsidRPr="00DA20F5">
              <w:rPr>
                <w:sz w:val="20"/>
                <w:szCs w:val="20"/>
              </w:rPr>
              <w:t>3,6</w:t>
            </w:r>
          </w:p>
        </w:tc>
        <w:tc>
          <w:tcPr>
            <w:tcW w:w="2103" w:type="dxa"/>
            <w:noWrap/>
            <w:vAlign w:val="bottom"/>
          </w:tcPr>
          <w:p w:rsidR="00F10DB1" w:rsidRPr="00DA20F5" w:rsidRDefault="00F10DB1" w:rsidP="00481696">
            <w:pPr>
              <w:ind w:right="720"/>
              <w:jc w:val="right"/>
            </w:pPr>
            <w:r w:rsidRPr="00DA20F5">
              <w:t>1,6</w:t>
            </w:r>
          </w:p>
        </w:tc>
      </w:tr>
      <w:tr w:rsidR="00F10DB1" w:rsidRPr="00DA20F5" w:rsidTr="00481696">
        <w:trPr>
          <w:trHeight w:val="255"/>
          <w:jc w:val="center"/>
        </w:trPr>
        <w:tc>
          <w:tcPr>
            <w:tcW w:w="1913" w:type="dxa"/>
            <w:noWrap/>
            <w:vAlign w:val="center"/>
          </w:tcPr>
          <w:p w:rsidR="00F10DB1" w:rsidRPr="00DA20F5" w:rsidRDefault="00F10DB1" w:rsidP="00D36FB8">
            <w:r w:rsidRPr="00DA20F5">
              <w:t>Trenčianskeho</w:t>
            </w:r>
          </w:p>
        </w:tc>
        <w:tc>
          <w:tcPr>
            <w:tcW w:w="1470" w:type="dxa"/>
            <w:noWrap/>
            <w:vAlign w:val="center"/>
          </w:tcPr>
          <w:p w:rsidR="00F10DB1" w:rsidRPr="00DA20F5" w:rsidRDefault="00F10DB1" w:rsidP="00D36FB8">
            <w:pPr>
              <w:ind w:right="364"/>
              <w:jc w:val="right"/>
            </w:pPr>
            <w:r w:rsidRPr="00DA20F5">
              <w:t>11,1</w:t>
            </w:r>
          </w:p>
        </w:tc>
        <w:tc>
          <w:tcPr>
            <w:tcW w:w="1559" w:type="dxa"/>
            <w:noWrap/>
            <w:vAlign w:val="bottom"/>
          </w:tcPr>
          <w:p w:rsidR="00F10DB1" w:rsidRPr="00DA20F5" w:rsidRDefault="00F10DB1" w:rsidP="00D36FB8">
            <w:pPr>
              <w:ind w:right="364"/>
              <w:jc w:val="right"/>
            </w:pPr>
            <w:r w:rsidRPr="00DA20F5">
              <w:t>11,3</w:t>
            </w:r>
          </w:p>
        </w:tc>
        <w:tc>
          <w:tcPr>
            <w:tcW w:w="1276" w:type="dxa"/>
            <w:vAlign w:val="bottom"/>
          </w:tcPr>
          <w:p w:rsidR="00F10DB1" w:rsidRPr="00DA20F5" w:rsidRDefault="00F10DB1" w:rsidP="00D36FB8">
            <w:pPr>
              <w:ind w:right="364"/>
              <w:jc w:val="right"/>
            </w:pPr>
            <w:r w:rsidRPr="00DA20F5">
              <w:t>101,8</w:t>
            </w:r>
          </w:p>
        </w:tc>
        <w:tc>
          <w:tcPr>
            <w:tcW w:w="1276" w:type="dxa"/>
            <w:vAlign w:val="bottom"/>
          </w:tcPr>
          <w:p w:rsidR="00F10DB1" w:rsidRPr="00DA20F5" w:rsidRDefault="00F10DB1" w:rsidP="00D36FB8">
            <w:pPr>
              <w:ind w:right="364"/>
              <w:jc w:val="right"/>
              <w:rPr>
                <w:sz w:val="20"/>
                <w:szCs w:val="20"/>
              </w:rPr>
            </w:pPr>
            <w:r w:rsidRPr="00DA20F5">
              <w:rPr>
                <w:sz w:val="20"/>
                <w:szCs w:val="20"/>
              </w:rPr>
              <w:t>9,7</w:t>
            </w:r>
          </w:p>
        </w:tc>
        <w:tc>
          <w:tcPr>
            <w:tcW w:w="2103" w:type="dxa"/>
            <w:noWrap/>
            <w:vAlign w:val="bottom"/>
          </w:tcPr>
          <w:p w:rsidR="00F10DB1" w:rsidRPr="00DA20F5" w:rsidRDefault="00F10DB1" w:rsidP="00481696">
            <w:pPr>
              <w:ind w:right="720"/>
              <w:jc w:val="right"/>
            </w:pPr>
            <w:r w:rsidRPr="00DA20F5">
              <w:t>4,2</w:t>
            </w:r>
          </w:p>
        </w:tc>
      </w:tr>
      <w:tr w:rsidR="00F10DB1" w:rsidRPr="00DA20F5" w:rsidTr="00481696">
        <w:trPr>
          <w:trHeight w:val="255"/>
          <w:jc w:val="center"/>
        </w:trPr>
        <w:tc>
          <w:tcPr>
            <w:tcW w:w="1913" w:type="dxa"/>
            <w:noWrap/>
            <w:vAlign w:val="center"/>
          </w:tcPr>
          <w:p w:rsidR="00F10DB1" w:rsidRPr="00DA20F5" w:rsidRDefault="00F10DB1" w:rsidP="00D36FB8">
            <w:r w:rsidRPr="00DA20F5">
              <w:t>Nitrianskeho</w:t>
            </w:r>
          </w:p>
        </w:tc>
        <w:tc>
          <w:tcPr>
            <w:tcW w:w="1470" w:type="dxa"/>
            <w:noWrap/>
            <w:vAlign w:val="center"/>
          </w:tcPr>
          <w:p w:rsidR="00F10DB1" w:rsidRPr="00DA20F5" w:rsidRDefault="00F10DB1" w:rsidP="00D36FB8">
            <w:pPr>
              <w:ind w:right="364"/>
              <w:jc w:val="right"/>
            </w:pPr>
            <w:r w:rsidRPr="00DA20F5">
              <w:t>28,2</w:t>
            </w:r>
          </w:p>
        </w:tc>
        <w:tc>
          <w:tcPr>
            <w:tcW w:w="1559" w:type="dxa"/>
            <w:noWrap/>
            <w:vAlign w:val="bottom"/>
          </w:tcPr>
          <w:p w:rsidR="00F10DB1" w:rsidRPr="00DA20F5" w:rsidRDefault="00F10DB1" w:rsidP="00D36FB8">
            <w:pPr>
              <w:ind w:right="364"/>
              <w:jc w:val="right"/>
            </w:pPr>
            <w:r w:rsidRPr="00DA20F5">
              <w:t>23,8</w:t>
            </w:r>
          </w:p>
        </w:tc>
        <w:tc>
          <w:tcPr>
            <w:tcW w:w="1276" w:type="dxa"/>
            <w:vAlign w:val="bottom"/>
          </w:tcPr>
          <w:p w:rsidR="00F10DB1" w:rsidRPr="00DA20F5" w:rsidRDefault="00F10DB1" w:rsidP="00D36FB8">
            <w:pPr>
              <w:ind w:right="364"/>
              <w:jc w:val="right"/>
            </w:pPr>
            <w:r w:rsidRPr="00DA20F5">
              <w:t>84,4</w:t>
            </w:r>
          </w:p>
        </w:tc>
        <w:tc>
          <w:tcPr>
            <w:tcW w:w="1276" w:type="dxa"/>
            <w:vAlign w:val="bottom"/>
          </w:tcPr>
          <w:p w:rsidR="00F10DB1" w:rsidRPr="00DA20F5" w:rsidRDefault="00F10DB1" w:rsidP="00D36FB8">
            <w:pPr>
              <w:ind w:right="364"/>
              <w:jc w:val="right"/>
              <w:rPr>
                <w:sz w:val="20"/>
                <w:szCs w:val="20"/>
              </w:rPr>
            </w:pPr>
            <w:r w:rsidRPr="00DA20F5">
              <w:rPr>
                <w:sz w:val="20"/>
                <w:szCs w:val="20"/>
              </w:rPr>
              <w:t>20,4</w:t>
            </w:r>
          </w:p>
        </w:tc>
        <w:tc>
          <w:tcPr>
            <w:tcW w:w="2103" w:type="dxa"/>
            <w:noWrap/>
            <w:vAlign w:val="bottom"/>
          </w:tcPr>
          <w:p w:rsidR="00F10DB1" w:rsidRPr="00DA20F5" w:rsidRDefault="00F10DB1" w:rsidP="00481696">
            <w:pPr>
              <w:ind w:right="720"/>
              <w:jc w:val="right"/>
            </w:pPr>
            <w:r w:rsidRPr="00DA20F5">
              <w:t>7,7</w:t>
            </w:r>
          </w:p>
        </w:tc>
      </w:tr>
      <w:tr w:rsidR="00F10DB1" w:rsidRPr="00DA20F5" w:rsidTr="00481696">
        <w:trPr>
          <w:trHeight w:val="255"/>
          <w:jc w:val="center"/>
        </w:trPr>
        <w:tc>
          <w:tcPr>
            <w:tcW w:w="1913" w:type="dxa"/>
            <w:noWrap/>
            <w:vAlign w:val="center"/>
          </w:tcPr>
          <w:p w:rsidR="00F10DB1" w:rsidRPr="00DA20F5" w:rsidRDefault="00F10DB1" w:rsidP="00D36FB8">
            <w:r w:rsidRPr="00DA20F5">
              <w:t>Žilinského</w:t>
            </w:r>
          </w:p>
        </w:tc>
        <w:tc>
          <w:tcPr>
            <w:tcW w:w="1470" w:type="dxa"/>
            <w:noWrap/>
            <w:vAlign w:val="center"/>
          </w:tcPr>
          <w:p w:rsidR="00F10DB1" w:rsidRPr="00DA20F5" w:rsidRDefault="00F10DB1" w:rsidP="00D36FB8">
            <w:pPr>
              <w:ind w:right="364"/>
              <w:jc w:val="right"/>
            </w:pPr>
            <w:r w:rsidRPr="00DA20F5">
              <w:t>20,8</w:t>
            </w:r>
          </w:p>
        </w:tc>
        <w:tc>
          <w:tcPr>
            <w:tcW w:w="1559" w:type="dxa"/>
            <w:noWrap/>
            <w:vAlign w:val="bottom"/>
          </w:tcPr>
          <w:p w:rsidR="00F10DB1" w:rsidRPr="00DA20F5" w:rsidRDefault="00F10DB1" w:rsidP="00D36FB8">
            <w:pPr>
              <w:ind w:right="364"/>
              <w:jc w:val="right"/>
            </w:pPr>
            <w:r w:rsidRPr="00DA20F5">
              <w:t>16,6</w:t>
            </w:r>
          </w:p>
        </w:tc>
        <w:tc>
          <w:tcPr>
            <w:tcW w:w="1276" w:type="dxa"/>
            <w:vAlign w:val="bottom"/>
          </w:tcPr>
          <w:p w:rsidR="00F10DB1" w:rsidRPr="00DA20F5" w:rsidRDefault="00F10DB1" w:rsidP="00D36FB8">
            <w:pPr>
              <w:ind w:right="364"/>
              <w:jc w:val="right"/>
            </w:pPr>
            <w:r w:rsidRPr="00DA20F5">
              <w:t>79,8</w:t>
            </w:r>
          </w:p>
        </w:tc>
        <w:tc>
          <w:tcPr>
            <w:tcW w:w="1276" w:type="dxa"/>
            <w:vAlign w:val="bottom"/>
          </w:tcPr>
          <w:p w:rsidR="00F10DB1" w:rsidRPr="00DA20F5" w:rsidRDefault="00F10DB1" w:rsidP="00D36FB8">
            <w:pPr>
              <w:ind w:right="364"/>
              <w:jc w:val="right"/>
              <w:rPr>
                <w:sz w:val="20"/>
                <w:szCs w:val="20"/>
              </w:rPr>
            </w:pPr>
            <w:r w:rsidRPr="00DA20F5">
              <w:rPr>
                <w:sz w:val="20"/>
                <w:szCs w:val="20"/>
              </w:rPr>
              <w:t>14,2</w:t>
            </w:r>
          </w:p>
        </w:tc>
        <w:tc>
          <w:tcPr>
            <w:tcW w:w="2103" w:type="dxa"/>
            <w:noWrap/>
            <w:vAlign w:val="bottom"/>
          </w:tcPr>
          <w:p w:rsidR="00F10DB1" w:rsidRPr="00DA20F5" w:rsidRDefault="00F10DB1" w:rsidP="00481696">
            <w:pPr>
              <w:ind w:right="720"/>
              <w:jc w:val="right"/>
            </w:pPr>
            <w:r w:rsidRPr="00DA20F5">
              <w:t>5,7</w:t>
            </w:r>
          </w:p>
        </w:tc>
      </w:tr>
      <w:tr w:rsidR="00F10DB1" w:rsidRPr="00DA20F5" w:rsidTr="00481696">
        <w:trPr>
          <w:trHeight w:val="255"/>
          <w:jc w:val="center"/>
        </w:trPr>
        <w:tc>
          <w:tcPr>
            <w:tcW w:w="1913" w:type="dxa"/>
            <w:noWrap/>
            <w:vAlign w:val="center"/>
          </w:tcPr>
          <w:p w:rsidR="00F10DB1" w:rsidRPr="00DA20F5" w:rsidRDefault="00F10DB1" w:rsidP="00D36FB8">
            <w:r w:rsidRPr="00DA20F5">
              <w:t>Banskobystrického</w:t>
            </w:r>
          </w:p>
        </w:tc>
        <w:tc>
          <w:tcPr>
            <w:tcW w:w="1470" w:type="dxa"/>
            <w:noWrap/>
            <w:vAlign w:val="center"/>
          </w:tcPr>
          <w:p w:rsidR="00F10DB1" w:rsidRPr="00DA20F5" w:rsidRDefault="00F10DB1" w:rsidP="00D36FB8">
            <w:pPr>
              <w:ind w:right="364"/>
              <w:jc w:val="right"/>
            </w:pPr>
            <w:r w:rsidRPr="00DA20F5">
              <w:t>10,4</w:t>
            </w:r>
          </w:p>
        </w:tc>
        <w:tc>
          <w:tcPr>
            <w:tcW w:w="1559" w:type="dxa"/>
            <w:noWrap/>
            <w:vAlign w:val="bottom"/>
          </w:tcPr>
          <w:p w:rsidR="00F10DB1" w:rsidRPr="00DA20F5" w:rsidRDefault="00F10DB1" w:rsidP="00D36FB8">
            <w:pPr>
              <w:ind w:right="364"/>
              <w:jc w:val="right"/>
            </w:pPr>
            <w:r w:rsidRPr="00DA20F5">
              <w:t>11,7</w:t>
            </w:r>
          </w:p>
        </w:tc>
        <w:tc>
          <w:tcPr>
            <w:tcW w:w="1276" w:type="dxa"/>
            <w:vAlign w:val="bottom"/>
          </w:tcPr>
          <w:p w:rsidR="00F10DB1" w:rsidRPr="00DA20F5" w:rsidRDefault="00F10DB1" w:rsidP="00D36FB8">
            <w:pPr>
              <w:ind w:right="364"/>
              <w:jc w:val="right"/>
            </w:pPr>
            <w:r w:rsidRPr="00DA20F5">
              <w:t>112,5</w:t>
            </w:r>
          </w:p>
        </w:tc>
        <w:tc>
          <w:tcPr>
            <w:tcW w:w="1276" w:type="dxa"/>
            <w:vAlign w:val="bottom"/>
          </w:tcPr>
          <w:p w:rsidR="00F10DB1" w:rsidRPr="00DA20F5" w:rsidRDefault="00F10DB1" w:rsidP="00D36FB8">
            <w:pPr>
              <w:ind w:right="364"/>
              <w:jc w:val="right"/>
              <w:rPr>
                <w:sz w:val="20"/>
                <w:szCs w:val="20"/>
              </w:rPr>
            </w:pPr>
            <w:r w:rsidRPr="00DA20F5">
              <w:rPr>
                <w:sz w:val="20"/>
                <w:szCs w:val="20"/>
              </w:rPr>
              <w:t>10,0</w:t>
            </w:r>
          </w:p>
        </w:tc>
        <w:tc>
          <w:tcPr>
            <w:tcW w:w="2103" w:type="dxa"/>
            <w:noWrap/>
            <w:vAlign w:val="bottom"/>
          </w:tcPr>
          <w:p w:rsidR="00F10DB1" w:rsidRPr="00DA20F5" w:rsidRDefault="00F10DB1" w:rsidP="00481696">
            <w:pPr>
              <w:ind w:right="720"/>
              <w:jc w:val="right"/>
            </w:pPr>
            <w:r w:rsidRPr="00DA20F5">
              <w:t>4,3</w:t>
            </w:r>
          </w:p>
        </w:tc>
      </w:tr>
      <w:tr w:rsidR="00F10DB1" w:rsidRPr="00DA20F5" w:rsidTr="00481696">
        <w:trPr>
          <w:trHeight w:val="255"/>
          <w:jc w:val="center"/>
        </w:trPr>
        <w:tc>
          <w:tcPr>
            <w:tcW w:w="1913" w:type="dxa"/>
            <w:noWrap/>
            <w:vAlign w:val="center"/>
          </w:tcPr>
          <w:p w:rsidR="00F10DB1" w:rsidRPr="00DA20F5" w:rsidRDefault="00F10DB1" w:rsidP="00D36FB8">
            <w:r w:rsidRPr="00DA20F5">
              <w:t>Prešovského</w:t>
            </w:r>
          </w:p>
        </w:tc>
        <w:tc>
          <w:tcPr>
            <w:tcW w:w="1470" w:type="dxa"/>
            <w:noWrap/>
            <w:vAlign w:val="center"/>
          </w:tcPr>
          <w:p w:rsidR="00F10DB1" w:rsidRPr="00DA20F5" w:rsidRDefault="00F10DB1" w:rsidP="00D36FB8">
            <w:pPr>
              <w:ind w:right="364"/>
              <w:jc w:val="right"/>
            </w:pPr>
            <w:r w:rsidRPr="00DA20F5">
              <w:t>32,0</w:t>
            </w:r>
          </w:p>
        </w:tc>
        <w:tc>
          <w:tcPr>
            <w:tcW w:w="1559" w:type="dxa"/>
            <w:noWrap/>
            <w:vAlign w:val="bottom"/>
          </w:tcPr>
          <w:p w:rsidR="00F10DB1" w:rsidRPr="00DA20F5" w:rsidRDefault="00F10DB1" w:rsidP="00D36FB8">
            <w:pPr>
              <w:ind w:right="364"/>
              <w:jc w:val="right"/>
            </w:pPr>
            <w:r w:rsidRPr="00DA20F5">
              <w:t>32,9</w:t>
            </w:r>
          </w:p>
        </w:tc>
        <w:tc>
          <w:tcPr>
            <w:tcW w:w="1276" w:type="dxa"/>
            <w:vAlign w:val="bottom"/>
          </w:tcPr>
          <w:p w:rsidR="00F10DB1" w:rsidRPr="00DA20F5" w:rsidRDefault="00F10DB1" w:rsidP="00D36FB8">
            <w:pPr>
              <w:ind w:right="364"/>
              <w:jc w:val="right"/>
            </w:pPr>
            <w:r w:rsidRPr="00DA20F5">
              <w:t>102,8</w:t>
            </w:r>
          </w:p>
        </w:tc>
        <w:tc>
          <w:tcPr>
            <w:tcW w:w="1276" w:type="dxa"/>
            <w:vAlign w:val="bottom"/>
          </w:tcPr>
          <w:p w:rsidR="00F10DB1" w:rsidRPr="00DA20F5" w:rsidRDefault="00F10DB1" w:rsidP="00D36FB8">
            <w:pPr>
              <w:ind w:right="364"/>
              <w:jc w:val="right"/>
              <w:rPr>
                <w:sz w:val="20"/>
                <w:szCs w:val="20"/>
              </w:rPr>
            </w:pPr>
            <w:r w:rsidRPr="00DA20F5">
              <w:rPr>
                <w:sz w:val="20"/>
                <w:szCs w:val="20"/>
              </w:rPr>
              <w:t>28,3</w:t>
            </w:r>
          </w:p>
        </w:tc>
        <w:tc>
          <w:tcPr>
            <w:tcW w:w="2103" w:type="dxa"/>
            <w:noWrap/>
            <w:vAlign w:val="bottom"/>
          </w:tcPr>
          <w:p w:rsidR="00F10DB1" w:rsidRPr="00DA20F5" w:rsidRDefault="00F10DB1" w:rsidP="00481696">
            <w:pPr>
              <w:ind w:right="720"/>
              <w:jc w:val="right"/>
            </w:pPr>
            <w:r w:rsidRPr="00DA20F5">
              <w:t>10,5</w:t>
            </w:r>
          </w:p>
        </w:tc>
      </w:tr>
      <w:tr w:rsidR="00F10DB1" w:rsidRPr="00DA20F5" w:rsidTr="00481696">
        <w:trPr>
          <w:trHeight w:val="255"/>
          <w:jc w:val="center"/>
        </w:trPr>
        <w:tc>
          <w:tcPr>
            <w:tcW w:w="1913" w:type="dxa"/>
            <w:noWrap/>
            <w:vAlign w:val="center"/>
          </w:tcPr>
          <w:p w:rsidR="00F10DB1" w:rsidRPr="00DA20F5" w:rsidRDefault="00F10DB1" w:rsidP="00D36FB8">
            <w:r w:rsidRPr="00DA20F5">
              <w:t>Košického</w:t>
            </w:r>
          </w:p>
        </w:tc>
        <w:tc>
          <w:tcPr>
            <w:tcW w:w="1470" w:type="dxa"/>
            <w:noWrap/>
            <w:vAlign w:val="center"/>
          </w:tcPr>
          <w:p w:rsidR="00F10DB1" w:rsidRPr="00DA20F5" w:rsidRDefault="00F10DB1" w:rsidP="00D36FB8">
            <w:pPr>
              <w:ind w:right="364"/>
              <w:jc w:val="right"/>
            </w:pPr>
            <w:r w:rsidRPr="00DA20F5">
              <w:t>16,1</w:t>
            </w:r>
          </w:p>
        </w:tc>
        <w:tc>
          <w:tcPr>
            <w:tcW w:w="1559" w:type="dxa"/>
            <w:noWrap/>
            <w:vAlign w:val="bottom"/>
          </w:tcPr>
          <w:p w:rsidR="00F10DB1" w:rsidRPr="00DA20F5" w:rsidRDefault="00F10DB1" w:rsidP="00D36FB8">
            <w:pPr>
              <w:ind w:right="364"/>
              <w:jc w:val="right"/>
            </w:pPr>
            <w:r w:rsidRPr="00DA20F5">
              <w:t>11,7</w:t>
            </w:r>
          </w:p>
        </w:tc>
        <w:tc>
          <w:tcPr>
            <w:tcW w:w="1276" w:type="dxa"/>
            <w:vAlign w:val="bottom"/>
          </w:tcPr>
          <w:p w:rsidR="00F10DB1" w:rsidRPr="00DA20F5" w:rsidRDefault="00F10DB1" w:rsidP="00D36FB8">
            <w:pPr>
              <w:ind w:right="364"/>
              <w:jc w:val="right"/>
            </w:pPr>
            <w:r w:rsidRPr="00DA20F5">
              <w:t>72,7</w:t>
            </w:r>
          </w:p>
        </w:tc>
        <w:tc>
          <w:tcPr>
            <w:tcW w:w="1276" w:type="dxa"/>
            <w:vAlign w:val="bottom"/>
          </w:tcPr>
          <w:p w:rsidR="00F10DB1" w:rsidRPr="00DA20F5" w:rsidRDefault="00F10DB1" w:rsidP="00D36FB8">
            <w:pPr>
              <w:ind w:right="364"/>
              <w:jc w:val="right"/>
              <w:rPr>
                <w:sz w:val="20"/>
                <w:szCs w:val="20"/>
              </w:rPr>
            </w:pPr>
            <w:r w:rsidRPr="00DA20F5">
              <w:rPr>
                <w:sz w:val="20"/>
                <w:szCs w:val="20"/>
              </w:rPr>
              <w:t>10,0</w:t>
            </w:r>
          </w:p>
        </w:tc>
        <w:tc>
          <w:tcPr>
            <w:tcW w:w="2103" w:type="dxa"/>
            <w:noWrap/>
            <w:vAlign w:val="bottom"/>
          </w:tcPr>
          <w:p w:rsidR="00F10DB1" w:rsidRPr="00DA20F5" w:rsidRDefault="00F10DB1" w:rsidP="00481696">
            <w:pPr>
              <w:ind w:right="720"/>
              <w:jc w:val="right"/>
            </w:pPr>
            <w:r w:rsidRPr="00DA20F5">
              <w:t>4,0</w:t>
            </w:r>
          </w:p>
        </w:tc>
      </w:tr>
    </w:tbl>
    <w:p w:rsidR="00F10DB1" w:rsidRPr="00DA20F5" w:rsidRDefault="00F10DB1" w:rsidP="00D36FB8">
      <w:pPr>
        <w:pStyle w:val="zdroj"/>
      </w:pPr>
      <w:r w:rsidRPr="00DA20F5">
        <w:t>Zdroj: ŠÚ SR, VZPS</w:t>
      </w:r>
      <w:r w:rsidRPr="00DA20F5" w:rsidDel="00E4156E">
        <w:t xml:space="preserve"> </w:t>
      </w:r>
    </w:p>
    <w:p w:rsidR="00F10DB1" w:rsidRPr="00DA20F5" w:rsidRDefault="00F10DB1" w:rsidP="00D36FB8">
      <w:pPr>
        <w:ind w:firstLine="357"/>
      </w:pPr>
      <w:r w:rsidRPr="00DA20F5">
        <w:rPr>
          <w:b/>
        </w:rPr>
        <w:t>Z hľadiska pohlavia</w:t>
      </w:r>
      <w:r w:rsidRPr="00DA20F5">
        <w:t xml:space="preserve"> bol rast počtu pracujúcich výraznejší </w:t>
      </w:r>
      <w:r w:rsidR="00481696" w:rsidRPr="00DA20F5">
        <w:t>u mužov (o 2,0 %) ako u žien (o </w:t>
      </w:r>
      <w:r w:rsidRPr="00DA20F5">
        <w:t xml:space="preserve">0,8 %). </w:t>
      </w:r>
    </w:p>
    <w:p w:rsidR="00F10DB1" w:rsidRPr="00DA20F5" w:rsidRDefault="00F10DB1" w:rsidP="00D36FB8">
      <w:pPr>
        <w:pStyle w:val="Normlnysozarkami12"/>
      </w:pPr>
      <w:r w:rsidRPr="00DA20F5">
        <w:rPr>
          <w:b/>
        </w:rPr>
        <w:t>Z hľadiska</w:t>
      </w:r>
      <w:r w:rsidRPr="00DA20F5">
        <w:t xml:space="preserve"> </w:t>
      </w:r>
      <w:r w:rsidRPr="00DA20F5">
        <w:rPr>
          <w:b/>
        </w:rPr>
        <w:t>veku</w:t>
      </w:r>
      <w:r w:rsidRPr="00DA20F5">
        <w:t xml:space="preserve"> rast zamestnanosti zaznamenali všetky 5- ročné vekové skupiny nad 35 rokov. Na druhej strane pokles zamestnanosti bol zaznamenaný vo všetkých 5-ročných vekových skupinách do 34 rokov.</w:t>
      </w:r>
    </w:p>
    <w:p w:rsidR="00F10DB1" w:rsidRPr="00DA20F5" w:rsidRDefault="00F10DB1" w:rsidP="00D36FB8">
      <w:pPr>
        <w:pStyle w:val="Normlnysozarkami12"/>
      </w:pPr>
      <w:r w:rsidRPr="00DA20F5">
        <w:t xml:space="preserve">V roku 2011 pokračovala tendencia rastu podielu </w:t>
      </w:r>
      <w:r w:rsidRPr="00DA20F5">
        <w:rPr>
          <w:b/>
        </w:rPr>
        <w:t>zamestnancov pracujúcich na kratší</w:t>
      </w:r>
      <w:r w:rsidRPr="00DA20F5">
        <w:t xml:space="preserve"> </w:t>
      </w:r>
      <w:r w:rsidRPr="00DA20F5">
        <w:rPr>
          <w:b/>
        </w:rPr>
        <w:t>pracovný čas</w:t>
      </w:r>
      <w:r w:rsidRPr="00DA20F5">
        <w:t xml:space="preserve">. Možnosť práce na kratší pracovný čas využilo v roku 2011 v priemere 4,7 % z celkového počtu zamestnancov (v roku 2010 to bolo 4,4 %). Podiel zamestnancov na kratší pracovný čas sa v roku 2011 zvýšil len u žien (z 5,7 % v roku 2010 na 6,2 %), kým podiel mužov zostal na úrovni roku 2010, t. j. 3,3 %. </w:t>
      </w:r>
    </w:p>
    <w:p w:rsidR="00F10DB1" w:rsidRPr="00DA20F5" w:rsidRDefault="00F10DB1" w:rsidP="00D36FB8">
      <w:pPr>
        <w:pStyle w:val="Nadpis7"/>
        <w:spacing w:before="120"/>
      </w:pPr>
      <w:bookmarkStart w:id="182" w:name="_Toc325438117"/>
      <w:bookmarkStart w:id="183" w:name="_Toc325440886"/>
      <w:bookmarkStart w:id="184" w:name="_Toc325626699"/>
      <w:bookmarkStart w:id="185" w:name="_Toc326216960"/>
      <w:r w:rsidRPr="00DA20F5">
        <w:t>Tab.</w:t>
      </w:r>
      <w:r w:rsidR="001B4379" w:rsidRPr="00DA20F5">
        <w:t xml:space="preserve"> </w:t>
      </w:r>
      <w:r w:rsidRPr="00DA20F5">
        <w:t>2.4 Pracujúci podľa veku v roku 2011 (priemer za rok)</w:t>
      </w:r>
      <w:bookmarkEnd w:id="182"/>
      <w:bookmarkEnd w:id="183"/>
      <w:bookmarkEnd w:id="184"/>
      <w:bookmarkEnd w:id="185"/>
    </w:p>
    <w:tbl>
      <w:tblPr>
        <w:tblW w:w="8010" w:type="dxa"/>
        <w:jc w:val="center"/>
        <w:tblInd w:w="28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2214"/>
        <w:gridCol w:w="2016"/>
        <w:gridCol w:w="1795"/>
        <w:gridCol w:w="1985"/>
      </w:tblGrid>
      <w:tr w:rsidR="00F10DB1" w:rsidRPr="00DA20F5" w:rsidTr="00481696">
        <w:trPr>
          <w:trHeight w:val="701"/>
          <w:jc w:val="center"/>
        </w:trPr>
        <w:tc>
          <w:tcPr>
            <w:tcW w:w="2214"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Ukazovateľ</w:t>
            </w:r>
          </w:p>
        </w:tc>
        <w:tc>
          <w:tcPr>
            <w:tcW w:w="2016"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Počet pracujúcich</w:t>
            </w:r>
          </w:p>
          <w:p w:rsidR="00F10DB1" w:rsidRPr="00DA20F5" w:rsidRDefault="00F10DB1" w:rsidP="00D36FB8">
            <w:pPr>
              <w:jc w:val="center"/>
              <w:rPr>
                <w:b/>
                <w:color w:val="FFFFFF" w:themeColor="background1"/>
              </w:rPr>
            </w:pPr>
            <w:r w:rsidRPr="00DA20F5">
              <w:rPr>
                <w:b/>
                <w:color w:val="FFFFFF" w:themeColor="background1"/>
              </w:rPr>
              <w:t>(v tis. osôb)</w:t>
            </w:r>
          </w:p>
        </w:tc>
        <w:tc>
          <w:tcPr>
            <w:tcW w:w="1795"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Podiel na SR</w:t>
            </w:r>
          </w:p>
          <w:p w:rsidR="00F10DB1" w:rsidRPr="00DA20F5" w:rsidRDefault="00F10DB1" w:rsidP="00D36FB8">
            <w:pPr>
              <w:jc w:val="center"/>
              <w:rPr>
                <w:b/>
                <w:color w:val="FFFFFF" w:themeColor="background1"/>
              </w:rPr>
            </w:pPr>
            <w:r w:rsidRPr="00DA20F5">
              <w:rPr>
                <w:b/>
                <w:color w:val="FFFFFF" w:themeColor="background1"/>
              </w:rPr>
              <w:t>(v %)</w:t>
            </w:r>
          </w:p>
        </w:tc>
        <w:tc>
          <w:tcPr>
            <w:tcW w:w="1985"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Index</w:t>
            </w:r>
          </w:p>
          <w:p w:rsidR="00F10DB1" w:rsidRPr="00DA20F5" w:rsidRDefault="00F10DB1" w:rsidP="00D36FB8">
            <w:pPr>
              <w:jc w:val="center"/>
              <w:rPr>
                <w:b/>
                <w:color w:val="FFFFFF" w:themeColor="background1"/>
              </w:rPr>
            </w:pPr>
            <w:r w:rsidRPr="00DA20F5">
              <w:rPr>
                <w:b/>
                <w:color w:val="FFFFFF" w:themeColor="background1"/>
              </w:rPr>
              <w:t>2011/2010</w:t>
            </w:r>
          </w:p>
        </w:tc>
      </w:tr>
      <w:tr w:rsidR="00F10DB1" w:rsidRPr="00DA20F5" w:rsidTr="00481696">
        <w:trPr>
          <w:trHeight w:val="255"/>
          <w:jc w:val="center"/>
        </w:trPr>
        <w:tc>
          <w:tcPr>
            <w:tcW w:w="2214" w:type="dxa"/>
            <w:vAlign w:val="center"/>
          </w:tcPr>
          <w:p w:rsidR="00F10DB1" w:rsidRPr="00DA20F5" w:rsidRDefault="00F10DB1" w:rsidP="00D36FB8">
            <w:pPr>
              <w:rPr>
                <w:b/>
              </w:rPr>
            </w:pPr>
            <w:r w:rsidRPr="00DA20F5">
              <w:rPr>
                <w:b/>
              </w:rPr>
              <w:t>Spolu</w:t>
            </w:r>
          </w:p>
        </w:tc>
        <w:tc>
          <w:tcPr>
            <w:tcW w:w="2016" w:type="dxa"/>
            <w:vAlign w:val="center"/>
          </w:tcPr>
          <w:p w:rsidR="00F10DB1" w:rsidRPr="00DA20F5" w:rsidRDefault="00F10DB1" w:rsidP="00481696">
            <w:pPr>
              <w:ind w:right="683"/>
              <w:jc w:val="right"/>
              <w:rPr>
                <w:b/>
                <w:sz w:val="20"/>
                <w:szCs w:val="20"/>
              </w:rPr>
            </w:pPr>
            <w:r w:rsidRPr="00DA20F5">
              <w:rPr>
                <w:b/>
                <w:sz w:val="20"/>
                <w:szCs w:val="20"/>
              </w:rPr>
              <w:t>2 351,4</w:t>
            </w:r>
          </w:p>
        </w:tc>
        <w:tc>
          <w:tcPr>
            <w:tcW w:w="1795" w:type="dxa"/>
            <w:vAlign w:val="center"/>
          </w:tcPr>
          <w:p w:rsidR="00F10DB1" w:rsidRPr="00DA20F5" w:rsidRDefault="00F10DB1" w:rsidP="00481696">
            <w:pPr>
              <w:ind w:right="683"/>
              <w:jc w:val="right"/>
              <w:rPr>
                <w:b/>
                <w:szCs w:val="20"/>
              </w:rPr>
            </w:pPr>
            <w:r w:rsidRPr="00DA20F5">
              <w:rPr>
                <w:b/>
                <w:szCs w:val="20"/>
              </w:rPr>
              <w:t>100</w:t>
            </w:r>
          </w:p>
        </w:tc>
        <w:tc>
          <w:tcPr>
            <w:tcW w:w="1985" w:type="dxa"/>
            <w:vAlign w:val="center"/>
          </w:tcPr>
          <w:p w:rsidR="00F10DB1" w:rsidRPr="00DA20F5" w:rsidRDefault="00F10DB1" w:rsidP="00481696">
            <w:pPr>
              <w:ind w:right="683"/>
              <w:jc w:val="right"/>
              <w:rPr>
                <w:b/>
                <w:szCs w:val="20"/>
              </w:rPr>
            </w:pPr>
            <w:r w:rsidRPr="00DA20F5">
              <w:rPr>
                <w:b/>
                <w:szCs w:val="20"/>
              </w:rPr>
              <w:t>101,5</w:t>
            </w:r>
          </w:p>
        </w:tc>
      </w:tr>
      <w:tr w:rsidR="00324E2B" w:rsidRPr="00DA20F5" w:rsidTr="00481696">
        <w:trPr>
          <w:trHeight w:val="255"/>
          <w:jc w:val="center"/>
        </w:trPr>
        <w:tc>
          <w:tcPr>
            <w:tcW w:w="8010" w:type="dxa"/>
            <w:gridSpan w:val="4"/>
            <w:vAlign w:val="center"/>
          </w:tcPr>
          <w:p w:rsidR="00324E2B" w:rsidRPr="00DA20F5" w:rsidRDefault="00324E2B" w:rsidP="00481696">
            <w:pPr>
              <w:ind w:right="683"/>
              <w:jc w:val="left"/>
              <w:rPr>
                <w:szCs w:val="20"/>
              </w:rPr>
            </w:pPr>
            <w:r w:rsidRPr="00DA20F5">
              <w:t>v tom veková skupina:</w:t>
            </w:r>
          </w:p>
        </w:tc>
      </w:tr>
      <w:tr w:rsidR="00F10DB1" w:rsidRPr="00DA20F5" w:rsidTr="00481696">
        <w:trPr>
          <w:trHeight w:val="255"/>
          <w:jc w:val="center"/>
        </w:trPr>
        <w:tc>
          <w:tcPr>
            <w:tcW w:w="2214" w:type="dxa"/>
            <w:vAlign w:val="center"/>
          </w:tcPr>
          <w:p w:rsidR="00F10DB1" w:rsidRPr="00DA20F5" w:rsidRDefault="00F10DB1" w:rsidP="00D36FB8">
            <w:r w:rsidRPr="00DA20F5">
              <w:t>15 - 19 rokov</w:t>
            </w:r>
          </w:p>
        </w:tc>
        <w:tc>
          <w:tcPr>
            <w:tcW w:w="2016" w:type="dxa"/>
            <w:vAlign w:val="bottom"/>
          </w:tcPr>
          <w:p w:rsidR="00F10DB1" w:rsidRPr="00DA20F5" w:rsidRDefault="00F10DB1" w:rsidP="00481696">
            <w:pPr>
              <w:ind w:right="683"/>
              <w:jc w:val="right"/>
              <w:rPr>
                <w:sz w:val="20"/>
                <w:szCs w:val="20"/>
              </w:rPr>
            </w:pPr>
            <w:r w:rsidRPr="00DA20F5">
              <w:rPr>
                <w:sz w:val="20"/>
                <w:szCs w:val="20"/>
              </w:rPr>
              <w:t>7,5</w:t>
            </w:r>
          </w:p>
        </w:tc>
        <w:tc>
          <w:tcPr>
            <w:tcW w:w="1795" w:type="dxa"/>
            <w:vAlign w:val="bottom"/>
          </w:tcPr>
          <w:p w:rsidR="00F10DB1" w:rsidRPr="00DA20F5" w:rsidRDefault="00F10DB1" w:rsidP="00481696">
            <w:pPr>
              <w:ind w:right="683"/>
              <w:jc w:val="right"/>
              <w:rPr>
                <w:sz w:val="20"/>
                <w:szCs w:val="20"/>
              </w:rPr>
            </w:pPr>
            <w:r w:rsidRPr="00DA20F5">
              <w:rPr>
                <w:sz w:val="20"/>
                <w:szCs w:val="20"/>
              </w:rPr>
              <w:t>0,3</w:t>
            </w:r>
          </w:p>
        </w:tc>
        <w:tc>
          <w:tcPr>
            <w:tcW w:w="1985" w:type="dxa"/>
            <w:vAlign w:val="bottom"/>
          </w:tcPr>
          <w:p w:rsidR="00F10DB1" w:rsidRPr="00DA20F5" w:rsidRDefault="00F10DB1" w:rsidP="00481696">
            <w:pPr>
              <w:ind w:right="683"/>
              <w:jc w:val="right"/>
              <w:rPr>
                <w:sz w:val="20"/>
                <w:szCs w:val="20"/>
              </w:rPr>
            </w:pPr>
            <w:r w:rsidRPr="00DA20F5">
              <w:rPr>
                <w:sz w:val="20"/>
                <w:szCs w:val="20"/>
              </w:rPr>
              <w:t>83,3</w:t>
            </w:r>
          </w:p>
        </w:tc>
      </w:tr>
      <w:tr w:rsidR="00F10DB1" w:rsidRPr="00DA20F5" w:rsidTr="00481696">
        <w:trPr>
          <w:trHeight w:val="255"/>
          <w:jc w:val="center"/>
        </w:trPr>
        <w:tc>
          <w:tcPr>
            <w:tcW w:w="2214" w:type="dxa"/>
            <w:vAlign w:val="center"/>
          </w:tcPr>
          <w:p w:rsidR="00F10DB1" w:rsidRPr="00DA20F5" w:rsidRDefault="00F10DB1" w:rsidP="00D36FB8">
            <w:r w:rsidRPr="00DA20F5">
              <w:t>20 - 24 rokov</w:t>
            </w:r>
          </w:p>
        </w:tc>
        <w:tc>
          <w:tcPr>
            <w:tcW w:w="2016" w:type="dxa"/>
            <w:vAlign w:val="bottom"/>
          </w:tcPr>
          <w:p w:rsidR="00F10DB1" w:rsidRPr="00DA20F5" w:rsidRDefault="00F10DB1" w:rsidP="00481696">
            <w:pPr>
              <w:ind w:right="683"/>
              <w:jc w:val="right"/>
              <w:rPr>
                <w:sz w:val="20"/>
                <w:szCs w:val="20"/>
              </w:rPr>
            </w:pPr>
            <w:r w:rsidRPr="00DA20F5">
              <w:rPr>
                <w:sz w:val="20"/>
                <w:szCs w:val="20"/>
              </w:rPr>
              <w:t>145,9</w:t>
            </w:r>
          </w:p>
        </w:tc>
        <w:tc>
          <w:tcPr>
            <w:tcW w:w="1795" w:type="dxa"/>
            <w:vAlign w:val="bottom"/>
          </w:tcPr>
          <w:p w:rsidR="00F10DB1" w:rsidRPr="00DA20F5" w:rsidRDefault="00F10DB1" w:rsidP="00481696">
            <w:pPr>
              <w:ind w:right="683"/>
              <w:jc w:val="right"/>
              <w:rPr>
                <w:sz w:val="20"/>
                <w:szCs w:val="20"/>
              </w:rPr>
            </w:pPr>
            <w:r w:rsidRPr="00DA20F5">
              <w:rPr>
                <w:sz w:val="20"/>
                <w:szCs w:val="20"/>
              </w:rPr>
              <w:t>6,2</w:t>
            </w:r>
          </w:p>
        </w:tc>
        <w:tc>
          <w:tcPr>
            <w:tcW w:w="1985" w:type="dxa"/>
            <w:vAlign w:val="bottom"/>
          </w:tcPr>
          <w:p w:rsidR="00F10DB1" w:rsidRPr="00DA20F5" w:rsidRDefault="00F10DB1" w:rsidP="00481696">
            <w:pPr>
              <w:ind w:right="683"/>
              <w:jc w:val="right"/>
              <w:rPr>
                <w:sz w:val="20"/>
                <w:szCs w:val="20"/>
              </w:rPr>
            </w:pPr>
            <w:r w:rsidRPr="00DA20F5">
              <w:rPr>
                <w:sz w:val="20"/>
                <w:szCs w:val="20"/>
              </w:rPr>
              <w:t>94,6</w:t>
            </w:r>
          </w:p>
        </w:tc>
      </w:tr>
      <w:tr w:rsidR="00F10DB1" w:rsidRPr="00DA20F5" w:rsidTr="00481696">
        <w:trPr>
          <w:trHeight w:val="255"/>
          <w:jc w:val="center"/>
        </w:trPr>
        <w:tc>
          <w:tcPr>
            <w:tcW w:w="2214" w:type="dxa"/>
            <w:vAlign w:val="center"/>
          </w:tcPr>
          <w:p w:rsidR="00F10DB1" w:rsidRPr="00DA20F5" w:rsidRDefault="00F10DB1" w:rsidP="00D36FB8">
            <w:r w:rsidRPr="00DA20F5">
              <w:t>25 - 29 rokov</w:t>
            </w:r>
          </w:p>
        </w:tc>
        <w:tc>
          <w:tcPr>
            <w:tcW w:w="2016" w:type="dxa"/>
            <w:vAlign w:val="bottom"/>
          </w:tcPr>
          <w:p w:rsidR="00F10DB1" w:rsidRPr="00DA20F5" w:rsidRDefault="00F10DB1" w:rsidP="00481696">
            <w:pPr>
              <w:ind w:right="683"/>
              <w:jc w:val="right"/>
              <w:rPr>
                <w:sz w:val="20"/>
                <w:szCs w:val="20"/>
              </w:rPr>
            </w:pPr>
            <w:r w:rsidRPr="00DA20F5">
              <w:rPr>
                <w:sz w:val="20"/>
                <w:szCs w:val="20"/>
              </w:rPr>
              <w:t>303,0</w:t>
            </w:r>
          </w:p>
        </w:tc>
        <w:tc>
          <w:tcPr>
            <w:tcW w:w="1795" w:type="dxa"/>
            <w:vAlign w:val="bottom"/>
          </w:tcPr>
          <w:p w:rsidR="00F10DB1" w:rsidRPr="00DA20F5" w:rsidRDefault="00F10DB1" w:rsidP="00481696">
            <w:pPr>
              <w:ind w:right="683"/>
              <w:jc w:val="right"/>
              <w:rPr>
                <w:sz w:val="20"/>
                <w:szCs w:val="20"/>
              </w:rPr>
            </w:pPr>
            <w:r w:rsidRPr="00DA20F5">
              <w:rPr>
                <w:sz w:val="20"/>
                <w:szCs w:val="20"/>
              </w:rPr>
              <w:t>12,9</w:t>
            </w:r>
          </w:p>
        </w:tc>
        <w:tc>
          <w:tcPr>
            <w:tcW w:w="1985" w:type="dxa"/>
            <w:vAlign w:val="bottom"/>
          </w:tcPr>
          <w:p w:rsidR="00F10DB1" w:rsidRPr="00DA20F5" w:rsidRDefault="00F10DB1" w:rsidP="00481696">
            <w:pPr>
              <w:ind w:right="683"/>
              <w:jc w:val="right"/>
              <w:rPr>
                <w:sz w:val="20"/>
                <w:szCs w:val="20"/>
              </w:rPr>
            </w:pPr>
            <w:r w:rsidRPr="00DA20F5">
              <w:rPr>
                <w:sz w:val="20"/>
                <w:szCs w:val="20"/>
              </w:rPr>
              <w:t>97,9</w:t>
            </w:r>
          </w:p>
        </w:tc>
      </w:tr>
      <w:tr w:rsidR="00F10DB1" w:rsidRPr="00DA20F5" w:rsidTr="00481696">
        <w:trPr>
          <w:trHeight w:val="255"/>
          <w:jc w:val="center"/>
        </w:trPr>
        <w:tc>
          <w:tcPr>
            <w:tcW w:w="2214" w:type="dxa"/>
            <w:vAlign w:val="center"/>
          </w:tcPr>
          <w:p w:rsidR="00F10DB1" w:rsidRPr="00DA20F5" w:rsidRDefault="00F10DB1" w:rsidP="00D36FB8">
            <w:r w:rsidRPr="00DA20F5">
              <w:t>30 - 34 rokov</w:t>
            </w:r>
          </w:p>
        </w:tc>
        <w:tc>
          <w:tcPr>
            <w:tcW w:w="2016" w:type="dxa"/>
            <w:vAlign w:val="bottom"/>
          </w:tcPr>
          <w:p w:rsidR="00F10DB1" w:rsidRPr="00DA20F5" w:rsidRDefault="00F10DB1" w:rsidP="00481696">
            <w:pPr>
              <w:ind w:right="683"/>
              <w:jc w:val="right"/>
              <w:rPr>
                <w:sz w:val="20"/>
                <w:szCs w:val="20"/>
              </w:rPr>
            </w:pPr>
            <w:r w:rsidRPr="00DA20F5">
              <w:rPr>
                <w:sz w:val="20"/>
                <w:szCs w:val="20"/>
              </w:rPr>
              <w:t>343,3</w:t>
            </w:r>
          </w:p>
        </w:tc>
        <w:tc>
          <w:tcPr>
            <w:tcW w:w="1795" w:type="dxa"/>
            <w:vAlign w:val="bottom"/>
          </w:tcPr>
          <w:p w:rsidR="00F10DB1" w:rsidRPr="00DA20F5" w:rsidRDefault="00F10DB1" w:rsidP="00481696">
            <w:pPr>
              <w:ind w:right="683"/>
              <w:jc w:val="right"/>
              <w:rPr>
                <w:sz w:val="20"/>
                <w:szCs w:val="20"/>
              </w:rPr>
            </w:pPr>
            <w:r w:rsidRPr="00DA20F5">
              <w:rPr>
                <w:sz w:val="20"/>
                <w:szCs w:val="20"/>
              </w:rPr>
              <w:t>14,6</w:t>
            </w:r>
          </w:p>
        </w:tc>
        <w:tc>
          <w:tcPr>
            <w:tcW w:w="1985" w:type="dxa"/>
            <w:vAlign w:val="bottom"/>
          </w:tcPr>
          <w:p w:rsidR="00F10DB1" w:rsidRPr="00DA20F5" w:rsidRDefault="00F10DB1" w:rsidP="00481696">
            <w:pPr>
              <w:ind w:right="683"/>
              <w:jc w:val="right"/>
              <w:rPr>
                <w:sz w:val="20"/>
                <w:szCs w:val="20"/>
              </w:rPr>
            </w:pPr>
            <w:r w:rsidRPr="00DA20F5">
              <w:rPr>
                <w:sz w:val="20"/>
                <w:szCs w:val="20"/>
              </w:rPr>
              <w:t>99,8</w:t>
            </w:r>
          </w:p>
        </w:tc>
      </w:tr>
      <w:tr w:rsidR="00F10DB1" w:rsidRPr="00DA20F5" w:rsidTr="00481696">
        <w:trPr>
          <w:trHeight w:val="255"/>
          <w:jc w:val="center"/>
        </w:trPr>
        <w:tc>
          <w:tcPr>
            <w:tcW w:w="2214" w:type="dxa"/>
            <w:vAlign w:val="center"/>
          </w:tcPr>
          <w:p w:rsidR="00F10DB1" w:rsidRPr="00DA20F5" w:rsidRDefault="00F10DB1" w:rsidP="00D36FB8">
            <w:r w:rsidRPr="00DA20F5">
              <w:t>35 - 39 rokov</w:t>
            </w:r>
          </w:p>
        </w:tc>
        <w:tc>
          <w:tcPr>
            <w:tcW w:w="2016" w:type="dxa"/>
            <w:vAlign w:val="bottom"/>
          </w:tcPr>
          <w:p w:rsidR="00F10DB1" w:rsidRPr="00DA20F5" w:rsidRDefault="00F10DB1" w:rsidP="00481696">
            <w:pPr>
              <w:ind w:right="683"/>
              <w:jc w:val="right"/>
              <w:rPr>
                <w:sz w:val="20"/>
                <w:szCs w:val="20"/>
              </w:rPr>
            </w:pPr>
            <w:r w:rsidRPr="00DA20F5">
              <w:rPr>
                <w:sz w:val="20"/>
                <w:szCs w:val="20"/>
              </w:rPr>
              <w:t>341,4</w:t>
            </w:r>
          </w:p>
        </w:tc>
        <w:tc>
          <w:tcPr>
            <w:tcW w:w="1795" w:type="dxa"/>
            <w:vAlign w:val="bottom"/>
          </w:tcPr>
          <w:p w:rsidR="00F10DB1" w:rsidRPr="00DA20F5" w:rsidRDefault="00F10DB1" w:rsidP="00481696">
            <w:pPr>
              <w:ind w:right="683"/>
              <w:jc w:val="right"/>
              <w:rPr>
                <w:sz w:val="20"/>
                <w:szCs w:val="20"/>
              </w:rPr>
            </w:pPr>
            <w:r w:rsidRPr="00DA20F5">
              <w:rPr>
                <w:sz w:val="20"/>
                <w:szCs w:val="20"/>
              </w:rPr>
              <w:t>14,5</w:t>
            </w:r>
          </w:p>
        </w:tc>
        <w:tc>
          <w:tcPr>
            <w:tcW w:w="1985" w:type="dxa"/>
            <w:vAlign w:val="bottom"/>
          </w:tcPr>
          <w:p w:rsidR="00F10DB1" w:rsidRPr="00DA20F5" w:rsidRDefault="00F10DB1" w:rsidP="00481696">
            <w:pPr>
              <w:ind w:right="683"/>
              <w:jc w:val="right"/>
              <w:rPr>
                <w:sz w:val="20"/>
                <w:szCs w:val="20"/>
              </w:rPr>
            </w:pPr>
            <w:r w:rsidRPr="00DA20F5">
              <w:rPr>
                <w:sz w:val="20"/>
                <w:szCs w:val="20"/>
              </w:rPr>
              <w:t>104,9</w:t>
            </w:r>
          </w:p>
        </w:tc>
      </w:tr>
      <w:tr w:rsidR="00F10DB1" w:rsidRPr="00DA20F5" w:rsidTr="00481696">
        <w:trPr>
          <w:trHeight w:val="255"/>
          <w:jc w:val="center"/>
        </w:trPr>
        <w:tc>
          <w:tcPr>
            <w:tcW w:w="2214" w:type="dxa"/>
            <w:vAlign w:val="center"/>
          </w:tcPr>
          <w:p w:rsidR="00F10DB1" w:rsidRPr="00DA20F5" w:rsidRDefault="00F10DB1" w:rsidP="00D36FB8">
            <w:r w:rsidRPr="00DA20F5">
              <w:t>40 - 44 rokov</w:t>
            </w:r>
          </w:p>
        </w:tc>
        <w:tc>
          <w:tcPr>
            <w:tcW w:w="2016" w:type="dxa"/>
            <w:vAlign w:val="bottom"/>
          </w:tcPr>
          <w:p w:rsidR="00F10DB1" w:rsidRPr="00DA20F5" w:rsidRDefault="00F10DB1" w:rsidP="00481696">
            <w:pPr>
              <w:ind w:right="683"/>
              <w:jc w:val="right"/>
              <w:rPr>
                <w:sz w:val="20"/>
                <w:szCs w:val="20"/>
              </w:rPr>
            </w:pPr>
            <w:r w:rsidRPr="00DA20F5">
              <w:rPr>
                <w:sz w:val="20"/>
                <w:szCs w:val="20"/>
              </w:rPr>
              <w:t>298,0</w:t>
            </w:r>
          </w:p>
        </w:tc>
        <w:tc>
          <w:tcPr>
            <w:tcW w:w="1795" w:type="dxa"/>
            <w:vAlign w:val="bottom"/>
          </w:tcPr>
          <w:p w:rsidR="00F10DB1" w:rsidRPr="00DA20F5" w:rsidRDefault="00F10DB1" w:rsidP="00481696">
            <w:pPr>
              <w:ind w:right="683"/>
              <w:jc w:val="right"/>
              <w:rPr>
                <w:sz w:val="20"/>
                <w:szCs w:val="20"/>
              </w:rPr>
            </w:pPr>
            <w:r w:rsidRPr="00DA20F5">
              <w:rPr>
                <w:sz w:val="20"/>
                <w:szCs w:val="20"/>
              </w:rPr>
              <w:t>12,7</w:t>
            </w:r>
          </w:p>
        </w:tc>
        <w:tc>
          <w:tcPr>
            <w:tcW w:w="1985" w:type="dxa"/>
            <w:vAlign w:val="bottom"/>
          </w:tcPr>
          <w:p w:rsidR="00F10DB1" w:rsidRPr="00DA20F5" w:rsidRDefault="00F10DB1" w:rsidP="00481696">
            <w:pPr>
              <w:ind w:right="683"/>
              <w:jc w:val="right"/>
              <w:rPr>
                <w:sz w:val="20"/>
                <w:szCs w:val="20"/>
              </w:rPr>
            </w:pPr>
            <w:r w:rsidRPr="00DA20F5">
              <w:rPr>
                <w:sz w:val="20"/>
                <w:szCs w:val="20"/>
              </w:rPr>
              <w:t>101,2</w:t>
            </w:r>
          </w:p>
        </w:tc>
      </w:tr>
      <w:tr w:rsidR="00F10DB1" w:rsidRPr="00DA20F5" w:rsidTr="00481696">
        <w:trPr>
          <w:trHeight w:val="255"/>
          <w:jc w:val="center"/>
        </w:trPr>
        <w:tc>
          <w:tcPr>
            <w:tcW w:w="2214" w:type="dxa"/>
            <w:vAlign w:val="center"/>
          </w:tcPr>
          <w:p w:rsidR="00F10DB1" w:rsidRPr="00DA20F5" w:rsidRDefault="00F10DB1" w:rsidP="00D36FB8">
            <w:r w:rsidRPr="00DA20F5">
              <w:t>45 - 49 rokov</w:t>
            </w:r>
          </w:p>
        </w:tc>
        <w:tc>
          <w:tcPr>
            <w:tcW w:w="2016" w:type="dxa"/>
            <w:vAlign w:val="bottom"/>
          </w:tcPr>
          <w:p w:rsidR="00F10DB1" w:rsidRPr="00DA20F5" w:rsidRDefault="00F10DB1" w:rsidP="00481696">
            <w:pPr>
              <w:ind w:right="683"/>
              <w:jc w:val="right"/>
              <w:rPr>
                <w:sz w:val="20"/>
                <w:szCs w:val="20"/>
              </w:rPr>
            </w:pPr>
            <w:r w:rsidRPr="00DA20F5">
              <w:rPr>
                <w:sz w:val="20"/>
                <w:szCs w:val="20"/>
              </w:rPr>
              <w:t>311,1</w:t>
            </w:r>
          </w:p>
        </w:tc>
        <w:tc>
          <w:tcPr>
            <w:tcW w:w="1795" w:type="dxa"/>
            <w:vAlign w:val="bottom"/>
          </w:tcPr>
          <w:p w:rsidR="00F10DB1" w:rsidRPr="00DA20F5" w:rsidRDefault="00F10DB1" w:rsidP="00481696">
            <w:pPr>
              <w:ind w:right="683"/>
              <w:jc w:val="right"/>
              <w:rPr>
                <w:sz w:val="20"/>
                <w:szCs w:val="20"/>
              </w:rPr>
            </w:pPr>
            <w:r w:rsidRPr="00DA20F5">
              <w:rPr>
                <w:sz w:val="20"/>
                <w:szCs w:val="20"/>
              </w:rPr>
              <w:t>13,2</w:t>
            </w:r>
          </w:p>
        </w:tc>
        <w:tc>
          <w:tcPr>
            <w:tcW w:w="1985" w:type="dxa"/>
            <w:vAlign w:val="bottom"/>
          </w:tcPr>
          <w:p w:rsidR="00F10DB1" w:rsidRPr="00DA20F5" w:rsidRDefault="00F10DB1" w:rsidP="00481696">
            <w:pPr>
              <w:ind w:right="683"/>
              <w:jc w:val="right"/>
              <w:rPr>
                <w:sz w:val="20"/>
                <w:szCs w:val="20"/>
              </w:rPr>
            </w:pPr>
            <w:r w:rsidRPr="00DA20F5">
              <w:rPr>
                <w:sz w:val="20"/>
                <w:szCs w:val="20"/>
              </w:rPr>
              <w:t>101,3</w:t>
            </w:r>
          </w:p>
        </w:tc>
      </w:tr>
      <w:tr w:rsidR="00F10DB1" w:rsidRPr="00DA20F5" w:rsidTr="00481696">
        <w:trPr>
          <w:trHeight w:val="255"/>
          <w:jc w:val="center"/>
        </w:trPr>
        <w:tc>
          <w:tcPr>
            <w:tcW w:w="2214" w:type="dxa"/>
            <w:vAlign w:val="center"/>
          </w:tcPr>
          <w:p w:rsidR="00F10DB1" w:rsidRPr="00DA20F5" w:rsidRDefault="00F10DB1" w:rsidP="00D36FB8">
            <w:r w:rsidRPr="00DA20F5">
              <w:t>50 - 54 rokov</w:t>
            </w:r>
          </w:p>
        </w:tc>
        <w:tc>
          <w:tcPr>
            <w:tcW w:w="2016" w:type="dxa"/>
            <w:vAlign w:val="bottom"/>
          </w:tcPr>
          <w:p w:rsidR="00F10DB1" w:rsidRPr="00DA20F5" w:rsidRDefault="00F10DB1" w:rsidP="00481696">
            <w:pPr>
              <w:ind w:right="683"/>
              <w:jc w:val="right"/>
              <w:rPr>
                <w:sz w:val="20"/>
                <w:szCs w:val="20"/>
              </w:rPr>
            </w:pPr>
            <w:r w:rsidRPr="00DA20F5">
              <w:rPr>
                <w:sz w:val="20"/>
                <w:szCs w:val="20"/>
              </w:rPr>
              <w:t>304,3</w:t>
            </w:r>
          </w:p>
        </w:tc>
        <w:tc>
          <w:tcPr>
            <w:tcW w:w="1795" w:type="dxa"/>
            <w:vAlign w:val="bottom"/>
          </w:tcPr>
          <w:p w:rsidR="00F10DB1" w:rsidRPr="00DA20F5" w:rsidRDefault="00F10DB1" w:rsidP="00481696">
            <w:pPr>
              <w:ind w:right="683"/>
              <w:jc w:val="right"/>
              <w:rPr>
                <w:sz w:val="20"/>
                <w:szCs w:val="20"/>
              </w:rPr>
            </w:pPr>
            <w:r w:rsidRPr="00DA20F5">
              <w:rPr>
                <w:sz w:val="20"/>
                <w:szCs w:val="20"/>
              </w:rPr>
              <w:t>12,9</w:t>
            </w:r>
          </w:p>
        </w:tc>
        <w:tc>
          <w:tcPr>
            <w:tcW w:w="1985" w:type="dxa"/>
            <w:vAlign w:val="bottom"/>
          </w:tcPr>
          <w:p w:rsidR="00F10DB1" w:rsidRPr="00DA20F5" w:rsidRDefault="00F10DB1" w:rsidP="00481696">
            <w:pPr>
              <w:ind w:right="683"/>
              <w:jc w:val="right"/>
              <w:rPr>
                <w:sz w:val="20"/>
                <w:szCs w:val="20"/>
              </w:rPr>
            </w:pPr>
            <w:r w:rsidRPr="00DA20F5">
              <w:rPr>
                <w:sz w:val="20"/>
                <w:szCs w:val="20"/>
              </w:rPr>
              <w:t>102,3</w:t>
            </w:r>
          </w:p>
        </w:tc>
      </w:tr>
      <w:tr w:rsidR="00F10DB1" w:rsidRPr="00DA20F5" w:rsidTr="00481696">
        <w:trPr>
          <w:trHeight w:val="255"/>
          <w:jc w:val="center"/>
        </w:trPr>
        <w:tc>
          <w:tcPr>
            <w:tcW w:w="2214" w:type="dxa"/>
            <w:vAlign w:val="center"/>
          </w:tcPr>
          <w:p w:rsidR="00F10DB1" w:rsidRPr="00DA20F5" w:rsidRDefault="00F10DB1" w:rsidP="00D36FB8">
            <w:r w:rsidRPr="00DA20F5">
              <w:t>55 - 59 rokov</w:t>
            </w:r>
          </w:p>
        </w:tc>
        <w:tc>
          <w:tcPr>
            <w:tcW w:w="2016" w:type="dxa"/>
            <w:vAlign w:val="bottom"/>
          </w:tcPr>
          <w:p w:rsidR="00F10DB1" w:rsidRPr="00DA20F5" w:rsidRDefault="00F10DB1" w:rsidP="00481696">
            <w:pPr>
              <w:ind w:right="683"/>
              <w:jc w:val="right"/>
              <w:rPr>
                <w:sz w:val="20"/>
                <w:szCs w:val="20"/>
              </w:rPr>
            </w:pPr>
            <w:r w:rsidRPr="00DA20F5">
              <w:rPr>
                <w:sz w:val="20"/>
                <w:szCs w:val="20"/>
              </w:rPr>
              <w:t>231,0</w:t>
            </w:r>
          </w:p>
        </w:tc>
        <w:tc>
          <w:tcPr>
            <w:tcW w:w="1795" w:type="dxa"/>
            <w:vAlign w:val="bottom"/>
          </w:tcPr>
          <w:p w:rsidR="00F10DB1" w:rsidRPr="00DA20F5" w:rsidRDefault="00F10DB1" w:rsidP="00481696">
            <w:pPr>
              <w:ind w:right="683"/>
              <w:jc w:val="right"/>
              <w:rPr>
                <w:sz w:val="20"/>
                <w:szCs w:val="20"/>
              </w:rPr>
            </w:pPr>
            <w:r w:rsidRPr="00DA20F5">
              <w:rPr>
                <w:sz w:val="20"/>
                <w:szCs w:val="20"/>
              </w:rPr>
              <w:t>9,8</w:t>
            </w:r>
          </w:p>
        </w:tc>
        <w:tc>
          <w:tcPr>
            <w:tcW w:w="1985" w:type="dxa"/>
            <w:vAlign w:val="bottom"/>
          </w:tcPr>
          <w:p w:rsidR="00F10DB1" w:rsidRPr="00DA20F5" w:rsidRDefault="00F10DB1" w:rsidP="00481696">
            <w:pPr>
              <w:ind w:right="683"/>
              <w:jc w:val="right"/>
              <w:rPr>
                <w:sz w:val="20"/>
                <w:szCs w:val="20"/>
              </w:rPr>
            </w:pPr>
            <w:r w:rsidRPr="00DA20F5">
              <w:rPr>
                <w:sz w:val="20"/>
                <w:szCs w:val="20"/>
              </w:rPr>
              <w:t>106,0</w:t>
            </w:r>
          </w:p>
        </w:tc>
      </w:tr>
      <w:tr w:rsidR="00F10DB1" w:rsidRPr="00DA20F5" w:rsidTr="00481696">
        <w:trPr>
          <w:trHeight w:val="255"/>
          <w:jc w:val="center"/>
        </w:trPr>
        <w:tc>
          <w:tcPr>
            <w:tcW w:w="2214" w:type="dxa"/>
            <w:vAlign w:val="center"/>
          </w:tcPr>
          <w:p w:rsidR="00F10DB1" w:rsidRPr="00DA20F5" w:rsidRDefault="00F10DB1" w:rsidP="00D36FB8">
            <w:r w:rsidRPr="00DA20F5">
              <w:t>60 - 64 rokov</w:t>
            </w:r>
          </w:p>
        </w:tc>
        <w:tc>
          <w:tcPr>
            <w:tcW w:w="2016" w:type="dxa"/>
            <w:vAlign w:val="bottom"/>
          </w:tcPr>
          <w:p w:rsidR="00F10DB1" w:rsidRPr="00DA20F5" w:rsidRDefault="00F10DB1" w:rsidP="00481696">
            <w:pPr>
              <w:ind w:right="683"/>
              <w:jc w:val="right"/>
              <w:rPr>
                <w:sz w:val="20"/>
                <w:szCs w:val="20"/>
              </w:rPr>
            </w:pPr>
            <w:r w:rsidRPr="00DA20F5">
              <w:rPr>
                <w:sz w:val="20"/>
                <w:szCs w:val="20"/>
              </w:rPr>
              <w:t>53,9</w:t>
            </w:r>
          </w:p>
        </w:tc>
        <w:tc>
          <w:tcPr>
            <w:tcW w:w="1795" w:type="dxa"/>
            <w:vAlign w:val="bottom"/>
          </w:tcPr>
          <w:p w:rsidR="00F10DB1" w:rsidRPr="00DA20F5" w:rsidRDefault="00F10DB1" w:rsidP="00481696">
            <w:pPr>
              <w:ind w:right="683"/>
              <w:jc w:val="right"/>
              <w:rPr>
                <w:sz w:val="20"/>
                <w:szCs w:val="20"/>
              </w:rPr>
            </w:pPr>
            <w:r w:rsidRPr="00DA20F5">
              <w:rPr>
                <w:sz w:val="20"/>
                <w:szCs w:val="20"/>
              </w:rPr>
              <w:t>2,3</w:t>
            </w:r>
          </w:p>
        </w:tc>
        <w:tc>
          <w:tcPr>
            <w:tcW w:w="1985" w:type="dxa"/>
            <w:vAlign w:val="bottom"/>
          </w:tcPr>
          <w:p w:rsidR="00F10DB1" w:rsidRPr="00DA20F5" w:rsidRDefault="00F10DB1" w:rsidP="00481696">
            <w:pPr>
              <w:ind w:right="683"/>
              <w:jc w:val="right"/>
              <w:rPr>
                <w:sz w:val="20"/>
                <w:szCs w:val="20"/>
              </w:rPr>
            </w:pPr>
            <w:r w:rsidRPr="00DA20F5">
              <w:rPr>
                <w:sz w:val="20"/>
                <w:szCs w:val="20"/>
              </w:rPr>
              <w:t>111,4</w:t>
            </w:r>
          </w:p>
        </w:tc>
      </w:tr>
      <w:tr w:rsidR="00F10DB1" w:rsidRPr="00DA20F5" w:rsidTr="00481696">
        <w:trPr>
          <w:trHeight w:val="255"/>
          <w:jc w:val="center"/>
        </w:trPr>
        <w:tc>
          <w:tcPr>
            <w:tcW w:w="2214" w:type="dxa"/>
            <w:vAlign w:val="center"/>
          </w:tcPr>
          <w:p w:rsidR="00F10DB1" w:rsidRPr="00DA20F5" w:rsidRDefault="00F10DB1" w:rsidP="00D36FB8">
            <w:smartTag w:uri="urn:schemas-microsoft-com:office:smarttags" w:element="metricconverter">
              <w:smartTagPr>
                <w:attr w:name="ProductID" w:val="65 a"/>
              </w:smartTagPr>
              <w:r w:rsidRPr="00DA20F5">
                <w:t>65 a</w:t>
              </w:r>
            </w:smartTag>
            <w:r w:rsidRPr="00DA20F5">
              <w:t xml:space="preserve"> viac rokov</w:t>
            </w:r>
          </w:p>
        </w:tc>
        <w:tc>
          <w:tcPr>
            <w:tcW w:w="2016" w:type="dxa"/>
            <w:vAlign w:val="bottom"/>
          </w:tcPr>
          <w:p w:rsidR="00F10DB1" w:rsidRPr="00DA20F5" w:rsidRDefault="00F10DB1" w:rsidP="00481696">
            <w:pPr>
              <w:ind w:right="683"/>
              <w:jc w:val="right"/>
              <w:rPr>
                <w:sz w:val="20"/>
                <w:szCs w:val="20"/>
              </w:rPr>
            </w:pPr>
            <w:r w:rsidRPr="00DA20F5">
              <w:rPr>
                <w:sz w:val="20"/>
                <w:szCs w:val="20"/>
              </w:rPr>
              <w:t>12,1</w:t>
            </w:r>
          </w:p>
        </w:tc>
        <w:tc>
          <w:tcPr>
            <w:tcW w:w="1795" w:type="dxa"/>
            <w:vAlign w:val="bottom"/>
          </w:tcPr>
          <w:p w:rsidR="00F10DB1" w:rsidRPr="00DA20F5" w:rsidRDefault="00F10DB1" w:rsidP="00481696">
            <w:pPr>
              <w:ind w:right="683"/>
              <w:jc w:val="right"/>
              <w:rPr>
                <w:sz w:val="20"/>
                <w:szCs w:val="20"/>
              </w:rPr>
            </w:pPr>
            <w:r w:rsidRPr="00DA20F5">
              <w:rPr>
                <w:sz w:val="20"/>
                <w:szCs w:val="20"/>
              </w:rPr>
              <w:t>0,5</w:t>
            </w:r>
          </w:p>
        </w:tc>
        <w:tc>
          <w:tcPr>
            <w:tcW w:w="1985" w:type="dxa"/>
            <w:vAlign w:val="bottom"/>
          </w:tcPr>
          <w:p w:rsidR="00F10DB1" w:rsidRPr="00DA20F5" w:rsidRDefault="00F10DB1" w:rsidP="00481696">
            <w:pPr>
              <w:ind w:right="683"/>
              <w:jc w:val="right"/>
              <w:rPr>
                <w:sz w:val="20"/>
                <w:szCs w:val="20"/>
              </w:rPr>
            </w:pPr>
            <w:r w:rsidRPr="00DA20F5">
              <w:rPr>
                <w:sz w:val="20"/>
                <w:szCs w:val="20"/>
              </w:rPr>
              <w:t>117,5</w:t>
            </w:r>
          </w:p>
        </w:tc>
      </w:tr>
    </w:tbl>
    <w:p w:rsidR="00F10DB1" w:rsidRPr="00DA20F5" w:rsidRDefault="00F10DB1" w:rsidP="00D36FB8">
      <w:pPr>
        <w:pStyle w:val="zdroj"/>
      </w:pPr>
      <w:r w:rsidRPr="00DA20F5">
        <w:t xml:space="preserve">Zdroj: ŠÚ SR, VZPS </w:t>
      </w:r>
    </w:p>
    <w:p w:rsidR="00F10DB1" w:rsidRPr="00DA20F5" w:rsidRDefault="00F10DB1" w:rsidP="00D36FB8">
      <w:pPr>
        <w:ind w:firstLine="357"/>
      </w:pPr>
      <w:r w:rsidRPr="00DA20F5">
        <w:lastRenderedPageBreak/>
        <w:t xml:space="preserve">Vývoj zamestnanosti </w:t>
      </w:r>
      <w:r w:rsidRPr="00DA20F5">
        <w:rPr>
          <w:b/>
        </w:rPr>
        <w:t>podľa vzdelania</w:t>
      </w:r>
      <w:r w:rsidRPr="00DA20F5">
        <w:t xml:space="preserve"> poukazuje na prepojenie úrovne vzdelania s uplatnením sa na trhu práce. V porovnaní s rokom 2010 poklesol počet pracujúcich s učňovským a úplným stredným odborným vzdelaním, ktorí tvoria najvýraznejší podiel na celkovej zamestnanosti. Na druhej strane najintenzívnejší rast zaznamenala zamestnanosť v skupine osôb s vyšším odborným vzdelaním.</w:t>
      </w:r>
    </w:p>
    <w:p w:rsidR="00F10DB1" w:rsidRPr="00DA20F5" w:rsidRDefault="00F10DB1" w:rsidP="00D36FB8">
      <w:pPr>
        <w:pStyle w:val="Nadpis7"/>
      </w:pPr>
      <w:bookmarkStart w:id="186" w:name="_Toc325438118"/>
      <w:bookmarkStart w:id="187" w:name="_Toc325440887"/>
      <w:bookmarkStart w:id="188" w:name="_Toc325626700"/>
      <w:bookmarkStart w:id="189" w:name="_Toc326216961"/>
      <w:r w:rsidRPr="00DA20F5">
        <w:t>Tab. 2.5 Pracujúci podľa vzdelania v roku 2011 (priemer za rok)</w:t>
      </w:r>
      <w:bookmarkEnd w:id="186"/>
      <w:bookmarkEnd w:id="187"/>
      <w:bookmarkEnd w:id="188"/>
      <w:bookmarkEnd w:id="189"/>
    </w:p>
    <w:tbl>
      <w:tblPr>
        <w:tblW w:w="8819" w:type="dxa"/>
        <w:jc w:val="center"/>
        <w:tblInd w:w="36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2593"/>
        <w:gridCol w:w="2490"/>
        <w:gridCol w:w="1957"/>
        <w:gridCol w:w="1779"/>
      </w:tblGrid>
      <w:tr w:rsidR="00F10DB1" w:rsidRPr="00DA20F5" w:rsidTr="00F426EA">
        <w:trPr>
          <w:jc w:val="center"/>
        </w:trPr>
        <w:tc>
          <w:tcPr>
            <w:tcW w:w="2593"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Ukazovateľ</w:t>
            </w:r>
          </w:p>
        </w:tc>
        <w:tc>
          <w:tcPr>
            <w:tcW w:w="2490"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Počet pracujúcich</w:t>
            </w:r>
          </w:p>
          <w:p w:rsidR="00F10DB1" w:rsidRPr="00DA20F5" w:rsidRDefault="00F10DB1" w:rsidP="00D36FB8">
            <w:pPr>
              <w:jc w:val="center"/>
              <w:rPr>
                <w:b/>
                <w:color w:val="FFFFFF" w:themeColor="background1"/>
              </w:rPr>
            </w:pPr>
            <w:r w:rsidRPr="00DA20F5">
              <w:rPr>
                <w:b/>
                <w:color w:val="FFFFFF" w:themeColor="background1"/>
              </w:rPr>
              <w:t>(v tis. osôb)</w:t>
            </w:r>
          </w:p>
        </w:tc>
        <w:tc>
          <w:tcPr>
            <w:tcW w:w="1957"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Podiel na SR</w:t>
            </w:r>
          </w:p>
          <w:p w:rsidR="00F10DB1" w:rsidRPr="00DA20F5" w:rsidRDefault="00F10DB1" w:rsidP="00D36FB8">
            <w:pPr>
              <w:jc w:val="center"/>
              <w:rPr>
                <w:b/>
                <w:color w:val="FFFFFF" w:themeColor="background1"/>
              </w:rPr>
            </w:pPr>
            <w:r w:rsidRPr="00DA20F5">
              <w:rPr>
                <w:b/>
                <w:color w:val="FFFFFF" w:themeColor="background1"/>
              </w:rPr>
              <w:t>(v %)</w:t>
            </w:r>
          </w:p>
        </w:tc>
        <w:tc>
          <w:tcPr>
            <w:tcW w:w="1779"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Index</w:t>
            </w:r>
          </w:p>
          <w:p w:rsidR="00F10DB1" w:rsidRPr="00DA20F5" w:rsidRDefault="00F10DB1" w:rsidP="00D36FB8">
            <w:pPr>
              <w:jc w:val="center"/>
              <w:rPr>
                <w:b/>
                <w:color w:val="FFFFFF" w:themeColor="background1"/>
              </w:rPr>
            </w:pPr>
            <w:r w:rsidRPr="00DA20F5">
              <w:rPr>
                <w:b/>
                <w:color w:val="FFFFFF" w:themeColor="background1"/>
              </w:rPr>
              <w:t>2011/2010</w:t>
            </w:r>
          </w:p>
        </w:tc>
      </w:tr>
      <w:tr w:rsidR="00F10DB1" w:rsidRPr="00DA20F5" w:rsidTr="00F426EA">
        <w:trPr>
          <w:trHeight w:val="255"/>
          <w:jc w:val="center"/>
        </w:trPr>
        <w:tc>
          <w:tcPr>
            <w:tcW w:w="2593" w:type="dxa"/>
            <w:vAlign w:val="center"/>
          </w:tcPr>
          <w:p w:rsidR="00F10DB1" w:rsidRPr="00DA20F5" w:rsidRDefault="00F10DB1" w:rsidP="00D36FB8">
            <w:pPr>
              <w:rPr>
                <w:b/>
              </w:rPr>
            </w:pPr>
            <w:r w:rsidRPr="00DA20F5">
              <w:rPr>
                <w:b/>
              </w:rPr>
              <w:t>Spolu</w:t>
            </w:r>
          </w:p>
        </w:tc>
        <w:tc>
          <w:tcPr>
            <w:tcW w:w="2490" w:type="dxa"/>
            <w:vAlign w:val="center"/>
          </w:tcPr>
          <w:p w:rsidR="00F10DB1" w:rsidRPr="00DA20F5" w:rsidRDefault="00F10DB1" w:rsidP="00D36FB8">
            <w:pPr>
              <w:ind w:right="847"/>
              <w:jc w:val="right"/>
              <w:rPr>
                <w:b/>
              </w:rPr>
            </w:pPr>
            <w:r w:rsidRPr="00DA20F5">
              <w:rPr>
                <w:b/>
              </w:rPr>
              <w:t>2 351,4</w:t>
            </w:r>
          </w:p>
        </w:tc>
        <w:tc>
          <w:tcPr>
            <w:tcW w:w="1957" w:type="dxa"/>
            <w:vAlign w:val="center"/>
          </w:tcPr>
          <w:p w:rsidR="00F10DB1" w:rsidRPr="00DA20F5" w:rsidRDefault="00F10DB1" w:rsidP="00D36FB8">
            <w:pPr>
              <w:ind w:right="678"/>
              <w:jc w:val="right"/>
              <w:rPr>
                <w:b/>
              </w:rPr>
            </w:pPr>
            <w:r w:rsidRPr="00DA20F5">
              <w:rPr>
                <w:b/>
              </w:rPr>
              <w:t>100,0</w:t>
            </w:r>
          </w:p>
        </w:tc>
        <w:tc>
          <w:tcPr>
            <w:tcW w:w="1779" w:type="dxa"/>
            <w:vAlign w:val="center"/>
          </w:tcPr>
          <w:p w:rsidR="00F10DB1" w:rsidRPr="00DA20F5" w:rsidRDefault="00F10DB1" w:rsidP="00D36FB8">
            <w:pPr>
              <w:ind w:right="614"/>
              <w:jc w:val="right"/>
              <w:rPr>
                <w:b/>
              </w:rPr>
            </w:pPr>
            <w:r w:rsidRPr="00DA20F5">
              <w:rPr>
                <w:b/>
              </w:rPr>
              <w:t>101,5</w:t>
            </w:r>
          </w:p>
        </w:tc>
      </w:tr>
      <w:tr w:rsidR="00324E2B" w:rsidRPr="00DA20F5" w:rsidTr="00F426EA">
        <w:trPr>
          <w:trHeight w:val="255"/>
          <w:jc w:val="center"/>
        </w:trPr>
        <w:tc>
          <w:tcPr>
            <w:tcW w:w="8819" w:type="dxa"/>
            <w:gridSpan w:val="4"/>
            <w:vAlign w:val="center"/>
          </w:tcPr>
          <w:p w:rsidR="00324E2B" w:rsidRPr="00DA20F5" w:rsidRDefault="00324E2B" w:rsidP="00D36FB8">
            <w:pPr>
              <w:ind w:right="614"/>
              <w:jc w:val="left"/>
            </w:pPr>
            <w:r w:rsidRPr="00DA20F5">
              <w:t>v tom vzdelanostná skupina:</w:t>
            </w:r>
          </w:p>
        </w:tc>
      </w:tr>
      <w:tr w:rsidR="00F10DB1" w:rsidRPr="00DA20F5" w:rsidTr="00F426EA">
        <w:trPr>
          <w:trHeight w:val="255"/>
          <w:jc w:val="center"/>
        </w:trPr>
        <w:tc>
          <w:tcPr>
            <w:tcW w:w="2593" w:type="dxa"/>
            <w:vAlign w:val="center"/>
          </w:tcPr>
          <w:p w:rsidR="00F10DB1" w:rsidRPr="00DA20F5" w:rsidRDefault="00F10DB1" w:rsidP="00D36FB8">
            <w:r w:rsidRPr="00DA20F5">
              <w:t>Základné</w:t>
            </w:r>
          </w:p>
        </w:tc>
        <w:tc>
          <w:tcPr>
            <w:tcW w:w="2490" w:type="dxa"/>
            <w:vAlign w:val="bottom"/>
          </w:tcPr>
          <w:p w:rsidR="00F10DB1" w:rsidRPr="00DA20F5" w:rsidRDefault="00F10DB1" w:rsidP="00D36FB8">
            <w:pPr>
              <w:ind w:right="847"/>
              <w:jc w:val="right"/>
            </w:pPr>
            <w:r w:rsidRPr="00DA20F5">
              <w:t xml:space="preserve">91,6 </w:t>
            </w:r>
          </w:p>
        </w:tc>
        <w:tc>
          <w:tcPr>
            <w:tcW w:w="1957" w:type="dxa"/>
            <w:vAlign w:val="bottom"/>
          </w:tcPr>
          <w:p w:rsidR="00F10DB1" w:rsidRPr="00DA20F5" w:rsidRDefault="00F10DB1" w:rsidP="00D36FB8">
            <w:pPr>
              <w:ind w:right="678"/>
              <w:jc w:val="right"/>
            </w:pPr>
            <w:r w:rsidRPr="00DA20F5">
              <w:t>3,9</w:t>
            </w:r>
          </w:p>
        </w:tc>
        <w:tc>
          <w:tcPr>
            <w:tcW w:w="1779" w:type="dxa"/>
            <w:vAlign w:val="bottom"/>
          </w:tcPr>
          <w:p w:rsidR="00F10DB1" w:rsidRPr="00DA20F5" w:rsidRDefault="00F10DB1" w:rsidP="00D36FB8">
            <w:pPr>
              <w:ind w:right="614"/>
              <w:jc w:val="right"/>
            </w:pPr>
            <w:r w:rsidRPr="00DA20F5">
              <w:t>100,2</w:t>
            </w:r>
          </w:p>
        </w:tc>
      </w:tr>
      <w:tr w:rsidR="00F10DB1" w:rsidRPr="00DA20F5" w:rsidTr="00F426EA">
        <w:trPr>
          <w:trHeight w:val="255"/>
          <w:jc w:val="center"/>
        </w:trPr>
        <w:tc>
          <w:tcPr>
            <w:tcW w:w="2593" w:type="dxa"/>
            <w:vAlign w:val="center"/>
          </w:tcPr>
          <w:p w:rsidR="00F10DB1" w:rsidRPr="00DA20F5" w:rsidRDefault="00F10DB1" w:rsidP="00D36FB8">
            <w:r w:rsidRPr="00DA20F5">
              <w:t>Učňovské</w:t>
            </w:r>
          </w:p>
        </w:tc>
        <w:tc>
          <w:tcPr>
            <w:tcW w:w="2490" w:type="dxa"/>
            <w:vAlign w:val="bottom"/>
          </w:tcPr>
          <w:p w:rsidR="00F10DB1" w:rsidRPr="00DA20F5" w:rsidRDefault="00F10DB1" w:rsidP="00D36FB8">
            <w:pPr>
              <w:ind w:right="847"/>
              <w:jc w:val="right"/>
            </w:pPr>
            <w:r w:rsidRPr="00DA20F5">
              <w:t xml:space="preserve">680,1 </w:t>
            </w:r>
          </w:p>
        </w:tc>
        <w:tc>
          <w:tcPr>
            <w:tcW w:w="1957" w:type="dxa"/>
            <w:vAlign w:val="bottom"/>
          </w:tcPr>
          <w:p w:rsidR="00F10DB1" w:rsidRPr="00DA20F5" w:rsidRDefault="00F10DB1" w:rsidP="00D36FB8">
            <w:pPr>
              <w:ind w:right="678"/>
              <w:jc w:val="right"/>
            </w:pPr>
            <w:r w:rsidRPr="00DA20F5">
              <w:t>28,9</w:t>
            </w:r>
          </w:p>
        </w:tc>
        <w:tc>
          <w:tcPr>
            <w:tcW w:w="1779" w:type="dxa"/>
            <w:vAlign w:val="bottom"/>
          </w:tcPr>
          <w:p w:rsidR="00F10DB1" w:rsidRPr="00DA20F5" w:rsidRDefault="00F10DB1" w:rsidP="00D36FB8">
            <w:pPr>
              <w:ind w:right="614"/>
              <w:jc w:val="right"/>
            </w:pPr>
            <w:r w:rsidRPr="00DA20F5">
              <w:t>97,6</w:t>
            </w:r>
          </w:p>
        </w:tc>
      </w:tr>
      <w:tr w:rsidR="00F10DB1" w:rsidRPr="00DA20F5" w:rsidTr="00F426EA">
        <w:trPr>
          <w:trHeight w:val="255"/>
          <w:jc w:val="center"/>
        </w:trPr>
        <w:tc>
          <w:tcPr>
            <w:tcW w:w="2593" w:type="dxa"/>
            <w:vAlign w:val="center"/>
          </w:tcPr>
          <w:p w:rsidR="00F10DB1" w:rsidRPr="00DA20F5" w:rsidRDefault="00F10DB1" w:rsidP="00D36FB8">
            <w:r w:rsidRPr="00DA20F5">
              <w:t>Stredné (bez maturity)</w:t>
            </w:r>
          </w:p>
        </w:tc>
        <w:tc>
          <w:tcPr>
            <w:tcW w:w="2490" w:type="dxa"/>
            <w:vAlign w:val="bottom"/>
          </w:tcPr>
          <w:p w:rsidR="00F10DB1" w:rsidRPr="00DA20F5" w:rsidRDefault="00F10DB1" w:rsidP="00D36FB8">
            <w:pPr>
              <w:ind w:right="847"/>
              <w:jc w:val="right"/>
            </w:pPr>
            <w:r w:rsidRPr="00DA20F5">
              <w:t xml:space="preserve">59,7 </w:t>
            </w:r>
          </w:p>
        </w:tc>
        <w:tc>
          <w:tcPr>
            <w:tcW w:w="1957" w:type="dxa"/>
            <w:vAlign w:val="bottom"/>
          </w:tcPr>
          <w:p w:rsidR="00F10DB1" w:rsidRPr="00DA20F5" w:rsidRDefault="00F10DB1" w:rsidP="00D36FB8">
            <w:pPr>
              <w:ind w:right="678"/>
              <w:jc w:val="right"/>
            </w:pPr>
            <w:r w:rsidRPr="00DA20F5">
              <w:t>2,5</w:t>
            </w:r>
          </w:p>
        </w:tc>
        <w:tc>
          <w:tcPr>
            <w:tcW w:w="1779" w:type="dxa"/>
            <w:vAlign w:val="bottom"/>
          </w:tcPr>
          <w:p w:rsidR="00F10DB1" w:rsidRPr="00DA20F5" w:rsidRDefault="00F10DB1" w:rsidP="00D36FB8">
            <w:pPr>
              <w:ind w:right="614"/>
              <w:jc w:val="right"/>
            </w:pPr>
            <w:r w:rsidRPr="00DA20F5">
              <w:t>107,8</w:t>
            </w:r>
          </w:p>
        </w:tc>
      </w:tr>
      <w:tr w:rsidR="00F10DB1" w:rsidRPr="00DA20F5" w:rsidTr="00F426EA">
        <w:trPr>
          <w:trHeight w:val="255"/>
          <w:jc w:val="center"/>
        </w:trPr>
        <w:tc>
          <w:tcPr>
            <w:tcW w:w="2593" w:type="dxa"/>
            <w:vAlign w:val="center"/>
          </w:tcPr>
          <w:p w:rsidR="00F10DB1" w:rsidRPr="00DA20F5" w:rsidRDefault="00F10DB1" w:rsidP="00D36FB8">
            <w:r w:rsidRPr="00DA20F5">
              <w:t>Učňovské s maturitou</w:t>
            </w:r>
          </w:p>
        </w:tc>
        <w:tc>
          <w:tcPr>
            <w:tcW w:w="2490" w:type="dxa"/>
            <w:vAlign w:val="bottom"/>
          </w:tcPr>
          <w:p w:rsidR="00F10DB1" w:rsidRPr="00DA20F5" w:rsidRDefault="00F10DB1" w:rsidP="00D36FB8">
            <w:pPr>
              <w:ind w:right="847"/>
              <w:jc w:val="right"/>
            </w:pPr>
            <w:r w:rsidRPr="00DA20F5">
              <w:t xml:space="preserve">105,5 </w:t>
            </w:r>
          </w:p>
        </w:tc>
        <w:tc>
          <w:tcPr>
            <w:tcW w:w="1957" w:type="dxa"/>
            <w:vAlign w:val="bottom"/>
          </w:tcPr>
          <w:p w:rsidR="00F10DB1" w:rsidRPr="00DA20F5" w:rsidRDefault="00F10DB1" w:rsidP="00D36FB8">
            <w:pPr>
              <w:ind w:right="678"/>
              <w:jc w:val="right"/>
            </w:pPr>
            <w:r w:rsidRPr="00DA20F5">
              <w:t>4,5</w:t>
            </w:r>
          </w:p>
        </w:tc>
        <w:tc>
          <w:tcPr>
            <w:tcW w:w="1779" w:type="dxa"/>
            <w:vAlign w:val="bottom"/>
          </w:tcPr>
          <w:p w:rsidR="00F10DB1" w:rsidRPr="00DA20F5" w:rsidRDefault="00F10DB1" w:rsidP="00D36FB8">
            <w:pPr>
              <w:ind w:right="614"/>
              <w:jc w:val="right"/>
            </w:pPr>
            <w:r w:rsidRPr="00DA20F5">
              <w:t>129,1</w:t>
            </w:r>
          </w:p>
        </w:tc>
      </w:tr>
      <w:tr w:rsidR="00F10DB1" w:rsidRPr="00DA20F5" w:rsidTr="00F426EA">
        <w:trPr>
          <w:trHeight w:val="255"/>
          <w:jc w:val="center"/>
        </w:trPr>
        <w:tc>
          <w:tcPr>
            <w:tcW w:w="2593" w:type="dxa"/>
            <w:vAlign w:val="center"/>
          </w:tcPr>
          <w:p w:rsidR="00F10DB1" w:rsidRPr="00DA20F5" w:rsidRDefault="00F10DB1" w:rsidP="00D36FB8">
            <w:r w:rsidRPr="00DA20F5">
              <w:t>Úplné stredné všeobecné</w:t>
            </w:r>
          </w:p>
        </w:tc>
        <w:tc>
          <w:tcPr>
            <w:tcW w:w="2490" w:type="dxa"/>
            <w:vAlign w:val="bottom"/>
          </w:tcPr>
          <w:p w:rsidR="00F10DB1" w:rsidRPr="00DA20F5" w:rsidRDefault="00F10DB1" w:rsidP="00D36FB8">
            <w:pPr>
              <w:ind w:right="847"/>
              <w:jc w:val="right"/>
            </w:pPr>
            <w:r w:rsidRPr="00DA20F5">
              <w:t xml:space="preserve">102,1 </w:t>
            </w:r>
          </w:p>
        </w:tc>
        <w:tc>
          <w:tcPr>
            <w:tcW w:w="1957" w:type="dxa"/>
            <w:vAlign w:val="bottom"/>
          </w:tcPr>
          <w:p w:rsidR="00F10DB1" w:rsidRPr="00DA20F5" w:rsidRDefault="00F10DB1" w:rsidP="00D36FB8">
            <w:pPr>
              <w:ind w:right="678"/>
              <w:jc w:val="right"/>
            </w:pPr>
            <w:r w:rsidRPr="00DA20F5">
              <w:t>4,3</w:t>
            </w:r>
          </w:p>
        </w:tc>
        <w:tc>
          <w:tcPr>
            <w:tcW w:w="1779" w:type="dxa"/>
            <w:vAlign w:val="bottom"/>
          </w:tcPr>
          <w:p w:rsidR="00F10DB1" w:rsidRPr="00DA20F5" w:rsidRDefault="00F10DB1" w:rsidP="00D36FB8">
            <w:pPr>
              <w:ind w:right="614"/>
              <w:jc w:val="right"/>
            </w:pPr>
            <w:r w:rsidRPr="00DA20F5">
              <w:t>103,5</w:t>
            </w:r>
          </w:p>
        </w:tc>
      </w:tr>
      <w:tr w:rsidR="00F10DB1" w:rsidRPr="00DA20F5" w:rsidTr="00F426EA">
        <w:trPr>
          <w:trHeight w:val="255"/>
          <w:jc w:val="center"/>
        </w:trPr>
        <w:tc>
          <w:tcPr>
            <w:tcW w:w="2593" w:type="dxa"/>
            <w:vAlign w:val="center"/>
          </w:tcPr>
          <w:p w:rsidR="00F10DB1" w:rsidRPr="00DA20F5" w:rsidRDefault="00F10DB1" w:rsidP="00D36FB8">
            <w:r w:rsidRPr="00DA20F5">
              <w:t>Úplné stredné odborné</w:t>
            </w:r>
          </w:p>
        </w:tc>
        <w:tc>
          <w:tcPr>
            <w:tcW w:w="2490" w:type="dxa"/>
            <w:vAlign w:val="bottom"/>
          </w:tcPr>
          <w:p w:rsidR="00F10DB1" w:rsidRPr="00DA20F5" w:rsidRDefault="00F10DB1" w:rsidP="00D36FB8">
            <w:pPr>
              <w:ind w:right="847"/>
              <w:jc w:val="right"/>
            </w:pPr>
            <w:r w:rsidRPr="00DA20F5">
              <w:t xml:space="preserve">808,1 </w:t>
            </w:r>
          </w:p>
        </w:tc>
        <w:tc>
          <w:tcPr>
            <w:tcW w:w="1957" w:type="dxa"/>
            <w:vAlign w:val="bottom"/>
          </w:tcPr>
          <w:p w:rsidR="00F10DB1" w:rsidRPr="00DA20F5" w:rsidRDefault="00F10DB1" w:rsidP="00D36FB8">
            <w:pPr>
              <w:ind w:right="678"/>
              <w:jc w:val="right"/>
            </w:pPr>
            <w:r w:rsidRPr="00DA20F5">
              <w:t>34,4</w:t>
            </w:r>
          </w:p>
        </w:tc>
        <w:tc>
          <w:tcPr>
            <w:tcW w:w="1779" w:type="dxa"/>
            <w:vAlign w:val="bottom"/>
          </w:tcPr>
          <w:p w:rsidR="00F10DB1" w:rsidRPr="00DA20F5" w:rsidRDefault="00F10DB1" w:rsidP="00D36FB8">
            <w:pPr>
              <w:ind w:right="614"/>
              <w:jc w:val="right"/>
            </w:pPr>
            <w:r w:rsidRPr="00DA20F5">
              <w:t>97,6</w:t>
            </w:r>
          </w:p>
        </w:tc>
      </w:tr>
      <w:tr w:rsidR="00F10DB1" w:rsidRPr="00DA20F5" w:rsidTr="00F426EA">
        <w:trPr>
          <w:trHeight w:val="255"/>
          <w:jc w:val="center"/>
        </w:trPr>
        <w:tc>
          <w:tcPr>
            <w:tcW w:w="2593" w:type="dxa"/>
            <w:vAlign w:val="center"/>
          </w:tcPr>
          <w:p w:rsidR="00F10DB1" w:rsidRPr="00DA20F5" w:rsidRDefault="00F10DB1" w:rsidP="00D36FB8">
            <w:r w:rsidRPr="00DA20F5">
              <w:t>Vyššie odborné</w:t>
            </w:r>
          </w:p>
        </w:tc>
        <w:tc>
          <w:tcPr>
            <w:tcW w:w="2490" w:type="dxa"/>
            <w:vAlign w:val="bottom"/>
          </w:tcPr>
          <w:p w:rsidR="00F10DB1" w:rsidRPr="00DA20F5" w:rsidRDefault="00F10DB1" w:rsidP="00D36FB8">
            <w:pPr>
              <w:ind w:right="847"/>
              <w:jc w:val="right"/>
            </w:pPr>
            <w:r w:rsidRPr="00DA20F5">
              <w:t xml:space="preserve">34,2 </w:t>
            </w:r>
          </w:p>
        </w:tc>
        <w:tc>
          <w:tcPr>
            <w:tcW w:w="1957" w:type="dxa"/>
            <w:vAlign w:val="bottom"/>
          </w:tcPr>
          <w:p w:rsidR="00F10DB1" w:rsidRPr="00DA20F5" w:rsidRDefault="00F10DB1" w:rsidP="00D36FB8">
            <w:pPr>
              <w:ind w:right="678"/>
              <w:jc w:val="right"/>
            </w:pPr>
            <w:r w:rsidRPr="00DA20F5">
              <w:t>1,5</w:t>
            </w:r>
          </w:p>
        </w:tc>
        <w:tc>
          <w:tcPr>
            <w:tcW w:w="1779" w:type="dxa"/>
            <w:vAlign w:val="bottom"/>
          </w:tcPr>
          <w:p w:rsidR="00F10DB1" w:rsidRPr="00DA20F5" w:rsidRDefault="00F10DB1" w:rsidP="00D36FB8">
            <w:pPr>
              <w:ind w:right="614"/>
              <w:jc w:val="right"/>
            </w:pPr>
            <w:r w:rsidRPr="00DA20F5">
              <w:t>213,8</w:t>
            </w:r>
          </w:p>
        </w:tc>
      </w:tr>
      <w:tr w:rsidR="00F10DB1" w:rsidRPr="00DA20F5" w:rsidTr="00F426EA">
        <w:trPr>
          <w:trHeight w:val="255"/>
          <w:jc w:val="center"/>
        </w:trPr>
        <w:tc>
          <w:tcPr>
            <w:tcW w:w="2593" w:type="dxa"/>
            <w:vAlign w:val="center"/>
          </w:tcPr>
          <w:p w:rsidR="00F10DB1" w:rsidRPr="00DA20F5" w:rsidRDefault="00F10DB1" w:rsidP="00D36FB8">
            <w:r w:rsidRPr="00DA20F5">
              <w:t>Vysokoškolské</w:t>
            </w:r>
          </w:p>
        </w:tc>
        <w:tc>
          <w:tcPr>
            <w:tcW w:w="2490" w:type="dxa"/>
            <w:vAlign w:val="bottom"/>
          </w:tcPr>
          <w:p w:rsidR="00F10DB1" w:rsidRPr="00DA20F5" w:rsidRDefault="00F10DB1" w:rsidP="00D36FB8">
            <w:pPr>
              <w:ind w:right="847"/>
              <w:jc w:val="right"/>
            </w:pPr>
            <w:r w:rsidRPr="00DA20F5">
              <w:t xml:space="preserve">470,1 </w:t>
            </w:r>
          </w:p>
        </w:tc>
        <w:tc>
          <w:tcPr>
            <w:tcW w:w="1957" w:type="dxa"/>
            <w:vAlign w:val="bottom"/>
          </w:tcPr>
          <w:p w:rsidR="00F10DB1" w:rsidRPr="00DA20F5" w:rsidRDefault="00F10DB1" w:rsidP="00D36FB8">
            <w:pPr>
              <w:ind w:right="678"/>
              <w:jc w:val="right"/>
            </w:pPr>
            <w:r w:rsidRPr="00DA20F5">
              <w:t>20,0</w:t>
            </w:r>
          </w:p>
        </w:tc>
        <w:tc>
          <w:tcPr>
            <w:tcW w:w="1779" w:type="dxa"/>
            <w:vAlign w:val="bottom"/>
          </w:tcPr>
          <w:p w:rsidR="00F10DB1" w:rsidRPr="00DA20F5" w:rsidRDefault="00F10DB1" w:rsidP="00D36FB8">
            <w:pPr>
              <w:ind w:right="614"/>
              <w:jc w:val="right"/>
            </w:pPr>
            <w:r w:rsidRPr="00DA20F5">
              <w:t>104,5</w:t>
            </w:r>
          </w:p>
        </w:tc>
      </w:tr>
      <w:tr w:rsidR="00F10DB1" w:rsidRPr="00DA20F5" w:rsidTr="00F426EA">
        <w:trPr>
          <w:trHeight w:val="255"/>
          <w:jc w:val="center"/>
        </w:trPr>
        <w:tc>
          <w:tcPr>
            <w:tcW w:w="2593" w:type="dxa"/>
            <w:vAlign w:val="center"/>
          </w:tcPr>
          <w:p w:rsidR="00F10DB1" w:rsidRPr="00DA20F5" w:rsidRDefault="00F10DB1" w:rsidP="00D36FB8">
            <w:r w:rsidRPr="00DA20F5">
              <w:t>Bez vzdelania</w:t>
            </w:r>
          </w:p>
        </w:tc>
        <w:tc>
          <w:tcPr>
            <w:tcW w:w="2490" w:type="dxa"/>
            <w:vAlign w:val="bottom"/>
          </w:tcPr>
          <w:p w:rsidR="00F10DB1" w:rsidRPr="00DA20F5" w:rsidRDefault="00F10DB1" w:rsidP="00D36FB8">
            <w:pPr>
              <w:ind w:right="847"/>
              <w:jc w:val="right"/>
            </w:pPr>
            <w:r w:rsidRPr="00DA20F5">
              <w:t>0,0</w:t>
            </w:r>
          </w:p>
        </w:tc>
        <w:tc>
          <w:tcPr>
            <w:tcW w:w="1957" w:type="dxa"/>
            <w:vAlign w:val="bottom"/>
          </w:tcPr>
          <w:p w:rsidR="00F10DB1" w:rsidRPr="00DA20F5" w:rsidRDefault="00F10DB1" w:rsidP="00D36FB8">
            <w:pPr>
              <w:ind w:right="678"/>
              <w:jc w:val="right"/>
            </w:pPr>
            <w:r w:rsidRPr="00DA20F5">
              <w:t>0,0</w:t>
            </w:r>
          </w:p>
        </w:tc>
        <w:tc>
          <w:tcPr>
            <w:tcW w:w="1779" w:type="dxa"/>
            <w:vAlign w:val="center"/>
          </w:tcPr>
          <w:p w:rsidR="00F10DB1" w:rsidRPr="00DA20F5" w:rsidRDefault="00F10DB1" w:rsidP="00D36FB8">
            <w:pPr>
              <w:ind w:right="614"/>
              <w:jc w:val="right"/>
            </w:pPr>
            <w:r w:rsidRPr="00DA20F5">
              <w:t>0,0</w:t>
            </w:r>
          </w:p>
        </w:tc>
      </w:tr>
    </w:tbl>
    <w:p w:rsidR="00F10DB1" w:rsidRPr="00DA20F5" w:rsidRDefault="00F10DB1" w:rsidP="00D36FB8">
      <w:pPr>
        <w:pStyle w:val="zdroj"/>
      </w:pPr>
      <w:r w:rsidRPr="00DA20F5">
        <w:t xml:space="preserve">Zdroj: ŠÚ SR, VZPS </w:t>
      </w:r>
    </w:p>
    <w:p w:rsidR="00F10DB1" w:rsidRPr="00DA20F5" w:rsidRDefault="00F10DB1" w:rsidP="00D36FB8">
      <w:pPr>
        <w:ind w:firstLine="357"/>
        <w:rPr>
          <w:b/>
        </w:rPr>
      </w:pPr>
    </w:p>
    <w:p w:rsidR="00F10DB1" w:rsidRPr="00DA20F5" w:rsidRDefault="00F10DB1" w:rsidP="00D36FB8">
      <w:pPr>
        <w:ind w:firstLine="357"/>
      </w:pPr>
      <w:r w:rsidRPr="00DA20F5">
        <w:rPr>
          <w:b/>
        </w:rPr>
        <w:t>Z regionálneho hľadiska</w:t>
      </w:r>
      <w:r w:rsidRPr="00DA20F5">
        <w:t xml:space="preserve"> medziročný pokles počtu pracujúcich zaznamenali</w:t>
      </w:r>
      <w:r w:rsidRPr="00DA20F5" w:rsidDel="0048512C">
        <w:t xml:space="preserve"> </w:t>
      </w:r>
      <w:r w:rsidRPr="00DA20F5">
        <w:t>len kraje na východe Slovenska. Ostatné kraje zaznamenali medziročný rast zamestnanosti v rozsahu od 0,2 % (Trenčiansk</w:t>
      </w:r>
      <w:r w:rsidR="00481696" w:rsidRPr="00DA20F5">
        <w:t>y</w:t>
      </w:r>
      <w:r w:rsidRPr="00DA20F5">
        <w:t xml:space="preserve"> kraj) do 3,9 % (Bratislavský kraj). </w:t>
      </w:r>
    </w:p>
    <w:p w:rsidR="00F10DB1" w:rsidRPr="00DA20F5" w:rsidRDefault="00F10DB1" w:rsidP="00D36FB8">
      <w:pPr>
        <w:pStyle w:val="Nadpis7"/>
      </w:pPr>
      <w:bookmarkStart w:id="190" w:name="_Toc325438119"/>
      <w:bookmarkStart w:id="191" w:name="_Toc325440888"/>
      <w:bookmarkStart w:id="192" w:name="_Toc325626701"/>
      <w:bookmarkStart w:id="193" w:name="_Toc326216962"/>
      <w:r w:rsidRPr="00DA20F5">
        <w:t>Tab. 2.6 Pracujúci podľa krajov v roku 2011 (priemer za rok)</w:t>
      </w:r>
      <w:bookmarkEnd w:id="190"/>
      <w:bookmarkEnd w:id="191"/>
      <w:bookmarkEnd w:id="192"/>
      <w:bookmarkEnd w:id="193"/>
    </w:p>
    <w:tbl>
      <w:tblPr>
        <w:tblW w:w="6766" w:type="dxa"/>
        <w:jc w:val="center"/>
        <w:tblInd w:w="98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695"/>
        <w:gridCol w:w="1923"/>
        <w:gridCol w:w="1701"/>
        <w:gridCol w:w="1447"/>
      </w:tblGrid>
      <w:tr w:rsidR="00F10DB1" w:rsidRPr="00DA20F5" w:rsidTr="00481696">
        <w:trPr>
          <w:trHeight w:val="345"/>
          <w:jc w:val="center"/>
        </w:trPr>
        <w:tc>
          <w:tcPr>
            <w:tcW w:w="1695"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Kraj</w:t>
            </w:r>
          </w:p>
        </w:tc>
        <w:tc>
          <w:tcPr>
            <w:tcW w:w="1923"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Počet pracujúcich</w:t>
            </w:r>
          </w:p>
          <w:p w:rsidR="00F10DB1" w:rsidRPr="00DA20F5" w:rsidRDefault="00F10DB1" w:rsidP="00D36FB8">
            <w:pPr>
              <w:jc w:val="center"/>
              <w:rPr>
                <w:b/>
                <w:color w:val="FFFFFF" w:themeColor="background1"/>
              </w:rPr>
            </w:pPr>
            <w:r w:rsidRPr="00DA20F5">
              <w:rPr>
                <w:b/>
                <w:color w:val="FFFFFF" w:themeColor="background1"/>
              </w:rPr>
              <w:t>(v tis. osôb)</w:t>
            </w:r>
          </w:p>
        </w:tc>
        <w:tc>
          <w:tcPr>
            <w:tcW w:w="1701"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Podiel na SR</w:t>
            </w:r>
          </w:p>
          <w:p w:rsidR="00F10DB1" w:rsidRPr="00DA20F5" w:rsidRDefault="00F10DB1" w:rsidP="00D36FB8">
            <w:pPr>
              <w:jc w:val="center"/>
              <w:rPr>
                <w:b/>
                <w:color w:val="FFFFFF" w:themeColor="background1"/>
              </w:rPr>
            </w:pPr>
            <w:r w:rsidRPr="00DA20F5">
              <w:rPr>
                <w:b/>
                <w:color w:val="FFFFFF" w:themeColor="background1"/>
              </w:rPr>
              <w:t>(v %)</w:t>
            </w:r>
          </w:p>
        </w:tc>
        <w:tc>
          <w:tcPr>
            <w:tcW w:w="1447"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Index</w:t>
            </w:r>
          </w:p>
          <w:p w:rsidR="00F10DB1" w:rsidRPr="00DA20F5" w:rsidRDefault="00F10DB1" w:rsidP="00D36FB8">
            <w:pPr>
              <w:jc w:val="center"/>
              <w:rPr>
                <w:b/>
                <w:color w:val="FFFFFF" w:themeColor="background1"/>
              </w:rPr>
            </w:pPr>
            <w:r w:rsidRPr="00DA20F5">
              <w:rPr>
                <w:b/>
                <w:color w:val="FFFFFF" w:themeColor="background1"/>
              </w:rPr>
              <w:t>2011/2010</w:t>
            </w:r>
          </w:p>
        </w:tc>
      </w:tr>
      <w:tr w:rsidR="00F10DB1" w:rsidRPr="00DA20F5" w:rsidTr="00481696">
        <w:trPr>
          <w:trHeight w:val="255"/>
          <w:jc w:val="center"/>
        </w:trPr>
        <w:tc>
          <w:tcPr>
            <w:tcW w:w="1695" w:type="dxa"/>
            <w:vAlign w:val="center"/>
          </w:tcPr>
          <w:p w:rsidR="00F10DB1" w:rsidRPr="00DA20F5" w:rsidRDefault="00F10DB1" w:rsidP="00D36FB8">
            <w:pPr>
              <w:rPr>
                <w:b/>
              </w:rPr>
            </w:pPr>
            <w:r w:rsidRPr="00DA20F5">
              <w:rPr>
                <w:b/>
              </w:rPr>
              <w:t>SR Spolu</w:t>
            </w:r>
          </w:p>
        </w:tc>
        <w:tc>
          <w:tcPr>
            <w:tcW w:w="1923" w:type="dxa"/>
            <w:vAlign w:val="center"/>
          </w:tcPr>
          <w:p w:rsidR="00F10DB1" w:rsidRPr="00DA20F5" w:rsidRDefault="00F10DB1" w:rsidP="00481696">
            <w:pPr>
              <w:ind w:right="551"/>
              <w:jc w:val="right"/>
              <w:rPr>
                <w:b/>
              </w:rPr>
            </w:pPr>
            <w:r w:rsidRPr="00DA20F5">
              <w:rPr>
                <w:b/>
              </w:rPr>
              <w:t>2 351,4</w:t>
            </w:r>
          </w:p>
        </w:tc>
        <w:tc>
          <w:tcPr>
            <w:tcW w:w="1701" w:type="dxa"/>
            <w:vAlign w:val="center"/>
          </w:tcPr>
          <w:p w:rsidR="00F10DB1" w:rsidRPr="00DA20F5" w:rsidRDefault="00F10DB1" w:rsidP="00481696">
            <w:pPr>
              <w:ind w:right="551"/>
              <w:jc w:val="right"/>
              <w:rPr>
                <w:b/>
              </w:rPr>
            </w:pPr>
            <w:r w:rsidRPr="00DA20F5">
              <w:rPr>
                <w:b/>
              </w:rPr>
              <w:t>100,0</w:t>
            </w:r>
          </w:p>
        </w:tc>
        <w:tc>
          <w:tcPr>
            <w:tcW w:w="1447" w:type="dxa"/>
            <w:vAlign w:val="center"/>
          </w:tcPr>
          <w:p w:rsidR="00F10DB1" w:rsidRPr="00DA20F5" w:rsidRDefault="00F10DB1" w:rsidP="00481696">
            <w:pPr>
              <w:ind w:right="551"/>
              <w:jc w:val="right"/>
              <w:rPr>
                <w:b/>
              </w:rPr>
            </w:pPr>
            <w:r w:rsidRPr="00DA20F5">
              <w:rPr>
                <w:b/>
              </w:rPr>
              <w:t>101,5</w:t>
            </w:r>
          </w:p>
        </w:tc>
      </w:tr>
      <w:tr w:rsidR="001B4379" w:rsidRPr="00DA20F5" w:rsidTr="00481696">
        <w:trPr>
          <w:trHeight w:val="255"/>
          <w:jc w:val="center"/>
        </w:trPr>
        <w:tc>
          <w:tcPr>
            <w:tcW w:w="6766" w:type="dxa"/>
            <w:gridSpan w:val="4"/>
            <w:vAlign w:val="center"/>
          </w:tcPr>
          <w:p w:rsidR="001B4379" w:rsidRPr="00DA20F5" w:rsidRDefault="001B4379" w:rsidP="00481696">
            <w:pPr>
              <w:ind w:right="551"/>
              <w:jc w:val="left"/>
            </w:pPr>
            <w:r w:rsidRPr="00DA20F5">
              <w:t>v tom:</w:t>
            </w:r>
          </w:p>
        </w:tc>
      </w:tr>
      <w:tr w:rsidR="00F10DB1" w:rsidRPr="00DA20F5" w:rsidTr="00481696">
        <w:trPr>
          <w:trHeight w:val="255"/>
          <w:jc w:val="center"/>
        </w:trPr>
        <w:tc>
          <w:tcPr>
            <w:tcW w:w="1695" w:type="dxa"/>
            <w:vAlign w:val="center"/>
          </w:tcPr>
          <w:p w:rsidR="00F10DB1" w:rsidRPr="00DA20F5" w:rsidRDefault="00F10DB1" w:rsidP="00D36FB8">
            <w:r w:rsidRPr="00DA20F5">
              <w:t>Bratislavský</w:t>
            </w:r>
          </w:p>
        </w:tc>
        <w:tc>
          <w:tcPr>
            <w:tcW w:w="1923" w:type="dxa"/>
            <w:vAlign w:val="bottom"/>
          </w:tcPr>
          <w:p w:rsidR="00F10DB1" w:rsidRPr="00DA20F5" w:rsidRDefault="00F10DB1" w:rsidP="00481696">
            <w:pPr>
              <w:ind w:right="551"/>
              <w:jc w:val="right"/>
            </w:pPr>
            <w:r w:rsidRPr="00DA20F5">
              <w:t>333,8</w:t>
            </w:r>
          </w:p>
        </w:tc>
        <w:tc>
          <w:tcPr>
            <w:tcW w:w="1701" w:type="dxa"/>
            <w:vAlign w:val="bottom"/>
          </w:tcPr>
          <w:p w:rsidR="00F10DB1" w:rsidRPr="00DA20F5" w:rsidRDefault="00F10DB1" w:rsidP="00481696">
            <w:pPr>
              <w:ind w:right="551"/>
              <w:jc w:val="right"/>
            </w:pPr>
            <w:r w:rsidRPr="00DA20F5">
              <w:t>14,2</w:t>
            </w:r>
          </w:p>
        </w:tc>
        <w:tc>
          <w:tcPr>
            <w:tcW w:w="1447" w:type="dxa"/>
            <w:vAlign w:val="center"/>
          </w:tcPr>
          <w:p w:rsidR="00F10DB1" w:rsidRPr="00DA20F5" w:rsidRDefault="00F10DB1" w:rsidP="00481696">
            <w:pPr>
              <w:ind w:right="551"/>
              <w:jc w:val="right"/>
            </w:pPr>
            <w:r w:rsidRPr="00DA20F5">
              <w:t>103,9</w:t>
            </w:r>
          </w:p>
        </w:tc>
      </w:tr>
      <w:tr w:rsidR="00F10DB1" w:rsidRPr="00DA20F5" w:rsidTr="00481696">
        <w:trPr>
          <w:trHeight w:val="255"/>
          <w:jc w:val="center"/>
        </w:trPr>
        <w:tc>
          <w:tcPr>
            <w:tcW w:w="1695" w:type="dxa"/>
            <w:vAlign w:val="center"/>
          </w:tcPr>
          <w:p w:rsidR="00F10DB1" w:rsidRPr="00DA20F5" w:rsidRDefault="00F10DB1" w:rsidP="00D36FB8">
            <w:r w:rsidRPr="00DA20F5">
              <w:t>Trnavský</w:t>
            </w:r>
          </w:p>
        </w:tc>
        <w:tc>
          <w:tcPr>
            <w:tcW w:w="1923" w:type="dxa"/>
            <w:vAlign w:val="bottom"/>
          </w:tcPr>
          <w:p w:rsidR="00F10DB1" w:rsidRPr="00DA20F5" w:rsidRDefault="00F10DB1" w:rsidP="00481696">
            <w:pPr>
              <w:ind w:right="551"/>
              <w:jc w:val="right"/>
            </w:pPr>
            <w:r w:rsidRPr="00DA20F5">
              <w:t>268,4</w:t>
            </w:r>
          </w:p>
        </w:tc>
        <w:tc>
          <w:tcPr>
            <w:tcW w:w="1701" w:type="dxa"/>
            <w:vAlign w:val="bottom"/>
          </w:tcPr>
          <w:p w:rsidR="00F10DB1" w:rsidRPr="00DA20F5" w:rsidRDefault="00F10DB1" w:rsidP="00481696">
            <w:pPr>
              <w:ind w:right="551"/>
              <w:jc w:val="right"/>
            </w:pPr>
            <w:r w:rsidRPr="00DA20F5">
              <w:t>11,4</w:t>
            </w:r>
          </w:p>
        </w:tc>
        <w:tc>
          <w:tcPr>
            <w:tcW w:w="1447" w:type="dxa"/>
            <w:vAlign w:val="center"/>
          </w:tcPr>
          <w:p w:rsidR="00F10DB1" w:rsidRPr="00DA20F5" w:rsidRDefault="00F10DB1" w:rsidP="00481696">
            <w:pPr>
              <w:ind w:right="551"/>
              <w:jc w:val="right"/>
            </w:pPr>
            <w:r w:rsidRPr="00DA20F5">
              <w:t>100,3</w:t>
            </w:r>
          </w:p>
        </w:tc>
      </w:tr>
      <w:tr w:rsidR="00F10DB1" w:rsidRPr="00DA20F5" w:rsidTr="00481696">
        <w:trPr>
          <w:trHeight w:val="255"/>
          <w:jc w:val="center"/>
        </w:trPr>
        <w:tc>
          <w:tcPr>
            <w:tcW w:w="1695" w:type="dxa"/>
            <w:vAlign w:val="center"/>
          </w:tcPr>
          <w:p w:rsidR="00F10DB1" w:rsidRPr="00DA20F5" w:rsidRDefault="00F10DB1" w:rsidP="00D36FB8">
            <w:r w:rsidRPr="00DA20F5">
              <w:t>Trenčiansky</w:t>
            </w:r>
          </w:p>
        </w:tc>
        <w:tc>
          <w:tcPr>
            <w:tcW w:w="1923" w:type="dxa"/>
            <w:vAlign w:val="bottom"/>
          </w:tcPr>
          <w:p w:rsidR="00F10DB1" w:rsidRPr="00DA20F5" w:rsidRDefault="00F10DB1" w:rsidP="00481696">
            <w:pPr>
              <w:ind w:right="551"/>
              <w:jc w:val="right"/>
            </w:pPr>
            <w:r w:rsidRPr="00DA20F5">
              <w:t>271,1</w:t>
            </w:r>
          </w:p>
        </w:tc>
        <w:tc>
          <w:tcPr>
            <w:tcW w:w="1701" w:type="dxa"/>
            <w:vAlign w:val="bottom"/>
          </w:tcPr>
          <w:p w:rsidR="00F10DB1" w:rsidRPr="00DA20F5" w:rsidRDefault="00F10DB1" w:rsidP="00481696">
            <w:pPr>
              <w:ind w:right="551"/>
              <w:jc w:val="right"/>
            </w:pPr>
            <w:r w:rsidRPr="00DA20F5">
              <w:t>11,5</w:t>
            </w:r>
          </w:p>
        </w:tc>
        <w:tc>
          <w:tcPr>
            <w:tcW w:w="1447" w:type="dxa"/>
            <w:vAlign w:val="center"/>
          </w:tcPr>
          <w:p w:rsidR="00F10DB1" w:rsidRPr="00DA20F5" w:rsidRDefault="00F10DB1" w:rsidP="00481696">
            <w:pPr>
              <w:ind w:right="551"/>
              <w:jc w:val="right"/>
            </w:pPr>
            <w:r w:rsidRPr="00DA20F5">
              <w:t>100,2</w:t>
            </w:r>
          </w:p>
        </w:tc>
      </w:tr>
      <w:tr w:rsidR="00F10DB1" w:rsidRPr="00DA20F5" w:rsidTr="00481696">
        <w:trPr>
          <w:trHeight w:val="255"/>
          <w:jc w:val="center"/>
        </w:trPr>
        <w:tc>
          <w:tcPr>
            <w:tcW w:w="1695" w:type="dxa"/>
            <w:vAlign w:val="center"/>
          </w:tcPr>
          <w:p w:rsidR="00F10DB1" w:rsidRPr="00DA20F5" w:rsidRDefault="00F10DB1" w:rsidP="00D36FB8">
            <w:r w:rsidRPr="00DA20F5">
              <w:t>Nitriansky</w:t>
            </w:r>
          </w:p>
        </w:tc>
        <w:tc>
          <w:tcPr>
            <w:tcW w:w="1923" w:type="dxa"/>
            <w:vAlign w:val="bottom"/>
          </w:tcPr>
          <w:p w:rsidR="00F10DB1" w:rsidRPr="00DA20F5" w:rsidRDefault="00F10DB1" w:rsidP="00481696">
            <w:pPr>
              <w:ind w:right="551"/>
              <w:jc w:val="right"/>
            </w:pPr>
            <w:r w:rsidRPr="00DA20F5">
              <w:t>307,4</w:t>
            </w:r>
          </w:p>
        </w:tc>
        <w:tc>
          <w:tcPr>
            <w:tcW w:w="1701" w:type="dxa"/>
            <w:vAlign w:val="bottom"/>
          </w:tcPr>
          <w:p w:rsidR="00F10DB1" w:rsidRPr="00DA20F5" w:rsidRDefault="00F10DB1" w:rsidP="00481696">
            <w:pPr>
              <w:ind w:right="551"/>
              <w:jc w:val="right"/>
            </w:pPr>
            <w:r w:rsidRPr="00DA20F5">
              <w:t>13,1</w:t>
            </w:r>
          </w:p>
        </w:tc>
        <w:tc>
          <w:tcPr>
            <w:tcW w:w="1447" w:type="dxa"/>
            <w:vAlign w:val="center"/>
          </w:tcPr>
          <w:p w:rsidR="00F10DB1" w:rsidRPr="00DA20F5" w:rsidRDefault="00F10DB1" w:rsidP="00481696">
            <w:pPr>
              <w:ind w:right="551"/>
              <w:jc w:val="right"/>
            </w:pPr>
            <w:r w:rsidRPr="00DA20F5">
              <w:t>103,1</w:t>
            </w:r>
          </w:p>
        </w:tc>
      </w:tr>
      <w:tr w:rsidR="00F10DB1" w:rsidRPr="00DA20F5" w:rsidTr="00481696">
        <w:trPr>
          <w:trHeight w:val="255"/>
          <w:jc w:val="center"/>
        </w:trPr>
        <w:tc>
          <w:tcPr>
            <w:tcW w:w="1695" w:type="dxa"/>
            <w:vAlign w:val="center"/>
          </w:tcPr>
          <w:p w:rsidR="00F10DB1" w:rsidRPr="00DA20F5" w:rsidRDefault="00F10DB1" w:rsidP="00D36FB8">
            <w:r w:rsidRPr="00DA20F5">
              <w:t>Žilinský</w:t>
            </w:r>
          </w:p>
        </w:tc>
        <w:tc>
          <w:tcPr>
            <w:tcW w:w="1923" w:type="dxa"/>
            <w:vAlign w:val="bottom"/>
          </w:tcPr>
          <w:p w:rsidR="00F10DB1" w:rsidRPr="00DA20F5" w:rsidRDefault="00F10DB1" w:rsidP="00481696">
            <w:pPr>
              <w:ind w:right="551"/>
              <w:jc w:val="right"/>
            </w:pPr>
            <w:r w:rsidRPr="00DA20F5">
              <w:t>290,6</w:t>
            </w:r>
          </w:p>
        </w:tc>
        <w:tc>
          <w:tcPr>
            <w:tcW w:w="1701" w:type="dxa"/>
            <w:vAlign w:val="bottom"/>
          </w:tcPr>
          <w:p w:rsidR="00F10DB1" w:rsidRPr="00DA20F5" w:rsidRDefault="00F10DB1" w:rsidP="00481696">
            <w:pPr>
              <w:ind w:right="551"/>
              <w:jc w:val="right"/>
            </w:pPr>
            <w:r w:rsidRPr="00DA20F5">
              <w:t>12,4</w:t>
            </w:r>
          </w:p>
        </w:tc>
        <w:tc>
          <w:tcPr>
            <w:tcW w:w="1447" w:type="dxa"/>
            <w:vAlign w:val="center"/>
          </w:tcPr>
          <w:p w:rsidR="00F10DB1" w:rsidRPr="00DA20F5" w:rsidRDefault="00F10DB1" w:rsidP="00481696">
            <w:pPr>
              <w:ind w:right="551"/>
              <w:jc w:val="right"/>
            </w:pPr>
            <w:r w:rsidRPr="00DA20F5">
              <w:t>101,5</w:t>
            </w:r>
          </w:p>
        </w:tc>
      </w:tr>
      <w:tr w:rsidR="00F10DB1" w:rsidRPr="00DA20F5" w:rsidTr="00481696">
        <w:trPr>
          <w:trHeight w:val="255"/>
          <w:jc w:val="center"/>
        </w:trPr>
        <w:tc>
          <w:tcPr>
            <w:tcW w:w="1695" w:type="dxa"/>
            <w:vAlign w:val="center"/>
          </w:tcPr>
          <w:p w:rsidR="00F10DB1" w:rsidRPr="00DA20F5" w:rsidRDefault="00F10DB1" w:rsidP="00D36FB8">
            <w:r w:rsidRPr="00DA20F5">
              <w:t>Banskobystrický</w:t>
            </w:r>
          </w:p>
        </w:tc>
        <w:tc>
          <w:tcPr>
            <w:tcW w:w="1923" w:type="dxa"/>
            <w:vAlign w:val="bottom"/>
          </w:tcPr>
          <w:p w:rsidR="00F10DB1" w:rsidRPr="00DA20F5" w:rsidRDefault="00F10DB1" w:rsidP="00481696">
            <w:pPr>
              <w:ind w:right="551"/>
              <w:jc w:val="right"/>
            </w:pPr>
            <w:r w:rsidRPr="00DA20F5">
              <w:t>273,5</w:t>
            </w:r>
          </w:p>
        </w:tc>
        <w:tc>
          <w:tcPr>
            <w:tcW w:w="1701" w:type="dxa"/>
            <w:vAlign w:val="bottom"/>
          </w:tcPr>
          <w:p w:rsidR="00F10DB1" w:rsidRPr="00DA20F5" w:rsidRDefault="00F10DB1" w:rsidP="00481696">
            <w:pPr>
              <w:ind w:right="551"/>
              <w:jc w:val="right"/>
            </w:pPr>
            <w:r w:rsidRPr="00DA20F5">
              <w:t>11,6</w:t>
            </w:r>
          </w:p>
        </w:tc>
        <w:tc>
          <w:tcPr>
            <w:tcW w:w="1447" w:type="dxa"/>
            <w:vAlign w:val="center"/>
          </w:tcPr>
          <w:p w:rsidR="00F10DB1" w:rsidRPr="00DA20F5" w:rsidRDefault="00F10DB1" w:rsidP="00481696">
            <w:pPr>
              <w:ind w:right="551"/>
              <w:jc w:val="right"/>
            </w:pPr>
            <w:r w:rsidRPr="00DA20F5">
              <w:t>103,2</w:t>
            </w:r>
          </w:p>
        </w:tc>
      </w:tr>
      <w:tr w:rsidR="00F10DB1" w:rsidRPr="00DA20F5" w:rsidTr="00481696">
        <w:trPr>
          <w:trHeight w:val="255"/>
          <w:jc w:val="center"/>
        </w:trPr>
        <w:tc>
          <w:tcPr>
            <w:tcW w:w="1695" w:type="dxa"/>
            <w:vAlign w:val="center"/>
          </w:tcPr>
          <w:p w:rsidR="00F10DB1" w:rsidRPr="00DA20F5" w:rsidRDefault="00F10DB1" w:rsidP="00D36FB8">
            <w:r w:rsidRPr="00DA20F5">
              <w:t>Prešovský</w:t>
            </w:r>
          </w:p>
        </w:tc>
        <w:tc>
          <w:tcPr>
            <w:tcW w:w="1923" w:type="dxa"/>
            <w:vAlign w:val="bottom"/>
          </w:tcPr>
          <w:p w:rsidR="00F10DB1" w:rsidRPr="00DA20F5" w:rsidRDefault="00F10DB1" w:rsidP="00481696">
            <w:pPr>
              <w:ind w:right="551"/>
              <w:jc w:val="right"/>
            </w:pPr>
            <w:r w:rsidRPr="00DA20F5">
              <w:t>313,2</w:t>
            </w:r>
          </w:p>
        </w:tc>
        <w:tc>
          <w:tcPr>
            <w:tcW w:w="1701" w:type="dxa"/>
            <w:vAlign w:val="bottom"/>
          </w:tcPr>
          <w:p w:rsidR="00F10DB1" w:rsidRPr="00DA20F5" w:rsidRDefault="00F10DB1" w:rsidP="00481696">
            <w:pPr>
              <w:ind w:right="551"/>
              <w:jc w:val="right"/>
            </w:pPr>
            <w:r w:rsidRPr="00DA20F5">
              <w:t>13,3</w:t>
            </w:r>
          </w:p>
        </w:tc>
        <w:tc>
          <w:tcPr>
            <w:tcW w:w="1447" w:type="dxa"/>
            <w:vAlign w:val="center"/>
          </w:tcPr>
          <w:p w:rsidR="00F10DB1" w:rsidRPr="00DA20F5" w:rsidRDefault="00F10DB1" w:rsidP="00481696">
            <w:pPr>
              <w:ind w:right="551"/>
              <w:jc w:val="right"/>
            </w:pPr>
            <w:r w:rsidRPr="00DA20F5">
              <w:t>99,5</w:t>
            </w:r>
          </w:p>
        </w:tc>
      </w:tr>
      <w:tr w:rsidR="00F10DB1" w:rsidRPr="00DA20F5" w:rsidTr="00481696">
        <w:trPr>
          <w:trHeight w:val="255"/>
          <w:jc w:val="center"/>
        </w:trPr>
        <w:tc>
          <w:tcPr>
            <w:tcW w:w="1695" w:type="dxa"/>
            <w:vAlign w:val="center"/>
          </w:tcPr>
          <w:p w:rsidR="00F10DB1" w:rsidRPr="00DA20F5" w:rsidRDefault="00F10DB1" w:rsidP="00D36FB8">
            <w:r w:rsidRPr="00DA20F5">
              <w:t>Košický</w:t>
            </w:r>
          </w:p>
        </w:tc>
        <w:tc>
          <w:tcPr>
            <w:tcW w:w="1923" w:type="dxa"/>
            <w:vAlign w:val="bottom"/>
          </w:tcPr>
          <w:p w:rsidR="00F10DB1" w:rsidRPr="00DA20F5" w:rsidRDefault="00F10DB1" w:rsidP="00481696">
            <w:pPr>
              <w:ind w:right="551"/>
              <w:jc w:val="right"/>
            </w:pPr>
            <w:r w:rsidRPr="00DA20F5">
              <w:t>293,6</w:t>
            </w:r>
          </w:p>
        </w:tc>
        <w:tc>
          <w:tcPr>
            <w:tcW w:w="1701" w:type="dxa"/>
            <w:vAlign w:val="bottom"/>
          </w:tcPr>
          <w:p w:rsidR="00F10DB1" w:rsidRPr="00DA20F5" w:rsidRDefault="00F10DB1" w:rsidP="00481696">
            <w:pPr>
              <w:ind w:right="551"/>
              <w:jc w:val="right"/>
            </w:pPr>
            <w:r w:rsidRPr="00DA20F5">
              <w:t>12,5</w:t>
            </w:r>
          </w:p>
        </w:tc>
        <w:tc>
          <w:tcPr>
            <w:tcW w:w="1447" w:type="dxa"/>
            <w:vAlign w:val="center"/>
          </w:tcPr>
          <w:p w:rsidR="00F10DB1" w:rsidRPr="00DA20F5" w:rsidRDefault="00F10DB1" w:rsidP="00481696">
            <w:pPr>
              <w:ind w:right="551"/>
              <w:jc w:val="right"/>
            </w:pPr>
            <w:r w:rsidRPr="00DA20F5">
              <w:t>99,9</w:t>
            </w:r>
          </w:p>
        </w:tc>
      </w:tr>
    </w:tbl>
    <w:p w:rsidR="00F10DB1" w:rsidRPr="00DA20F5" w:rsidRDefault="00F10DB1" w:rsidP="00D36FB8">
      <w:pPr>
        <w:pStyle w:val="zdroj"/>
      </w:pPr>
      <w:r w:rsidRPr="00DA20F5">
        <w:t xml:space="preserve">Zdroj: ŠÚ SR, VZPS </w:t>
      </w:r>
    </w:p>
    <w:p w:rsidR="00F10DB1" w:rsidRPr="00DA20F5" w:rsidRDefault="00D37F56" w:rsidP="00D36FB8">
      <w:pPr>
        <w:ind w:firstLine="357"/>
        <w:rPr>
          <w:color w:val="000000" w:themeColor="text1"/>
        </w:rPr>
      </w:pPr>
      <w:r w:rsidRPr="00DA20F5">
        <w:rPr>
          <w:color w:val="000000" w:themeColor="text1"/>
        </w:rPr>
        <w:t>Medziročný  rast zamestnanosti sa prejavil v mierne vyššej miere zamestnanosti osôb vo veku</w:t>
      </w:r>
      <w:r w:rsidR="000B4550" w:rsidRPr="00DA20F5">
        <w:rPr>
          <w:color w:val="000000" w:themeColor="text1"/>
        </w:rPr>
        <w:t xml:space="preserve"> </w:t>
      </w:r>
      <w:r w:rsidR="000B4550" w:rsidRPr="00DA20F5">
        <w:rPr>
          <w:color w:val="000000" w:themeColor="text1"/>
        </w:rPr>
        <w:br/>
      </w:r>
      <w:r w:rsidRPr="00DA20F5">
        <w:rPr>
          <w:color w:val="000000" w:themeColor="text1"/>
        </w:rPr>
        <w:t xml:space="preserve">20-64 rokov, ktorá v porovnaní s rokom 2010 vzrástla o 0,4 p. b. na 65,1 % (v roku 2010 bol zaznamenaný jej medziročný pokles o 1,7 p. b.). </w:t>
      </w:r>
      <w:r w:rsidR="00F10DB1" w:rsidRPr="00DA20F5">
        <w:rPr>
          <w:color w:val="000000" w:themeColor="text1"/>
        </w:rPr>
        <w:t xml:space="preserve">Zatiaľ čo miera zamestnanosti žien vo veku 20-64 rokov v roku 2011 sa medziročne takmer nezmenila (57,5 % v roku 2010, 57,6 % v roku 2011), miera zamestnanosti mužov v rovnakej vekovej skupine poklesla o 0,8 </w:t>
      </w:r>
      <w:r w:rsidR="00481696" w:rsidRPr="00DA20F5">
        <w:rPr>
          <w:color w:val="000000" w:themeColor="text1"/>
        </w:rPr>
        <w:t>p. b. (zo 71,9 % v roku 2010 na </w:t>
      </w:r>
      <w:r w:rsidR="00F10DB1" w:rsidRPr="00DA20F5">
        <w:rPr>
          <w:color w:val="000000" w:themeColor="text1"/>
        </w:rPr>
        <w:t xml:space="preserve">71,1 %). </w:t>
      </w:r>
    </w:p>
    <w:p w:rsidR="00F10DB1" w:rsidRPr="00DA20F5" w:rsidRDefault="00F10DB1" w:rsidP="00D36FB8">
      <w:pPr>
        <w:pStyle w:val="Normlnysozarkami12"/>
      </w:pPr>
      <w:r w:rsidRPr="00DA20F5">
        <w:rPr>
          <w:color w:val="000000" w:themeColor="text1"/>
        </w:rPr>
        <w:t>Najvyššiu špecifickú mieru zamestnanosti dosiahli 5-ročné vekové skupiny od 40 do 49 rokov (viac ako 80 %). U mužov špecifickú</w:t>
      </w:r>
      <w:r w:rsidRPr="00DA20F5">
        <w:t xml:space="preserve"> mieru zamestnanosti 80 % a viac dosiahli všetky 5-ročné vekové skupiny vo veku od 30 do 54 rokov, u žien bola špecifická miera zamestnanosti na úrovni 80 % a viac v 5-ročných vekových skupinách od 35 do 49 rokov. </w:t>
      </w:r>
    </w:p>
    <w:p w:rsidR="00F10DB1" w:rsidRPr="00DA20F5" w:rsidRDefault="00F10DB1" w:rsidP="00D36FB8">
      <w:pPr>
        <w:pStyle w:val="Normlnysozarkami12"/>
      </w:pPr>
      <w:r w:rsidRPr="00DA20F5">
        <w:t xml:space="preserve">V porovnaní s rokom 2010 poklesla miera zamestnanosti vo všetkých 5-ročných vekových skupinách od 15 do 39 rokov, čo môže súvisieť aj s vyšším počtom osôb v príprave na povolanie, ako </w:t>
      </w:r>
      <w:r w:rsidRPr="00DA20F5">
        <w:lastRenderedPageBreak/>
        <w:t>aj s vyšším počtom osôb na rodičovskej dovolenke. Ostatné 5-ročné vekové skupiny obyvateľov zaznamenali medziročný rast miery zamestnanosti.</w:t>
      </w:r>
    </w:p>
    <w:p w:rsidR="00F10DB1" w:rsidRPr="00DA20F5" w:rsidRDefault="00F10DB1" w:rsidP="00D36FB8">
      <w:pPr>
        <w:pStyle w:val="Normlnysozarkami12"/>
      </w:pPr>
      <w:r w:rsidRPr="00DA20F5">
        <w:t xml:space="preserve">Špecifická miera zamestnanosti mladých ľudí (vo veku 15-24 rokov) dosiahla celkovú priemernú úroveň 20,2 %, u mužov 25,0 % a u žien 15,1 %. V porovnaní s rokom 2010 sa znížila o 0,4 p. b., pričom tento pokles bol miernejší ako v predchádzajúcich rokoch (v roku 2009 to bolo 3,5 p. b., v roku 2010 to bolo 2,2 p. b.). </w:t>
      </w:r>
    </w:p>
    <w:p w:rsidR="00F10DB1" w:rsidRPr="00DA20F5" w:rsidRDefault="00F10DB1" w:rsidP="00D36FB8">
      <w:pPr>
        <w:pStyle w:val="Normlnysozarkami12"/>
      </w:pPr>
      <w:r w:rsidRPr="00DA20F5">
        <w:t>Špecifická miera zamestnanosti starších (vo veku 55-64 rokov) dosi</w:t>
      </w:r>
      <w:r w:rsidR="00481696" w:rsidRPr="00DA20F5">
        <w:t>ahla úroveň 41,4 % (52,6 % </w:t>
      </w:r>
      <w:r w:rsidRPr="00DA20F5">
        <w:t xml:space="preserve">u mužov a 31,5 % u žien) a oproti predchádzajúcemu roku sa zvýšila o 0,8 p. b. (v roku 2010 o 1,0 p. b.). </w:t>
      </w:r>
      <w:r w:rsidR="00D37F56" w:rsidRPr="00DA20F5">
        <w:t>Vývoj u mužov a u žien bol rozdielny, keďže miera zamestnanosti mužov v tejto vekovej skupine sa medziročne znížila o 1,6 p. b. (v roku 2010 pokles o 0,9 p. b.), kým miera zamestnanosti starších žien sa zvýšila o 2,7 p. b.  a v roku 2010 jej rast predstavoval 2,6 p. b.</w:t>
      </w:r>
      <w:r w:rsidRPr="00DA20F5">
        <w:t xml:space="preserve"> (príloha ku kapitole 2, tab. č. 1).</w:t>
      </w:r>
    </w:p>
    <w:p w:rsidR="00F10DB1" w:rsidRPr="00DA20F5" w:rsidRDefault="00F10DB1" w:rsidP="00D36FB8">
      <w:pPr>
        <w:pStyle w:val="Normlnysozarkami12"/>
      </w:pPr>
      <w:r w:rsidRPr="00DA20F5">
        <w:t>Z hľadiska vzdelania najvyššiu špecifickú mieru zamestnanosti dosahovala skupina obyvateľov s vyšším odborným vzdelaním. Vysoko nadpriemernú úroveň miery zamestnanosti (nad 70 %) mali aj osoby s úplným stredným odborným a vysokoškolským vzdelaním. Naopak, najnižšia (15,2 %) bola špecifická miera zamestnanosti osôb so základným vzdelaním (príloha ku kapitole 2, tab. č. 1).</w:t>
      </w:r>
    </w:p>
    <w:p w:rsidR="00F10DB1" w:rsidRPr="00DA20F5" w:rsidRDefault="00F10DB1" w:rsidP="00D36FB8">
      <w:pPr>
        <w:pStyle w:val="Normlnysozarkami12"/>
      </w:pPr>
      <w:r w:rsidRPr="00DA20F5">
        <w:t>V porovnaní s rokom 2010 bola miera zamestnanosti v roku 2011 vyššia vo všetkých vzdelanostných skupinách s výnimkou osôb s vysokoškolským vz</w:t>
      </w:r>
      <w:r w:rsidR="00DC1659" w:rsidRPr="00DA20F5">
        <w:t>delaním (pokles o 2,0 p. b., zo </w:t>
      </w:r>
      <w:r w:rsidRPr="00DA20F5">
        <w:t>78,6 % v roku 2010 na 76,6 %). Najvýraznejší medziročný rast miery zamestnanosti zaznamenala skupina obyvateľov s vyšším odborným vzdelaním (o 12,3 p. b.).</w:t>
      </w:r>
    </w:p>
    <w:p w:rsidR="00F10DB1" w:rsidRPr="00DA20F5" w:rsidRDefault="00F10DB1" w:rsidP="00D36FB8">
      <w:pPr>
        <w:pStyle w:val="Normlnysozarkami12"/>
      </w:pPr>
      <w:r w:rsidRPr="00DA20F5">
        <w:t>V rámci jednotlivých regiónov najvyššia miera zamestnanosti obyvateľov vo veku 20-64 rokov bola v Bratislavskom kraji (75,4 %). Na druhej strane najnižšiu mi</w:t>
      </w:r>
      <w:r w:rsidR="00DC1659" w:rsidRPr="00DA20F5">
        <w:t>eru zamestnanosti obyvateľov vo </w:t>
      </w:r>
      <w:r w:rsidRPr="00DA20F5">
        <w:t>veku 20-64 rokov mal Košický kraj (58,2 %). V porovnaní s rokom 2010 sa miera zamestnanosti vo veku 20-64 rokov zvýšila v štyroch krajoch (Bratislavskom, Nitrianskom, Banskobystrickom, Žilinskom) a naopak, v dvoch krajoch (Prešovskom a Košickom) sa znížila. V dvoch krajoch zostala na úrovni roku 2010 (Trenčiansky kraj), resp. nepatrne sa znížila (Trnavský kraj).</w:t>
      </w:r>
    </w:p>
    <w:p w:rsidR="00F10DB1" w:rsidRPr="00DA20F5" w:rsidRDefault="00F10DB1" w:rsidP="00D36FB8">
      <w:pPr>
        <w:pStyle w:val="Normlnysozarkami12"/>
      </w:pPr>
      <w:r w:rsidRPr="00DA20F5">
        <w:t>V porovnaní s rokom 2010 sa rozdiel medzi najvyššou a najnižšou mierou zamestnanosti vo veku 20-64 rokov v jednotlivých krajoch zvýšil (14,9 p. b. v roku 2010, 17,2 p. b. v roku 2011).</w:t>
      </w:r>
    </w:p>
    <w:p w:rsidR="00F10DB1" w:rsidRPr="00DA20F5" w:rsidRDefault="00F10DB1" w:rsidP="00D36FB8">
      <w:pPr>
        <w:pStyle w:val="Nadpis7"/>
      </w:pPr>
      <w:bookmarkStart w:id="194" w:name="_Toc325438120"/>
      <w:bookmarkStart w:id="195" w:name="_Toc325440889"/>
      <w:bookmarkStart w:id="196" w:name="_Toc325626702"/>
      <w:bookmarkStart w:id="197" w:name="_Toc326216963"/>
      <w:r w:rsidRPr="00DA20F5">
        <w:t>Tab. 2.7</w:t>
      </w:r>
      <w:r w:rsidR="00CF6056" w:rsidRPr="00DA20F5">
        <w:t xml:space="preserve"> </w:t>
      </w:r>
      <w:r w:rsidRPr="00DA20F5">
        <w:t xml:space="preserve">Miera zamestnanosti vo veku 20 - 64 rokov podľa krajov v roku 2010 a 2011 </w:t>
      </w:r>
      <w:r w:rsidRPr="00DA20F5">
        <w:br/>
        <w:t>(priemer za rok v %)</w:t>
      </w:r>
      <w:bookmarkEnd w:id="194"/>
      <w:bookmarkEnd w:id="195"/>
      <w:bookmarkEnd w:id="196"/>
      <w:bookmarkEnd w:id="197"/>
    </w:p>
    <w:tbl>
      <w:tblPr>
        <w:tblW w:w="8155" w:type="dxa"/>
        <w:jc w:val="center"/>
        <w:tblInd w:w="91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619"/>
        <w:gridCol w:w="2093"/>
        <w:gridCol w:w="2231"/>
        <w:gridCol w:w="2212"/>
      </w:tblGrid>
      <w:tr w:rsidR="00F10DB1" w:rsidRPr="00DA20F5" w:rsidTr="00F426EA">
        <w:trPr>
          <w:trHeight w:hRule="exact" w:val="284"/>
          <w:jc w:val="center"/>
        </w:trPr>
        <w:tc>
          <w:tcPr>
            <w:tcW w:w="993" w:type="pct"/>
            <w:shd w:val="clear" w:color="auto" w:fill="4F81BD"/>
            <w:noWrap/>
            <w:vAlign w:val="center"/>
          </w:tcPr>
          <w:p w:rsidR="00F10DB1" w:rsidRPr="00DA20F5" w:rsidRDefault="00F10DB1" w:rsidP="00D36FB8">
            <w:pPr>
              <w:rPr>
                <w:b/>
                <w:color w:val="FFFFFF" w:themeColor="background1"/>
              </w:rPr>
            </w:pPr>
          </w:p>
          <w:p w:rsidR="00F10DB1" w:rsidRPr="00DA20F5" w:rsidRDefault="00F10DB1" w:rsidP="00D36FB8">
            <w:pPr>
              <w:rPr>
                <w:b/>
                <w:color w:val="FFFFFF" w:themeColor="background1"/>
              </w:rPr>
            </w:pPr>
            <w:r w:rsidRPr="00DA20F5">
              <w:rPr>
                <w:b/>
                <w:color w:val="FFFFFF" w:themeColor="background1"/>
              </w:rPr>
              <w:t>Kraj</w:t>
            </w:r>
          </w:p>
        </w:tc>
        <w:tc>
          <w:tcPr>
            <w:tcW w:w="2651" w:type="pct"/>
            <w:gridSpan w:val="2"/>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Miera zamestnanosti vo veku 20 - 64 rokov</w:t>
            </w:r>
          </w:p>
        </w:tc>
        <w:tc>
          <w:tcPr>
            <w:tcW w:w="1357" w:type="pct"/>
            <w:vMerge w:val="restar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Zmena 2011/2010</w:t>
            </w:r>
          </w:p>
          <w:p w:rsidR="00F10DB1" w:rsidRPr="00DA20F5" w:rsidRDefault="00F10DB1" w:rsidP="00DC1659">
            <w:pPr>
              <w:jc w:val="center"/>
              <w:rPr>
                <w:b/>
                <w:color w:val="FFFFFF" w:themeColor="background1"/>
              </w:rPr>
            </w:pPr>
            <w:r w:rsidRPr="00DA20F5">
              <w:rPr>
                <w:b/>
                <w:color w:val="FFFFFF" w:themeColor="background1"/>
              </w:rPr>
              <w:t>(v p. b.)</w:t>
            </w:r>
          </w:p>
        </w:tc>
      </w:tr>
      <w:tr w:rsidR="00F10DB1" w:rsidRPr="00DA20F5" w:rsidTr="00F426EA">
        <w:trPr>
          <w:trHeight w:hRule="exact" w:val="270"/>
          <w:jc w:val="center"/>
        </w:trPr>
        <w:tc>
          <w:tcPr>
            <w:tcW w:w="993" w:type="pct"/>
            <w:shd w:val="clear" w:color="auto" w:fill="4F81BD"/>
            <w:noWrap/>
            <w:vAlign w:val="center"/>
          </w:tcPr>
          <w:p w:rsidR="00F10DB1" w:rsidRPr="00DA20F5" w:rsidRDefault="00F10DB1" w:rsidP="00D36FB8"/>
        </w:tc>
        <w:tc>
          <w:tcPr>
            <w:tcW w:w="1283" w:type="pc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rok 2010</w:t>
            </w:r>
          </w:p>
        </w:tc>
        <w:tc>
          <w:tcPr>
            <w:tcW w:w="1367" w:type="pc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rok 2011</w:t>
            </w:r>
          </w:p>
        </w:tc>
        <w:tc>
          <w:tcPr>
            <w:tcW w:w="1357" w:type="pct"/>
            <w:vMerge/>
            <w:shd w:val="clear" w:color="auto" w:fill="4F81BD"/>
            <w:noWrap/>
            <w:vAlign w:val="center"/>
          </w:tcPr>
          <w:p w:rsidR="00F10DB1" w:rsidRPr="00DA20F5" w:rsidRDefault="00F10DB1" w:rsidP="00D36FB8"/>
        </w:tc>
      </w:tr>
      <w:tr w:rsidR="00F10DB1" w:rsidRPr="00DA20F5" w:rsidTr="00F426EA">
        <w:trPr>
          <w:trHeight w:val="255"/>
          <w:jc w:val="center"/>
        </w:trPr>
        <w:tc>
          <w:tcPr>
            <w:tcW w:w="993" w:type="pct"/>
            <w:noWrap/>
            <w:vAlign w:val="center"/>
          </w:tcPr>
          <w:p w:rsidR="00F10DB1" w:rsidRPr="00DA20F5" w:rsidRDefault="00F10DB1" w:rsidP="00D36FB8">
            <w:pPr>
              <w:rPr>
                <w:b/>
              </w:rPr>
            </w:pPr>
            <w:r w:rsidRPr="00DA20F5">
              <w:rPr>
                <w:b/>
              </w:rPr>
              <w:t>SR spolu</w:t>
            </w:r>
          </w:p>
        </w:tc>
        <w:tc>
          <w:tcPr>
            <w:tcW w:w="1283" w:type="pct"/>
            <w:noWrap/>
            <w:vAlign w:val="center"/>
          </w:tcPr>
          <w:p w:rsidR="00F10DB1" w:rsidRPr="00DA20F5" w:rsidRDefault="00F10DB1" w:rsidP="00D36FB8">
            <w:pPr>
              <w:ind w:right="838"/>
              <w:jc w:val="right"/>
              <w:rPr>
                <w:b/>
              </w:rPr>
            </w:pPr>
            <w:r w:rsidRPr="00DA20F5">
              <w:rPr>
                <w:b/>
              </w:rPr>
              <w:t>64,7</w:t>
            </w:r>
          </w:p>
        </w:tc>
        <w:tc>
          <w:tcPr>
            <w:tcW w:w="1367" w:type="pct"/>
            <w:noWrap/>
            <w:vAlign w:val="center"/>
          </w:tcPr>
          <w:p w:rsidR="00F10DB1" w:rsidRPr="00DA20F5" w:rsidRDefault="00F10DB1" w:rsidP="00D36FB8">
            <w:pPr>
              <w:ind w:right="838"/>
              <w:jc w:val="right"/>
              <w:rPr>
                <w:b/>
              </w:rPr>
            </w:pPr>
            <w:r w:rsidRPr="00DA20F5">
              <w:rPr>
                <w:b/>
              </w:rPr>
              <w:t>65,1</w:t>
            </w:r>
          </w:p>
        </w:tc>
        <w:tc>
          <w:tcPr>
            <w:tcW w:w="1357" w:type="pct"/>
            <w:noWrap/>
            <w:vAlign w:val="center"/>
          </w:tcPr>
          <w:p w:rsidR="00F10DB1" w:rsidRPr="00DA20F5" w:rsidRDefault="00F10DB1" w:rsidP="00D36FB8">
            <w:pPr>
              <w:ind w:right="838"/>
              <w:jc w:val="right"/>
              <w:rPr>
                <w:b/>
              </w:rPr>
            </w:pPr>
            <w:r w:rsidRPr="00DA20F5">
              <w:rPr>
                <w:b/>
              </w:rPr>
              <w:t>0,4</w:t>
            </w:r>
          </w:p>
        </w:tc>
      </w:tr>
      <w:tr w:rsidR="00377471" w:rsidRPr="00DA20F5" w:rsidTr="00377471">
        <w:trPr>
          <w:trHeight w:val="255"/>
          <w:jc w:val="center"/>
        </w:trPr>
        <w:tc>
          <w:tcPr>
            <w:tcW w:w="5000" w:type="pct"/>
            <w:gridSpan w:val="4"/>
            <w:noWrap/>
            <w:vAlign w:val="center"/>
          </w:tcPr>
          <w:p w:rsidR="00377471" w:rsidRPr="00DA20F5" w:rsidRDefault="00377471" w:rsidP="00D36FB8">
            <w:pPr>
              <w:ind w:right="838"/>
              <w:jc w:val="left"/>
            </w:pPr>
            <w:r w:rsidRPr="00DA20F5">
              <w:t>v tom:</w:t>
            </w:r>
          </w:p>
        </w:tc>
      </w:tr>
      <w:tr w:rsidR="00F10DB1" w:rsidRPr="00DA20F5" w:rsidTr="00F426EA">
        <w:trPr>
          <w:trHeight w:val="255"/>
          <w:jc w:val="center"/>
        </w:trPr>
        <w:tc>
          <w:tcPr>
            <w:tcW w:w="993" w:type="pct"/>
            <w:noWrap/>
            <w:vAlign w:val="center"/>
          </w:tcPr>
          <w:p w:rsidR="00F10DB1" w:rsidRPr="00DA20F5" w:rsidRDefault="00F10DB1" w:rsidP="00D36FB8">
            <w:r w:rsidRPr="00DA20F5">
              <w:t>Bratislavský</w:t>
            </w:r>
          </w:p>
        </w:tc>
        <w:tc>
          <w:tcPr>
            <w:tcW w:w="1283" w:type="pct"/>
            <w:noWrap/>
            <w:vAlign w:val="center"/>
          </w:tcPr>
          <w:p w:rsidR="00F10DB1" w:rsidRPr="00DA20F5" w:rsidRDefault="00F10DB1" w:rsidP="00D36FB8">
            <w:pPr>
              <w:ind w:right="838"/>
              <w:jc w:val="right"/>
            </w:pPr>
            <w:r w:rsidRPr="00DA20F5">
              <w:t>73,6</w:t>
            </w:r>
          </w:p>
        </w:tc>
        <w:tc>
          <w:tcPr>
            <w:tcW w:w="1367" w:type="pct"/>
            <w:noWrap/>
            <w:vAlign w:val="bottom"/>
          </w:tcPr>
          <w:p w:rsidR="00F10DB1" w:rsidRPr="00DA20F5" w:rsidRDefault="00F10DB1" w:rsidP="00D36FB8">
            <w:pPr>
              <w:ind w:right="838"/>
              <w:jc w:val="right"/>
            </w:pPr>
            <w:r w:rsidRPr="00DA20F5">
              <w:t xml:space="preserve">75,4 </w:t>
            </w:r>
          </w:p>
        </w:tc>
        <w:tc>
          <w:tcPr>
            <w:tcW w:w="1357" w:type="pct"/>
            <w:noWrap/>
            <w:vAlign w:val="center"/>
          </w:tcPr>
          <w:p w:rsidR="00F10DB1" w:rsidRPr="00DA20F5" w:rsidRDefault="00F10DB1" w:rsidP="00D36FB8">
            <w:pPr>
              <w:ind w:right="838"/>
              <w:jc w:val="right"/>
            </w:pPr>
            <w:r w:rsidRPr="00DA20F5">
              <w:t>1,8</w:t>
            </w:r>
          </w:p>
        </w:tc>
      </w:tr>
      <w:tr w:rsidR="00F10DB1" w:rsidRPr="00DA20F5" w:rsidTr="00F426EA">
        <w:trPr>
          <w:trHeight w:val="255"/>
          <w:jc w:val="center"/>
        </w:trPr>
        <w:tc>
          <w:tcPr>
            <w:tcW w:w="993" w:type="pct"/>
            <w:noWrap/>
            <w:vAlign w:val="center"/>
          </w:tcPr>
          <w:p w:rsidR="00F10DB1" w:rsidRPr="00DA20F5" w:rsidRDefault="00F10DB1" w:rsidP="00D36FB8">
            <w:r w:rsidRPr="00DA20F5">
              <w:t>Trnavský</w:t>
            </w:r>
          </w:p>
        </w:tc>
        <w:tc>
          <w:tcPr>
            <w:tcW w:w="1283" w:type="pct"/>
            <w:noWrap/>
            <w:vAlign w:val="center"/>
          </w:tcPr>
          <w:p w:rsidR="00F10DB1" w:rsidRPr="00DA20F5" w:rsidRDefault="00F10DB1" w:rsidP="00D36FB8">
            <w:pPr>
              <w:ind w:right="838"/>
              <w:jc w:val="right"/>
            </w:pPr>
            <w:r w:rsidRPr="00DA20F5">
              <w:t>70,5</w:t>
            </w:r>
          </w:p>
        </w:tc>
        <w:tc>
          <w:tcPr>
            <w:tcW w:w="1367" w:type="pct"/>
            <w:noWrap/>
            <w:vAlign w:val="bottom"/>
          </w:tcPr>
          <w:p w:rsidR="00F10DB1" w:rsidRPr="00DA20F5" w:rsidRDefault="00F10DB1" w:rsidP="00D36FB8">
            <w:pPr>
              <w:ind w:right="838"/>
              <w:jc w:val="right"/>
            </w:pPr>
            <w:r w:rsidRPr="00DA20F5">
              <w:t xml:space="preserve">70,4 </w:t>
            </w:r>
          </w:p>
        </w:tc>
        <w:tc>
          <w:tcPr>
            <w:tcW w:w="1357" w:type="pct"/>
            <w:noWrap/>
            <w:vAlign w:val="center"/>
          </w:tcPr>
          <w:p w:rsidR="00F10DB1" w:rsidRPr="00DA20F5" w:rsidRDefault="00F10DB1" w:rsidP="00D36FB8">
            <w:pPr>
              <w:ind w:right="838"/>
              <w:jc w:val="right"/>
            </w:pPr>
            <w:r w:rsidRPr="00DA20F5">
              <w:t>-0,1</w:t>
            </w:r>
          </w:p>
        </w:tc>
      </w:tr>
      <w:tr w:rsidR="00F10DB1" w:rsidRPr="00DA20F5" w:rsidTr="00F426EA">
        <w:trPr>
          <w:trHeight w:val="255"/>
          <w:jc w:val="center"/>
        </w:trPr>
        <w:tc>
          <w:tcPr>
            <w:tcW w:w="993" w:type="pct"/>
            <w:noWrap/>
            <w:vAlign w:val="center"/>
          </w:tcPr>
          <w:p w:rsidR="00F10DB1" w:rsidRPr="00DA20F5" w:rsidRDefault="00F10DB1" w:rsidP="00D36FB8">
            <w:r w:rsidRPr="00DA20F5">
              <w:t>Trenčiansky</w:t>
            </w:r>
          </w:p>
        </w:tc>
        <w:tc>
          <w:tcPr>
            <w:tcW w:w="1283" w:type="pct"/>
            <w:noWrap/>
            <w:vAlign w:val="center"/>
          </w:tcPr>
          <w:p w:rsidR="00F10DB1" w:rsidRPr="00DA20F5" w:rsidRDefault="00F10DB1" w:rsidP="00D36FB8">
            <w:pPr>
              <w:ind w:right="838"/>
              <w:jc w:val="right"/>
            </w:pPr>
            <w:r w:rsidRPr="00DA20F5">
              <w:t>67,5</w:t>
            </w:r>
          </w:p>
        </w:tc>
        <w:tc>
          <w:tcPr>
            <w:tcW w:w="1367" w:type="pct"/>
            <w:noWrap/>
            <w:vAlign w:val="bottom"/>
          </w:tcPr>
          <w:p w:rsidR="00F10DB1" w:rsidRPr="00DA20F5" w:rsidRDefault="00F10DB1" w:rsidP="00D36FB8">
            <w:pPr>
              <w:ind w:right="838"/>
              <w:jc w:val="right"/>
            </w:pPr>
            <w:r w:rsidRPr="00DA20F5">
              <w:t xml:space="preserve">67,5 </w:t>
            </w:r>
          </w:p>
        </w:tc>
        <w:tc>
          <w:tcPr>
            <w:tcW w:w="1357" w:type="pct"/>
            <w:noWrap/>
            <w:vAlign w:val="center"/>
          </w:tcPr>
          <w:p w:rsidR="00F10DB1" w:rsidRPr="00DA20F5" w:rsidRDefault="00F10DB1" w:rsidP="00D36FB8">
            <w:pPr>
              <w:ind w:right="838"/>
              <w:jc w:val="right"/>
            </w:pPr>
            <w:r w:rsidRPr="00DA20F5">
              <w:t>0,0</w:t>
            </w:r>
          </w:p>
        </w:tc>
      </w:tr>
      <w:tr w:rsidR="00F10DB1" w:rsidRPr="00DA20F5" w:rsidTr="00F426EA">
        <w:trPr>
          <w:trHeight w:val="255"/>
          <w:jc w:val="center"/>
        </w:trPr>
        <w:tc>
          <w:tcPr>
            <w:tcW w:w="993" w:type="pct"/>
            <w:noWrap/>
            <w:vAlign w:val="center"/>
          </w:tcPr>
          <w:p w:rsidR="00F10DB1" w:rsidRPr="00DA20F5" w:rsidRDefault="00F10DB1" w:rsidP="00D36FB8">
            <w:r w:rsidRPr="00DA20F5">
              <w:t>Nitriansky</w:t>
            </w:r>
          </w:p>
        </w:tc>
        <w:tc>
          <w:tcPr>
            <w:tcW w:w="1283" w:type="pct"/>
            <w:noWrap/>
            <w:vAlign w:val="center"/>
          </w:tcPr>
          <w:p w:rsidR="00F10DB1" w:rsidRPr="00DA20F5" w:rsidRDefault="00F10DB1" w:rsidP="00D36FB8">
            <w:pPr>
              <w:ind w:right="838"/>
              <w:jc w:val="right"/>
            </w:pPr>
            <w:r w:rsidRPr="00DA20F5">
              <w:t>63,4</w:t>
            </w:r>
          </w:p>
        </w:tc>
        <w:tc>
          <w:tcPr>
            <w:tcW w:w="1367" w:type="pct"/>
            <w:noWrap/>
            <w:vAlign w:val="bottom"/>
          </w:tcPr>
          <w:p w:rsidR="00F10DB1" w:rsidRPr="00DA20F5" w:rsidRDefault="00F10DB1" w:rsidP="00D36FB8">
            <w:pPr>
              <w:ind w:right="838"/>
              <w:jc w:val="right"/>
            </w:pPr>
            <w:r w:rsidRPr="00DA20F5">
              <w:t xml:space="preserve">65,1 </w:t>
            </w:r>
          </w:p>
        </w:tc>
        <w:tc>
          <w:tcPr>
            <w:tcW w:w="1357" w:type="pct"/>
            <w:noWrap/>
            <w:vAlign w:val="center"/>
          </w:tcPr>
          <w:p w:rsidR="00F10DB1" w:rsidRPr="00DA20F5" w:rsidRDefault="00F10DB1" w:rsidP="00D36FB8">
            <w:pPr>
              <w:ind w:right="838"/>
              <w:jc w:val="right"/>
            </w:pPr>
            <w:r w:rsidRPr="00DA20F5">
              <w:t>1,7</w:t>
            </w:r>
          </w:p>
        </w:tc>
      </w:tr>
      <w:tr w:rsidR="00F10DB1" w:rsidRPr="00DA20F5" w:rsidTr="00F426EA">
        <w:trPr>
          <w:trHeight w:val="255"/>
          <w:jc w:val="center"/>
        </w:trPr>
        <w:tc>
          <w:tcPr>
            <w:tcW w:w="993" w:type="pct"/>
            <w:noWrap/>
            <w:vAlign w:val="center"/>
          </w:tcPr>
          <w:p w:rsidR="00F10DB1" w:rsidRPr="00DA20F5" w:rsidRDefault="00F10DB1" w:rsidP="00D36FB8">
            <w:r w:rsidRPr="00DA20F5">
              <w:t>Žilinský</w:t>
            </w:r>
          </w:p>
        </w:tc>
        <w:tc>
          <w:tcPr>
            <w:tcW w:w="1283" w:type="pct"/>
            <w:noWrap/>
            <w:vAlign w:val="center"/>
          </w:tcPr>
          <w:p w:rsidR="00F10DB1" w:rsidRPr="00DA20F5" w:rsidRDefault="00F10DB1" w:rsidP="00D36FB8">
            <w:pPr>
              <w:ind w:right="838"/>
              <w:jc w:val="right"/>
            </w:pPr>
            <w:r w:rsidRPr="00DA20F5">
              <w:t>62,9</w:t>
            </w:r>
          </w:p>
        </w:tc>
        <w:tc>
          <w:tcPr>
            <w:tcW w:w="1367" w:type="pct"/>
            <w:noWrap/>
            <w:vAlign w:val="bottom"/>
          </w:tcPr>
          <w:p w:rsidR="00F10DB1" w:rsidRPr="00DA20F5" w:rsidRDefault="00F10DB1" w:rsidP="00D36FB8">
            <w:pPr>
              <w:ind w:right="838"/>
              <w:jc w:val="right"/>
            </w:pPr>
            <w:r w:rsidRPr="00DA20F5">
              <w:t xml:space="preserve">63,3 </w:t>
            </w:r>
          </w:p>
        </w:tc>
        <w:tc>
          <w:tcPr>
            <w:tcW w:w="1357" w:type="pct"/>
            <w:noWrap/>
            <w:vAlign w:val="center"/>
          </w:tcPr>
          <w:p w:rsidR="00F10DB1" w:rsidRPr="00DA20F5" w:rsidRDefault="00F10DB1" w:rsidP="00D36FB8">
            <w:pPr>
              <w:ind w:right="838"/>
              <w:jc w:val="right"/>
            </w:pPr>
            <w:r w:rsidRPr="00DA20F5">
              <w:t>0,4</w:t>
            </w:r>
          </w:p>
        </w:tc>
      </w:tr>
      <w:tr w:rsidR="00F10DB1" w:rsidRPr="00DA20F5" w:rsidTr="00F426EA">
        <w:trPr>
          <w:trHeight w:val="255"/>
          <w:jc w:val="center"/>
        </w:trPr>
        <w:tc>
          <w:tcPr>
            <w:tcW w:w="993" w:type="pct"/>
            <w:noWrap/>
            <w:vAlign w:val="center"/>
          </w:tcPr>
          <w:p w:rsidR="00F10DB1" w:rsidRPr="00DA20F5" w:rsidRDefault="00F10DB1" w:rsidP="00D36FB8">
            <w:r w:rsidRPr="00DA20F5">
              <w:t>Banskobystrický</w:t>
            </w:r>
          </w:p>
        </w:tc>
        <w:tc>
          <w:tcPr>
            <w:tcW w:w="1283" w:type="pct"/>
            <w:noWrap/>
            <w:vAlign w:val="center"/>
          </w:tcPr>
          <w:p w:rsidR="00F10DB1" w:rsidRPr="00DA20F5" w:rsidRDefault="00F10DB1" w:rsidP="00D36FB8">
            <w:pPr>
              <w:ind w:right="838"/>
              <w:jc w:val="right"/>
            </w:pPr>
            <w:r w:rsidRPr="00DA20F5">
              <w:t>61,3</w:t>
            </w:r>
          </w:p>
        </w:tc>
        <w:tc>
          <w:tcPr>
            <w:tcW w:w="1367" w:type="pct"/>
            <w:noWrap/>
            <w:vAlign w:val="bottom"/>
          </w:tcPr>
          <w:p w:rsidR="00F10DB1" w:rsidRPr="00DA20F5" w:rsidRDefault="00F10DB1" w:rsidP="00D36FB8">
            <w:pPr>
              <w:ind w:right="838"/>
              <w:jc w:val="right"/>
            </w:pPr>
            <w:r w:rsidRPr="00DA20F5">
              <w:t xml:space="preserve">62,9 </w:t>
            </w:r>
          </w:p>
        </w:tc>
        <w:tc>
          <w:tcPr>
            <w:tcW w:w="1357" w:type="pct"/>
            <w:noWrap/>
            <w:vAlign w:val="center"/>
          </w:tcPr>
          <w:p w:rsidR="00F10DB1" w:rsidRPr="00DA20F5" w:rsidRDefault="00F10DB1" w:rsidP="00D36FB8">
            <w:pPr>
              <w:ind w:right="838"/>
              <w:jc w:val="right"/>
            </w:pPr>
            <w:r w:rsidRPr="00DA20F5">
              <w:t>1,6</w:t>
            </w:r>
          </w:p>
        </w:tc>
      </w:tr>
      <w:tr w:rsidR="00F10DB1" w:rsidRPr="00DA20F5" w:rsidTr="00F426EA">
        <w:trPr>
          <w:trHeight w:val="255"/>
          <w:jc w:val="center"/>
        </w:trPr>
        <w:tc>
          <w:tcPr>
            <w:tcW w:w="993" w:type="pct"/>
            <w:noWrap/>
            <w:vAlign w:val="center"/>
          </w:tcPr>
          <w:p w:rsidR="00F10DB1" w:rsidRPr="00DA20F5" w:rsidRDefault="00F10DB1" w:rsidP="00D36FB8">
            <w:r w:rsidRPr="00DA20F5">
              <w:t>Prešovský</w:t>
            </w:r>
          </w:p>
        </w:tc>
        <w:tc>
          <w:tcPr>
            <w:tcW w:w="1283" w:type="pct"/>
            <w:noWrap/>
            <w:vAlign w:val="center"/>
          </w:tcPr>
          <w:p w:rsidR="00F10DB1" w:rsidRPr="00DA20F5" w:rsidRDefault="00F10DB1" w:rsidP="00D36FB8">
            <w:pPr>
              <w:ind w:right="838"/>
              <w:jc w:val="right"/>
            </w:pPr>
            <w:r w:rsidRPr="00DA20F5">
              <w:t>61,9</w:t>
            </w:r>
          </w:p>
        </w:tc>
        <w:tc>
          <w:tcPr>
            <w:tcW w:w="1367" w:type="pct"/>
            <w:noWrap/>
            <w:vAlign w:val="bottom"/>
          </w:tcPr>
          <w:p w:rsidR="00F10DB1" w:rsidRPr="00DA20F5" w:rsidRDefault="00F10DB1" w:rsidP="00D36FB8">
            <w:pPr>
              <w:ind w:right="838"/>
              <w:jc w:val="right"/>
            </w:pPr>
            <w:r w:rsidRPr="00DA20F5">
              <w:t xml:space="preserve">60,9 </w:t>
            </w:r>
          </w:p>
        </w:tc>
        <w:tc>
          <w:tcPr>
            <w:tcW w:w="1357" w:type="pct"/>
            <w:noWrap/>
            <w:vAlign w:val="center"/>
          </w:tcPr>
          <w:p w:rsidR="00F10DB1" w:rsidRPr="00DA20F5" w:rsidRDefault="00F10DB1" w:rsidP="00D36FB8">
            <w:pPr>
              <w:ind w:right="838"/>
              <w:jc w:val="right"/>
            </w:pPr>
            <w:r w:rsidRPr="00DA20F5">
              <w:t>-1,0</w:t>
            </w:r>
          </w:p>
        </w:tc>
      </w:tr>
      <w:tr w:rsidR="00F10DB1" w:rsidRPr="00DA20F5" w:rsidTr="00F426EA">
        <w:trPr>
          <w:trHeight w:val="255"/>
          <w:jc w:val="center"/>
        </w:trPr>
        <w:tc>
          <w:tcPr>
            <w:tcW w:w="993" w:type="pct"/>
            <w:noWrap/>
            <w:vAlign w:val="center"/>
          </w:tcPr>
          <w:p w:rsidR="00F10DB1" w:rsidRPr="00DA20F5" w:rsidRDefault="00F10DB1" w:rsidP="00D36FB8">
            <w:r w:rsidRPr="00DA20F5">
              <w:t>Košický</w:t>
            </w:r>
          </w:p>
        </w:tc>
        <w:tc>
          <w:tcPr>
            <w:tcW w:w="1283" w:type="pct"/>
            <w:noWrap/>
            <w:vAlign w:val="center"/>
          </w:tcPr>
          <w:p w:rsidR="00F10DB1" w:rsidRPr="00DA20F5" w:rsidRDefault="00F10DB1" w:rsidP="00D36FB8">
            <w:pPr>
              <w:ind w:right="838"/>
              <w:jc w:val="right"/>
            </w:pPr>
            <w:r w:rsidRPr="00DA20F5">
              <w:t>58,7</w:t>
            </w:r>
          </w:p>
        </w:tc>
        <w:tc>
          <w:tcPr>
            <w:tcW w:w="1367" w:type="pct"/>
            <w:noWrap/>
            <w:vAlign w:val="bottom"/>
          </w:tcPr>
          <w:p w:rsidR="00F10DB1" w:rsidRPr="00DA20F5" w:rsidRDefault="00F10DB1" w:rsidP="00D36FB8">
            <w:pPr>
              <w:ind w:right="838"/>
              <w:jc w:val="right"/>
            </w:pPr>
            <w:r w:rsidRPr="00DA20F5">
              <w:t xml:space="preserve">58,2 </w:t>
            </w:r>
          </w:p>
        </w:tc>
        <w:tc>
          <w:tcPr>
            <w:tcW w:w="1357" w:type="pct"/>
            <w:noWrap/>
            <w:vAlign w:val="center"/>
          </w:tcPr>
          <w:p w:rsidR="00F10DB1" w:rsidRPr="00DA20F5" w:rsidRDefault="00F10DB1" w:rsidP="00D36FB8">
            <w:pPr>
              <w:ind w:right="838"/>
              <w:jc w:val="right"/>
            </w:pPr>
            <w:r w:rsidRPr="00DA20F5">
              <w:t>-0,5</w:t>
            </w:r>
          </w:p>
        </w:tc>
      </w:tr>
    </w:tbl>
    <w:p w:rsidR="00F10DB1" w:rsidRPr="00DA20F5" w:rsidRDefault="00F10DB1" w:rsidP="00D36FB8">
      <w:pPr>
        <w:pStyle w:val="zdroj"/>
      </w:pPr>
      <w:r w:rsidRPr="00DA20F5">
        <w:t>Zdroj: ŠÚ SR, VZPS</w:t>
      </w:r>
    </w:p>
    <w:p w:rsidR="00F10DB1" w:rsidRPr="00DA20F5" w:rsidRDefault="00F10DB1" w:rsidP="00DC1659">
      <w:pPr>
        <w:pStyle w:val="Nadpis41"/>
      </w:pPr>
      <w:r w:rsidRPr="00DA20F5">
        <w:t>Zamestnanosť podľa štatistického výkazníctva</w:t>
      </w:r>
    </w:p>
    <w:p w:rsidR="00F10DB1" w:rsidRPr="00DA20F5" w:rsidRDefault="00F10DB1" w:rsidP="00D36FB8">
      <w:pPr>
        <w:ind w:firstLine="426"/>
        <w:rPr>
          <w:color w:val="1F497D" w:themeColor="text2"/>
        </w:rPr>
      </w:pPr>
    </w:p>
    <w:p w:rsidR="00F10DB1" w:rsidRPr="00DA20F5" w:rsidRDefault="00F10DB1" w:rsidP="00D36FB8">
      <w:pPr>
        <w:ind w:firstLine="426"/>
      </w:pPr>
      <w:r w:rsidRPr="00DA20F5">
        <w:t xml:space="preserve">Podľa údajov ŠÚ SR z podnikového výkazníctva v hospodárstve SR bolo v roku 2011 v priemere zamestnaných 2 192,5 tis. osôb, čo bolo o 1,9 %, resp. o 40,6 tis. osôb viac ako v roku 2010. </w:t>
      </w:r>
    </w:p>
    <w:p w:rsidR="00801C00" w:rsidRPr="00DA20F5" w:rsidRDefault="00F10DB1" w:rsidP="00801C00">
      <w:r w:rsidRPr="00DA20F5">
        <w:t xml:space="preserve">Pokiaľ ide o </w:t>
      </w:r>
      <w:r w:rsidRPr="00DA20F5">
        <w:rPr>
          <w:b/>
        </w:rPr>
        <w:t>odvetvovú štruktúru</w:t>
      </w:r>
      <w:r w:rsidRPr="00DA20F5">
        <w:t>, z celkového počtu zamestnaných osôb SR v roku 2011 pracovalo v pôdo</w:t>
      </w:r>
      <w:r w:rsidR="00DC1659" w:rsidRPr="00DA20F5">
        <w:softHyphen/>
      </w:r>
      <w:r w:rsidRPr="00DA20F5">
        <w:t xml:space="preserve">hospodárstve 4,4 % (v roku 2010 to bolo rovnako 4,4 %), v </w:t>
      </w:r>
      <w:r w:rsidR="00DC1659" w:rsidRPr="00DA20F5">
        <w:t xml:space="preserve">priemysle 22,8 % (22,3 % v roku </w:t>
      </w:r>
      <w:r w:rsidRPr="00DA20F5">
        <w:t>2010), v stavebníctve 7,9 % (v roku 2010 to bolo 8,3 %) a v sektore služieb 64,9 % (65,0 % v roku 2010). V rámci sektora služieb najväčšiu váhu na celkovej zamestnanosti malo</w:t>
      </w:r>
      <w:r w:rsidRPr="00DA20F5">
        <w:rPr>
          <w:color w:val="1F497D" w:themeColor="text2"/>
        </w:rPr>
        <w:t xml:space="preserve"> </w:t>
      </w:r>
      <w:r w:rsidR="00801C00" w:rsidRPr="00DA20F5">
        <w:t xml:space="preserve">odvetvie veľkoobchod </w:t>
      </w:r>
      <w:r w:rsidR="00801C00" w:rsidRPr="00DA20F5">
        <w:lastRenderedPageBreak/>
        <w:t>a maloobchod (17,1 %). V porovnaní s rokom 2010 významnejši</w:t>
      </w:r>
      <w:r w:rsidR="00DC1659" w:rsidRPr="00DA20F5">
        <w:t>e poklesol podiel pracujúcich v </w:t>
      </w:r>
      <w:r w:rsidR="00801C00" w:rsidRPr="00DA20F5">
        <w:t xml:space="preserve">stavebníctve o 0,5 p. b. a zároveň sa o 0,5 p. b. zvýšil podiel zamestnaných v priemysle. </w:t>
      </w:r>
    </w:p>
    <w:p w:rsidR="00801C00" w:rsidRPr="00DA20F5" w:rsidRDefault="00801C00" w:rsidP="00801C00">
      <w:pPr>
        <w:ind w:firstLine="708"/>
      </w:pPr>
      <w:r w:rsidRPr="00DA20F5">
        <w:t>V roku 2011 došlo k výraznejším posunom v štruktúre zamestnanosti podľa veľkosti podnikov v kategórii malých i veľkých podnikov. Kým podniky s 10-49 zamestnancami zamestnávali o 17,9 % viac zamestnancov ako pred rokom (t. j. 354 466 osôb), zame</w:t>
      </w:r>
      <w:r w:rsidR="00DC1659" w:rsidRPr="00DA20F5">
        <w:t>stnanosť v mikropodnikoch do 10 </w:t>
      </w:r>
      <w:r w:rsidRPr="00DA20F5">
        <w:t>zamestnancov</w:t>
      </w:r>
      <w:r w:rsidRPr="00DA20F5" w:rsidDel="00542690">
        <w:t xml:space="preserve"> </w:t>
      </w:r>
      <w:r w:rsidRPr="00DA20F5">
        <w:t>sa medziročne znížila o 16,2 % (na 154 030 osôb). V kategórii veľkých podnikov podniky s 250-499 zamestnancami zamestnávali o 5,0 % menej zamestnancov ako pred rokom (t. j. 140 185 osôb), zatiaľ čo zamestnanosť v podnikoch s 500-999 zamestnancami sa medziročne zvýšila o 12,6 % (na 138 379 osôb). Situácia v stredných (50-249 zamestnancov) a veľkých podnikoch nad 1000 zamestnancov bola relatívne stabilná, keď zamestnávali iba mierne vyšší počet osôb ako pred rokom Malé a stredné podniky vrátane živnostníkov sa v roku 2011 podieľali na celkovej zamestnanosti</w:t>
      </w:r>
      <w:r w:rsidR="00F13910" w:rsidRPr="00DA20F5">
        <w:t xml:space="preserve"> SR 70,7 % (70,5 % v roku 2010),</w:t>
      </w:r>
      <w:r w:rsidRPr="00DA20F5">
        <w:t xml:space="preserve"> (príloha ku kapitole 2, tab. č. 2).</w:t>
      </w:r>
    </w:p>
    <w:p w:rsidR="00801C00" w:rsidRPr="00DA20F5" w:rsidRDefault="00801C00" w:rsidP="00801C00">
      <w:pPr>
        <w:ind w:firstLine="708"/>
      </w:pPr>
      <w:r w:rsidRPr="00DA20F5">
        <w:t>Ku koncu roku 2011 ŠÚ SR registroval 402 325 fyzických osôb - podnikateľov, v tom bolo 375 722 živnostníkov (fyzické osoby bez zamestnancov), 19 069 osôb podnikajúcich v slobodných povolaniach a 7 534 samostatne hospodáriacich roľníkov. V porovnaní s rokom 2010 sa ich celkový počet znížil o 7 983 osôb najmä v dôsledku nižšieho počtu živnostníkov (o 8 480 osôb). Klesol aj počet samostatne hospodáriacich roľníkov (o 194 osôb). Počet osôb podnikajúcich formou slobodných povolaní sa zvýšil o 691. Z odvetvového hľadiska bol počet živnostn</w:t>
      </w:r>
      <w:r w:rsidR="00DC1659" w:rsidRPr="00DA20F5">
        <w:t>íkov medziročne nižší takmer vo </w:t>
      </w:r>
      <w:r w:rsidRPr="00DA20F5">
        <w:t>všetkých odvetviach, s výnimkou informácií a komunikácie a dopravy a skladovania, kde ich počet oproti rovnakému obdobiu predchádzajúceho roka vzrástol. N</w:t>
      </w:r>
      <w:r w:rsidR="00DC1659" w:rsidRPr="00DA20F5">
        <w:t>ajviac živnostníkov podnikalo v </w:t>
      </w:r>
      <w:r w:rsidRPr="00DA20F5">
        <w:t xml:space="preserve">obchode (27,0 %), stavebníctve (23,0 %) a v priemyselnej výrobe (16,1 %). </w:t>
      </w:r>
      <w:r w:rsidRPr="00DA20F5">
        <w:tab/>
      </w:r>
    </w:p>
    <w:p w:rsidR="00801C00" w:rsidRPr="00DA20F5" w:rsidRDefault="00801C00" w:rsidP="00801C00">
      <w:pPr>
        <w:ind w:firstLine="708"/>
      </w:pPr>
      <w:r w:rsidRPr="00DA20F5">
        <w:t>V roku 2011 bolo podľa údajov ŠÚ SR 31 459 zamestnancov so zdravotným postihnutím, t. j. 2,4 % z celkového priemerného počtu zamestnancov v SR (údaje z podnikového výkazníctva, bez malých organizácií do 19 zamestnancov, ktoré majú ročnú produkciu nižšiu ako 5 mil. €). Oproti roku 2010 sa ich počet zvýšil o 18,8 % (o 4 968 osôb). Podiel zamestnanc</w:t>
      </w:r>
      <w:r w:rsidR="00DC1659" w:rsidRPr="00DA20F5">
        <w:t>ov so zdravotným postihnutím na </w:t>
      </w:r>
      <w:r w:rsidRPr="00DA20F5">
        <w:t>celkovej zamestnanosti vzrástol oproti pr</w:t>
      </w:r>
      <w:r w:rsidR="00F13910" w:rsidRPr="00DA20F5">
        <w:t>edchádzajúcemu roku o 0,3 p. b.</w:t>
      </w:r>
      <w:r w:rsidRPr="00DA20F5">
        <w:t>.</w:t>
      </w:r>
    </w:p>
    <w:p w:rsidR="00801C00" w:rsidRPr="00DA20F5" w:rsidRDefault="00801C00" w:rsidP="00801C00">
      <w:pPr>
        <w:ind w:firstLine="426"/>
      </w:pPr>
    </w:p>
    <w:p w:rsidR="00F10DB1" w:rsidRPr="00DA20F5" w:rsidRDefault="00F10DB1" w:rsidP="00DC1659">
      <w:pPr>
        <w:pStyle w:val="Nadpis41"/>
      </w:pPr>
      <w:r w:rsidRPr="00DA20F5">
        <w:t>Voľné pracovné miesta</w:t>
      </w:r>
    </w:p>
    <w:p w:rsidR="00F10DB1" w:rsidRPr="00DA20F5" w:rsidRDefault="00F10DB1" w:rsidP="00D36FB8">
      <w:pPr>
        <w:ind w:firstLine="426"/>
      </w:pPr>
      <w:r w:rsidRPr="00DA20F5">
        <w:t xml:space="preserve">V roku 2011 bolo v hospodárstve SR podľa štatistického výkazníctva ŠÚ SR k dispozícii </w:t>
      </w:r>
      <w:r w:rsidR="00801C00" w:rsidRPr="00DA20F5">
        <w:t xml:space="preserve">            </w:t>
      </w:r>
      <w:r w:rsidRPr="00DA20F5">
        <w:t>v priemere 14 165 voľných pracovných miest. V porovnaní s rokom 2010 sa ich počet zvýšil o</w:t>
      </w:r>
      <w:r w:rsidR="00801C00" w:rsidRPr="00DA20F5">
        <w:t> </w:t>
      </w:r>
      <w:r w:rsidRPr="00DA20F5">
        <w:t>741</w:t>
      </w:r>
      <w:r w:rsidR="00801C00" w:rsidRPr="00DA20F5">
        <w:t xml:space="preserve">    </w:t>
      </w:r>
      <w:r w:rsidRPr="00DA20F5">
        <w:t xml:space="preserve"> (o 5,5 %). </w:t>
      </w:r>
      <w:r w:rsidRPr="00DA20F5">
        <w:rPr>
          <w:b/>
        </w:rPr>
        <w:t>V</w:t>
      </w:r>
      <w:r w:rsidRPr="00DA20F5">
        <w:t> </w:t>
      </w:r>
      <w:r w:rsidRPr="00DA20F5">
        <w:rPr>
          <w:b/>
        </w:rPr>
        <w:t>relatívnom vyjadrení</w:t>
      </w:r>
      <w:r w:rsidRPr="00DA20F5">
        <w:t xml:space="preserve"> v priemere za rok najviac vzrástol počet voľných pracovných miest v informáciách a komunikácii (o 57,2 %). Výraznejší medziročný rast bol aj v doprave a skladovaní; ubytovacích a stravovacích službách; v odborných, vedeckých a technických činnostiach a v administratívnych službách. Počet voľných pracovných miest sa najvýraznejšie medziročne znížil v poľnohospodárstve, lesníctve a rybolove (o 49,3 %). Ponuka voľných pracovných miest sa znížila aj v stavebníctve; ostatných činnostiach; veľkoobchode a maloobchode; umení, zábave a rekreácii; zdravotníctve a sociálnej pomoci.</w:t>
      </w:r>
    </w:p>
    <w:p w:rsidR="00F10DB1" w:rsidRPr="00DA20F5" w:rsidRDefault="00F10DB1" w:rsidP="00D36FB8">
      <w:pPr>
        <w:ind w:firstLine="426"/>
      </w:pPr>
      <w:r w:rsidRPr="00DA20F5">
        <w:rPr>
          <w:b/>
        </w:rPr>
        <w:t>V absolútnom vyjadrení</w:t>
      </w:r>
      <w:r w:rsidRPr="00DA20F5">
        <w:t xml:space="preserve"> najviac voľných pracovných miest pribudlo vo verejnej správe, obrane a povinnom sociálnom zabezpečení (633 miest). Výraznejší rast bol aj v doprave a skladovaní; informáciách a komunikácii; v odborných, vedeckých a technických činnostiach a v ubytovacích a stravovacích službách. Najviac voľných pracovných miest (405) ubudlo vo veľkoobchode a maloobchode. </w:t>
      </w:r>
    </w:p>
    <w:p w:rsidR="00F10DB1" w:rsidRPr="00DA20F5" w:rsidRDefault="00F10DB1" w:rsidP="00D36FB8">
      <w:pPr>
        <w:ind w:firstLine="426"/>
      </w:pPr>
      <w:r w:rsidRPr="00DA20F5">
        <w:rPr>
          <w:b/>
        </w:rPr>
        <w:t>Z regionálneho hľadiska</w:t>
      </w:r>
      <w:r w:rsidRPr="00DA20F5">
        <w:t xml:space="preserve"> bolo v roku 2011 najviac voľných pracovných miest v Bratislavskom kraji (7 006, čo bolo takmer 50 % z celkového priemerného počtu voľných pracovných miest v SR). V ostatných krajoch sa ich počet pohyboval od 894 (Trenčiansky kraj) do 1 561 (Banskobystrický kraj). Nadpriemernú intenzitu rastu voľných pracovných miest dosiahol Banskobystrický kraj (65,0 %)</w:t>
      </w:r>
      <w:r w:rsidR="00801C00" w:rsidRPr="00DA20F5">
        <w:t>,</w:t>
      </w:r>
      <w:r w:rsidRPr="00DA20F5">
        <w:t xml:space="preserve"> čo predstavovalo medziročný rast pracovných miest o 615), Košický kraj (23,4 %, v absolútnom vyjadrení 208 pracovných miest) a Trnavský kraj (11,8 %, v absolútnom vyjadrení 95 pracovných miest). Celkový počet voľných pracovných miest v roku 2011 bol v porovnaní s rokom 2010 nižší v Trenčianskom, Nitrianskom a Žilinskom kraji v rozsahu od 16,8 % do 11,0 %. </w:t>
      </w:r>
    </w:p>
    <w:p w:rsidR="009307EB" w:rsidRPr="00DA20F5" w:rsidRDefault="009307EB" w:rsidP="00D36FB8">
      <w:pPr>
        <w:jc w:val="left"/>
        <w:rPr>
          <w:b/>
        </w:rPr>
      </w:pPr>
      <w:r w:rsidRPr="00DA20F5">
        <w:br w:type="page"/>
      </w:r>
    </w:p>
    <w:p w:rsidR="00F10DB1" w:rsidRPr="00DA20F5" w:rsidRDefault="00F10DB1" w:rsidP="00D36FB8">
      <w:pPr>
        <w:pStyle w:val="Nadpis7"/>
      </w:pPr>
      <w:bookmarkStart w:id="198" w:name="_Toc325438121"/>
      <w:bookmarkStart w:id="199" w:name="_Toc325440890"/>
      <w:bookmarkStart w:id="200" w:name="_Toc325626703"/>
      <w:bookmarkStart w:id="201" w:name="_Toc326216964"/>
      <w:r w:rsidRPr="00DA20F5">
        <w:lastRenderedPageBreak/>
        <w:t>Tab. 2.8 Voľné pracovné miesta v roku 2011 podľa krajov (priemer za rok)</w:t>
      </w:r>
      <w:bookmarkEnd w:id="198"/>
      <w:bookmarkEnd w:id="199"/>
      <w:bookmarkEnd w:id="200"/>
      <w:bookmarkEnd w:id="201"/>
      <w:r w:rsidRPr="00DA20F5">
        <w:t xml:space="preserve"> </w:t>
      </w:r>
    </w:p>
    <w:tbl>
      <w:tblPr>
        <w:tblW w:w="8036" w:type="dxa"/>
        <w:jc w:val="center"/>
        <w:tblInd w:w="103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619"/>
        <w:gridCol w:w="2185"/>
        <w:gridCol w:w="2110"/>
        <w:gridCol w:w="2122"/>
      </w:tblGrid>
      <w:tr w:rsidR="00F10DB1" w:rsidRPr="00DA20F5" w:rsidTr="00F426EA">
        <w:trPr>
          <w:trHeight w:val="284"/>
          <w:jc w:val="center"/>
        </w:trPr>
        <w:tc>
          <w:tcPr>
            <w:tcW w:w="1007" w:type="pct"/>
            <w:vMerge w:val="restar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Kraj</w:t>
            </w:r>
          </w:p>
        </w:tc>
        <w:tc>
          <w:tcPr>
            <w:tcW w:w="2672" w:type="pct"/>
            <w:gridSpan w:val="2"/>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Voľné pracovné miesta</w:t>
            </w:r>
          </w:p>
        </w:tc>
        <w:tc>
          <w:tcPr>
            <w:tcW w:w="1320" w:type="pct"/>
            <w:vMerge w:val="restar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Index</w:t>
            </w:r>
          </w:p>
          <w:p w:rsidR="00F10DB1" w:rsidRPr="00DA20F5" w:rsidRDefault="00F10DB1" w:rsidP="00D36FB8">
            <w:pPr>
              <w:jc w:val="center"/>
              <w:rPr>
                <w:b/>
                <w:color w:val="FFFFFF" w:themeColor="background1"/>
              </w:rPr>
            </w:pPr>
            <w:r w:rsidRPr="00DA20F5">
              <w:rPr>
                <w:b/>
                <w:color w:val="FFFFFF" w:themeColor="background1"/>
              </w:rPr>
              <w:t>2011/2010</w:t>
            </w:r>
          </w:p>
        </w:tc>
      </w:tr>
      <w:tr w:rsidR="00F10DB1" w:rsidRPr="00DA20F5" w:rsidTr="00F426EA">
        <w:trPr>
          <w:trHeight w:val="284"/>
          <w:jc w:val="center"/>
        </w:trPr>
        <w:tc>
          <w:tcPr>
            <w:tcW w:w="1007" w:type="pct"/>
            <w:vMerge/>
            <w:noWrap/>
            <w:vAlign w:val="center"/>
          </w:tcPr>
          <w:p w:rsidR="00F10DB1" w:rsidRPr="00DA20F5" w:rsidRDefault="00F10DB1" w:rsidP="00D36FB8">
            <w:pPr>
              <w:rPr>
                <w:color w:val="1F497D" w:themeColor="text2"/>
              </w:rPr>
            </w:pPr>
          </w:p>
        </w:tc>
        <w:tc>
          <w:tcPr>
            <w:tcW w:w="1360" w:type="pc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Počet</w:t>
            </w:r>
          </w:p>
        </w:tc>
        <w:tc>
          <w:tcPr>
            <w:tcW w:w="1313" w:type="pc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podiel na SR (v %)</w:t>
            </w:r>
          </w:p>
        </w:tc>
        <w:tc>
          <w:tcPr>
            <w:tcW w:w="1320" w:type="pct"/>
            <w:vMerge/>
            <w:vAlign w:val="center"/>
          </w:tcPr>
          <w:p w:rsidR="00F10DB1" w:rsidRPr="00DA20F5" w:rsidRDefault="00F10DB1" w:rsidP="00D36FB8">
            <w:pPr>
              <w:rPr>
                <w:color w:val="1F497D" w:themeColor="text2"/>
              </w:rPr>
            </w:pPr>
          </w:p>
        </w:tc>
      </w:tr>
      <w:tr w:rsidR="00F10DB1" w:rsidRPr="00DA20F5" w:rsidTr="00F426EA">
        <w:trPr>
          <w:trHeight w:val="255"/>
          <w:jc w:val="center"/>
        </w:trPr>
        <w:tc>
          <w:tcPr>
            <w:tcW w:w="1007" w:type="pct"/>
            <w:noWrap/>
            <w:vAlign w:val="center"/>
          </w:tcPr>
          <w:p w:rsidR="00F10DB1" w:rsidRPr="00DA20F5" w:rsidRDefault="00F10DB1" w:rsidP="00D36FB8">
            <w:pPr>
              <w:rPr>
                <w:b/>
              </w:rPr>
            </w:pPr>
            <w:r w:rsidRPr="00DA20F5">
              <w:rPr>
                <w:b/>
              </w:rPr>
              <w:t>SR spolu</w:t>
            </w:r>
          </w:p>
        </w:tc>
        <w:tc>
          <w:tcPr>
            <w:tcW w:w="1360" w:type="pct"/>
            <w:noWrap/>
            <w:vAlign w:val="center"/>
          </w:tcPr>
          <w:p w:rsidR="00F10DB1" w:rsidRPr="00DA20F5" w:rsidRDefault="00F10DB1" w:rsidP="00D36FB8">
            <w:pPr>
              <w:ind w:right="707"/>
              <w:jc w:val="right"/>
              <w:rPr>
                <w:b/>
              </w:rPr>
            </w:pPr>
            <w:r w:rsidRPr="00DA20F5">
              <w:rPr>
                <w:b/>
              </w:rPr>
              <w:t>14 165</w:t>
            </w:r>
          </w:p>
        </w:tc>
        <w:tc>
          <w:tcPr>
            <w:tcW w:w="1313" w:type="pct"/>
            <w:noWrap/>
            <w:vAlign w:val="center"/>
          </w:tcPr>
          <w:p w:rsidR="00F10DB1" w:rsidRPr="00DA20F5" w:rsidRDefault="00F10DB1" w:rsidP="00D36FB8">
            <w:pPr>
              <w:ind w:right="707"/>
              <w:jc w:val="right"/>
              <w:rPr>
                <w:b/>
              </w:rPr>
            </w:pPr>
            <w:r w:rsidRPr="00DA20F5">
              <w:rPr>
                <w:b/>
              </w:rPr>
              <w:t>100,0</w:t>
            </w:r>
          </w:p>
        </w:tc>
        <w:tc>
          <w:tcPr>
            <w:tcW w:w="1320" w:type="pct"/>
            <w:vAlign w:val="center"/>
          </w:tcPr>
          <w:p w:rsidR="00F10DB1" w:rsidRPr="00DA20F5" w:rsidRDefault="00F10DB1" w:rsidP="00D36FB8">
            <w:pPr>
              <w:ind w:right="707"/>
              <w:jc w:val="right"/>
              <w:rPr>
                <w:b/>
              </w:rPr>
            </w:pPr>
            <w:r w:rsidRPr="00DA20F5">
              <w:rPr>
                <w:b/>
              </w:rPr>
              <w:t>105,5</w:t>
            </w:r>
          </w:p>
        </w:tc>
      </w:tr>
      <w:tr w:rsidR="009307EB" w:rsidRPr="00DA20F5" w:rsidTr="009307EB">
        <w:trPr>
          <w:trHeight w:val="255"/>
          <w:jc w:val="center"/>
        </w:trPr>
        <w:tc>
          <w:tcPr>
            <w:tcW w:w="5000" w:type="pct"/>
            <w:gridSpan w:val="4"/>
            <w:noWrap/>
            <w:vAlign w:val="center"/>
          </w:tcPr>
          <w:p w:rsidR="009307EB" w:rsidRPr="00DA20F5" w:rsidRDefault="009307EB" w:rsidP="00D36FB8">
            <w:pPr>
              <w:ind w:right="707"/>
              <w:jc w:val="left"/>
            </w:pPr>
            <w:r w:rsidRPr="00DA20F5">
              <w:t>v tom</w:t>
            </w:r>
          </w:p>
        </w:tc>
      </w:tr>
      <w:tr w:rsidR="00F10DB1" w:rsidRPr="00DA20F5" w:rsidTr="00F426EA">
        <w:trPr>
          <w:trHeight w:val="255"/>
          <w:jc w:val="center"/>
        </w:trPr>
        <w:tc>
          <w:tcPr>
            <w:tcW w:w="1007" w:type="pct"/>
            <w:noWrap/>
            <w:vAlign w:val="center"/>
          </w:tcPr>
          <w:p w:rsidR="00F10DB1" w:rsidRPr="00DA20F5" w:rsidRDefault="00F10DB1" w:rsidP="00D36FB8">
            <w:r w:rsidRPr="00DA20F5">
              <w:t>Bratislavský</w:t>
            </w:r>
          </w:p>
        </w:tc>
        <w:tc>
          <w:tcPr>
            <w:tcW w:w="1360" w:type="pct"/>
            <w:noWrap/>
            <w:vAlign w:val="center"/>
          </w:tcPr>
          <w:p w:rsidR="00F10DB1" w:rsidRPr="00DA20F5" w:rsidRDefault="00F10DB1" w:rsidP="00D36FB8">
            <w:pPr>
              <w:ind w:right="707"/>
              <w:jc w:val="right"/>
            </w:pPr>
            <w:r w:rsidRPr="00DA20F5">
              <w:t>7 006</w:t>
            </w:r>
          </w:p>
        </w:tc>
        <w:tc>
          <w:tcPr>
            <w:tcW w:w="1313" w:type="pct"/>
            <w:noWrap/>
            <w:vAlign w:val="center"/>
          </w:tcPr>
          <w:p w:rsidR="00F10DB1" w:rsidRPr="00DA20F5" w:rsidRDefault="00F10DB1" w:rsidP="00D36FB8">
            <w:pPr>
              <w:ind w:right="707"/>
              <w:jc w:val="right"/>
            </w:pPr>
            <w:r w:rsidRPr="00DA20F5">
              <w:t>49,5</w:t>
            </w:r>
          </w:p>
        </w:tc>
        <w:tc>
          <w:tcPr>
            <w:tcW w:w="1320" w:type="pct"/>
            <w:vAlign w:val="center"/>
          </w:tcPr>
          <w:p w:rsidR="00F10DB1" w:rsidRPr="00DA20F5" w:rsidRDefault="00F10DB1" w:rsidP="00D36FB8">
            <w:pPr>
              <w:ind w:right="707"/>
              <w:jc w:val="right"/>
            </w:pPr>
            <w:r w:rsidRPr="00DA20F5">
              <w:t>103,4</w:t>
            </w:r>
          </w:p>
        </w:tc>
      </w:tr>
      <w:tr w:rsidR="00F10DB1" w:rsidRPr="00DA20F5" w:rsidTr="00F426EA">
        <w:trPr>
          <w:trHeight w:val="255"/>
          <w:jc w:val="center"/>
        </w:trPr>
        <w:tc>
          <w:tcPr>
            <w:tcW w:w="1007" w:type="pct"/>
            <w:noWrap/>
            <w:vAlign w:val="center"/>
          </w:tcPr>
          <w:p w:rsidR="00F10DB1" w:rsidRPr="00DA20F5" w:rsidRDefault="00F10DB1" w:rsidP="00D36FB8">
            <w:r w:rsidRPr="00DA20F5">
              <w:t>Trnavský</w:t>
            </w:r>
          </w:p>
        </w:tc>
        <w:tc>
          <w:tcPr>
            <w:tcW w:w="1360" w:type="pct"/>
            <w:noWrap/>
            <w:vAlign w:val="center"/>
          </w:tcPr>
          <w:p w:rsidR="00F10DB1" w:rsidRPr="00DA20F5" w:rsidRDefault="00F10DB1" w:rsidP="00D36FB8">
            <w:pPr>
              <w:ind w:right="707"/>
              <w:jc w:val="right"/>
            </w:pPr>
            <w:r w:rsidRPr="00DA20F5">
              <w:t>897</w:t>
            </w:r>
          </w:p>
        </w:tc>
        <w:tc>
          <w:tcPr>
            <w:tcW w:w="1313" w:type="pct"/>
            <w:noWrap/>
            <w:vAlign w:val="center"/>
          </w:tcPr>
          <w:p w:rsidR="00F10DB1" w:rsidRPr="00DA20F5" w:rsidRDefault="00F10DB1" w:rsidP="00D36FB8">
            <w:pPr>
              <w:ind w:right="707"/>
              <w:jc w:val="right"/>
            </w:pPr>
            <w:r w:rsidRPr="00DA20F5">
              <w:t>6,3</w:t>
            </w:r>
          </w:p>
        </w:tc>
        <w:tc>
          <w:tcPr>
            <w:tcW w:w="1320" w:type="pct"/>
            <w:vAlign w:val="center"/>
          </w:tcPr>
          <w:p w:rsidR="00F10DB1" w:rsidRPr="00DA20F5" w:rsidRDefault="00F10DB1" w:rsidP="00D36FB8">
            <w:pPr>
              <w:ind w:right="707"/>
              <w:jc w:val="right"/>
            </w:pPr>
            <w:r w:rsidRPr="00DA20F5">
              <w:t>111,8</w:t>
            </w:r>
          </w:p>
        </w:tc>
      </w:tr>
      <w:tr w:rsidR="00F10DB1" w:rsidRPr="00DA20F5" w:rsidTr="00F426EA">
        <w:trPr>
          <w:trHeight w:val="255"/>
          <w:jc w:val="center"/>
        </w:trPr>
        <w:tc>
          <w:tcPr>
            <w:tcW w:w="1007" w:type="pct"/>
            <w:noWrap/>
            <w:vAlign w:val="center"/>
          </w:tcPr>
          <w:p w:rsidR="00F10DB1" w:rsidRPr="00DA20F5" w:rsidRDefault="00F10DB1" w:rsidP="00D36FB8">
            <w:r w:rsidRPr="00DA20F5">
              <w:t>Trenčiansky</w:t>
            </w:r>
          </w:p>
        </w:tc>
        <w:tc>
          <w:tcPr>
            <w:tcW w:w="1360" w:type="pct"/>
            <w:noWrap/>
            <w:vAlign w:val="center"/>
          </w:tcPr>
          <w:p w:rsidR="00F10DB1" w:rsidRPr="00DA20F5" w:rsidRDefault="00F10DB1" w:rsidP="00D36FB8">
            <w:pPr>
              <w:ind w:right="707"/>
              <w:jc w:val="right"/>
            </w:pPr>
            <w:r w:rsidRPr="00DA20F5">
              <w:t>894</w:t>
            </w:r>
          </w:p>
        </w:tc>
        <w:tc>
          <w:tcPr>
            <w:tcW w:w="1313" w:type="pct"/>
            <w:noWrap/>
            <w:vAlign w:val="center"/>
          </w:tcPr>
          <w:p w:rsidR="00F10DB1" w:rsidRPr="00DA20F5" w:rsidRDefault="00F10DB1" w:rsidP="00D36FB8">
            <w:pPr>
              <w:ind w:right="707"/>
              <w:jc w:val="right"/>
            </w:pPr>
            <w:r w:rsidRPr="00DA20F5">
              <w:t>6,3</w:t>
            </w:r>
          </w:p>
        </w:tc>
        <w:tc>
          <w:tcPr>
            <w:tcW w:w="1320" w:type="pct"/>
            <w:vAlign w:val="center"/>
          </w:tcPr>
          <w:p w:rsidR="00F10DB1" w:rsidRPr="00DA20F5" w:rsidRDefault="00F10DB1" w:rsidP="00D36FB8">
            <w:pPr>
              <w:ind w:right="707"/>
              <w:jc w:val="right"/>
            </w:pPr>
            <w:r w:rsidRPr="00DA20F5">
              <w:t>83,2</w:t>
            </w:r>
          </w:p>
        </w:tc>
      </w:tr>
      <w:tr w:rsidR="00F10DB1" w:rsidRPr="00DA20F5" w:rsidTr="00F426EA">
        <w:trPr>
          <w:trHeight w:val="255"/>
          <w:jc w:val="center"/>
        </w:trPr>
        <w:tc>
          <w:tcPr>
            <w:tcW w:w="1007" w:type="pct"/>
            <w:noWrap/>
            <w:vAlign w:val="center"/>
          </w:tcPr>
          <w:p w:rsidR="00F10DB1" w:rsidRPr="00DA20F5" w:rsidRDefault="00F10DB1" w:rsidP="00D36FB8">
            <w:r w:rsidRPr="00DA20F5">
              <w:t>Nitriansky</w:t>
            </w:r>
          </w:p>
        </w:tc>
        <w:tc>
          <w:tcPr>
            <w:tcW w:w="1360" w:type="pct"/>
            <w:noWrap/>
            <w:vAlign w:val="center"/>
          </w:tcPr>
          <w:p w:rsidR="00F10DB1" w:rsidRPr="00DA20F5" w:rsidRDefault="00F10DB1" w:rsidP="00D36FB8">
            <w:pPr>
              <w:ind w:right="707"/>
              <w:jc w:val="right"/>
            </w:pPr>
            <w:r w:rsidRPr="00DA20F5">
              <w:t>896</w:t>
            </w:r>
          </w:p>
        </w:tc>
        <w:tc>
          <w:tcPr>
            <w:tcW w:w="1313" w:type="pct"/>
            <w:noWrap/>
            <w:vAlign w:val="center"/>
          </w:tcPr>
          <w:p w:rsidR="00F10DB1" w:rsidRPr="00DA20F5" w:rsidRDefault="00F10DB1" w:rsidP="00D36FB8">
            <w:pPr>
              <w:ind w:right="707"/>
              <w:jc w:val="right"/>
            </w:pPr>
            <w:r w:rsidRPr="00DA20F5">
              <w:t>6,3</w:t>
            </w:r>
          </w:p>
        </w:tc>
        <w:tc>
          <w:tcPr>
            <w:tcW w:w="1320" w:type="pct"/>
            <w:vAlign w:val="center"/>
          </w:tcPr>
          <w:p w:rsidR="00F10DB1" w:rsidRPr="00DA20F5" w:rsidRDefault="00F10DB1" w:rsidP="00D36FB8">
            <w:pPr>
              <w:ind w:right="707"/>
              <w:jc w:val="right"/>
            </w:pPr>
            <w:r w:rsidRPr="00DA20F5">
              <w:t>87,7</w:t>
            </w:r>
          </w:p>
        </w:tc>
      </w:tr>
      <w:tr w:rsidR="00F10DB1" w:rsidRPr="00DA20F5" w:rsidTr="00F426EA">
        <w:trPr>
          <w:trHeight w:val="255"/>
          <w:jc w:val="center"/>
        </w:trPr>
        <w:tc>
          <w:tcPr>
            <w:tcW w:w="1007" w:type="pct"/>
            <w:noWrap/>
            <w:vAlign w:val="center"/>
          </w:tcPr>
          <w:p w:rsidR="00F10DB1" w:rsidRPr="00DA20F5" w:rsidRDefault="00F10DB1" w:rsidP="00D36FB8">
            <w:r w:rsidRPr="00DA20F5">
              <w:t>Žilinský</w:t>
            </w:r>
          </w:p>
        </w:tc>
        <w:tc>
          <w:tcPr>
            <w:tcW w:w="1360" w:type="pct"/>
            <w:noWrap/>
            <w:vAlign w:val="center"/>
          </w:tcPr>
          <w:p w:rsidR="00F10DB1" w:rsidRPr="00DA20F5" w:rsidRDefault="00F10DB1" w:rsidP="00D36FB8">
            <w:pPr>
              <w:ind w:right="707"/>
              <w:jc w:val="right"/>
            </w:pPr>
            <w:r w:rsidRPr="00DA20F5">
              <w:t>914</w:t>
            </w:r>
          </w:p>
        </w:tc>
        <w:tc>
          <w:tcPr>
            <w:tcW w:w="1313" w:type="pct"/>
            <w:noWrap/>
            <w:vAlign w:val="center"/>
          </w:tcPr>
          <w:p w:rsidR="00F10DB1" w:rsidRPr="00DA20F5" w:rsidRDefault="00F10DB1" w:rsidP="00D36FB8">
            <w:pPr>
              <w:ind w:right="707"/>
              <w:jc w:val="right"/>
            </w:pPr>
            <w:r w:rsidRPr="00DA20F5">
              <w:t>6,5</w:t>
            </w:r>
          </w:p>
        </w:tc>
        <w:tc>
          <w:tcPr>
            <w:tcW w:w="1320" w:type="pct"/>
            <w:vAlign w:val="center"/>
          </w:tcPr>
          <w:p w:rsidR="00F10DB1" w:rsidRPr="00DA20F5" w:rsidRDefault="00F10DB1" w:rsidP="00D36FB8">
            <w:pPr>
              <w:ind w:right="707"/>
              <w:jc w:val="right"/>
            </w:pPr>
            <w:r w:rsidRPr="00DA20F5">
              <w:t>89,0</w:t>
            </w:r>
          </w:p>
        </w:tc>
      </w:tr>
      <w:tr w:rsidR="00F10DB1" w:rsidRPr="00DA20F5" w:rsidTr="00F426EA">
        <w:trPr>
          <w:trHeight w:val="255"/>
          <w:jc w:val="center"/>
        </w:trPr>
        <w:tc>
          <w:tcPr>
            <w:tcW w:w="1007" w:type="pct"/>
            <w:noWrap/>
            <w:vAlign w:val="center"/>
          </w:tcPr>
          <w:p w:rsidR="00F10DB1" w:rsidRPr="00DA20F5" w:rsidRDefault="00F10DB1" w:rsidP="00D36FB8">
            <w:r w:rsidRPr="00DA20F5">
              <w:t>Banskobystrický</w:t>
            </w:r>
          </w:p>
        </w:tc>
        <w:tc>
          <w:tcPr>
            <w:tcW w:w="1360" w:type="pct"/>
            <w:noWrap/>
            <w:vAlign w:val="center"/>
          </w:tcPr>
          <w:p w:rsidR="00F10DB1" w:rsidRPr="00DA20F5" w:rsidRDefault="00F10DB1" w:rsidP="00D36FB8">
            <w:pPr>
              <w:ind w:right="707"/>
              <w:jc w:val="right"/>
            </w:pPr>
            <w:r w:rsidRPr="00DA20F5">
              <w:t>1 561</w:t>
            </w:r>
          </w:p>
        </w:tc>
        <w:tc>
          <w:tcPr>
            <w:tcW w:w="1313" w:type="pct"/>
            <w:noWrap/>
            <w:vAlign w:val="center"/>
          </w:tcPr>
          <w:p w:rsidR="00F10DB1" w:rsidRPr="00DA20F5" w:rsidRDefault="00F10DB1" w:rsidP="00D36FB8">
            <w:pPr>
              <w:ind w:right="707"/>
              <w:jc w:val="right"/>
            </w:pPr>
            <w:r w:rsidRPr="00DA20F5">
              <w:t>11,0</w:t>
            </w:r>
          </w:p>
        </w:tc>
        <w:tc>
          <w:tcPr>
            <w:tcW w:w="1320" w:type="pct"/>
            <w:vAlign w:val="center"/>
          </w:tcPr>
          <w:p w:rsidR="00F10DB1" w:rsidRPr="00DA20F5" w:rsidRDefault="00F10DB1" w:rsidP="00D36FB8">
            <w:pPr>
              <w:ind w:right="707"/>
              <w:jc w:val="right"/>
            </w:pPr>
            <w:r w:rsidRPr="00DA20F5">
              <w:t>165,0</w:t>
            </w:r>
          </w:p>
        </w:tc>
      </w:tr>
      <w:tr w:rsidR="00F10DB1" w:rsidRPr="00DA20F5" w:rsidTr="00F426EA">
        <w:trPr>
          <w:trHeight w:val="255"/>
          <w:jc w:val="center"/>
        </w:trPr>
        <w:tc>
          <w:tcPr>
            <w:tcW w:w="1007" w:type="pct"/>
            <w:noWrap/>
            <w:vAlign w:val="center"/>
          </w:tcPr>
          <w:p w:rsidR="00F10DB1" w:rsidRPr="00DA20F5" w:rsidRDefault="00F10DB1" w:rsidP="00D36FB8">
            <w:r w:rsidRPr="00DA20F5">
              <w:t>Prešovský</w:t>
            </w:r>
          </w:p>
        </w:tc>
        <w:tc>
          <w:tcPr>
            <w:tcW w:w="1360" w:type="pct"/>
            <w:noWrap/>
            <w:vAlign w:val="center"/>
          </w:tcPr>
          <w:p w:rsidR="00F10DB1" w:rsidRPr="00DA20F5" w:rsidRDefault="00F10DB1" w:rsidP="00D36FB8">
            <w:pPr>
              <w:ind w:right="707"/>
              <w:jc w:val="right"/>
            </w:pPr>
            <w:r w:rsidRPr="00DA20F5">
              <w:t>900</w:t>
            </w:r>
          </w:p>
        </w:tc>
        <w:tc>
          <w:tcPr>
            <w:tcW w:w="1313" w:type="pct"/>
            <w:noWrap/>
            <w:vAlign w:val="center"/>
          </w:tcPr>
          <w:p w:rsidR="00F10DB1" w:rsidRPr="00DA20F5" w:rsidRDefault="00F10DB1" w:rsidP="00D36FB8">
            <w:pPr>
              <w:ind w:right="707"/>
              <w:jc w:val="right"/>
            </w:pPr>
            <w:r w:rsidRPr="00DA20F5">
              <w:t>6,4</w:t>
            </w:r>
          </w:p>
        </w:tc>
        <w:tc>
          <w:tcPr>
            <w:tcW w:w="1320" w:type="pct"/>
            <w:vAlign w:val="center"/>
          </w:tcPr>
          <w:p w:rsidR="00F10DB1" w:rsidRPr="00DA20F5" w:rsidRDefault="00F10DB1" w:rsidP="00D36FB8">
            <w:pPr>
              <w:ind w:right="707"/>
              <w:jc w:val="right"/>
            </w:pPr>
            <w:r w:rsidRPr="00DA20F5">
              <w:t>101,4</w:t>
            </w:r>
          </w:p>
        </w:tc>
      </w:tr>
      <w:tr w:rsidR="00F10DB1" w:rsidRPr="00DA20F5" w:rsidTr="00F426EA">
        <w:trPr>
          <w:trHeight w:val="255"/>
          <w:jc w:val="center"/>
        </w:trPr>
        <w:tc>
          <w:tcPr>
            <w:tcW w:w="1007" w:type="pct"/>
            <w:noWrap/>
            <w:vAlign w:val="center"/>
          </w:tcPr>
          <w:p w:rsidR="00F10DB1" w:rsidRPr="00DA20F5" w:rsidRDefault="00F10DB1" w:rsidP="00D36FB8">
            <w:r w:rsidRPr="00DA20F5">
              <w:t>Košický</w:t>
            </w:r>
          </w:p>
        </w:tc>
        <w:tc>
          <w:tcPr>
            <w:tcW w:w="1360" w:type="pct"/>
            <w:noWrap/>
            <w:vAlign w:val="center"/>
          </w:tcPr>
          <w:p w:rsidR="00F10DB1" w:rsidRPr="00DA20F5" w:rsidRDefault="00F10DB1" w:rsidP="00D36FB8">
            <w:pPr>
              <w:ind w:right="707"/>
              <w:jc w:val="right"/>
            </w:pPr>
            <w:r w:rsidRPr="00DA20F5">
              <w:t>1 097</w:t>
            </w:r>
          </w:p>
        </w:tc>
        <w:tc>
          <w:tcPr>
            <w:tcW w:w="1313" w:type="pct"/>
            <w:noWrap/>
            <w:vAlign w:val="center"/>
          </w:tcPr>
          <w:p w:rsidR="00F10DB1" w:rsidRPr="00DA20F5" w:rsidRDefault="00F10DB1" w:rsidP="00D36FB8">
            <w:pPr>
              <w:ind w:right="707"/>
              <w:jc w:val="right"/>
            </w:pPr>
            <w:r w:rsidRPr="00DA20F5">
              <w:t>7,7</w:t>
            </w:r>
          </w:p>
        </w:tc>
        <w:tc>
          <w:tcPr>
            <w:tcW w:w="1320" w:type="pct"/>
            <w:vAlign w:val="center"/>
          </w:tcPr>
          <w:p w:rsidR="00F10DB1" w:rsidRPr="00DA20F5" w:rsidRDefault="00F10DB1" w:rsidP="00D36FB8">
            <w:pPr>
              <w:ind w:right="707"/>
              <w:jc w:val="right"/>
            </w:pPr>
            <w:r w:rsidRPr="00DA20F5">
              <w:t>123,4</w:t>
            </w:r>
          </w:p>
        </w:tc>
      </w:tr>
    </w:tbl>
    <w:p w:rsidR="00F10DB1" w:rsidRPr="00DA20F5" w:rsidRDefault="004C11F8" w:rsidP="00D36FB8">
      <w:pPr>
        <w:pStyle w:val="zdroj"/>
        <w:ind w:firstLine="0"/>
        <w:jc w:val="left"/>
      </w:pPr>
      <w:r w:rsidRPr="00DA20F5">
        <w:t xml:space="preserve">           </w:t>
      </w:r>
      <w:r w:rsidR="00F10DB1" w:rsidRPr="00DA20F5">
        <w:t xml:space="preserve">Zdroj: ŠÚ SR, Štatistická správa o základných vývojových tendenciách v hospodárstve SR </w:t>
      </w:r>
      <w:r w:rsidR="009307EB" w:rsidRPr="00DA20F5">
        <w:br/>
      </w:r>
      <w:r w:rsidRPr="00DA20F5">
        <w:t xml:space="preserve">           </w:t>
      </w:r>
      <w:r w:rsidR="00F10DB1" w:rsidRPr="00DA20F5">
        <w:t>v 4. štvrťroku 2011</w:t>
      </w:r>
    </w:p>
    <w:p w:rsidR="00F10DB1" w:rsidRPr="00DA20F5" w:rsidRDefault="00F10DB1" w:rsidP="00D36FB8">
      <w:pPr>
        <w:pStyle w:val="zdrojpodtabulkouagrafmi"/>
        <w:rPr>
          <w:color w:val="365F91" w:themeColor="accent1" w:themeShade="BF"/>
        </w:rPr>
      </w:pPr>
    </w:p>
    <w:p w:rsidR="00F10DB1" w:rsidRPr="00DA20F5" w:rsidRDefault="00F10DB1" w:rsidP="000B4550">
      <w:pPr>
        <w:pStyle w:val="Nadpis6"/>
      </w:pPr>
      <w:bookmarkStart w:id="202" w:name="_Toc326216965"/>
      <w:r w:rsidRPr="00DA20F5">
        <w:t>Vývoj nezamestnanosti</w:t>
      </w:r>
      <w:bookmarkEnd w:id="202"/>
    </w:p>
    <w:p w:rsidR="00F10DB1" w:rsidRPr="00DA20F5" w:rsidRDefault="00F10DB1" w:rsidP="00DC1659">
      <w:pPr>
        <w:pStyle w:val="Nadpis41"/>
      </w:pPr>
      <w:r w:rsidRPr="00DA20F5">
        <w:t>Nezamestnanosť podľa výberového zisťovania pracovných síl</w:t>
      </w:r>
    </w:p>
    <w:p w:rsidR="00F10DB1" w:rsidRPr="00DA20F5" w:rsidRDefault="00F10DB1" w:rsidP="00D36FB8">
      <w:pPr>
        <w:ind w:firstLine="357"/>
      </w:pPr>
      <w:r w:rsidRPr="00DA20F5">
        <w:t>V priemere za rok 2011 sa počet nezamestnaných v SR medziročne znížil o 21,1 tis. osôb, resp. o 5,4 % na 367,9 tis. osôb. Priemerná miera nezamestnanosti</w:t>
      </w:r>
      <w:r w:rsidRPr="00DA20F5">
        <w:rPr>
          <w:b/>
        </w:rPr>
        <w:t xml:space="preserve"> </w:t>
      </w:r>
      <w:r w:rsidRPr="00DA20F5">
        <w:t xml:space="preserve">dosiahla úroveň 13,5 % a medziročne poklesla o 0,9 p. b., pričom počas prvých troch štvrťrokov postupne klesala a následne v 4. štvrťroku sa zvýšila. </w:t>
      </w:r>
    </w:p>
    <w:p w:rsidR="00380665" w:rsidRPr="00DA20F5" w:rsidRDefault="00F10DB1" w:rsidP="00B10FA0">
      <w:pPr>
        <w:overflowPunct w:val="0"/>
        <w:autoSpaceDE w:val="0"/>
        <w:autoSpaceDN w:val="0"/>
        <w:adjustRightInd w:val="0"/>
        <w:spacing w:before="120"/>
        <w:ind w:firstLine="357"/>
        <w:textAlignment w:val="baseline"/>
        <w:rPr>
          <w:color w:val="000000" w:themeColor="text1"/>
        </w:rPr>
      </w:pPr>
      <w:r w:rsidRPr="00DA20F5">
        <w:rPr>
          <w:color w:val="000000" w:themeColor="text1"/>
        </w:rPr>
        <w:t xml:space="preserve">Medziročný pokles počtu nezamestnaných, ako aj miery nezamestnanosti v SR v roku 2011 bol intenzívnejší u žien. Počet nezamestnaných žien sa medziročne znížil o 7,4 %, resp. o 13,1 tis. osôb a miera ich nezamestnanosti poklesla o 1,0 p. b. (zo 14,6 % v roku 2010 na 13,6 %). </w:t>
      </w:r>
      <w:r w:rsidR="00380665" w:rsidRPr="00DA20F5">
        <w:rPr>
          <w:color w:val="000000" w:themeColor="text1"/>
        </w:rPr>
        <w:t>Počet nezamestnaných mužov za rovnaké obdobie poklesol o 3,8 %, resp. o 8,0 tis. osôb a miera ich nezamestna</w:t>
      </w:r>
      <w:r w:rsidR="00AF4EED" w:rsidRPr="00DA20F5">
        <w:rPr>
          <w:color w:val="000000" w:themeColor="text1"/>
        </w:rPr>
        <w:t xml:space="preserve">nosti sa znížila o 0,7 p. b. (zo </w:t>
      </w:r>
      <w:r w:rsidR="00380665" w:rsidRPr="00DA20F5">
        <w:rPr>
          <w:color w:val="000000" w:themeColor="text1"/>
        </w:rPr>
        <w:t>14,2 % v roku 2010 na 13,5 %).</w:t>
      </w:r>
    </w:p>
    <w:p w:rsidR="00380665" w:rsidRPr="00DA20F5" w:rsidRDefault="00380665" w:rsidP="00380665">
      <w:pPr>
        <w:rPr>
          <w:color w:val="000000" w:themeColor="text1"/>
          <w:sz w:val="24"/>
        </w:rPr>
      </w:pPr>
    </w:p>
    <w:p w:rsidR="00F10DB1" w:rsidRPr="00DA20F5" w:rsidRDefault="00F10DB1" w:rsidP="00D36FB8">
      <w:pPr>
        <w:pStyle w:val="Normlnysozarkami12"/>
      </w:pPr>
      <w:r w:rsidRPr="00DA20F5">
        <w:rPr>
          <w:color w:val="000000" w:themeColor="text1"/>
        </w:rPr>
        <w:t>Uvedený vývoj sa premietol v ďalšom znižovaní rozdielu medzi úrovňou miery nezamestnanosti mužov a žien, ktorý dosiahol 0,1 p. b. (0,4 p. b. v roku 2010, 1,5 p. b. v roku 2009 a 2,7 p. b. v roku</w:t>
      </w:r>
      <w:r w:rsidRPr="00DA20F5">
        <w:t xml:space="preserve"> 2008).</w:t>
      </w:r>
    </w:p>
    <w:p w:rsidR="00F10DB1" w:rsidRPr="00DA20F5" w:rsidRDefault="00F10DB1" w:rsidP="00D36FB8">
      <w:pPr>
        <w:pStyle w:val="Normlnysozarkami12"/>
      </w:pPr>
      <w:r w:rsidRPr="00DA20F5">
        <w:t xml:space="preserve">V roku 2011 sa prerušila dlhodobejšia nepriaznivá rastúca tendencia vo vývoji špecifickej </w:t>
      </w:r>
      <w:r w:rsidRPr="00DA20F5">
        <w:rPr>
          <w:b/>
        </w:rPr>
        <w:t>miery nezamestnanosti</w:t>
      </w:r>
      <w:r w:rsidRPr="00DA20F5">
        <w:t xml:space="preserve"> </w:t>
      </w:r>
      <w:r w:rsidRPr="00DA20F5">
        <w:rPr>
          <w:b/>
        </w:rPr>
        <w:t>mladých</w:t>
      </w:r>
      <w:r w:rsidRPr="00DA20F5">
        <w:t xml:space="preserve"> ľudí vo veku 15-24 rokov. Miera nez</w:t>
      </w:r>
      <w:r w:rsidR="00DC1659" w:rsidRPr="00DA20F5">
        <w:t xml:space="preserve">amestnanosti osôb vo veku </w:t>
      </w:r>
      <w:r w:rsidR="00DC1659" w:rsidRPr="00DA20F5">
        <w:br/>
        <w:t>15-24 </w:t>
      </w:r>
      <w:r w:rsidRPr="00DA20F5">
        <w:t>rokov sa medziročne znížila o 0,4 p. b. na 33,2 % (v roku 2010 vzrástla o 6,3 p. b. na 33,6 %). Miera nezamestnanosti mladých mužov (33,0 %) sa medziročne znížila o 1,7 p. b. a bola o 0,6 p. b. nižšia ako u žien v rovnakej vekovej skupine. Naopak, miera nezamestnanosti mladých žien (33,6 %) medziročne vzrástla o 1,6 p. b.</w:t>
      </w:r>
    </w:p>
    <w:p w:rsidR="00F10DB1" w:rsidRPr="00DA20F5" w:rsidRDefault="00F10DB1" w:rsidP="00D36FB8">
      <w:pPr>
        <w:pStyle w:val="Normlnysozarkami12"/>
      </w:pPr>
      <w:r w:rsidRPr="00DA20F5">
        <w:t xml:space="preserve">Špecifická </w:t>
      </w:r>
      <w:r w:rsidRPr="00DA20F5">
        <w:rPr>
          <w:b/>
        </w:rPr>
        <w:t>miera nezamestnanosti</w:t>
      </w:r>
      <w:r w:rsidRPr="00DA20F5">
        <w:t xml:space="preserve"> </w:t>
      </w:r>
      <w:r w:rsidRPr="00DA20F5">
        <w:rPr>
          <w:b/>
        </w:rPr>
        <w:t>starších</w:t>
      </w:r>
      <w:r w:rsidRPr="00DA20F5">
        <w:t xml:space="preserve"> osôb (vo veku 55-64 rokov) sa medziročne nepatrne znížila (o 0,2 p. b. na 10,0 %, pričom v roku 2010 zaznamenala medziročný rast o 2,5 p. b.). Z hľadiska pohlavia sa jej úroveň znížila len u žien, keď miera nezamestnanosti starších žien medziročne poklesla o 1,9 p. b. (z 11,0 % v roku 2010 na 9,1 %). U mužov v rovnakej vekovej skupine miera zamestnanosti medziročne vzrástla o 1,1 p. b. (z 9,6 % v roku 2010 na 10,7 %).</w:t>
      </w:r>
    </w:p>
    <w:p w:rsidR="00F10DB1" w:rsidRPr="00DA20F5" w:rsidRDefault="00F10DB1" w:rsidP="00D36FB8">
      <w:pPr>
        <w:pStyle w:val="Normlnysozarkami12"/>
      </w:pPr>
      <w:r w:rsidRPr="00DA20F5">
        <w:rPr>
          <w:b/>
        </w:rPr>
        <w:t>Z hľadiska</w:t>
      </w:r>
      <w:r w:rsidRPr="00DA20F5">
        <w:t xml:space="preserve"> </w:t>
      </w:r>
      <w:r w:rsidRPr="00DA20F5">
        <w:rPr>
          <w:b/>
        </w:rPr>
        <w:t>vzdelania</w:t>
      </w:r>
      <w:r w:rsidRPr="00DA20F5">
        <w:t xml:space="preserve"> najvyššiu mieru nezamestnanosti mali osoby so základným vzdelaním, táto bola takmer trojnásobne vyššia ako celková priemerná miera nezamestnanosti. Naopak, najnižšia miera nezamestnanosti bola u osôb s vysokoškolským vzdelaním, pričom predstavovala približne polovicu z celkovej priemernej miery nezamestnanosti (príloha ku kapitole 2, tab. č. 3).</w:t>
      </w:r>
    </w:p>
    <w:p w:rsidR="00F10DB1" w:rsidRPr="00DA20F5" w:rsidRDefault="00F10DB1" w:rsidP="00D36FB8">
      <w:pPr>
        <w:pStyle w:val="Normlnysozarkami12"/>
      </w:pPr>
      <w:r w:rsidRPr="00DA20F5">
        <w:t xml:space="preserve">V roku 2011 počet nezamestnaných poklesol medziročne vo všetkých </w:t>
      </w:r>
      <w:r w:rsidRPr="00DA20F5">
        <w:rPr>
          <w:b/>
        </w:rPr>
        <w:t>krajoch</w:t>
      </w:r>
      <w:r w:rsidRPr="00DA20F5">
        <w:t xml:space="preserve"> (s výnimkou Košického kraja) v rozsahu od 0,2 % (Žilinský </w:t>
      </w:r>
      <w:r w:rsidRPr="00DA20F5">
        <w:rPr>
          <w:color w:val="000000" w:themeColor="text1"/>
        </w:rPr>
        <w:t>kraj) do 18,</w:t>
      </w:r>
      <w:r w:rsidR="001B32E2" w:rsidRPr="00DA20F5">
        <w:rPr>
          <w:color w:val="000000" w:themeColor="text1"/>
        </w:rPr>
        <w:t>9</w:t>
      </w:r>
      <w:r w:rsidRPr="00DA20F5">
        <w:rPr>
          <w:color w:val="000000" w:themeColor="text1"/>
        </w:rPr>
        <w:t xml:space="preserve"> % (Nitriansky kraj). Na celkovom počte nezamestnaných v SR sa v najväčšej miere podieľali kraje východného</w:t>
      </w:r>
      <w:r w:rsidRPr="00DA20F5">
        <w:t xml:space="preserve"> Slovenska (Košický </w:t>
      </w:r>
      <w:r w:rsidRPr="00DA20F5">
        <w:lastRenderedPageBreak/>
        <w:t xml:space="preserve">a Prešovský) a juhu stredného Slovenska (Banskobystrický), ktoré súčasne vykázali aj najvyššiu úroveň miery nezamestnanosti. </w:t>
      </w:r>
    </w:p>
    <w:p w:rsidR="00F10DB1" w:rsidRPr="00DA20F5" w:rsidRDefault="00F10DB1" w:rsidP="00D36FB8">
      <w:pPr>
        <w:autoSpaceDE w:val="0"/>
        <w:autoSpaceDN w:val="0"/>
        <w:adjustRightInd w:val="0"/>
        <w:ind w:firstLine="357"/>
        <w:rPr>
          <w:rFonts w:ascii="TimesNewRoman" w:hAnsi="TimesNewRoman" w:cs="TimesNewRoman"/>
          <w:szCs w:val="22"/>
        </w:rPr>
      </w:pPr>
      <w:r w:rsidRPr="00DA20F5">
        <w:rPr>
          <w:rFonts w:ascii="TimesNewRoman CE" w:hAnsi="TimesNewRoman CE" w:cs="TimesNewRoman CE"/>
          <w:szCs w:val="22"/>
        </w:rPr>
        <w:t xml:space="preserve">Naďalej pretrvávali výrazné regionálne rozdiely v úrovni miery nezamestnanosti. </w:t>
      </w:r>
      <w:r w:rsidRPr="00DA20F5">
        <w:t>Miera nezamestnanosti pod priemerom SR bola v troch krajoch (Bratislavskom, Trenčianskom a Trnavskom) a približne na úrovni priemeru SR v Nitrianskom a Žilinskom kraji.</w:t>
      </w:r>
      <w:r w:rsidR="00DC1659" w:rsidRPr="00DA20F5">
        <w:rPr>
          <w:rFonts w:ascii="TimesNewRoman CE" w:hAnsi="TimesNewRoman CE" w:cs="TimesNewRoman CE"/>
          <w:szCs w:val="22"/>
        </w:rPr>
        <w:t xml:space="preserve"> Košický, Prešovský a </w:t>
      </w:r>
      <w:r w:rsidRPr="00DA20F5">
        <w:rPr>
          <w:rFonts w:ascii="TimesNewRoman CE" w:hAnsi="TimesNewRoman CE" w:cs="TimesNewRoman CE"/>
          <w:szCs w:val="22"/>
        </w:rPr>
        <w:t>Banskobystrický kraj aj v roku 2011 vykazovali vysoko nadpriemernú úroveň miery nezamestnanosti.</w:t>
      </w:r>
    </w:p>
    <w:p w:rsidR="00F10DB1" w:rsidRPr="00DA20F5" w:rsidRDefault="00F10DB1" w:rsidP="00D36FB8">
      <w:pPr>
        <w:autoSpaceDE w:val="0"/>
        <w:autoSpaceDN w:val="0"/>
        <w:adjustRightInd w:val="0"/>
        <w:ind w:firstLine="357"/>
        <w:rPr>
          <w:rFonts w:ascii="TimesNewRoman" w:hAnsi="TimesNewRoman" w:cs="TimesNewRoman"/>
          <w:szCs w:val="22"/>
        </w:rPr>
      </w:pPr>
      <w:r w:rsidRPr="00DA20F5">
        <w:rPr>
          <w:rFonts w:ascii="TimesNewRoman" w:hAnsi="TimesNewRoman" w:cs="TimesNewRoman"/>
          <w:szCs w:val="22"/>
        </w:rPr>
        <w:t>Pokiaľ ide o vývoj miery nezam</w:t>
      </w:r>
      <w:r w:rsidRPr="00DA20F5">
        <w:rPr>
          <w:rFonts w:ascii="TimesNewRoman CE" w:hAnsi="TimesNewRoman CE" w:cs="TimesNewRoman CE"/>
          <w:szCs w:val="22"/>
        </w:rPr>
        <w:t>estnanosti, znížila sa s výnimkou Košického kraja vo všetkých krajoch. Tento medziročný vývoj sa premietol aj vo zvýšení rozdielu medzi krajmi s najvyššo</w:t>
      </w:r>
      <w:r w:rsidRPr="00DA20F5">
        <w:rPr>
          <w:rFonts w:ascii="TimesNewRoman" w:hAnsi="TimesNewRoman" w:cs="TimesNewRoman"/>
          <w:szCs w:val="22"/>
        </w:rPr>
        <w:t>u a najnižšou mierou nezamestnanosti (z 12,2 p. b. v roku 2010</w:t>
      </w:r>
      <w:r w:rsidR="009307EB" w:rsidRPr="00DA20F5">
        <w:rPr>
          <w:rFonts w:ascii="TimesNewRoman" w:hAnsi="TimesNewRoman" w:cs="TimesNewRoman"/>
          <w:szCs w:val="22"/>
        </w:rPr>
        <w:t xml:space="preserve"> na</w:t>
      </w:r>
      <w:r w:rsidRPr="00DA20F5">
        <w:rPr>
          <w:rFonts w:ascii="TimesNewRoman" w:hAnsi="TimesNewRoman" w:cs="TimesNewRoman"/>
          <w:szCs w:val="22"/>
        </w:rPr>
        <w:t xml:space="preserve"> 13,8 p. b. v roku 2011).</w:t>
      </w:r>
      <w:r w:rsidR="00AC5AAB" w:rsidRPr="00DA20F5">
        <w:rPr>
          <w:rFonts w:ascii="TimesNewRoman" w:hAnsi="TimesNewRoman" w:cs="TimesNewRoman"/>
          <w:szCs w:val="22"/>
        </w:rPr>
        <w:t xml:space="preserve"> </w:t>
      </w:r>
    </w:p>
    <w:p w:rsidR="00F10DB1" w:rsidRPr="00DA20F5" w:rsidRDefault="00F10DB1" w:rsidP="00D36FB8">
      <w:pPr>
        <w:pStyle w:val="Nadpis7"/>
      </w:pPr>
      <w:bookmarkStart w:id="203" w:name="_Toc325438123"/>
      <w:bookmarkStart w:id="204" w:name="_Toc325440892"/>
      <w:bookmarkStart w:id="205" w:name="_Toc325626705"/>
      <w:bookmarkStart w:id="206" w:name="_Toc326216966"/>
      <w:r w:rsidRPr="00DA20F5">
        <w:t>Tab. 2.9</w:t>
      </w:r>
      <w:r w:rsidR="00CF6056" w:rsidRPr="00DA20F5">
        <w:t xml:space="preserve"> </w:t>
      </w:r>
      <w:r w:rsidRPr="00DA20F5">
        <w:t>Nezamestnanosť podľa výberového zisťovania pracovných síl (priemer za rok)</w:t>
      </w:r>
      <w:bookmarkEnd w:id="203"/>
      <w:bookmarkEnd w:id="204"/>
      <w:bookmarkEnd w:id="205"/>
      <w:bookmarkEnd w:id="206"/>
    </w:p>
    <w:tbl>
      <w:tblPr>
        <w:tblW w:w="9156" w:type="dxa"/>
        <w:jc w:val="center"/>
        <w:tblInd w:w="3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750"/>
        <w:gridCol w:w="1742"/>
        <w:gridCol w:w="1539"/>
        <w:gridCol w:w="1271"/>
        <w:gridCol w:w="1224"/>
        <w:gridCol w:w="1630"/>
      </w:tblGrid>
      <w:tr w:rsidR="00F10DB1" w:rsidRPr="00DA20F5" w:rsidTr="00F426EA">
        <w:trPr>
          <w:trHeight w:val="300"/>
          <w:jc w:val="center"/>
        </w:trPr>
        <w:tc>
          <w:tcPr>
            <w:tcW w:w="1750" w:type="dxa"/>
            <w:vMerge w:val="restart"/>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Kraj</w:t>
            </w:r>
          </w:p>
        </w:tc>
        <w:tc>
          <w:tcPr>
            <w:tcW w:w="4552" w:type="dxa"/>
            <w:gridSpan w:val="3"/>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Nezamestnaní</w:t>
            </w:r>
          </w:p>
        </w:tc>
        <w:tc>
          <w:tcPr>
            <w:tcW w:w="2854" w:type="dxa"/>
            <w:gridSpan w:val="2"/>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Miera nezamestnanosti</w:t>
            </w:r>
          </w:p>
        </w:tc>
      </w:tr>
      <w:tr w:rsidR="00F10DB1" w:rsidRPr="00DA20F5" w:rsidTr="00F426EA">
        <w:trPr>
          <w:trHeight w:val="510"/>
          <w:jc w:val="center"/>
        </w:trPr>
        <w:tc>
          <w:tcPr>
            <w:tcW w:w="1750" w:type="dxa"/>
            <w:vMerge/>
            <w:shd w:val="clear" w:color="auto" w:fill="4F81BD"/>
            <w:vAlign w:val="center"/>
          </w:tcPr>
          <w:p w:rsidR="00F10DB1" w:rsidRPr="00DA20F5" w:rsidRDefault="00F10DB1" w:rsidP="00D36FB8">
            <w:pPr>
              <w:jc w:val="center"/>
              <w:rPr>
                <w:b/>
                <w:color w:val="FFFFFF" w:themeColor="background1"/>
              </w:rPr>
            </w:pPr>
          </w:p>
        </w:tc>
        <w:tc>
          <w:tcPr>
            <w:tcW w:w="1742"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2011</w:t>
            </w:r>
          </w:p>
          <w:p w:rsidR="00F10DB1" w:rsidRPr="00DA20F5" w:rsidRDefault="00F10DB1" w:rsidP="00D36FB8">
            <w:pPr>
              <w:jc w:val="center"/>
              <w:rPr>
                <w:b/>
                <w:color w:val="FFFFFF" w:themeColor="background1"/>
              </w:rPr>
            </w:pPr>
            <w:r w:rsidRPr="00DA20F5">
              <w:rPr>
                <w:b/>
                <w:color w:val="FFFFFF" w:themeColor="background1"/>
              </w:rPr>
              <w:t>(tis. osôb)</w:t>
            </w:r>
          </w:p>
        </w:tc>
        <w:tc>
          <w:tcPr>
            <w:tcW w:w="1539"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Podiel</w:t>
            </w:r>
          </w:p>
          <w:p w:rsidR="00F10DB1" w:rsidRPr="00DA20F5" w:rsidRDefault="00F10DB1" w:rsidP="00D36FB8">
            <w:pPr>
              <w:jc w:val="center"/>
              <w:rPr>
                <w:b/>
                <w:color w:val="FFFFFF" w:themeColor="background1"/>
              </w:rPr>
            </w:pPr>
            <w:r w:rsidRPr="00DA20F5">
              <w:rPr>
                <w:b/>
                <w:color w:val="FFFFFF" w:themeColor="background1"/>
              </w:rPr>
              <w:t>na SR (v %)</w:t>
            </w:r>
          </w:p>
        </w:tc>
        <w:tc>
          <w:tcPr>
            <w:tcW w:w="1271"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index</w:t>
            </w:r>
          </w:p>
          <w:p w:rsidR="00F10DB1" w:rsidRPr="00DA20F5" w:rsidRDefault="00F10DB1" w:rsidP="00D36FB8">
            <w:pPr>
              <w:jc w:val="center"/>
              <w:rPr>
                <w:b/>
                <w:color w:val="FFFFFF" w:themeColor="background1"/>
              </w:rPr>
            </w:pPr>
            <w:r w:rsidRPr="00DA20F5">
              <w:rPr>
                <w:b/>
                <w:color w:val="FFFFFF" w:themeColor="background1"/>
              </w:rPr>
              <w:t>2011/2010</w:t>
            </w:r>
          </w:p>
        </w:tc>
        <w:tc>
          <w:tcPr>
            <w:tcW w:w="1224"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2011</w:t>
            </w:r>
          </w:p>
          <w:p w:rsidR="00F10DB1" w:rsidRPr="00DA20F5" w:rsidRDefault="00F10DB1" w:rsidP="00D36FB8">
            <w:pPr>
              <w:jc w:val="center"/>
              <w:rPr>
                <w:b/>
                <w:color w:val="FFFFFF" w:themeColor="background1"/>
              </w:rPr>
            </w:pPr>
            <w:r w:rsidRPr="00DA20F5">
              <w:rPr>
                <w:b/>
                <w:color w:val="FFFFFF" w:themeColor="background1"/>
              </w:rPr>
              <w:t>( %)</w:t>
            </w:r>
          </w:p>
        </w:tc>
        <w:tc>
          <w:tcPr>
            <w:tcW w:w="1630"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zmena oproti</w:t>
            </w:r>
          </w:p>
          <w:p w:rsidR="00F10DB1" w:rsidRPr="00DA20F5" w:rsidRDefault="00F10DB1" w:rsidP="00D36FB8">
            <w:pPr>
              <w:jc w:val="center"/>
              <w:rPr>
                <w:b/>
                <w:color w:val="FFFFFF" w:themeColor="background1"/>
              </w:rPr>
            </w:pPr>
            <w:r w:rsidRPr="00DA20F5">
              <w:rPr>
                <w:b/>
                <w:color w:val="FFFFFF" w:themeColor="background1"/>
              </w:rPr>
              <w:t>2010 (v p. b.)</w:t>
            </w:r>
          </w:p>
        </w:tc>
      </w:tr>
      <w:tr w:rsidR="00F10DB1" w:rsidRPr="00DA20F5" w:rsidTr="00F426EA">
        <w:trPr>
          <w:trHeight w:val="259"/>
          <w:jc w:val="center"/>
        </w:trPr>
        <w:tc>
          <w:tcPr>
            <w:tcW w:w="1750" w:type="dxa"/>
            <w:noWrap/>
            <w:vAlign w:val="center"/>
          </w:tcPr>
          <w:p w:rsidR="00F10DB1" w:rsidRPr="00DA20F5" w:rsidRDefault="00F10DB1" w:rsidP="00D36FB8">
            <w:pPr>
              <w:rPr>
                <w:b/>
              </w:rPr>
            </w:pPr>
            <w:r w:rsidRPr="00DA20F5">
              <w:rPr>
                <w:b/>
              </w:rPr>
              <w:t>Spolu SR</w:t>
            </w:r>
          </w:p>
        </w:tc>
        <w:tc>
          <w:tcPr>
            <w:tcW w:w="1742" w:type="dxa"/>
            <w:noWrap/>
            <w:vAlign w:val="center"/>
          </w:tcPr>
          <w:p w:rsidR="00F10DB1" w:rsidRPr="00DA20F5" w:rsidRDefault="00F10DB1" w:rsidP="00D36FB8">
            <w:pPr>
              <w:ind w:right="685"/>
              <w:jc w:val="right"/>
              <w:rPr>
                <w:b/>
              </w:rPr>
            </w:pPr>
            <w:r w:rsidRPr="00DA20F5">
              <w:rPr>
                <w:b/>
              </w:rPr>
              <w:t>367,9</w:t>
            </w:r>
          </w:p>
        </w:tc>
        <w:tc>
          <w:tcPr>
            <w:tcW w:w="1539" w:type="dxa"/>
            <w:noWrap/>
            <w:vAlign w:val="center"/>
          </w:tcPr>
          <w:p w:rsidR="00F10DB1" w:rsidRPr="00DA20F5" w:rsidRDefault="00F10DB1" w:rsidP="00D36FB8">
            <w:pPr>
              <w:ind w:right="685"/>
              <w:jc w:val="right"/>
              <w:rPr>
                <w:b/>
              </w:rPr>
            </w:pPr>
            <w:r w:rsidRPr="00DA20F5">
              <w:rPr>
                <w:b/>
              </w:rPr>
              <w:t>100</w:t>
            </w:r>
          </w:p>
        </w:tc>
        <w:tc>
          <w:tcPr>
            <w:tcW w:w="1271" w:type="dxa"/>
            <w:noWrap/>
            <w:vAlign w:val="center"/>
          </w:tcPr>
          <w:p w:rsidR="00F10DB1" w:rsidRPr="00DA20F5" w:rsidRDefault="00F10DB1" w:rsidP="00D36FB8">
            <w:pPr>
              <w:ind w:right="377"/>
              <w:jc w:val="right"/>
              <w:rPr>
                <w:b/>
              </w:rPr>
            </w:pPr>
            <w:r w:rsidRPr="00DA20F5">
              <w:rPr>
                <w:b/>
              </w:rPr>
              <w:t>94,6</w:t>
            </w:r>
          </w:p>
        </w:tc>
        <w:tc>
          <w:tcPr>
            <w:tcW w:w="1224" w:type="dxa"/>
            <w:noWrap/>
            <w:vAlign w:val="center"/>
          </w:tcPr>
          <w:p w:rsidR="00F10DB1" w:rsidRPr="00DA20F5" w:rsidRDefault="00F10DB1" w:rsidP="00D36FB8">
            <w:pPr>
              <w:ind w:right="377"/>
              <w:jc w:val="right"/>
              <w:rPr>
                <w:b/>
              </w:rPr>
            </w:pPr>
            <w:r w:rsidRPr="00DA20F5">
              <w:rPr>
                <w:b/>
              </w:rPr>
              <w:t>13,5</w:t>
            </w:r>
          </w:p>
        </w:tc>
        <w:tc>
          <w:tcPr>
            <w:tcW w:w="1630" w:type="dxa"/>
            <w:noWrap/>
            <w:vAlign w:val="center"/>
          </w:tcPr>
          <w:p w:rsidR="00F10DB1" w:rsidRPr="00DA20F5" w:rsidRDefault="00F10DB1" w:rsidP="00D36FB8">
            <w:pPr>
              <w:ind w:right="670"/>
              <w:jc w:val="right"/>
              <w:rPr>
                <w:b/>
              </w:rPr>
            </w:pPr>
            <w:r w:rsidRPr="00DA20F5">
              <w:rPr>
                <w:b/>
              </w:rPr>
              <w:t>-0,9</w:t>
            </w:r>
          </w:p>
        </w:tc>
      </w:tr>
      <w:tr w:rsidR="009307EB" w:rsidRPr="00DA20F5" w:rsidTr="00F426EA">
        <w:trPr>
          <w:trHeight w:val="259"/>
          <w:jc w:val="center"/>
        </w:trPr>
        <w:tc>
          <w:tcPr>
            <w:tcW w:w="9156" w:type="dxa"/>
            <w:gridSpan w:val="6"/>
            <w:noWrap/>
            <w:vAlign w:val="center"/>
          </w:tcPr>
          <w:p w:rsidR="009307EB" w:rsidRPr="00DA20F5" w:rsidRDefault="009307EB" w:rsidP="00D36FB8">
            <w:pPr>
              <w:ind w:right="670"/>
              <w:jc w:val="left"/>
            </w:pPr>
            <w:r w:rsidRPr="00DA20F5">
              <w:t>v tom</w:t>
            </w:r>
          </w:p>
        </w:tc>
      </w:tr>
      <w:tr w:rsidR="00F10DB1" w:rsidRPr="00DA20F5" w:rsidTr="00F426EA">
        <w:trPr>
          <w:trHeight w:val="259"/>
          <w:jc w:val="center"/>
        </w:trPr>
        <w:tc>
          <w:tcPr>
            <w:tcW w:w="1750" w:type="dxa"/>
            <w:noWrap/>
            <w:vAlign w:val="center"/>
          </w:tcPr>
          <w:p w:rsidR="00F10DB1" w:rsidRPr="00DA20F5" w:rsidRDefault="00F10DB1" w:rsidP="00D36FB8">
            <w:r w:rsidRPr="00DA20F5">
              <w:t>Bratislavský</w:t>
            </w:r>
          </w:p>
        </w:tc>
        <w:tc>
          <w:tcPr>
            <w:tcW w:w="1742" w:type="dxa"/>
            <w:noWrap/>
            <w:vAlign w:val="center"/>
          </w:tcPr>
          <w:p w:rsidR="00F10DB1" w:rsidRPr="00DA20F5" w:rsidRDefault="00F10DB1" w:rsidP="00D36FB8">
            <w:pPr>
              <w:ind w:right="685"/>
              <w:jc w:val="right"/>
            </w:pPr>
            <w:r w:rsidRPr="00DA20F5">
              <w:t>20,4</w:t>
            </w:r>
          </w:p>
        </w:tc>
        <w:tc>
          <w:tcPr>
            <w:tcW w:w="1539" w:type="dxa"/>
            <w:noWrap/>
            <w:vAlign w:val="center"/>
          </w:tcPr>
          <w:p w:rsidR="00F10DB1" w:rsidRPr="00DA20F5" w:rsidRDefault="00F10DB1" w:rsidP="00D36FB8">
            <w:pPr>
              <w:ind w:right="685"/>
              <w:jc w:val="right"/>
            </w:pPr>
            <w:r w:rsidRPr="00DA20F5">
              <w:t>5,5</w:t>
            </w:r>
          </w:p>
        </w:tc>
        <w:tc>
          <w:tcPr>
            <w:tcW w:w="1271" w:type="dxa"/>
            <w:noWrap/>
            <w:vAlign w:val="center"/>
          </w:tcPr>
          <w:p w:rsidR="00F10DB1" w:rsidRPr="00DA20F5" w:rsidRDefault="00F10DB1" w:rsidP="00D36FB8">
            <w:pPr>
              <w:ind w:right="377"/>
              <w:jc w:val="right"/>
            </w:pPr>
            <w:r w:rsidRPr="00DA20F5">
              <w:t>97,6</w:t>
            </w:r>
          </w:p>
        </w:tc>
        <w:tc>
          <w:tcPr>
            <w:tcW w:w="1224" w:type="dxa"/>
            <w:noWrap/>
            <w:vAlign w:val="center"/>
          </w:tcPr>
          <w:p w:rsidR="00F10DB1" w:rsidRPr="00DA20F5" w:rsidRDefault="00F10DB1" w:rsidP="00D36FB8">
            <w:pPr>
              <w:ind w:right="377"/>
              <w:jc w:val="right"/>
            </w:pPr>
            <w:r w:rsidRPr="00DA20F5">
              <w:t>5,8</w:t>
            </w:r>
          </w:p>
        </w:tc>
        <w:tc>
          <w:tcPr>
            <w:tcW w:w="1630" w:type="dxa"/>
            <w:noWrap/>
            <w:vAlign w:val="center"/>
          </w:tcPr>
          <w:p w:rsidR="00F10DB1" w:rsidRPr="00DA20F5" w:rsidRDefault="00F10DB1" w:rsidP="00D36FB8">
            <w:pPr>
              <w:ind w:right="670"/>
              <w:jc w:val="right"/>
            </w:pPr>
            <w:r w:rsidRPr="00DA20F5">
              <w:t>-0,3</w:t>
            </w:r>
          </w:p>
        </w:tc>
      </w:tr>
      <w:tr w:rsidR="00F10DB1" w:rsidRPr="00DA20F5" w:rsidTr="00F426EA">
        <w:trPr>
          <w:trHeight w:val="259"/>
          <w:jc w:val="center"/>
        </w:trPr>
        <w:tc>
          <w:tcPr>
            <w:tcW w:w="1750" w:type="dxa"/>
            <w:noWrap/>
            <w:vAlign w:val="center"/>
          </w:tcPr>
          <w:p w:rsidR="00F10DB1" w:rsidRPr="00DA20F5" w:rsidRDefault="00F10DB1" w:rsidP="00D36FB8">
            <w:r w:rsidRPr="00DA20F5">
              <w:t>Trnavský</w:t>
            </w:r>
          </w:p>
        </w:tc>
        <w:tc>
          <w:tcPr>
            <w:tcW w:w="1742" w:type="dxa"/>
            <w:noWrap/>
            <w:vAlign w:val="center"/>
          </w:tcPr>
          <w:p w:rsidR="00F10DB1" w:rsidRPr="00DA20F5" w:rsidRDefault="00F10DB1" w:rsidP="00D36FB8">
            <w:pPr>
              <w:ind w:right="685"/>
              <w:jc w:val="right"/>
            </w:pPr>
            <w:r w:rsidRPr="00DA20F5">
              <w:t>31,7</w:t>
            </w:r>
          </w:p>
        </w:tc>
        <w:tc>
          <w:tcPr>
            <w:tcW w:w="1539" w:type="dxa"/>
            <w:noWrap/>
            <w:vAlign w:val="center"/>
          </w:tcPr>
          <w:p w:rsidR="00F10DB1" w:rsidRPr="00DA20F5" w:rsidRDefault="00F10DB1" w:rsidP="00D36FB8">
            <w:pPr>
              <w:ind w:right="685"/>
              <w:jc w:val="right"/>
            </w:pPr>
            <w:r w:rsidRPr="00DA20F5">
              <w:t>8,6</w:t>
            </w:r>
          </w:p>
        </w:tc>
        <w:tc>
          <w:tcPr>
            <w:tcW w:w="1271" w:type="dxa"/>
            <w:noWrap/>
            <w:vAlign w:val="center"/>
          </w:tcPr>
          <w:p w:rsidR="00F10DB1" w:rsidRPr="00DA20F5" w:rsidRDefault="00F10DB1" w:rsidP="00D36FB8">
            <w:pPr>
              <w:ind w:right="377"/>
              <w:jc w:val="right"/>
            </w:pPr>
            <w:r w:rsidRPr="00DA20F5">
              <w:t>86,6</w:t>
            </w:r>
          </w:p>
        </w:tc>
        <w:tc>
          <w:tcPr>
            <w:tcW w:w="1224" w:type="dxa"/>
            <w:noWrap/>
            <w:vAlign w:val="center"/>
          </w:tcPr>
          <w:p w:rsidR="00F10DB1" w:rsidRPr="00DA20F5" w:rsidRDefault="00F10DB1" w:rsidP="00D36FB8">
            <w:pPr>
              <w:ind w:right="377"/>
              <w:jc w:val="right"/>
            </w:pPr>
            <w:r w:rsidRPr="00DA20F5">
              <w:t>10,6</w:t>
            </w:r>
          </w:p>
        </w:tc>
        <w:tc>
          <w:tcPr>
            <w:tcW w:w="1630" w:type="dxa"/>
            <w:noWrap/>
            <w:vAlign w:val="center"/>
          </w:tcPr>
          <w:p w:rsidR="00F10DB1" w:rsidRPr="00DA20F5" w:rsidRDefault="00F10DB1" w:rsidP="00D36FB8">
            <w:pPr>
              <w:ind w:right="670"/>
              <w:jc w:val="right"/>
            </w:pPr>
            <w:r w:rsidRPr="00DA20F5">
              <w:t>-1,4</w:t>
            </w:r>
          </w:p>
        </w:tc>
      </w:tr>
      <w:tr w:rsidR="00F10DB1" w:rsidRPr="00DA20F5" w:rsidTr="00F426EA">
        <w:trPr>
          <w:trHeight w:val="259"/>
          <w:jc w:val="center"/>
        </w:trPr>
        <w:tc>
          <w:tcPr>
            <w:tcW w:w="1750" w:type="dxa"/>
            <w:noWrap/>
            <w:vAlign w:val="center"/>
          </w:tcPr>
          <w:p w:rsidR="00F10DB1" w:rsidRPr="00DA20F5" w:rsidRDefault="00F10DB1" w:rsidP="00D36FB8">
            <w:r w:rsidRPr="00DA20F5">
              <w:t>Trenčiansky</w:t>
            </w:r>
          </w:p>
        </w:tc>
        <w:tc>
          <w:tcPr>
            <w:tcW w:w="1742" w:type="dxa"/>
            <w:noWrap/>
            <w:vAlign w:val="center"/>
          </w:tcPr>
          <w:p w:rsidR="00F10DB1" w:rsidRPr="00DA20F5" w:rsidRDefault="00F10DB1" w:rsidP="00D36FB8">
            <w:pPr>
              <w:ind w:right="685"/>
              <w:jc w:val="right"/>
            </w:pPr>
            <w:r w:rsidRPr="00DA20F5">
              <w:t>25,9</w:t>
            </w:r>
          </w:p>
        </w:tc>
        <w:tc>
          <w:tcPr>
            <w:tcW w:w="1539" w:type="dxa"/>
            <w:noWrap/>
            <w:vAlign w:val="center"/>
          </w:tcPr>
          <w:p w:rsidR="00F10DB1" w:rsidRPr="00DA20F5" w:rsidRDefault="00F10DB1" w:rsidP="00D36FB8">
            <w:pPr>
              <w:ind w:right="685"/>
              <w:jc w:val="right"/>
            </w:pPr>
            <w:r w:rsidRPr="00DA20F5">
              <w:t>7,0</w:t>
            </w:r>
          </w:p>
        </w:tc>
        <w:tc>
          <w:tcPr>
            <w:tcW w:w="1271" w:type="dxa"/>
            <w:noWrap/>
            <w:vAlign w:val="center"/>
          </w:tcPr>
          <w:p w:rsidR="00F10DB1" w:rsidRPr="00DA20F5" w:rsidRDefault="00F10DB1" w:rsidP="00D36FB8">
            <w:pPr>
              <w:ind w:right="377"/>
              <w:jc w:val="right"/>
            </w:pPr>
            <w:r w:rsidRPr="00DA20F5">
              <w:t>84,4</w:t>
            </w:r>
          </w:p>
        </w:tc>
        <w:tc>
          <w:tcPr>
            <w:tcW w:w="1224" w:type="dxa"/>
            <w:noWrap/>
            <w:vAlign w:val="center"/>
          </w:tcPr>
          <w:p w:rsidR="00F10DB1" w:rsidRPr="00DA20F5" w:rsidRDefault="00F10DB1" w:rsidP="00D36FB8">
            <w:pPr>
              <w:ind w:right="377"/>
              <w:jc w:val="right"/>
            </w:pPr>
            <w:r w:rsidRPr="00DA20F5">
              <w:t>8,7</w:t>
            </w:r>
          </w:p>
        </w:tc>
        <w:tc>
          <w:tcPr>
            <w:tcW w:w="1630" w:type="dxa"/>
            <w:noWrap/>
            <w:vAlign w:val="center"/>
          </w:tcPr>
          <w:p w:rsidR="00F10DB1" w:rsidRPr="00DA20F5" w:rsidRDefault="00F10DB1" w:rsidP="00D36FB8">
            <w:pPr>
              <w:ind w:right="670"/>
              <w:jc w:val="right"/>
            </w:pPr>
            <w:r w:rsidRPr="00DA20F5">
              <w:t>-1,5</w:t>
            </w:r>
          </w:p>
        </w:tc>
      </w:tr>
      <w:tr w:rsidR="00F10DB1" w:rsidRPr="00DA20F5" w:rsidTr="00F426EA">
        <w:trPr>
          <w:trHeight w:val="259"/>
          <w:jc w:val="center"/>
        </w:trPr>
        <w:tc>
          <w:tcPr>
            <w:tcW w:w="1750" w:type="dxa"/>
            <w:noWrap/>
            <w:vAlign w:val="center"/>
          </w:tcPr>
          <w:p w:rsidR="00F10DB1" w:rsidRPr="00DA20F5" w:rsidRDefault="00F10DB1" w:rsidP="00D36FB8">
            <w:r w:rsidRPr="00DA20F5">
              <w:t>Nitriansky</w:t>
            </w:r>
          </w:p>
        </w:tc>
        <w:tc>
          <w:tcPr>
            <w:tcW w:w="1742" w:type="dxa"/>
            <w:noWrap/>
            <w:vAlign w:val="center"/>
          </w:tcPr>
          <w:p w:rsidR="00F10DB1" w:rsidRPr="00DA20F5" w:rsidRDefault="00F10DB1" w:rsidP="00D36FB8">
            <w:pPr>
              <w:ind w:right="685"/>
              <w:jc w:val="right"/>
            </w:pPr>
            <w:r w:rsidRPr="00DA20F5">
              <w:t>43,9</w:t>
            </w:r>
          </w:p>
        </w:tc>
        <w:tc>
          <w:tcPr>
            <w:tcW w:w="1539" w:type="dxa"/>
            <w:noWrap/>
            <w:vAlign w:val="center"/>
          </w:tcPr>
          <w:p w:rsidR="00F10DB1" w:rsidRPr="00DA20F5" w:rsidRDefault="00F10DB1" w:rsidP="00D36FB8">
            <w:pPr>
              <w:ind w:right="685"/>
              <w:jc w:val="right"/>
            </w:pPr>
            <w:r w:rsidRPr="00DA20F5">
              <w:t>11,9</w:t>
            </w:r>
          </w:p>
        </w:tc>
        <w:tc>
          <w:tcPr>
            <w:tcW w:w="1271" w:type="dxa"/>
            <w:noWrap/>
            <w:vAlign w:val="center"/>
          </w:tcPr>
          <w:p w:rsidR="00F10DB1" w:rsidRPr="00DA20F5" w:rsidRDefault="00F10DB1" w:rsidP="00D36FB8">
            <w:pPr>
              <w:ind w:right="377"/>
              <w:jc w:val="right"/>
            </w:pPr>
            <w:r w:rsidRPr="00DA20F5">
              <w:t>81,1</w:t>
            </w:r>
          </w:p>
        </w:tc>
        <w:tc>
          <w:tcPr>
            <w:tcW w:w="1224" w:type="dxa"/>
            <w:noWrap/>
            <w:vAlign w:val="center"/>
          </w:tcPr>
          <w:p w:rsidR="00F10DB1" w:rsidRPr="00DA20F5" w:rsidRDefault="00F10DB1" w:rsidP="00D36FB8">
            <w:pPr>
              <w:ind w:right="377"/>
              <w:jc w:val="right"/>
            </w:pPr>
            <w:r w:rsidRPr="00DA20F5">
              <w:t>12,5</w:t>
            </w:r>
          </w:p>
        </w:tc>
        <w:tc>
          <w:tcPr>
            <w:tcW w:w="1630" w:type="dxa"/>
            <w:noWrap/>
            <w:vAlign w:val="center"/>
          </w:tcPr>
          <w:p w:rsidR="00F10DB1" w:rsidRPr="00DA20F5" w:rsidRDefault="00F10DB1" w:rsidP="00D36FB8">
            <w:pPr>
              <w:ind w:right="670"/>
              <w:jc w:val="right"/>
            </w:pPr>
            <w:r w:rsidRPr="00DA20F5">
              <w:t>-2,9</w:t>
            </w:r>
          </w:p>
        </w:tc>
      </w:tr>
      <w:tr w:rsidR="00F10DB1" w:rsidRPr="00DA20F5" w:rsidTr="00F426EA">
        <w:trPr>
          <w:trHeight w:val="259"/>
          <w:jc w:val="center"/>
        </w:trPr>
        <w:tc>
          <w:tcPr>
            <w:tcW w:w="1750" w:type="dxa"/>
            <w:noWrap/>
            <w:vAlign w:val="center"/>
          </w:tcPr>
          <w:p w:rsidR="00F10DB1" w:rsidRPr="00DA20F5" w:rsidRDefault="00F10DB1" w:rsidP="00D36FB8">
            <w:r w:rsidRPr="00DA20F5">
              <w:t>Žilinský</w:t>
            </w:r>
          </w:p>
        </w:tc>
        <w:tc>
          <w:tcPr>
            <w:tcW w:w="1742" w:type="dxa"/>
            <w:noWrap/>
            <w:vAlign w:val="center"/>
          </w:tcPr>
          <w:p w:rsidR="00F10DB1" w:rsidRPr="00DA20F5" w:rsidRDefault="00F10DB1" w:rsidP="00D36FB8">
            <w:pPr>
              <w:ind w:right="685"/>
              <w:jc w:val="right"/>
            </w:pPr>
            <w:r w:rsidRPr="00DA20F5">
              <w:t>48,6</w:t>
            </w:r>
          </w:p>
        </w:tc>
        <w:tc>
          <w:tcPr>
            <w:tcW w:w="1539" w:type="dxa"/>
            <w:noWrap/>
            <w:vAlign w:val="center"/>
          </w:tcPr>
          <w:p w:rsidR="00F10DB1" w:rsidRPr="00DA20F5" w:rsidRDefault="00F10DB1" w:rsidP="00D36FB8">
            <w:pPr>
              <w:ind w:right="685"/>
              <w:jc w:val="right"/>
            </w:pPr>
            <w:r w:rsidRPr="00DA20F5">
              <w:t>13,2</w:t>
            </w:r>
          </w:p>
        </w:tc>
        <w:tc>
          <w:tcPr>
            <w:tcW w:w="1271" w:type="dxa"/>
            <w:noWrap/>
            <w:vAlign w:val="center"/>
          </w:tcPr>
          <w:p w:rsidR="00F10DB1" w:rsidRPr="00DA20F5" w:rsidRDefault="00F10DB1" w:rsidP="00D36FB8">
            <w:pPr>
              <w:ind w:right="377"/>
              <w:jc w:val="right"/>
            </w:pPr>
            <w:r w:rsidRPr="00DA20F5">
              <w:t>99,8</w:t>
            </w:r>
          </w:p>
        </w:tc>
        <w:tc>
          <w:tcPr>
            <w:tcW w:w="1224" w:type="dxa"/>
            <w:noWrap/>
            <w:vAlign w:val="center"/>
          </w:tcPr>
          <w:p w:rsidR="00F10DB1" w:rsidRPr="00DA20F5" w:rsidRDefault="00F10DB1" w:rsidP="00D36FB8">
            <w:pPr>
              <w:ind w:right="377"/>
              <w:jc w:val="right"/>
            </w:pPr>
            <w:r w:rsidRPr="00DA20F5">
              <w:t>14,3</w:t>
            </w:r>
          </w:p>
        </w:tc>
        <w:tc>
          <w:tcPr>
            <w:tcW w:w="1630" w:type="dxa"/>
            <w:noWrap/>
            <w:vAlign w:val="center"/>
          </w:tcPr>
          <w:p w:rsidR="00F10DB1" w:rsidRPr="00DA20F5" w:rsidRDefault="00F10DB1" w:rsidP="00D36FB8">
            <w:pPr>
              <w:ind w:right="670"/>
              <w:jc w:val="right"/>
            </w:pPr>
            <w:r w:rsidRPr="00DA20F5">
              <w:t>-0,2</w:t>
            </w:r>
          </w:p>
        </w:tc>
      </w:tr>
      <w:tr w:rsidR="00F10DB1" w:rsidRPr="00DA20F5" w:rsidTr="00F426EA">
        <w:trPr>
          <w:trHeight w:val="259"/>
          <w:jc w:val="center"/>
        </w:trPr>
        <w:tc>
          <w:tcPr>
            <w:tcW w:w="1750" w:type="dxa"/>
            <w:noWrap/>
            <w:vAlign w:val="center"/>
          </w:tcPr>
          <w:p w:rsidR="00F10DB1" w:rsidRPr="00DA20F5" w:rsidRDefault="00F10DB1" w:rsidP="00D36FB8">
            <w:r w:rsidRPr="00DA20F5">
              <w:t>Banskobystrický</w:t>
            </w:r>
          </w:p>
        </w:tc>
        <w:tc>
          <w:tcPr>
            <w:tcW w:w="1742" w:type="dxa"/>
            <w:noWrap/>
            <w:vAlign w:val="center"/>
          </w:tcPr>
          <w:p w:rsidR="00F10DB1" w:rsidRPr="00DA20F5" w:rsidRDefault="00F10DB1" w:rsidP="00D36FB8">
            <w:pPr>
              <w:ind w:right="685"/>
              <w:jc w:val="right"/>
            </w:pPr>
            <w:r w:rsidRPr="00DA20F5">
              <w:t>58,0</w:t>
            </w:r>
          </w:p>
        </w:tc>
        <w:tc>
          <w:tcPr>
            <w:tcW w:w="1539" w:type="dxa"/>
            <w:noWrap/>
            <w:vAlign w:val="center"/>
          </w:tcPr>
          <w:p w:rsidR="00F10DB1" w:rsidRPr="00DA20F5" w:rsidRDefault="00F10DB1" w:rsidP="00D36FB8">
            <w:pPr>
              <w:ind w:right="685"/>
              <w:jc w:val="right"/>
            </w:pPr>
            <w:r w:rsidRPr="00DA20F5">
              <w:t>15,8</w:t>
            </w:r>
          </w:p>
        </w:tc>
        <w:tc>
          <w:tcPr>
            <w:tcW w:w="1271" w:type="dxa"/>
            <w:noWrap/>
            <w:vAlign w:val="center"/>
          </w:tcPr>
          <w:p w:rsidR="00F10DB1" w:rsidRPr="00DA20F5" w:rsidRDefault="00F10DB1" w:rsidP="00D36FB8">
            <w:pPr>
              <w:ind w:right="377"/>
              <w:jc w:val="right"/>
            </w:pPr>
            <w:r w:rsidRPr="00DA20F5">
              <w:t>96,2</w:t>
            </w:r>
          </w:p>
        </w:tc>
        <w:tc>
          <w:tcPr>
            <w:tcW w:w="1224" w:type="dxa"/>
            <w:noWrap/>
            <w:vAlign w:val="center"/>
          </w:tcPr>
          <w:p w:rsidR="00F10DB1" w:rsidRPr="00DA20F5" w:rsidRDefault="00F10DB1" w:rsidP="00D36FB8">
            <w:pPr>
              <w:ind w:right="377"/>
              <w:jc w:val="right"/>
            </w:pPr>
            <w:r w:rsidRPr="00DA20F5">
              <w:t>17,5</w:t>
            </w:r>
          </w:p>
        </w:tc>
        <w:tc>
          <w:tcPr>
            <w:tcW w:w="1630" w:type="dxa"/>
            <w:noWrap/>
            <w:vAlign w:val="center"/>
          </w:tcPr>
          <w:p w:rsidR="00F10DB1" w:rsidRPr="00DA20F5" w:rsidRDefault="00F10DB1" w:rsidP="00D36FB8">
            <w:pPr>
              <w:ind w:right="670"/>
              <w:jc w:val="right"/>
            </w:pPr>
            <w:r w:rsidRPr="00DA20F5">
              <w:t>-1,1</w:t>
            </w:r>
          </w:p>
        </w:tc>
      </w:tr>
      <w:tr w:rsidR="00F10DB1" w:rsidRPr="00DA20F5" w:rsidTr="00F426EA">
        <w:trPr>
          <w:trHeight w:val="259"/>
          <w:jc w:val="center"/>
        </w:trPr>
        <w:tc>
          <w:tcPr>
            <w:tcW w:w="1750" w:type="dxa"/>
            <w:noWrap/>
            <w:vAlign w:val="center"/>
          </w:tcPr>
          <w:p w:rsidR="00F10DB1" w:rsidRPr="00DA20F5" w:rsidRDefault="00F10DB1" w:rsidP="00D36FB8">
            <w:r w:rsidRPr="00DA20F5">
              <w:t>Prešovský</w:t>
            </w:r>
          </w:p>
        </w:tc>
        <w:tc>
          <w:tcPr>
            <w:tcW w:w="1742" w:type="dxa"/>
            <w:noWrap/>
            <w:vAlign w:val="center"/>
          </w:tcPr>
          <w:p w:rsidR="00F10DB1" w:rsidRPr="00DA20F5" w:rsidRDefault="00F10DB1" w:rsidP="00D36FB8">
            <w:pPr>
              <w:ind w:right="685"/>
              <w:jc w:val="right"/>
            </w:pPr>
            <w:r w:rsidRPr="00DA20F5">
              <w:t>68,0</w:t>
            </w:r>
          </w:p>
        </w:tc>
        <w:tc>
          <w:tcPr>
            <w:tcW w:w="1539" w:type="dxa"/>
            <w:noWrap/>
            <w:vAlign w:val="center"/>
          </w:tcPr>
          <w:p w:rsidR="00F10DB1" w:rsidRPr="00DA20F5" w:rsidRDefault="00F10DB1" w:rsidP="00D36FB8">
            <w:pPr>
              <w:ind w:right="685"/>
              <w:jc w:val="right"/>
            </w:pPr>
            <w:r w:rsidRPr="00DA20F5">
              <w:t>18,5</w:t>
            </w:r>
          </w:p>
        </w:tc>
        <w:tc>
          <w:tcPr>
            <w:tcW w:w="1271" w:type="dxa"/>
            <w:noWrap/>
            <w:vAlign w:val="center"/>
          </w:tcPr>
          <w:p w:rsidR="00F10DB1" w:rsidRPr="00DA20F5" w:rsidRDefault="00F10DB1" w:rsidP="00D36FB8">
            <w:pPr>
              <w:ind w:right="377"/>
              <w:jc w:val="right"/>
            </w:pPr>
            <w:r w:rsidRPr="00DA20F5">
              <w:t>94,4</w:t>
            </w:r>
          </w:p>
        </w:tc>
        <w:tc>
          <w:tcPr>
            <w:tcW w:w="1224" w:type="dxa"/>
            <w:noWrap/>
            <w:vAlign w:val="center"/>
          </w:tcPr>
          <w:p w:rsidR="00F10DB1" w:rsidRPr="00DA20F5" w:rsidRDefault="00F10DB1" w:rsidP="00D36FB8">
            <w:pPr>
              <w:ind w:right="377"/>
              <w:jc w:val="right"/>
            </w:pPr>
            <w:r w:rsidRPr="00DA20F5">
              <w:t>17,8</w:t>
            </w:r>
          </w:p>
        </w:tc>
        <w:tc>
          <w:tcPr>
            <w:tcW w:w="1630" w:type="dxa"/>
            <w:noWrap/>
            <w:vAlign w:val="center"/>
          </w:tcPr>
          <w:p w:rsidR="00F10DB1" w:rsidRPr="00DA20F5" w:rsidRDefault="00F10DB1" w:rsidP="00D36FB8">
            <w:pPr>
              <w:ind w:right="670"/>
              <w:jc w:val="right"/>
            </w:pPr>
            <w:r w:rsidRPr="00DA20F5">
              <w:t>-0,8</w:t>
            </w:r>
          </w:p>
        </w:tc>
      </w:tr>
      <w:tr w:rsidR="00F10DB1" w:rsidRPr="00DA20F5" w:rsidTr="00F426EA">
        <w:trPr>
          <w:trHeight w:val="259"/>
          <w:jc w:val="center"/>
        </w:trPr>
        <w:tc>
          <w:tcPr>
            <w:tcW w:w="1750" w:type="dxa"/>
            <w:noWrap/>
            <w:vAlign w:val="center"/>
          </w:tcPr>
          <w:p w:rsidR="00F10DB1" w:rsidRPr="00DA20F5" w:rsidRDefault="00F10DB1" w:rsidP="00D36FB8">
            <w:r w:rsidRPr="00DA20F5">
              <w:t>Košický</w:t>
            </w:r>
          </w:p>
        </w:tc>
        <w:tc>
          <w:tcPr>
            <w:tcW w:w="1742" w:type="dxa"/>
            <w:noWrap/>
            <w:vAlign w:val="center"/>
          </w:tcPr>
          <w:p w:rsidR="00F10DB1" w:rsidRPr="00DA20F5" w:rsidRDefault="00F10DB1" w:rsidP="00D36FB8">
            <w:pPr>
              <w:ind w:right="685"/>
              <w:jc w:val="right"/>
            </w:pPr>
            <w:r w:rsidRPr="00DA20F5">
              <w:t>71,6</w:t>
            </w:r>
          </w:p>
        </w:tc>
        <w:tc>
          <w:tcPr>
            <w:tcW w:w="1539" w:type="dxa"/>
            <w:noWrap/>
            <w:vAlign w:val="center"/>
          </w:tcPr>
          <w:p w:rsidR="00F10DB1" w:rsidRPr="00DA20F5" w:rsidRDefault="00F10DB1" w:rsidP="00D36FB8">
            <w:pPr>
              <w:ind w:right="685"/>
              <w:jc w:val="right"/>
            </w:pPr>
            <w:r w:rsidRPr="00DA20F5">
              <w:t>19,5</w:t>
            </w:r>
          </w:p>
        </w:tc>
        <w:tc>
          <w:tcPr>
            <w:tcW w:w="1271" w:type="dxa"/>
            <w:noWrap/>
            <w:vAlign w:val="center"/>
          </w:tcPr>
          <w:p w:rsidR="00F10DB1" w:rsidRPr="00DA20F5" w:rsidRDefault="00F10DB1" w:rsidP="00D36FB8">
            <w:pPr>
              <w:ind w:right="377"/>
              <w:jc w:val="right"/>
            </w:pPr>
            <w:r w:rsidRPr="00DA20F5">
              <w:t>108,8</w:t>
            </w:r>
          </w:p>
        </w:tc>
        <w:tc>
          <w:tcPr>
            <w:tcW w:w="1224" w:type="dxa"/>
            <w:noWrap/>
            <w:vAlign w:val="center"/>
          </w:tcPr>
          <w:p w:rsidR="00F10DB1" w:rsidRPr="00DA20F5" w:rsidRDefault="00F10DB1" w:rsidP="00D36FB8">
            <w:pPr>
              <w:ind w:right="377"/>
              <w:jc w:val="right"/>
            </w:pPr>
            <w:r w:rsidRPr="00DA20F5">
              <w:t>19,6</w:t>
            </w:r>
          </w:p>
        </w:tc>
        <w:tc>
          <w:tcPr>
            <w:tcW w:w="1630" w:type="dxa"/>
            <w:noWrap/>
            <w:vAlign w:val="center"/>
          </w:tcPr>
          <w:p w:rsidR="00F10DB1" w:rsidRPr="00DA20F5" w:rsidRDefault="00F10DB1" w:rsidP="00D36FB8">
            <w:pPr>
              <w:ind w:right="670"/>
              <w:jc w:val="right"/>
            </w:pPr>
            <w:r w:rsidRPr="00DA20F5">
              <w:t>1,3</w:t>
            </w:r>
          </w:p>
        </w:tc>
      </w:tr>
    </w:tbl>
    <w:p w:rsidR="00F10DB1" w:rsidRPr="00DA20F5" w:rsidRDefault="00F10DB1" w:rsidP="00D36FB8">
      <w:pPr>
        <w:pStyle w:val="zdroj"/>
      </w:pPr>
      <w:r w:rsidRPr="00DA20F5">
        <w:t>Zdroj: ŠÚ SR, VZPS</w:t>
      </w:r>
    </w:p>
    <w:p w:rsidR="00F10DB1" w:rsidRPr="00DA20F5" w:rsidRDefault="00F10DB1" w:rsidP="00D36FB8">
      <w:pPr>
        <w:autoSpaceDE w:val="0"/>
        <w:autoSpaceDN w:val="0"/>
        <w:adjustRightInd w:val="0"/>
        <w:ind w:firstLine="357"/>
        <w:rPr>
          <w:rFonts w:ascii="TimesNewRoman CE" w:hAnsi="TimesNewRoman CE" w:cs="TimesNewRoman CE"/>
          <w:szCs w:val="22"/>
        </w:rPr>
      </w:pPr>
      <w:r w:rsidRPr="00DA20F5">
        <w:rPr>
          <w:rFonts w:ascii="TimesNewRoman CE" w:hAnsi="TimesNewRoman CE" w:cs="TimesNewRoman CE"/>
          <w:szCs w:val="22"/>
        </w:rPr>
        <w:t>Celkovú situáciu v nezamestnanosti ovplyvnila skutočnosť, že viac ako 60 % nezamestnaných bolo bez práce viac ako 1 rok a z nich takmer 70 % bolo nezamestnaných viac ako dva roky.</w:t>
      </w:r>
    </w:p>
    <w:p w:rsidR="00F10DB1" w:rsidRPr="00DA20F5" w:rsidRDefault="00F10DB1" w:rsidP="00D36FB8">
      <w:pPr>
        <w:pStyle w:val="Nadpis7"/>
      </w:pPr>
      <w:bookmarkStart w:id="207" w:name="_Toc325438124"/>
      <w:bookmarkStart w:id="208" w:name="_Toc325440893"/>
      <w:bookmarkStart w:id="209" w:name="_Toc325626706"/>
      <w:bookmarkStart w:id="210" w:name="_Toc326216967"/>
      <w:r w:rsidRPr="00DA20F5">
        <w:t xml:space="preserve">Tab. 2.10 Nezamestnanosť podľa dĺžky trvania nezamestnanosti v roku 2011 </w:t>
      </w:r>
      <w:r w:rsidRPr="00DA20F5">
        <w:br/>
        <w:t>(priemer za rok)</w:t>
      </w:r>
      <w:bookmarkEnd w:id="207"/>
      <w:bookmarkEnd w:id="208"/>
      <w:bookmarkEnd w:id="209"/>
      <w:bookmarkEnd w:id="210"/>
    </w:p>
    <w:tbl>
      <w:tblPr>
        <w:tblW w:w="8783" w:type="dxa"/>
        <w:jc w:val="center"/>
        <w:tblInd w:w="39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834"/>
        <w:gridCol w:w="2053"/>
        <w:gridCol w:w="2479"/>
        <w:gridCol w:w="1417"/>
      </w:tblGrid>
      <w:tr w:rsidR="00505CDE" w:rsidRPr="00DA20F5" w:rsidTr="003F1809">
        <w:trPr>
          <w:jc w:val="center"/>
        </w:trPr>
        <w:tc>
          <w:tcPr>
            <w:tcW w:w="2834"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Trvanie nezamestnanosti</w:t>
            </w:r>
          </w:p>
        </w:tc>
        <w:tc>
          <w:tcPr>
            <w:tcW w:w="2053"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Počet nezamestnaných</w:t>
            </w:r>
          </w:p>
          <w:p w:rsidR="00F10DB1" w:rsidRPr="00DA20F5" w:rsidRDefault="00F10DB1" w:rsidP="00D36FB8">
            <w:pPr>
              <w:jc w:val="center"/>
              <w:rPr>
                <w:b/>
                <w:color w:val="FFFFFF" w:themeColor="background1"/>
              </w:rPr>
            </w:pPr>
            <w:r w:rsidRPr="00DA20F5">
              <w:rPr>
                <w:b/>
                <w:color w:val="FFFFFF" w:themeColor="background1"/>
              </w:rPr>
              <w:t>(v tis. osôb)</w:t>
            </w:r>
          </w:p>
        </w:tc>
        <w:tc>
          <w:tcPr>
            <w:tcW w:w="2479"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Podiel z celkového počtu nezamestnaných (v %)</w:t>
            </w:r>
          </w:p>
        </w:tc>
        <w:tc>
          <w:tcPr>
            <w:tcW w:w="1417"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Index</w:t>
            </w:r>
          </w:p>
          <w:p w:rsidR="00F10DB1" w:rsidRPr="00DA20F5" w:rsidRDefault="00F10DB1" w:rsidP="00D36FB8">
            <w:pPr>
              <w:jc w:val="center"/>
              <w:rPr>
                <w:b/>
                <w:color w:val="FFFFFF" w:themeColor="background1"/>
              </w:rPr>
            </w:pPr>
            <w:r w:rsidRPr="00DA20F5">
              <w:rPr>
                <w:b/>
                <w:color w:val="FFFFFF" w:themeColor="background1"/>
              </w:rPr>
              <w:t>2011/2010</w:t>
            </w:r>
          </w:p>
        </w:tc>
      </w:tr>
      <w:tr w:rsidR="00505CDE" w:rsidRPr="00DA20F5" w:rsidTr="003F1809">
        <w:trPr>
          <w:trHeight w:val="255"/>
          <w:jc w:val="center"/>
        </w:trPr>
        <w:tc>
          <w:tcPr>
            <w:tcW w:w="2834" w:type="dxa"/>
            <w:vAlign w:val="center"/>
          </w:tcPr>
          <w:p w:rsidR="00F10DB1" w:rsidRPr="00DA20F5" w:rsidRDefault="00F10DB1" w:rsidP="00D36FB8">
            <w:pPr>
              <w:rPr>
                <w:b/>
              </w:rPr>
            </w:pPr>
            <w:r w:rsidRPr="00DA20F5">
              <w:rPr>
                <w:b/>
              </w:rPr>
              <w:t>Spolu</w:t>
            </w:r>
          </w:p>
        </w:tc>
        <w:tc>
          <w:tcPr>
            <w:tcW w:w="2053" w:type="dxa"/>
            <w:vAlign w:val="center"/>
          </w:tcPr>
          <w:p w:rsidR="00F10DB1" w:rsidRPr="00DA20F5" w:rsidRDefault="00F10DB1" w:rsidP="00D36FB8">
            <w:pPr>
              <w:ind w:right="811"/>
              <w:jc w:val="right"/>
              <w:rPr>
                <w:b/>
              </w:rPr>
            </w:pPr>
            <w:r w:rsidRPr="00DA20F5">
              <w:rPr>
                <w:b/>
              </w:rPr>
              <w:t>367,9</w:t>
            </w:r>
          </w:p>
        </w:tc>
        <w:tc>
          <w:tcPr>
            <w:tcW w:w="2479" w:type="dxa"/>
            <w:vAlign w:val="center"/>
          </w:tcPr>
          <w:p w:rsidR="00F10DB1" w:rsidRPr="00DA20F5" w:rsidRDefault="00F10DB1" w:rsidP="00D36FB8">
            <w:pPr>
              <w:ind w:right="811"/>
              <w:jc w:val="right"/>
              <w:rPr>
                <w:b/>
              </w:rPr>
            </w:pPr>
            <w:r w:rsidRPr="00DA20F5">
              <w:rPr>
                <w:b/>
              </w:rPr>
              <w:t>100</w:t>
            </w:r>
          </w:p>
        </w:tc>
        <w:tc>
          <w:tcPr>
            <w:tcW w:w="1417" w:type="dxa"/>
            <w:vAlign w:val="center"/>
          </w:tcPr>
          <w:p w:rsidR="00F10DB1" w:rsidRPr="00DA20F5" w:rsidRDefault="00F10DB1" w:rsidP="00D36FB8">
            <w:pPr>
              <w:ind w:right="454"/>
              <w:jc w:val="right"/>
              <w:rPr>
                <w:b/>
              </w:rPr>
            </w:pPr>
            <w:r w:rsidRPr="00DA20F5">
              <w:rPr>
                <w:b/>
              </w:rPr>
              <w:t>94,6</w:t>
            </w:r>
          </w:p>
        </w:tc>
      </w:tr>
      <w:tr w:rsidR="00505CDE" w:rsidRPr="00DA20F5" w:rsidTr="00F426EA">
        <w:trPr>
          <w:trHeight w:val="255"/>
          <w:jc w:val="center"/>
        </w:trPr>
        <w:tc>
          <w:tcPr>
            <w:tcW w:w="8783" w:type="dxa"/>
            <w:gridSpan w:val="4"/>
            <w:vAlign w:val="center"/>
          </w:tcPr>
          <w:p w:rsidR="00505CDE" w:rsidRPr="00DA20F5" w:rsidRDefault="00505CDE" w:rsidP="00D36FB8">
            <w:pPr>
              <w:ind w:right="454"/>
              <w:jc w:val="left"/>
            </w:pPr>
            <w:r w:rsidRPr="00DA20F5">
              <w:t>v tom:</w:t>
            </w:r>
          </w:p>
        </w:tc>
      </w:tr>
      <w:tr w:rsidR="00505CDE" w:rsidRPr="00DA20F5" w:rsidTr="003F1809">
        <w:trPr>
          <w:trHeight w:val="255"/>
          <w:jc w:val="center"/>
        </w:trPr>
        <w:tc>
          <w:tcPr>
            <w:tcW w:w="2834" w:type="dxa"/>
            <w:vAlign w:val="center"/>
          </w:tcPr>
          <w:p w:rsidR="00F10DB1" w:rsidRPr="00DA20F5" w:rsidRDefault="00F10DB1" w:rsidP="00D36FB8">
            <w:r w:rsidRPr="00DA20F5">
              <w:t>do 1 mesiaca</w:t>
            </w:r>
          </w:p>
        </w:tc>
        <w:tc>
          <w:tcPr>
            <w:tcW w:w="2053" w:type="dxa"/>
            <w:vAlign w:val="center"/>
          </w:tcPr>
          <w:p w:rsidR="00F10DB1" w:rsidRPr="00DA20F5" w:rsidRDefault="00F10DB1" w:rsidP="00D36FB8">
            <w:pPr>
              <w:ind w:right="811"/>
              <w:jc w:val="right"/>
            </w:pPr>
            <w:r w:rsidRPr="00DA20F5">
              <w:t>21,8</w:t>
            </w:r>
          </w:p>
        </w:tc>
        <w:tc>
          <w:tcPr>
            <w:tcW w:w="2479" w:type="dxa"/>
            <w:vAlign w:val="center"/>
          </w:tcPr>
          <w:p w:rsidR="00F10DB1" w:rsidRPr="00DA20F5" w:rsidRDefault="00F10DB1" w:rsidP="00D36FB8">
            <w:pPr>
              <w:ind w:right="811"/>
              <w:jc w:val="right"/>
            </w:pPr>
            <w:r w:rsidRPr="00DA20F5">
              <w:t>5,9</w:t>
            </w:r>
          </w:p>
        </w:tc>
        <w:tc>
          <w:tcPr>
            <w:tcW w:w="1417" w:type="dxa"/>
            <w:vAlign w:val="center"/>
          </w:tcPr>
          <w:p w:rsidR="00F10DB1" w:rsidRPr="00DA20F5" w:rsidRDefault="00F10DB1" w:rsidP="00D36FB8">
            <w:pPr>
              <w:ind w:right="454"/>
              <w:jc w:val="right"/>
            </w:pPr>
            <w:r w:rsidRPr="00DA20F5">
              <w:t>84,2</w:t>
            </w:r>
          </w:p>
        </w:tc>
      </w:tr>
      <w:tr w:rsidR="00505CDE" w:rsidRPr="00DA20F5" w:rsidTr="003F1809">
        <w:trPr>
          <w:trHeight w:val="255"/>
          <w:jc w:val="center"/>
        </w:trPr>
        <w:tc>
          <w:tcPr>
            <w:tcW w:w="2834" w:type="dxa"/>
            <w:vAlign w:val="center"/>
          </w:tcPr>
          <w:p w:rsidR="00F10DB1" w:rsidRPr="00DA20F5" w:rsidRDefault="00F10DB1" w:rsidP="00D36FB8">
            <w:pPr>
              <w:jc w:val="left"/>
            </w:pPr>
            <w:r w:rsidRPr="00DA20F5">
              <w:t>od 1 mesiaca do 3 mesiacov</w:t>
            </w:r>
          </w:p>
        </w:tc>
        <w:tc>
          <w:tcPr>
            <w:tcW w:w="2053" w:type="dxa"/>
            <w:vAlign w:val="center"/>
          </w:tcPr>
          <w:p w:rsidR="00F10DB1" w:rsidRPr="00DA20F5" w:rsidRDefault="00F10DB1" w:rsidP="00D36FB8">
            <w:pPr>
              <w:ind w:right="811"/>
              <w:jc w:val="right"/>
            </w:pPr>
            <w:r w:rsidRPr="00DA20F5">
              <w:t>23,5</w:t>
            </w:r>
          </w:p>
        </w:tc>
        <w:tc>
          <w:tcPr>
            <w:tcW w:w="2479" w:type="dxa"/>
            <w:vAlign w:val="center"/>
          </w:tcPr>
          <w:p w:rsidR="00F10DB1" w:rsidRPr="00DA20F5" w:rsidRDefault="00F10DB1" w:rsidP="00D36FB8">
            <w:pPr>
              <w:ind w:right="811"/>
              <w:jc w:val="right"/>
            </w:pPr>
            <w:r w:rsidRPr="00DA20F5">
              <w:t>6,4</w:t>
            </w:r>
          </w:p>
        </w:tc>
        <w:tc>
          <w:tcPr>
            <w:tcW w:w="1417" w:type="dxa"/>
            <w:vAlign w:val="center"/>
          </w:tcPr>
          <w:p w:rsidR="00F10DB1" w:rsidRPr="00DA20F5" w:rsidRDefault="00F10DB1" w:rsidP="00D36FB8">
            <w:pPr>
              <w:ind w:right="454"/>
              <w:jc w:val="right"/>
            </w:pPr>
            <w:r w:rsidRPr="00DA20F5">
              <w:t>94,4</w:t>
            </w:r>
          </w:p>
        </w:tc>
      </w:tr>
      <w:tr w:rsidR="00505CDE" w:rsidRPr="00DA20F5" w:rsidTr="003F1809">
        <w:trPr>
          <w:trHeight w:val="255"/>
          <w:jc w:val="center"/>
        </w:trPr>
        <w:tc>
          <w:tcPr>
            <w:tcW w:w="2834" w:type="dxa"/>
            <w:vAlign w:val="center"/>
          </w:tcPr>
          <w:p w:rsidR="00F10DB1" w:rsidRPr="00DA20F5" w:rsidRDefault="00F10DB1" w:rsidP="00D36FB8">
            <w:pPr>
              <w:jc w:val="left"/>
            </w:pPr>
            <w:r w:rsidRPr="00DA20F5">
              <w:t>od 3 mesiace do 6 mesiacov</w:t>
            </w:r>
          </w:p>
        </w:tc>
        <w:tc>
          <w:tcPr>
            <w:tcW w:w="2053" w:type="dxa"/>
            <w:vAlign w:val="center"/>
          </w:tcPr>
          <w:p w:rsidR="00F10DB1" w:rsidRPr="00DA20F5" w:rsidRDefault="00F10DB1" w:rsidP="00D36FB8">
            <w:pPr>
              <w:ind w:right="811"/>
              <w:jc w:val="right"/>
            </w:pPr>
            <w:r w:rsidRPr="00DA20F5">
              <w:t>31,8</w:t>
            </w:r>
          </w:p>
        </w:tc>
        <w:tc>
          <w:tcPr>
            <w:tcW w:w="2479" w:type="dxa"/>
            <w:vAlign w:val="center"/>
          </w:tcPr>
          <w:p w:rsidR="00F10DB1" w:rsidRPr="00DA20F5" w:rsidRDefault="00F10DB1" w:rsidP="00D36FB8">
            <w:pPr>
              <w:ind w:right="811"/>
              <w:jc w:val="right"/>
            </w:pPr>
            <w:r w:rsidRPr="00DA20F5">
              <w:t>8,6</w:t>
            </w:r>
          </w:p>
        </w:tc>
        <w:tc>
          <w:tcPr>
            <w:tcW w:w="1417" w:type="dxa"/>
            <w:vAlign w:val="center"/>
          </w:tcPr>
          <w:p w:rsidR="00F10DB1" w:rsidRPr="00DA20F5" w:rsidRDefault="00F10DB1" w:rsidP="00D36FB8">
            <w:pPr>
              <w:ind w:right="454"/>
              <w:jc w:val="right"/>
            </w:pPr>
            <w:r w:rsidRPr="00DA20F5">
              <w:t>86,2</w:t>
            </w:r>
          </w:p>
        </w:tc>
      </w:tr>
      <w:tr w:rsidR="00505CDE" w:rsidRPr="00DA20F5" w:rsidTr="003F1809">
        <w:trPr>
          <w:trHeight w:val="255"/>
          <w:jc w:val="center"/>
        </w:trPr>
        <w:tc>
          <w:tcPr>
            <w:tcW w:w="2834" w:type="dxa"/>
            <w:vAlign w:val="center"/>
          </w:tcPr>
          <w:p w:rsidR="00F10DB1" w:rsidRPr="00DA20F5" w:rsidRDefault="00F10DB1" w:rsidP="00D36FB8">
            <w:r w:rsidRPr="00DA20F5">
              <w:t>od 6 mesiacov do 1 roka</w:t>
            </w:r>
          </w:p>
        </w:tc>
        <w:tc>
          <w:tcPr>
            <w:tcW w:w="2053" w:type="dxa"/>
            <w:vAlign w:val="center"/>
          </w:tcPr>
          <w:p w:rsidR="00F10DB1" w:rsidRPr="00DA20F5" w:rsidRDefault="00F10DB1" w:rsidP="00D36FB8">
            <w:pPr>
              <w:ind w:right="811"/>
              <w:jc w:val="right"/>
            </w:pPr>
            <w:r w:rsidRPr="00DA20F5">
              <w:t>31,8</w:t>
            </w:r>
          </w:p>
        </w:tc>
        <w:tc>
          <w:tcPr>
            <w:tcW w:w="2479" w:type="dxa"/>
            <w:vAlign w:val="center"/>
          </w:tcPr>
          <w:p w:rsidR="00F10DB1" w:rsidRPr="00DA20F5" w:rsidRDefault="00F10DB1" w:rsidP="00D36FB8">
            <w:pPr>
              <w:ind w:right="811"/>
              <w:jc w:val="right"/>
            </w:pPr>
            <w:r w:rsidRPr="00DA20F5">
              <w:t>15,2</w:t>
            </w:r>
          </w:p>
        </w:tc>
        <w:tc>
          <w:tcPr>
            <w:tcW w:w="1417" w:type="dxa"/>
            <w:vAlign w:val="center"/>
          </w:tcPr>
          <w:p w:rsidR="00F10DB1" w:rsidRPr="00DA20F5" w:rsidRDefault="00F10DB1" w:rsidP="00D36FB8">
            <w:pPr>
              <w:ind w:right="454"/>
              <w:jc w:val="right"/>
            </w:pPr>
            <w:r w:rsidRPr="00DA20F5">
              <w:t>79,0</w:t>
            </w:r>
          </w:p>
        </w:tc>
      </w:tr>
      <w:tr w:rsidR="00505CDE" w:rsidRPr="00DA20F5" w:rsidTr="003F1809">
        <w:trPr>
          <w:trHeight w:val="255"/>
          <w:jc w:val="center"/>
        </w:trPr>
        <w:tc>
          <w:tcPr>
            <w:tcW w:w="2834" w:type="dxa"/>
            <w:vAlign w:val="center"/>
          </w:tcPr>
          <w:p w:rsidR="00F10DB1" w:rsidRPr="00DA20F5" w:rsidRDefault="00F10DB1" w:rsidP="00D36FB8">
            <w:r w:rsidRPr="00DA20F5">
              <w:t>od 1 roka spolu</w:t>
            </w:r>
          </w:p>
        </w:tc>
        <w:tc>
          <w:tcPr>
            <w:tcW w:w="2053" w:type="dxa"/>
            <w:vAlign w:val="center"/>
          </w:tcPr>
          <w:p w:rsidR="00F10DB1" w:rsidRPr="00DA20F5" w:rsidRDefault="00F10DB1" w:rsidP="00D36FB8">
            <w:pPr>
              <w:ind w:right="811"/>
              <w:jc w:val="right"/>
            </w:pPr>
            <w:r w:rsidRPr="00DA20F5">
              <w:t>235,1</w:t>
            </w:r>
          </w:p>
        </w:tc>
        <w:tc>
          <w:tcPr>
            <w:tcW w:w="2479" w:type="dxa"/>
            <w:vAlign w:val="center"/>
          </w:tcPr>
          <w:p w:rsidR="00F10DB1" w:rsidRPr="00DA20F5" w:rsidRDefault="00F10DB1" w:rsidP="00D36FB8">
            <w:pPr>
              <w:ind w:right="811"/>
              <w:jc w:val="right"/>
            </w:pPr>
            <w:r w:rsidRPr="00DA20F5">
              <w:t>63,9</w:t>
            </w:r>
          </w:p>
        </w:tc>
        <w:tc>
          <w:tcPr>
            <w:tcW w:w="1417" w:type="dxa"/>
            <w:vAlign w:val="center"/>
          </w:tcPr>
          <w:p w:rsidR="00F10DB1" w:rsidRPr="00DA20F5" w:rsidRDefault="00F10DB1" w:rsidP="00D36FB8">
            <w:pPr>
              <w:ind w:right="454"/>
              <w:jc w:val="right"/>
            </w:pPr>
            <w:r w:rsidRPr="00DA20F5">
              <w:t>101,9</w:t>
            </w:r>
          </w:p>
        </w:tc>
      </w:tr>
      <w:tr w:rsidR="00505CDE" w:rsidRPr="00DA20F5" w:rsidTr="003F1809">
        <w:trPr>
          <w:trHeight w:val="255"/>
          <w:jc w:val="center"/>
        </w:trPr>
        <w:tc>
          <w:tcPr>
            <w:tcW w:w="2834" w:type="dxa"/>
            <w:vAlign w:val="center"/>
          </w:tcPr>
          <w:p w:rsidR="00F10DB1" w:rsidRPr="00DA20F5" w:rsidRDefault="00F10DB1" w:rsidP="00D36FB8">
            <w:r w:rsidRPr="00DA20F5">
              <w:t>od 1do 2 rokov</w:t>
            </w:r>
          </w:p>
        </w:tc>
        <w:tc>
          <w:tcPr>
            <w:tcW w:w="2053" w:type="dxa"/>
            <w:vAlign w:val="center"/>
          </w:tcPr>
          <w:p w:rsidR="00F10DB1" w:rsidRPr="00DA20F5" w:rsidRDefault="00F10DB1" w:rsidP="00D36FB8">
            <w:pPr>
              <w:ind w:right="811"/>
              <w:jc w:val="right"/>
            </w:pPr>
            <w:r w:rsidRPr="00DA20F5">
              <w:t>75,2</w:t>
            </w:r>
          </w:p>
        </w:tc>
        <w:tc>
          <w:tcPr>
            <w:tcW w:w="2479" w:type="dxa"/>
            <w:vAlign w:val="center"/>
          </w:tcPr>
          <w:p w:rsidR="00F10DB1" w:rsidRPr="00DA20F5" w:rsidRDefault="00F10DB1" w:rsidP="00D36FB8">
            <w:pPr>
              <w:ind w:right="811"/>
              <w:jc w:val="right"/>
            </w:pPr>
            <w:r w:rsidRPr="00DA20F5">
              <w:t>20,4</w:t>
            </w:r>
          </w:p>
        </w:tc>
        <w:tc>
          <w:tcPr>
            <w:tcW w:w="1417" w:type="dxa"/>
            <w:vAlign w:val="center"/>
          </w:tcPr>
          <w:p w:rsidR="00F10DB1" w:rsidRPr="00DA20F5" w:rsidRDefault="00F10DB1" w:rsidP="00D36FB8">
            <w:pPr>
              <w:ind w:right="454"/>
              <w:jc w:val="right"/>
            </w:pPr>
            <w:r w:rsidRPr="00DA20F5">
              <w:t>88,3</w:t>
            </w:r>
          </w:p>
        </w:tc>
      </w:tr>
      <w:tr w:rsidR="00505CDE" w:rsidRPr="00DA20F5" w:rsidTr="003F1809">
        <w:trPr>
          <w:trHeight w:val="255"/>
          <w:jc w:val="center"/>
        </w:trPr>
        <w:tc>
          <w:tcPr>
            <w:tcW w:w="2834" w:type="dxa"/>
            <w:vAlign w:val="center"/>
          </w:tcPr>
          <w:p w:rsidR="00F10DB1" w:rsidRPr="00DA20F5" w:rsidRDefault="00F10DB1" w:rsidP="00D36FB8">
            <w:r w:rsidRPr="00DA20F5">
              <w:t>viac ako 2 roky</w:t>
            </w:r>
          </w:p>
        </w:tc>
        <w:tc>
          <w:tcPr>
            <w:tcW w:w="2053" w:type="dxa"/>
            <w:vAlign w:val="center"/>
          </w:tcPr>
          <w:p w:rsidR="00F10DB1" w:rsidRPr="00DA20F5" w:rsidRDefault="00F10DB1" w:rsidP="00D36FB8">
            <w:pPr>
              <w:ind w:right="811"/>
              <w:jc w:val="right"/>
            </w:pPr>
            <w:r w:rsidRPr="00DA20F5">
              <w:t>159,9</w:t>
            </w:r>
          </w:p>
        </w:tc>
        <w:tc>
          <w:tcPr>
            <w:tcW w:w="2479" w:type="dxa"/>
            <w:vAlign w:val="center"/>
          </w:tcPr>
          <w:p w:rsidR="00F10DB1" w:rsidRPr="00DA20F5" w:rsidRDefault="00F10DB1" w:rsidP="00D36FB8">
            <w:pPr>
              <w:ind w:right="811"/>
              <w:jc w:val="right"/>
            </w:pPr>
            <w:r w:rsidRPr="00DA20F5">
              <w:t>43,5</w:t>
            </w:r>
          </w:p>
        </w:tc>
        <w:tc>
          <w:tcPr>
            <w:tcW w:w="1417" w:type="dxa"/>
            <w:vAlign w:val="center"/>
          </w:tcPr>
          <w:p w:rsidR="00F10DB1" w:rsidRPr="00DA20F5" w:rsidRDefault="00F10DB1" w:rsidP="00D36FB8">
            <w:pPr>
              <w:ind w:right="454"/>
              <w:jc w:val="right"/>
            </w:pPr>
            <w:r w:rsidRPr="00DA20F5">
              <w:t>109,8</w:t>
            </w:r>
          </w:p>
        </w:tc>
      </w:tr>
    </w:tbl>
    <w:p w:rsidR="00F10DB1" w:rsidRPr="00DA20F5" w:rsidRDefault="00F10DB1" w:rsidP="00D36FB8">
      <w:pPr>
        <w:pStyle w:val="zdroj"/>
      </w:pPr>
      <w:r w:rsidRPr="00DA20F5">
        <w:t>Zdroj: ŠÚ SR, VZPS</w:t>
      </w:r>
    </w:p>
    <w:p w:rsidR="00F10DB1" w:rsidRPr="00DA20F5" w:rsidRDefault="00F10DB1" w:rsidP="00D36FB8">
      <w:pPr>
        <w:ind w:firstLine="357"/>
      </w:pPr>
      <w:r w:rsidRPr="00DA20F5">
        <w:t>Z hľadiska vývoja nezamestnanosti podľa dĺžky jej trvania v roku 2011 sa medziročne zvýšil počet nezamestnaných v skupine osôb, ktoré boli nezamestnané viac ako 2 roky, čo ovplyvnilo sumárnu nezamestnanosť trvajúcu viac než 1 rok. Počet osôb nezamestnaných dlhšie ako 1 rok oproti roku 2010 vzrástol o 4,3 tis. osôb na 235,1 tis. a ich podiel na celko</w:t>
      </w:r>
      <w:r w:rsidR="00DC1659" w:rsidRPr="00DA20F5">
        <w:t>vej nezamestnanosti sa zvýšil o </w:t>
      </w:r>
      <w:r w:rsidRPr="00DA20F5">
        <w:t xml:space="preserve">4,6 p. b. na 63,9 % (v roku 2010 to bolo 59,3 %). </w:t>
      </w:r>
    </w:p>
    <w:p w:rsidR="00F10DB1" w:rsidRPr="00DA20F5" w:rsidRDefault="00F10DB1" w:rsidP="00D36FB8">
      <w:pPr>
        <w:ind w:firstLine="357"/>
      </w:pPr>
      <w:r w:rsidRPr="00DA20F5">
        <w:t xml:space="preserve">Miera dlhodobej nezamestnanosti medziročne vzrástla o 0,1 p. b. (z 8,5 % v roku 2010 na 8,6 %). </w:t>
      </w:r>
    </w:p>
    <w:p w:rsidR="00505CDE" w:rsidRPr="00DA20F5" w:rsidRDefault="00505CDE" w:rsidP="00D36FB8">
      <w:pPr>
        <w:jc w:val="left"/>
        <w:rPr>
          <w:b/>
        </w:rPr>
      </w:pPr>
      <w:r w:rsidRPr="00DA20F5">
        <w:br w:type="page"/>
      </w:r>
    </w:p>
    <w:p w:rsidR="00F10DB1" w:rsidRPr="00DA20F5" w:rsidRDefault="00F10DB1" w:rsidP="00D36FB8">
      <w:pPr>
        <w:pStyle w:val="Nadpis7"/>
      </w:pPr>
      <w:bookmarkStart w:id="211" w:name="_Toc325438125"/>
      <w:bookmarkStart w:id="212" w:name="_Toc325440894"/>
      <w:bookmarkStart w:id="213" w:name="_Toc325626707"/>
      <w:bookmarkStart w:id="214" w:name="_Toc326216968"/>
      <w:r w:rsidRPr="00DA20F5">
        <w:lastRenderedPageBreak/>
        <w:t>Graf 2.1 Vývoj počtu nezamestnaných v SR spolu a nezamestnaných viac ako 1 rok</w:t>
      </w:r>
      <w:bookmarkEnd w:id="211"/>
      <w:bookmarkEnd w:id="212"/>
      <w:bookmarkEnd w:id="213"/>
      <w:bookmarkEnd w:id="214"/>
    </w:p>
    <w:p w:rsidR="00F10DB1" w:rsidRPr="00DA20F5" w:rsidRDefault="00F10DB1" w:rsidP="00D36FB8">
      <w:pPr>
        <w:jc w:val="center"/>
        <w:rPr>
          <w:noProof/>
          <w:color w:val="1F497D" w:themeColor="text2"/>
        </w:rPr>
      </w:pPr>
      <w:r w:rsidRPr="00DA20F5">
        <w:rPr>
          <w:noProof/>
          <w:color w:val="1F497D" w:themeColor="text2"/>
        </w:rPr>
        <w:drawing>
          <wp:inline distT="0" distB="0" distL="0" distR="0" wp14:anchorId="34B6E00D" wp14:editId="66BE1811">
            <wp:extent cx="4155743" cy="2197290"/>
            <wp:effectExtent l="0" t="0" r="0" b="0"/>
            <wp:docPr id="29"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10DB1" w:rsidRPr="00DA20F5" w:rsidRDefault="00F10DB1" w:rsidP="00D36FB8">
      <w:pPr>
        <w:pStyle w:val="zdroj"/>
      </w:pPr>
      <w:r w:rsidRPr="00DA20F5">
        <w:t>Zdroj: ŠÚ SR, VZPS</w:t>
      </w:r>
    </w:p>
    <w:p w:rsidR="00F10DB1" w:rsidRPr="00DA20F5" w:rsidRDefault="00F10DB1" w:rsidP="00D36FB8"/>
    <w:p w:rsidR="00F10DB1" w:rsidRPr="00DA20F5" w:rsidRDefault="00F10DB1" w:rsidP="00D36FB8">
      <w:pPr>
        <w:ind w:firstLine="357"/>
        <w:rPr>
          <w:b/>
        </w:rPr>
      </w:pPr>
      <w:r w:rsidRPr="00DA20F5">
        <w:t>V prípade krátkodobej nezamestnanosti bol zaznamenaný pokles nezamestnanosti vo všetkých skupinách nezamestnaných do 1 roka, pričom najintenzívnejšie nezamestnanosť poklesla v skupine nezamestnaných od 6 mesiacov do 1 roka (o 14,8 tis. osôb, resp. o 21,0 %).</w:t>
      </w:r>
    </w:p>
    <w:p w:rsidR="00F10DB1" w:rsidRPr="00DA20F5" w:rsidRDefault="00F10DB1" w:rsidP="00D36FB8">
      <w:pPr>
        <w:jc w:val="center"/>
        <w:rPr>
          <w:b/>
          <w:color w:val="1F497D" w:themeColor="text2"/>
        </w:rPr>
      </w:pPr>
    </w:p>
    <w:p w:rsidR="00F10DB1" w:rsidRPr="00DA20F5" w:rsidRDefault="00F10DB1" w:rsidP="00DC1659">
      <w:pPr>
        <w:pStyle w:val="Nadpis41"/>
      </w:pPr>
      <w:r w:rsidRPr="00DA20F5">
        <w:t>Nezamestnanosť podľa evidencie úradov práce, sociálnych vecí a rodiny</w:t>
      </w:r>
    </w:p>
    <w:p w:rsidR="00F10DB1" w:rsidRPr="00DA20F5" w:rsidRDefault="00F10DB1" w:rsidP="00D36FB8">
      <w:pPr>
        <w:pStyle w:val="Normlnysozarkami12"/>
        <w:ind w:firstLine="284"/>
      </w:pPr>
      <w:r w:rsidRPr="00DA20F5">
        <w:t xml:space="preserve">Napriek postupnému oživeniu ekonomiky trh práce v SR bol v roku 2011 negatívne ovplyvnený dôsledkami dlhovej krízy, ktoré </w:t>
      </w:r>
      <w:r w:rsidR="00505CDE" w:rsidRPr="00DA20F5">
        <w:t xml:space="preserve">boli </w:t>
      </w:r>
      <w:r w:rsidRPr="00DA20F5">
        <w:t>čiastočne zmierňova</w:t>
      </w:r>
      <w:r w:rsidR="00505CDE" w:rsidRPr="00DA20F5">
        <w:t>né</w:t>
      </w:r>
      <w:r w:rsidRPr="00DA20F5">
        <w:t xml:space="preserve"> opatrenia</w:t>
      </w:r>
      <w:r w:rsidR="00505CDE" w:rsidRPr="00DA20F5">
        <w:t>mi</w:t>
      </w:r>
      <w:r w:rsidRPr="00DA20F5">
        <w:t xml:space="preserve"> prijat</w:t>
      </w:r>
      <w:r w:rsidR="00505CDE" w:rsidRPr="00DA20F5">
        <w:t>ými</w:t>
      </w:r>
      <w:r w:rsidRPr="00DA20F5">
        <w:t xml:space="preserve"> vládou SR. Opatrenia boli orientované na podporu zvyšovania zamestnanosti prostredníctvom podpory tvorby nových pracovných miest a na opatrenia, ktoré vytvorili motivačné prostredie nielen pre domácich, ale aj pre zahraničných zamestnávateľov nevynímajúc aktívne opatrenia na trhu práce, ktorých implementácia je v kompetencii ÚPSVR a úradov práce, sociálnych vecí a rodiny (úrad</w:t>
      </w:r>
      <w:r w:rsidR="007B624E" w:rsidRPr="00DA20F5">
        <w:t xml:space="preserve"> práce</w:t>
      </w:r>
      <w:r w:rsidRPr="00DA20F5">
        <w:t xml:space="preserve">). Aktívne opatrenia na trhu práce boli zamerané aj na podporu začleňovania dlhodobo nezamestnaných osôb, marginalizovaných skupín a neaktívnych osôb (podrobnejšie informácie sú uvedené v kapitole 2.1.4 Aktívne opatrenia na trhu práce). </w:t>
      </w:r>
    </w:p>
    <w:p w:rsidR="00F10DB1" w:rsidRPr="00DA20F5" w:rsidRDefault="00F10DB1" w:rsidP="00D36FB8">
      <w:pPr>
        <w:pStyle w:val="Normlnysozarkami12"/>
        <w:ind w:firstLine="284"/>
      </w:pPr>
      <w:r w:rsidRPr="00DA20F5">
        <w:t>Na vývoj evidovanej nezamestnanosti v roku 2011 pôsobili viaceré faktory. Išlo hlavne o prítok uchádzačov o zamestnanie (UoZ) z hromadného prepúšťania, ktorý v roku 2011 bol 1 509 osôb, prítok uchádzačov o zamestnanie z krajín EÚ, ktorý v roku 2011 bol 9 115 osôb, pretrvávajúci nesúlad medzi štruktúrou voľných pracovných miest a štruktúrou uchádzačov o zamestnanie, nedostatok voľných pracovných miest, ukončovanie pracovných pomerov z organizačných dôvodov, v skúšobnej dobe a na dobu určitú, ukončovanie samostatnej zárobkovej činnosti.</w:t>
      </w:r>
    </w:p>
    <w:p w:rsidR="00F10DB1" w:rsidRPr="00DA20F5" w:rsidRDefault="00F10DB1" w:rsidP="00D36FB8">
      <w:pPr>
        <w:ind w:firstLine="284"/>
      </w:pPr>
      <w:r w:rsidRPr="00DA20F5">
        <w:t>Rast nezamestnanosti tlmili najmä aktívne opatrenia na trhu práce, aktivizácia poradenských služieb, rokovania zamerané na predchádzanie a utlmovanie dopadov hromadných prepúšťaní a prepúšťaní a nárast ponuky sezónnych prác v závislosti od poveternostných podmienok.</w:t>
      </w:r>
    </w:p>
    <w:p w:rsidR="00505CDE" w:rsidRPr="00DA20F5" w:rsidRDefault="00505CDE" w:rsidP="00D36FB8">
      <w:pPr>
        <w:jc w:val="left"/>
        <w:rPr>
          <w:b/>
        </w:rPr>
      </w:pPr>
      <w:r w:rsidRPr="00DA20F5">
        <w:br w:type="page"/>
      </w:r>
    </w:p>
    <w:p w:rsidR="00F10DB1" w:rsidRPr="00DA20F5" w:rsidRDefault="00F10DB1" w:rsidP="000B4550">
      <w:pPr>
        <w:pStyle w:val="Nadpis7"/>
        <w:spacing w:before="0"/>
      </w:pPr>
      <w:bookmarkStart w:id="215" w:name="_Toc325438126"/>
      <w:bookmarkStart w:id="216" w:name="_Toc325440895"/>
      <w:bookmarkStart w:id="217" w:name="_Toc325626708"/>
      <w:bookmarkStart w:id="218" w:name="_Toc326216969"/>
      <w:r w:rsidRPr="00DA20F5">
        <w:lastRenderedPageBreak/>
        <w:t>Tab. 2.11</w:t>
      </w:r>
      <w:r w:rsidR="00CF6056" w:rsidRPr="00DA20F5">
        <w:t xml:space="preserve"> </w:t>
      </w:r>
      <w:r w:rsidRPr="00DA20F5">
        <w:t>Porovnanie mier nezamestnanosti (priemer za štvrťrok)</w:t>
      </w:r>
      <w:bookmarkEnd w:id="215"/>
      <w:bookmarkEnd w:id="216"/>
      <w:bookmarkEnd w:id="217"/>
      <w:bookmarkEnd w:id="218"/>
    </w:p>
    <w:tbl>
      <w:tblPr>
        <w:tblW w:w="917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A0" w:firstRow="1" w:lastRow="0" w:firstColumn="1" w:lastColumn="0" w:noHBand="0" w:noVBand="0"/>
      </w:tblPr>
      <w:tblGrid>
        <w:gridCol w:w="2489"/>
        <w:gridCol w:w="766"/>
        <w:gridCol w:w="818"/>
        <w:gridCol w:w="871"/>
        <w:gridCol w:w="888"/>
        <w:gridCol w:w="766"/>
        <w:gridCol w:w="818"/>
        <w:gridCol w:w="871"/>
        <w:gridCol w:w="891"/>
      </w:tblGrid>
      <w:tr w:rsidR="00F10DB1" w:rsidRPr="00DA20F5" w:rsidTr="00F426EA">
        <w:trPr>
          <w:trHeight w:val="181"/>
          <w:jc w:val="center"/>
        </w:trPr>
        <w:tc>
          <w:tcPr>
            <w:tcW w:w="2489"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Ukazovateľ</w:t>
            </w:r>
          </w:p>
        </w:tc>
        <w:tc>
          <w:tcPr>
            <w:tcW w:w="766"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 Q 2010</w:t>
            </w:r>
          </w:p>
        </w:tc>
        <w:tc>
          <w:tcPr>
            <w:tcW w:w="818"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II. Q 2010</w:t>
            </w:r>
          </w:p>
        </w:tc>
        <w:tc>
          <w:tcPr>
            <w:tcW w:w="871"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III. Q 2010</w:t>
            </w:r>
          </w:p>
        </w:tc>
        <w:tc>
          <w:tcPr>
            <w:tcW w:w="888"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IV. Q 2010</w:t>
            </w:r>
          </w:p>
        </w:tc>
        <w:tc>
          <w:tcPr>
            <w:tcW w:w="766"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 Q 2011</w:t>
            </w:r>
          </w:p>
        </w:tc>
        <w:tc>
          <w:tcPr>
            <w:tcW w:w="818"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II. Q 2011</w:t>
            </w:r>
          </w:p>
        </w:tc>
        <w:tc>
          <w:tcPr>
            <w:tcW w:w="871"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III. Q 2011</w:t>
            </w:r>
          </w:p>
        </w:tc>
        <w:tc>
          <w:tcPr>
            <w:tcW w:w="891"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IV. Q 2011</w:t>
            </w:r>
          </w:p>
        </w:tc>
      </w:tr>
      <w:tr w:rsidR="00F10DB1" w:rsidRPr="00DA20F5" w:rsidTr="00F426EA">
        <w:trPr>
          <w:trHeight w:val="380"/>
          <w:jc w:val="center"/>
        </w:trPr>
        <w:tc>
          <w:tcPr>
            <w:tcW w:w="2489" w:type="dxa"/>
            <w:vAlign w:val="center"/>
          </w:tcPr>
          <w:p w:rsidR="00F10DB1" w:rsidRPr="00DA20F5" w:rsidRDefault="00F10DB1" w:rsidP="00D36FB8">
            <w:r w:rsidRPr="00DA20F5">
              <w:t>Počet evidovaných neza</w:t>
            </w:r>
            <w:r w:rsidR="005D0C7B" w:rsidRPr="00DA20F5">
              <w:softHyphen/>
            </w:r>
            <w:r w:rsidRPr="00DA20F5">
              <w:t>mestnaných v tis. osobách</w:t>
            </w:r>
          </w:p>
        </w:tc>
        <w:tc>
          <w:tcPr>
            <w:tcW w:w="766" w:type="dxa"/>
            <w:noWrap/>
            <w:vAlign w:val="center"/>
          </w:tcPr>
          <w:p w:rsidR="00F10DB1" w:rsidRPr="00DA20F5" w:rsidRDefault="00F10DB1" w:rsidP="00D36FB8">
            <w:pPr>
              <w:ind w:right="113"/>
              <w:jc w:val="right"/>
            </w:pPr>
            <w:r w:rsidRPr="00DA20F5">
              <w:t>393,8</w:t>
            </w:r>
          </w:p>
        </w:tc>
        <w:tc>
          <w:tcPr>
            <w:tcW w:w="818" w:type="dxa"/>
            <w:noWrap/>
            <w:vAlign w:val="center"/>
          </w:tcPr>
          <w:p w:rsidR="00F10DB1" w:rsidRPr="00DA20F5" w:rsidRDefault="00F10DB1" w:rsidP="00D36FB8">
            <w:pPr>
              <w:ind w:right="113"/>
              <w:jc w:val="right"/>
            </w:pPr>
            <w:r w:rsidRPr="00DA20F5">
              <w:t>378,4</w:t>
            </w:r>
          </w:p>
        </w:tc>
        <w:tc>
          <w:tcPr>
            <w:tcW w:w="871" w:type="dxa"/>
            <w:noWrap/>
            <w:vAlign w:val="center"/>
          </w:tcPr>
          <w:p w:rsidR="00F10DB1" w:rsidRPr="00DA20F5" w:rsidRDefault="00F10DB1" w:rsidP="00D36FB8">
            <w:pPr>
              <w:ind w:right="113"/>
              <w:jc w:val="right"/>
            </w:pPr>
            <w:r w:rsidRPr="00DA20F5">
              <w:t>374,4</w:t>
            </w:r>
          </w:p>
        </w:tc>
        <w:tc>
          <w:tcPr>
            <w:tcW w:w="888" w:type="dxa"/>
            <w:noWrap/>
            <w:vAlign w:val="center"/>
          </w:tcPr>
          <w:p w:rsidR="00F10DB1" w:rsidRPr="00DA20F5" w:rsidRDefault="00F10DB1" w:rsidP="00D36FB8">
            <w:pPr>
              <w:ind w:right="113"/>
              <w:jc w:val="right"/>
            </w:pPr>
            <w:r w:rsidRPr="00DA20F5">
              <w:t>376,6</w:t>
            </w:r>
          </w:p>
        </w:tc>
        <w:tc>
          <w:tcPr>
            <w:tcW w:w="766" w:type="dxa"/>
            <w:noWrap/>
            <w:vAlign w:val="center"/>
          </w:tcPr>
          <w:p w:rsidR="00F10DB1" w:rsidRPr="00DA20F5" w:rsidRDefault="00F10DB1" w:rsidP="00D36FB8">
            <w:pPr>
              <w:ind w:right="113"/>
              <w:jc w:val="right"/>
            </w:pPr>
            <w:r w:rsidRPr="00DA20F5">
              <w:t>393,2</w:t>
            </w:r>
          </w:p>
        </w:tc>
        <w:tc>
          <w:tcPr>
            <w:tcW w:w="818" w:type="dxa"/>
            <w:noWrap/>
            <w:vAlign w:val="center"/>
          </w:tcPr>
          <w:p w:rsidR="00F10DB1" w:rsidRPr="00DA20F5" w:rsidRDefault="00F10DB1" w:rsidP="00D36FB8">
            <w:pPr>
              <w:ind w:right="113"/>
              <w:jc w:val="right"/>
            </w:pPr>
            <w:r w:rsidRPr="00DA20F5">
              <w:t>382,5</w:t>
            </w:r>
          </w:p>
        </w:tc>
        <w:tc>
          <w:tcPr>
            <w:tcW w:w="871" w:type="dxa"/>
            <w:noWrap/>
            <w:vAlign w:val="center"/>
          </w:tcPr>
          <w:p w:rsidR="00F10DB1" w:rsidRPr="00DA20F5" w:rsidRDefault="00F10DB1" w:rsidP="00D36FB8">
            <w:pPr>
              <w:ind w:right="113"/>
              <w:jc w:val="right"/>
            </w:pPr>
            <w:r w:rsidRPr="00DA20F5">
              <w:t>387,0</w:t>
            </w:r>
          </w:p>
        </w:tc>
        <w:tc>
          <w:tcPr>
            <w:tcW w:w="891" w:type="dxa"/>
            <w:noWrap/>
            <w:vAlign w:val="center"/>
          </w:tcPr>
          <w:p w:rsidR="00F10DB1" w:rsidRPr="00DA20F5" w:rsidRDefault="00F10DB1" w:rsidP="00D36FB8">
            <w:pPr>
              <w:ind w:right="113"/>
              <w:jc w:val="right"/>
            </w:pPr>
            <w:r w:rsidRPr="00DA20F5">
              <w:t>394,3</w:t>
            </w:r>
          </w:p>
        </w:tc>
      </w:tr>
      <w:tr w:rsidR="00F10DB1" w:rsidRPr="00DA20F5" w:rsidTr="00F426EA">
        <w:trPr>
          <w:trHeight w:val="388"/>
          <w:jc w:val="center"/>
        </w:trPr>
        <w:tc>
          <w:tcPr>
            <w:tcW w:w="2489" w:type="dxa"/>
            <w:vAlign w:val="center"/>
          </w:tcPr>
          <w:p w:rsidR="00F10DB1" w:rsidRPr="00DA20F5" w:rsidRDefault="00F10DB1" w:rsidP="00D36FB8">
            <w:r w:rsidRPr="00DA20F5">
              <w:t>Miera evidovanej neza</w:t>
            </w:r>
            <w:r w:rsidR="005D0C7B" w:rsidRPr="00DA20F5">
              <w:softHyphen/>
            </w:r>
            <w:r w:rsidRPr="00DA20F5">
              <w:t>mestnanosti v %</w:t>
            </w:r>
          </w:p>
        </w:tc>
        <w:tc>
          <w:tcPr>
            <w:tcW w:w="766" w:type="dxa"/>
            <w:noWrap/>
            <w:vAlign w:val="center"/>
          </w:tcPr>
          <w:p w:rsidR="00F10DB1" w:rsidRPr="00DA20F5" w:rsidRDefault="00F10DB1" w:rsidP="00D36FB8">
            <w:pPr>
              <w:ind w:right="113"/>
              <w:jc w:val="right"/>
            </w:pPr>
            <w:r w:rsidRPr="00DA20F5">
              <w:t>12,9</w:t>
            </w:r>
          </w:p>
        </w:tc>
        <w:tc>
          <w:tcPr>
            <w:tcW w:w="818" w:type="dxa"/>
            <w:noWrap/>
            <w:vAlign w:val="center"/>
          </w:tcPr>
          <w:p w:rsidR="00F10DB1" w:rsidRPr="00DA20F5" w:rsidRDefault="00F10DB1" w:rsidP="00D36FB8">
            <w:pPr>
              <w:ind w:right="113"/>
              <w:jc w:val="right"/>
            </w:pPr>
            <w:r w:rsidRPr="00DA20F5">
              <w:t>12,4</w:t>
            </w:r>
          </w:p>
        </w:tc>
        <w:tc>
          <w:tcPr>
            <w:tcW w:w="871" w:type="dxa"/>
            <w:noWrap/>
            <w:vAlign w:val="center"/>
          </w:tcPr>
          <w:p w:rsidR="00F10DB1" w:rsidRPr="00DA20F5" w:rsidRDefault="00F10DB1" w:rsidP="00D36FB8">
            <w:pPr>
              <w:ind w:right="113"/>
              <w:jc w:val="right"/>
            </w:pPr>
            <w:r w:rsidRPr="00DA20F5">
              <w:t>12,3</w:t>
            </w:r>
          </w:p>
        </w:tc>
        <w:tc>
          <w:tcPr>
            <w:tcW w:w="888" w:type="dxa"/>
            <w:noWrap/>
            <w:vAlign w:val="center"/>
          </w:tcPr>
          <w:p w:rsidR="00F10DB1" w:rsidRPr="00DA20F5" w:rsidRDefault="00F10DB1" w:rsidP="00D36FB8">
            <w:pPr>
              <w:ind w:right="113"/>
              <w:jc w:val="right"/>
            </w:pPr>
            <w:r w:rsidRPr="00DA20F5">
              <w:t>12,3</w:t>
            </w:r>
          </w:p>
        </w:tc>
        <w:tc>
          <w:tcPr>
            <w:tcW w:w="766" w:type="dxa"/>
            <w:noWrap/>
            <w:vAlign w:val="center"/>
          </w:tcPr>
          <w:p w:rsidR="00F10DB1" w:rsidRPr="00DA20F5" w:rsidRDefault="00F10DB1" w:rsidP="00D36FB8">
            <w:pPr>
              <w:ind w:right="113"/>
              <w:jc w:val="right"/>
            </w:pPr>
            <w:r w:rsidRPr="00DA20F5">
              <w:t>13,1</w:t>
            </w:r>
          </w:p>
        </w:tc>
        <w:tc>
          <w:tcPr>
            <w:tcW w:w="818" w:type="dxa"/>
            <w:noWrap/>
            <w:vAlign w:val="center"/>
          </w:tcPr>
          <w:p w:rsidR="00F10DB1" w:rsidRPr="00DA20F5" w:rsidRDefault="00F10DB1" w:rsidP="00D36FB8">
            <w:pPr>
              <w:ind w:right="113"/>
              <w:jc w:val="right"/>
            </w:pPr>
            <w:r w:rsidRPr="00DA20F5">
              <w:t>12,9</w:t>
            </w:r>
          </w:p>
        </w:tc>
        <w:tc>
          <w:tcPr>
            <w:tcW w:w="871" w:type="dxa"/>
            <w:noWrap/>
            <w:vAlign w:val="center"/>
          </w:tcPr>
          <w:p w:rsidR="00F10DB1" w:rsidRPr="00DA20F5" w:rsidRDefault="00F10DB1" w:rsidP="00D36FB8">
            <w:pPr>
              <w:ind w:right="113"/>
              <w:jc w:val="right"/>
            </w:pPr>
            <w:r w:rsidRPr="00DA20F5">
              <w:t>13,2</w:t>
            </w:r>
          </w:p>
        </w:tc>
        <w:tc>
          <w:tcPr>
            <w:tcW w:w="891" w:type="dxa"/>
            <w:noWrap/>
            <w:vAlign w:val="center"/>
          </w:tcPr>
          <w:p w:rsidR="00F10DB1" w:rsidRPr="00DA20F5" w:rsidRDefault="00F10DB1" w:rsidP="00D36FB8">
            <w:pPr>
              <w:ind w:right="113"/>
              <w:jc w:val="right"/>
            </w:pPr>
            <w:r w:rsidRPr="00DA20F5">
              <w:t>13,4</w:t>
            </w:r>
          </w:p>
        </w:tc>
      </w:tr>
      <w:tr w:rsidR="008B1AA4" w:rsidRPr="00DA20F5" w:rsidTr="008B1AA4">
        <w:trPr>
          <w:trHeight w:val="361"/>
          <w:jc w:val="center"/>
        </w:trPr>
        <w:tc>
          <w:tcPr>
            <w:tcW w:w="2489" w:type="dxa"/>
            <w:vAlign w:val="center"/>
          </w:tcPr>
          <w:p w:rsidR="008B1AA4" w:rsidRPr="00DA20F5" w:rsidRDefault="008B1AA4" w:rsidP="00D36FB8">
            <w:r w:rsidRPr="00DA20F5">
              <w:t>Počet nezamestnaných (VZPS) v tis. osobách</w:t>
            </w:r>
          </w:p>
        </w:tc>
        <w:tc>
          <w:tcPr>
            <w:tcW w:w="766" w:type="dxa"/>
            <w:noWrap/>
            <w:vAlign w:val="center"/>
          </w:tcPr>
          <w:p w:rsidR="008B1AA4" w:rsidRPr="00DA20F5" w:rsidRDefault="008B1AA4" w:rsidP="00D36FB8">
            <w:pPr>
              <w:ind w:right="113"/>
              <w:jc w:val="right"/>
            </w:pPr>
            <w:r w:rsidRPr="00DA20F5">
              <w:t>407,1</w:t>
            </w:r>
          </w:p>
        </w:tc>
        <w:tc>
          <w:tcPr>
            <w:tcW w:w="818" w:type="dxa"/>
            <w:noWrap/>
            <w:vAlign w:val="center"/>
          </w:tcPr>
          <w:p w:rsidR="008B1AA4" w:rsidRPr="00DA20F5" w:rsidRDefault="008B1AA4" w:rsidP="00D36FB8">
            <w:pPr>
              <w:ind w:right="113"/>
              <w:jc w:val="right"/>
            </w:pPr>
            <w:r w:rsidRPr="00DA20F5">
              <w:t>388,3</w:t>
            </w:r>
          </w:p>
        </w:tc>
        <w:tc>
          <w:tcPr>
            <w:tcW w:w="871" w:type="dxa"/>
            <w:noWrap/>
            <w:vAlign w:val="center"/>
          </w:tcPr>
          <w:p w:rsidR="008B1AA4" w:rsidRPr="00DA20F5" w:rsidRDefault="008B1AA4" w:rsidP="00D36FB8">
            <w:pPr>
              <w:ind w:right="113"/>
              <w:jc w:val="right"/>
            </w:pPr>
            <w:r w:rsidRPr="00DA20F5">
              <w:t>383,3</w:t>
            </w:r>
          </w:p>
        </w:tc>
        <w:tc>
          <w:tcPr>
            <w:tcW w:w="888" w:type="dxa"/>
            <w:noWrap/>
            <w:vAlign w:val="center"/>
          </w:tcPr>
          <w:p w:rsidR="008B1AA4" w:rsidRPr="00DA20F5" w:rsidRDefault="008B1AA4" w:rsidP="00D36FB8">
            <w:pPr>
              <w:ind w:right="113"/>
              <w:jc w:val="right"/>
            </w:pPr>
            <w:r w:rsidRPr="00DA20F5">
              <w:t>377,3</w:t>
            </w:r>
          </w:p>
        </w:tc>
        <w:tc>
          <w:tcPr>
            <w:tcW w:w="766" w:type="dxa"/>
            <w:noWrap/>
            <w:vAlign w:val="center"/>
          </w:tcPr>
          <w:p w:rsidR="008B1AA4" w:rsidRPr="00DA20F5" w:rsidRDefault="008B1AA4" w:rsidP="00D36FB8">
            <w:pPr>
              <w:ind w:right="113"/>
              <w:jc w:val="right"/>
            </w:pPr>
            <w:r w:rsidRPr="00DA20F5">
              <w:t>375,6</w:t>
            </w:r>
          </w:p>
        </w:tc>
        <w:tc>
          <w:tcPr>
            <w:tcW w:w="818" w:type="dxa"/>
            <w:noWrap/>
            <w:vAlign w:val="center"/>
          </w:tcPr>
          <w:p w:rsidR="008B1AA4" w:rsidRPr="00DA20F5" w:rsidRDefault="008B1AA4" w:rsidP="00D36FB8">
            <w:pPr>
              <w:ind w:right="113"/>
              <w:jc w:val="right"/>
            </w:pPr>
            <w:r w:rsidRPr="00DA20F5">
              <w:t>356,5</w:t>
            </w:r>
          </w:p>
        </w:tc>
        <w:tc>
          <w:tcPr>
            <w:tcW w:w="871" w:type="dxa"/>
            <w:noWrap/>
            <w:vAlign w:val="center"/>
          </w:tcPr>
          <w:p w:rsidR="008B1AA4" w:rsidRPr="00DA20F5" w:rsidRDefault="008B1AA4" w:rsidP="00D36FB8">
            <w:pPr>
              <w:ind w:right="113"/>
              <w:jc w:val="right"/>
            </w:pPr>
            <w:r w:rsidRPr="00DA20F5">
              <w:t>357,8</w:t>
            </w:r>
          </w:p>
        </w:tc>
        <w:tc>
          <w:tcPr>
            <w:tcW w:w="891" w:type="dxa"/>
            <w:noWrap/>
            <w:vAlign w:val="center"/>
          </w:tcPr>
          <w:p w:rsidR="008B1AA4" w:rsidRPr="00DA20F5" w:rsidRDefault="008B1AA4" w:rsidP="00D36FB8">
            <w:pPr>
              <w:ind w:right="113"/>
              <w:jc w:val="right"/>
            </w:pPr>
            <w:r w:rsidRPr="00DA20F5">
              <w:t>381,8</w:t>
            </w:r>
          </w:p>
        </w:tc>
      </w:tr>
      <w:tr w:rsidR="008B1AA4" w:rsidRPr="00DA20F5" w:rsidTr="008B1AA4">
        <w:trPr>
          <w:trHeight w:val="361"/>
          <w:jc w:val="center"/>
        </w:trPr>
        <w:tc>
          <w:tcPr>
            <w:tcW w:w="2489" w:type="dxa"/>
            <w:vAlign w:val="center"/>
          </w:tcPr>
          <w:p w:rsidR="008B1AA4" w:rsidRPr="00DA20F5" w:rsidRDefault="008B1AA4" w:rsidP="00D36FB8">
            <w:r w:rsidRPr="00DA20F5">
              <w:t>Miera nezamestnanosti (VZPS) v %</w:t>
            </w:r>
          </w:p>
        </w:tc>
        <w:tc>
          <w:tcPr>
            <w:tcW w:w="766" w:type="dxa"/>
            <w:noWrap/>
            <w:vAlign w:val="center"/>
          </w:tcPr>
          <w:p w:rsidR="008B1AA4" w:rsidRPr="00DA20F5" w:rsidRDefault="008B1AA4" w:rsidP="00D36FB8">
            <w:pPr>
              <w:ind w:right="113"/>
              <w:jc w:val="right"/>
            </w:pPr>
            <w:r w:rsidRPr="00DA20F5">
              <w:t>15,1</w:t>
            </w:r>
          </w:p>
        </w:tc>
        <w:tc>
          <w:tcPr>
            <w:tcW w:w="818" w:type="dxa"/>
            <w:noWrap/>
            <w:vAlign w:val="center"/>
          </w:tcPr>
          <w:p w:rsidR="008B1AA4" w:rsidRPr="00DA20F5" w:rsidRDefault="008B1AA4" w:rsidP="00D36FB8">
            <w:pPr>
              <w:ind w:right="113"/>
              <w:jc w:val="right"/>
            </w:pPr>
            <w:r w:rsidRPr="00DA20F5">
              <w:t>14,4</w:t>
            </w:r>
          </w:p>
        </w:tc>
        <w:tc>
          <w:tcPr>
            <w:tcW w:w="871" w:type="dxa"/>
            <w:noWrap/>
            <w:vAlign w:val="center"/>
          </w:tcPr>
          <w:p w:rsidR="008B1AA4" w:rsidRPr="00DA20F5" w:rsidRDefault="008B1AA4" w:rsidP="00D36FB8">
            <w:pPr>
              <w:ind w:right="113"/>
              <w:jc w:val="right"/>
            </w:pPr>
            <w:r w:rsidRPr="00DA20F5">
              <w:t>14,1</w:t>
            </w:r>
          </w:p>
        </w:tc>
        <w:tc>
          <w:tcPr>
            <w:tcW w:w="888" w:type="dxa"/>
            <w:noWrap/>
            <w:vAlign w:val="center"/>
          </w:tcPr>
          <w:p w:rsidR="008B1AA4" w:rsidRPr="00DA20F5" w:rsidRDefault="008B1AA4" w:rsidP="00D36FB8">
            <w:pPr>
              <w:ind w:right="113"/>
              <w:jc w:val="right"/>
            </w:pPr>
            <w:r w:rsidRPr="00DA20F5">
              <w:t>13,9</w:t>
            </w:r>
          </w:p>
        </w:tc>
        <w:tc>
          <w:tcPr>
            <w:tcW w:w="766" w:type="dxa"/>
            <w:noWrap/>
            <w:vAlign w:val="center"/>
          </w:tcPr>
          <w:p w:rsidR="008B1AA4" w:rsidRPr="00DA20F5" w:rsidRDefault="008B1AA4" w:rsidP="00D36FB8">
            <w:pPr>
              <w:ind w:right="113"/>
              <w:jc w:val="right"/>
            </w:pPr>
            <w:r w:rsidRPr="00DA20F5">
              <w:t>13,9</w:t>
            </w:r>
          </w:p>
        </w:tc>
        <w:tc>
          <w:tcPr>
            <w:tcW w:w="818" w:type="dxa"/>
            <w:noWrap/>
            <w:vAlign w:val="center"/>
          </w:tcPr>
          <w:p w:rsidR="008B1AA4" w:rsidRPr="00DA20F5" w:rsidRDefault="008B1AA4" w:rsidP="00D36FB8">
            <w:pPr>
              <w:ind w:right="113"/>
              <w:jc w:val="right"/>
            </w:pPr>
            <w:r w:rsidRPr="00DA20F5">
              <w:t>13,1</w:t>
            </w:r>
          </w:p>
        </w:tc>
        <w:tc>
          <w:tcPr>
            <w:tcW w:w="871" w:type="dxa"/>
            <w:noWrap/>
            <w:vAlign w:val="center"/>
          </w:tcPr>
          <w:p w:rsidR="008B1AA4" w:rsidRPr="00DA20F5" w:rsidRDefault="008B1AA4" w:rsidP="00D36FB8">
            <w:pPr>
              <w:ind w:right="113"/>
              <w:jc w:val="right"/>
            </w:pPr>
            <w:r w:rsidRPr="00DA20F5">
              <w:t>13,1</w:t>
            </w:r>
          </w:p>
        </w:tc>
        <w:tc>
          <w:tcPr>
            <w:tcW w:w="891" w:type="dxa"/>
            <w:noWrap/>
            <w:vAlign w:val="center"/>
          </w:tcPr>
          <w:p w:rsidR="008B1AA4" w:rsidRPr="00DA20F5" w:rsidRDefault="008B1AA4" w:rsidP="00D36FB8">
            <w:pPr>
              <w:ind w:right="113"/>
              <w:jc w:val="right"/>
            </w:pPr>
            <w:r w:rsidRPr="00DA20F5">
              <w:t>14</w:t>
            </w:r>
          </w:p>
        </w:tc>
      </w:tr>
      <w:tr w:rsidR="00F10DB1" w:rsidRPr="00DA20F5" w:rsidTr="00F426EA">
        <w:trPr>
          <w:trHeight w:val="262"/>
          <w:jc w:val="center"/>
        </w:trPr>
        <w:tc>
          <w:tcPr>
            <w:tcW w:w="9178" w:type="dxa"/>
            <w:gridSpan w:val="9"/>
            <w:shd w:val="clear" w:color="auto" w:fill="4F81BD"/>
            <w:noWrap/>
            <w:vAlign w:val="center"/>
          </w:tcPr>
          <w:p w:rsidR="00F10DB1" w:rsidRPr="00DA20F5" w:rsidRDefault="00F10DB1" w:rsidP="00D36FB8">
            <w:pPr>
              <w:rPr>
                <w:b/>
                <w:color w:val="FFFFFF" w:themeColor="background1"/>
              </w:rPr>
            </w:pPr>
            <w:r w:rsidRPr="00DA20F5">
              <w:rPr>
                <w:b/>
                <w:color w:val="FFFFFF" w:themeColor="background1"/>
              </w:rPr>
              <w:t>Rozdiel evidovaná nezamestnanosť - nezamestnanosť VZPS</w:t>
            </w:r>
          </w:p>
        </w:tc>
      </w:tr>
      <w:tr w:rsidR="00F10DB1" w:rsidRPr="00DA20F5" w:rsidTr="00F426EA">
        <w:trPr>
          <w:trHeight w:val="181"/>
          <w:jc w:val="center"/>
        </w:trPr>
        <w:tc>
          <w:tcPr>
            <w:tcW w:w="2489" w:type="dxa"/>
            <w:noWrap/>
            <w:vAlign w:val="center"/>
          </w:tcPr>
          <w:p w:rsidR="00F10DB1" w:rsidRPr="00DA20F5" w:rsidRDefault="00F10DB1" w:rsidP="00D36FB8">
            <w:r w:rsidRPr="00DA20F5">
              <w:t>Počet nezamestnaných v tis.</w:t>
            </w:r>
          </w:p>
        </w:tc>
        <w:tc>
          <w:tcPr>
            <w:tcW w:w="766" w:type="dxa"/>
            <w:noWrap/>
            <w:vAlign w:val="center"/>
          </w:tcPr>
          <w:p w:rsidR="00F10DB1" w:rsidRPr="00DA20F5" w:rsidRDefault="00F10DB1" w:rsidP="00D36FB8">
            <w:pPr>
              <w:ind w:right="113"/>
              <w:jc w:val="right"/>
            </w:pPr>
            <w:r w:rsidRPr="00DA20F5">
              <w:t>-13,3</w:t>
            </w:r>
          </w:p>
        </w:tc>
        <w:tc>
          <w:tcPr>
            <w:tcW w:w="818" w:type="dxa"/>
            <w:noWrap/>
            <w:vAlign w:val="center"/>
          </w:tcPr>
          <w:p w:rsidR="00F10DB1" w:rsidRPr="00DA20F5" w:rsidRDefault="00F10DB1" w:rsidP="00D36FB8">
            <w:pPr>
              <w:ind w:right="113"/>
              <w:jc w:val="right"/>
            </w:pPr>
            <w:r w:rsidRPr="00DA20F5">
              <w:t>-9,9</w:t>
            </w:r>
          </w:p>
        </w:tc>
        <w:tc>
          <w:tcPr>
            <w:tcW w:w="871" w:type="dxa"/>
            <w:noWrap/>
            <w:vAlign w:val="center"/>
          </w:tcPr>
          <w:p w:rsidR="00F10DB1" w:rsidRPr="00DA20F5" w:rsidRDefault="00F10DB1" w:rsidP="00D36FB8">
            <w:pPr>
              <w:ind w:right="113"/>
              <w:jc w:val="right"/>
            </w:pPr>
            <w:r w:rsidRPr="00DA20F5">
              <w:t>-8,9</w:t>
            </w:r>
          </w:p>
        </w:tc>
        <w:tc>
          <w:tcPr>
            <w:tcW w:w="888" w:type="dxa"/>
            <w:noWrap/>
            <w:vAlign w:val="center"/>
          </w:tcPr>
          <w:p w:rsidR="00F10DB1" w:rsidRPr="00DA20F5" w:rsidRDefault="00F10DB1" w:rsidP="00D36FB8">
            <w:pPr>
              <w:ind w:right="113"/>
              <w:jc w:val="right"/>
            </w:pPr>
            <w:r w:rsidRPr="00DA20F5">
              <w:t>-0,7</w:t>
            </w:r>
          </w:p>
        </w:tc>
        <w:tc>
          <w:tcPr>
            <w:tcW w:w="766" w:type="dxa"/>
            <w:noWrap/>
            <w:vAlign w:val="center"/>
          </w:tcPr>
          <w:p w:rsidR="00F10DB1" w:rsidRPr="00DA20F5" w:rsidRDefault="00F10DB1" w:rsidP="00D36FB8">
            <w:pPr>
              <w:ind w:right="113"/>
              <w:jc w:val="right"/>
            </w:pPr>
            <w:r w:rsidRPr="00DA20F5">
              <w:t>17,6</w:t>
            </w:r>
          </w:p>
        </w:tc>
        <w:tc>
          <w:tcPr>
            <w:tcW w:w="818" w:type="dxa"/>
            <w:noWrap/>
            <w:vAlign w:val="center"/>
          </w:tcPr>
          <w:p w:rsidR="00F10DB1" w:rsidRPr="00DA20F5" w:rsidRDefault="00F10DB1" w:rsidP="00D36FB8">
            <w:pPr>
              <w:ind w:right="113"/>
              <w:jc w:val="right"/>
            </w:pPr>
            <w:r w:rsidRPr="00DA20F5">
              <w:t>26,0</w:t>
            </w:r>
          </w:p>
        </w:tc>
        <w:tc>
          <w:tcPr>
            <w:tcW w:w="871" w:type="dxa"/>
            <w:noWrap/>
            <w:vAlign w:val="center"/>
          </w:tcPr>
          <w:p w:rsidR="00F10DB1" w:rsidRPr="00DA20F5" w:rsidRDefault="00F10DB1" w:rsidP="00D36FB8">
            <w:pPr>
              <w:ind w:right="113"/>
              <w:jc w:val="right"/>
            </w:pPr>
            <w:r w:rsidRPr="00DA20F5">
              <w:t>29,2</w:t>
            </w:r>
          </w:p>
        </w:tc>
        <w:tc>
          <w:tcPr>
            <w:tcW w:w="891" w:type="dxa"/>
            <w:noWrap/>
            <w:vAlign w:val="center"/>
          </w:tcPr>
          <w:p w:rsidR="00F10DB1" w:rsidRPr="00DA20F5" w:rsidRDefault="00F10DB1" w:rsidP="00D36FB8">
            <w:pPr>
              <w:ind w:right="113"/>
              <w:jc w:val="right"/>
            </w:pPr>
            <w:r w:rsidRPr="00DA20F5">
              <w:t>12,5</w:t>
            </w:r>
          </w:p>
        </w:tc>
      </w:tr>
      <w:tr w:rsidR="00F10DB1" w:rsidRPr="00DA20F5" w:rsidTr="00F426EA">
        <w:trPr>
          <w:trHeight w:val="181"/>
          <w:jc w:val="center"/>
        </w:trPr>
        <w:tc>
          <w:tcPr>
            <w:tcW w:w="2489" w:type="dxa"/>
            <w:vAlign w:val="center"/>
          </w:tcPr>
          <w:p w:rsidR="00F10DB1" w:rsidRPr="00DA20F5" w:rsidRDefault="00F10DB1" w:rsidP="00D36FB8">
            <w:r w:rsidRPr="00DA20F5">
              <w:t>Miera nezamestnanosti</w:t>
            </w:r>
          </w:p>
          <w:p w:rsidR="00F10DB1" w:rsidRPr="00DA20F5" w:rsidRDefault="00F10DB1" w:rsidP="00D36FB8">
            <w:r w:rsidRPr="00DA20F5">
              <w:t>v p. b.</w:t>
            </w:r>
          </w:p>
        </w:tc>
        <w:tc>
          <w:tcPr>
            <w:tcW w:w="766" w:type="dxa"/>
            <w:noWrap/>
            <w:vAlign w:val="center"/>
          </w:tcPr>
          <w:p w:rsidR="00F10DB1" w:rsidRPr="00DA20F5" w:rsidRDefault="00F10DB1" w:rsidP="00D36FB8">
            <w:pPr>
              <w:ind w:right="113"/>
              <w:jc w:val="right"/>
            </w:pPr>
            <w:r w:rsidRPr="00DA20F5">
              <w:t>-2,2</w:t>
            </w:r>
          </w:p>
        </w:tc>
        <w:tc>
          <w:tcPr>
            <w:tcW w:w="818" w:type="dxa"/>
            <w:noWrap/>
            <w:vAlign w:val="center"/>
          </w:tcPr>
          <w:p w:rsidR="00F10DB1" w:rsidRPr="00DA20F5" w:rsidRDefault="00F10DB1" w:rsidP="00D36FB8">
            <w:pPr>
              <w:ind w:right="113"/>
              <w:jc w:val="right"/>
            </w:pPr>
            <w:r w:rsidRPr="00DA20F5">
              <w:t>-2</w:t>
            </w:r>
          </w:p>
        </w:tc>
        <w:tc>
          <w:tcPr>
            <w:tcW w:w="871" w:type="dxa"/>
            <w:noWrap/>
            <w:vAlign w:val="center"/>
          </w:tcPr>
          <w:p w:rsidR="00F10DB1" w:rsidRPr="00DA20F5" w:rsidRDefault="00F10DB1" w:rsidP="00D36FB8">
            <w:pPr>
              <w:ind w:right="113"/>
              <w:jc w:val="right"/>
            </w:pPr>
            <w:r w:rsidRPr="00DA20F5">
              <w:t>-1,8</w:t>
            </w:r>
          </w:p>
        </w:tc>
        <w:tc>
          <w:tcPr>
            <w:tcW w:w="888" w:type="dxa"/>
            <w:noWrap/>
            <w:vAlign w:val="center"/>
          </w:tcPr>
          <w:p w:rsidR="00F10DB1" w:rsidRPr="00DA20F5" w:rsidRDefault="00F10DB1" w:rsidP="00D36FB8">
            <w:pPr>
              <w:ind w:right="113"/>
              <w:jc w:val="right"/>
            </w:pPr>
            <w:r w:rsidRPr="00DA20F5">
              <w:t>-1,6</w:t>
            </w:r>
          </w:p>
        </w:tc>
        <w:tc>
          <w:tcPr>
            <w:tcW w:w="766" w:type="dxa"/>
            <w:noWrap/>
            <w:vAlign w:val="center"/>
          </w:tcPr>
          <w:p w:rsidR="00F10DB1" w:rsidRPr="00DA20F5" w:rsidRDefault="00F10DB1" w:rsidP="00D36FB8">
            <w:pPr>
              <w:ind w:right="113"/>
              <w:jc w:val="right"/>
            </w:pPr>
            <w:r w:rsidRPr="00DA20F5">
              <w:t>-0,8</w:t>
            </w:r>
          </w:p>
        </w:tc>
        <w:tc>
          <w:tcPr>
            <w:tcW w:w="818" w:type="dxa"/>
            <w:noWrap/>
            <w:vAlign w:val="center"/>
          </w:tcPr>
          <w:p w:rsidR="00F10DB1" w:rsidRPr="00DA20F5" w:rsidRDefault="00F10DB1" w:rsidP="00D36FB8">
            <w:pPr>
              <w:ind w:right="113"/>
              <w:jc w:val="right"/>
            </w:pPr>
            <w:r w:rsidRPr="00DA20F5">
              <w:t>-0,2</w:t>
            </w:r>
          </w:p>
        </w:tc>
        <w:tc>
          <w:tcPr>
            <w:tcW w:w="871" w:type="dxa"/>
            <w:noWrap/>
            <w:vAlign w:val="center"/>
          </w:tcPr>
          <w:p w:rsidR="00F10DB1" w:rsidRPr="00DA20F5" w:rsidRDefault="00F10DB1" w:rsidP="00D36FB8">
            <w:pPr>
              <w:ind w:right="113"/>
              <w:jc w:val="right"/>
            </w:pPr>
            <w:r w:rsidRPr="00DA20F5">
              <w:t>0,1</w:t>
            </w:r>
          </w:p>
        </w:tc>
        <w:tc>
          <w:tcPr>
            <w:tcW w:w="891" w:type="dxa"/>
            <w:noWrap/>
            <w:vAlign w:val="center"/>
          </w:tcPr>
          <w:p w:rsidR="00F10DB1" w:rsidRPr="00DA20F5" w:rsidRDefault="00F10DB1" w:rsidP="00D36FB8">
            <w:pPr>
              <w:ind w:right="113"/>
              <w:jc w:val="right"/>
            </w:pPr>
            <w:r w:rsidRPr="00DA20F5">
              <w:t>-0,6</w:t>
            </w:r>
          </w:p>
        </w:tc>
      </w:tr>
      <w:tr w:rsidR="00F10DB1" w:rsidRPr="00DA20F5" w:rsidTr="00F426EA">
        <w:trPr>
          <w:trHeight w:val="262"/>
          <w:jc w:val="center"/>
        </w:trPr>
        <w:tc>
          <w:tcPr>
            <w:tcW w:w="9178" w:type="dxa"/>
            <w:gridSpan w:val="9"/>
            <w:shd w:val="clear" w:color="auto" w:fill="4F81BD"/>
            <w:noWrap/>
            <w:vAlign w:val="center"/>
          </w:tcPr>
          <w:p w:rsidR="00F10DB1" w:rsidRPr="00DA20F5" w:rsidRDefault="00F10DB1" w:rsidP="00D36FB8">
            <w:pPr>
              <w:rPr>
                <w:b/>
                <w:color w:val="FFFFFF" w:themeColor="background1"/>
              </w:rPr>
            </w:pPr>
            <w:r w:rsidRPr="00DA20F5">
              <w:rPr>
                <w:b/>
                <w:color w:val="FFFFFF" w:themeColor="background1"/>
              </w:rPr>
              <w:t>Medziročné prírastky (rovnaké obdobie minulého roku = 100 %)</w:t>
            </w:r>
          </w:p>
        </w:tc>
      </w:tr>
      <w:tr w:rsidR="00F10DB1" w:rsidRPr="00DA20F5" w:rsidTr="008B1AA4">
        <w:trPr>
          <w:trHeight w:val="361"/>
          <w:jc w:val="center"/>
        </w:trPr>
        <w:tc>
          <w:tcPr>
            <w:tcW w:w="2489" w:type="dxa"/>
            <w:vAlign w:val="center"/>
          </w:tcPr>
          <w:p w:rsidR="00F10DB1" w:rsidRPr="00DA20F5" w:rsidRDefault="00F10DB1" w:rsidP="00D36FB8">
            <w:r w:rsidRPr="00DA20F5">
              <w:t>Počet evidovaných neza</w:t>
            </w:r>
            <w:r w:rsidR="005D0C7B" w:rsidRPr="00DA20F5">
              <w:softHyphen/>
            </w:r>
            <w:r w:rsidRPr="00DA20F5">
              <w:t>mestnaných v %</w:t>
            </w:r>
          </w:p>
        </w:tc>
        <w:tc>
          <w:tcPr>
            <w:tcW w:w="766" w:type="dxa"/>
            <w:noWrap/>
            <w:vAlign w:val="center"/>
          </w:tcPr>
          <w:p w:rsidR="00F10DB1" w:rsidRPr="00DA20F5" w:rsidRDefault="00F10DB1" w:rsidP="00D36FB8">
            <w:pPr>
              <w:ind w:right="113"/>
              <w:jc w:val="right"/>
            </w:pPr>
            <w:r w:rsidRPr="00DA20F5">
              <w:t>35,65</w:t>
            </w:r>
          </w:p>
        </w:tc>
        <w:tc>
          <w:tcPr>
            <w:tcW w:w="818" w:type="dxa"/>
            <w:noWrap/>
            <w:vAlign w:val="center"/>
          </w:tcPr>
          <w:p w:rsidR="00F10DB1" w:rsidRPr="00DA20F5" w:rsidRDefault="00F10DB1" w:rsidP="00D36FB8">
            <w:pPr>
              <w:ind w:right="113"/>
              <w:jc w:val="right"/>
            </w:pPr>
            <w:r w:rsidRPr="00DA20F5">
              <w:t>12,24</w:t>
            </w:r>
          </w:p>
        </w:tc>
        <w:tc>
          <w:tcPr>
            <w:tcW w:w="871" w:type="dxa"/>
            <w:noWrap/>
            <w:vAlign w:val="center"/>
          </w:tcPr>
          <w:p w:rsidR="00F10DB1" w:rsidRPr="00DA20F5" w:rsidRDefault="00F10DB1" w:rsidP="00D36FB8">
            <w:pPr>
              <w:ind w:right="113"/>
              <w:jc w:val="right"/>
            </w:pPr>
            <w:r w:rsidRPr="00DA20F5">
              <w:t>4,12</w:t>
            </w:r>
          </w:p>
        </w:tc>
        <w:tc>
          <w:tcPr>
            <w:tcW w:w="888" w:type="dxa"/>
            <w:noWrap/>
            <w:vAlign w:val="center"/>
          </w:tcPr>
          <w:p w:rsidR="00F10DB1" w:rsidRPr="00DA20F5" w:rsidRDefault="00F10DB1" w:rsidP="00D36FB8">
            <w:pPr>
              <w:ind w:right="113"/>
              <w:jc w:val="right"/>
            </w:pPr>
            <w:r w:rsidRPr="00DA20F5">
              <w:t>0,70</w:t>
            </w:r>
          </w:p>
        </w:tc>
        <w:tc>
          <w:tcPr>
            <w:tcW w:w="766" w:type="dxa"/>
            <w:noWrap/>
            <w:vAlign w:val="center"/>
          </w:tcPr>
          <w:p w:rsidR="00F10DB1" w:rsidRPr="00DA20F5" w:rsidRDefault="00F10DB1" w:rsidP="00D36FB8">
            <w:pPr>
              <w:ind w:right="113"/>
              <w:jc w:val="right"/>
            </w:pPr>
            <w:r w:rsidRPr="00DA20F5">
              <w:t>-0,15</w:t>
            </w:r>
          </w:p>
        </w:tc>
        <w:tc>
          <w:tcPr>
            <w:tcW w:w="818" w:type="dxa"/>
            <w:noWrap/>
            <w:vAlign w:val="center"/>
          </w:tcPr>
          <w:p w:rsidR="00F10DB1" w:rsidRPr="00DA20F5" w:rsidRDefault="00F10DB1" w:rsidP="00D36FB8">
            <w:pPr>
              <w:ind w:right="113"/>
              <w:jc w:val="right"/>
            </w:pPr>
            <w:r w:rsidRPr="00DA20F5">
              <w:t>1,08</w:t>
            </w:r>
          </w:p>
        </w:tc>
        <w:tc>
          <w:tcPr>
            <w:tcW w:w="871" w:type="dxa"/>
            <w:noWrap/>
            <w:vAlign w:val="center"/>
          </w:tcPr>
          <w:p w:rsidR="00F10DB1" w:rsidRPr="00DA20F5" w:rsidRDefault="00F10DB1" w:rsidP="00D36FB8">
            <w:pPr>
              <w:ind w:right="113"/>
              <w:jc w:val="right"/>
            </w:pPr>
            <w:r w:rsidRPr="00DA20F5">
              <w:t>3,37</w:t>
            </w:r>
          </w:p>
        </w:tc>
        <w:tc>
          <w:tcPr>
            <w:tcW w:w="891" w:type="dxa"/>
            <w:noWrap/>
            <w:vAlign w:val="center"/>
          </w:tcPr>
          <w:p w:rsidR="00F10DB1" w:rsidRPr="00DA20F5" w:rsidRDefault="00F10DB1" w:rsidP="00D36FB8">
            <w:pPr>
              <w:ind w:right="113"/>
              <w:jc w:val="right"/>
            </w:pPr>
            <w:r w:rsidRPr="00DA20F5">
              <w:t>4,70</w:t>
            </w:r>
          </w:p>
        </w:tc>
      </w:tr>
      <w:tr w:rsidR="008B1AA4" w:rsidRPr="00DA20F5" w:rsidTr="008B1AA4">
        <w:trPr>
          <w:trHeight w:val="361"/>
          <w:jc w:val="center"/>
        </w:trPr>
        <w:tc>
          <w:tcPr>
            <w:tcW w:w="2489" w:type="dxa"/>
            <w:vAlign w:val="center"/>
          </w:tcPr>
          <w:p w:rsidR="008B1AA4" w:rsidRPr="00DA20F5" w:rsidRDefault="008B1AA4" w:rsidP="00D36FB8">
            <w:r w:rsidRPr="00DA20F5">
              <w:t>Počet nezamestnaných (VZPS) v %</w:t>
            </w:r>
          </w:p>
        </w:tc>
        <w:tc>
          <w:tcPr>
            <w:tcW w:w="766" w:type="dxa"/>
            <w:noWrap/>
            <w:vAlign w:val="center"/>
          </w:tcPr>
          <w:p w:rsidR="008B1AA4" w:rsidRPr="00DA20F5" w:rsidRDefault="008B1AA4" w:rsidP="00D36FB8">
            <w:pPr>
              <w:ind w:right="113"/>
              <w:jc w:val="right"/>
            </w:pPr>
            <w:r w:rsidRPr="00DA20F5">
              <w:t>44,9</w:t>
            </w:r>
          </w:p>
        </w:tc>
        <w:tc>
          <w:tcPr>
            <w:tcW w:w="818" w:type="dxa"/>
            <w:noWrap/>
            <w:vAlign w:val="center"/>
          </w:tcPr>
          <w:p w:rsidR="008B1AA4" w:rsidRPr="00DA20F5" w:rsidRDefault="008B1AA4" w:rsidP="00D36FB8">
            <w:pPr>
              <w:ind w:right="113"/>
              <w:jc w:val="right"/>
            </w:pPr>
            <w:r w:rsidRPr="00DA20F5">
              <w:t>28,5</w:t>
            </w:r>
          </w:p>
        </w:tc>
        <w:tc>
          <w:tcPr>
            <w:tcW w:w="871" w:type="dxa"/>
            <w:noWrap/>
            <w:vAlign w:val="center"/>
          </w:tcPr>
          <w:p w:rsidR="008B1AA4" w:rsidRPr="00DA20F5" w:rsidRDefault="008B1AA4" w:rsidP="00D36FB8">
            <w:pPr>
              <w:ind w:right="113"/>
              <w:jc w:val="right"/>
            </w:pPr>
            <w:r w:rsidRPr="00DA20F5">
              <w:t>13,1</w:t>
            </w:r>
          </w:p>
        </w:tc>
        <w:tc>
          <w:tcPr>
            <w:tcW w:w="888" w:type="dxa"/>
            <w:noWrap/>
            <w:vAlign w:val="center"/>
          </w:tcPr>
          <w:p w:rsidR="008B1AA4" w:rsidRPr="00DA20F5" w:rsidRDefault="008B1AA4" w:rsidP="00D36FB8">
            <w:pPr>
              <w:ind w:right="113"/>
              <w:jc w:val="right"/>
            </w:pPr>
            <w:r w:rsidRPr="00DA20F5">
              <w:t>0,7</w:t>
            </w:r>
          </w:p>
        </w:tc>
        <w:tc>
          <w:tcPr>
            <w:tcW w:w="766" w:type="dxa"/>
            <w:noWrap/>
            <w:vAlign w:val="center"/>
          </w:tcPr>
          <w:p w:rsidR="008B1AA4" w:rsidRPr="00DA20F5" w:rsidRDefault="008B1AA4" w:rsidP="00D36FB8">
            <w:pPr>
              <w:ind w:right="113"/>
              <w:jc w:val="right"/>
            </w:pPr>
            <w:r w:rsidRPr="00DA20F5">
              <w:t>-7,7</w:t>
            </w:r>
          </w:p>
        </w:tc>
        <w:tc>
          <w:tcPr>
            <w:tcW w:w="818" w:type="dxa"/>
            <w:noWrap/>
            <w:vAlign w:val="center"/>
          </w:tcPr>
          <w:p w:rsidR="008B1AA4" w:rsidRPr="00DA20F5" w:rsidRDefault="008B1AA4" w:rsidP="00D36FB8">
            <w:pPr>
              <w:ind w:right="113"/>
              <w:jc w:val="right"/>
            </w:pPr>
            <w:r w:rsidRPr="00DA20F5">
              <w:t>-8,2</w:t>
            </w:r>
          </w:p>
        </w:tc>
        <w:tc>
          <w:tcPr>
            <w:tcW w:w="871" w:type="dxa"/>
            <w:noWrap/>
            <w:vAlign w:val="center"/>
          </w:tcPr>
          <w:p w:rsidR="008B1AA4" w:rsidRPr="00DA20F5" w:rsidRDefault="008B1AA4" w:rsidP="00D36FB8">
            <w:pPr>
              <w:ind w:right="113"/>
              <w:jc w:val="right"/>
            </w:pPr>
            <w:r w:rsidRPr="00DA20F5">
              <w:t>-6,7</w:t>
            </w:r>
          </w:p>
        </w:tc>
        <w:tc>
          <w:tcPr>
            <w:tcW w:w="891" w:type="dxa"/>
            <w:noWrap/>
            <w:vAlign w:val="center"/>
          </w:tcPr>
          <w:p w:rsidR="008B1AA4" w:rsidRPr="00DA20F5" w:rsidRDefault="008B1AA4" w:rsidP="00D36FB8">
            <w:pPr>
              <w:ind w:right="113"/>
              <w:jc w:val="right"/>
            </w:pPr>
            <w:r w:rsidRPr="00DA20F5">
              <w:t>1,2</w:t>
            </w:r>
          </w:p>
        </w:tc>
      </w:tr>
    </w:tbl>
    <w:p w:rsidR="00F10DB1" w:rsidRPr="00DA20F5" w:rsidRDefault="00F10DB1" w:rsidP="00D36FB8">
      <w:pPr>
        <w:pStyle w:val="zdroj"/>
      </w:pPr>
      <w:r w:rsidRPr="00DA20F5">
        <w:t>Zdroj: ŠÚ SR, ÚPSVR</w:t>
      </w:r>
    </w:p>
    <w:p w:rsidR="00F10DB1" w:rsidRPr="00DA20F5" w:rsidRDefault="00F10DB1" w:rsidP="000B4550">
      <w:pPr>
        <w:pStyle w:val="Nadpis7"/>
        <w:spacing w:before="120"/>
      </w:pPr>
      <w:bookmarkStart w:id="219" w:name="_Toc325438127"/>
      <w:bookmarkStart w:id="220" w:name="_Toc325440896"/>
      <w:bookmarkStart w:id="221" w:name="_Toc325626709"/>
      <w:bookmarkStart w:id="222" w:name="_Toc326216970"/>
      <w:r w:rsidRPr="00DA20F5">
        <w:t>Graf 2.2 Porovnanie mier nezamestnanosti v období rokov 2010 až 2011</w:t>
      </w:r>
      <w:bookmarkEnd w:id="219"/>
      <w:bookmarkEnd w:id="220"/>
      <w:bookmarkEnd w:id="221"/>
      <w:bookmarkEnd w:id="222"/>
    </w:p>
    <w:p w:rsidR="00F10DB1" w:rsidRPr="00DA20F5" w:rsidRDefault="00BB06E8" w:rsidP="000B4550">
      <w:pPr>
        <w:jc w:val="center"/>
        <w:rPr>
          <w:color w:val="1F497D" w:themeColor="text2"/>
          <w:lang w:eastAsia="cs-CZ"/>
        </w:rPr>
      </w:pPr>
      <w:r w:rsidRPr="00DA20F5">
        <w:rPr>
          <w:noProof/>
        </w:rPr>
        <w:drawing>
          <wp:inline distT="0" distB="0" distL="0" distR="0" wp14:anchorId="25AE355B" wp14:editId="2741B8E1">
            <wp:extent cx="4162567" cy="2217762"/>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10DB1" w:rsidRPr="00DA20F5" w:rsidRDefault="00F10DB1" w:rsidP="00D36FB8">
      <w:pPr>
        <w:pStyle w:val="zdroj"/>
        <w:ind w:left="567"/>
      </w:pPr>
      <w:r w:rsidRPr="00DA20F5">
        <w:t>Zdroj: ŠÚ SR a ÚPSVR</w:t>
      </w:r>
    </w:p>
    <w:p w:rsidR="000B4550" w:rsidRPr="00DA20F5" w:rsidRDefault="000B4550">
      <w:pPr>
        <w:jc w:val="left"/>
        <w:rPr>
          <w:b/>
        </w:rPr>
      </w:pPr>
      <w:bookmarkStart w:id="223" w:name="_Toc325438128"/>
      <w:bookmarkStart w:id="224" w:name="_Toc325440897"/>
      <w:bookmarkStart w:id="225" w:name="_Toc325626710"/>
      <w:bookmarkStart w:id="226" w:name="_Toc326216971"/>
      <w:r w:rsidRPr="00DA20F5">
        <w:br w:type="page"/>
      </w:r>
    </w:p>
    <w:p w:rsidR="00F10DB1" w:rsidRPr="00DA20F5" w:rsidRDefault="00F10DB1" w:rsidP="000B4550">
      <w:pPr>
        <w:pStyle w:val="Nadpis7"/>
        <w:spacing w:after="0"/>
      </w:pPr>
      <w:r w:rsidRPr="00DA20F5">
        <w:lastRenderedPageBreak/>
        <w:t>Graf 2.3 Porovnanie počtu nezamestnaných v období rokov 2010 až 2011</w:t>
      </w:r>
      <w:bookmarkEnd w:id="223"/>
      <w:bookmarkEnd w:id="224"/>
      <w:bookmarkEnd w:id="225"/>
      <w:bookmarkEnd w:id="226"/>
    </w:p>
    <w:p w:rsidR="00F10DB1" w:rsidRPr="00DA20F5" w:rsidRDefault="00F10DB1" w:rsidP="000B4550">
      <w:pPr>
        <w:ind w:left="993"/>
        <w:jc w:val="center"/>
        <w:rPr>
          <w:color w:val="1F497D" w:themeColor="text2"/>
          <w:lang w:eastAsia="cs-CZ"/>
        </w:rPr>
      </w:pPr>
      <w:r w:rsidRPr="00DA20F5">
        <w:rPr>
          <w:noProof/>
          <w:color w:val="1F497D" w:themeColor="text2"/>
        </w:rPr>
        <w:drawing>
          <wp:inline distT="0" distB="0" distL="0" distR="0" wp14:anchorId="1F5E5AE5" wp14:editId="01D1BDCA">
            <wp:extent cx="4230806" cy="2176818"/>
            <wp:effectExtent l="0" t="0" r="0" b="0"/>
            <wp:docPr id="31" name="Graf 18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10DB1" w:rsidRPr="00DA20F5" w:rsidRDefault="00F10DB1" w:rsidP="00D36FB8">
      <w:pPr>
        <w:pStyle w:val="zdroj"/>
        <w:ind w:left="567"/>
      </w:pPr>
      <w:r w:rsidRPr="00DA20F5">
        <w:t>Zdroj: ŠÚ SR a ÚPSVR</w:t>
      </w:r>
    </w:p>
    <w:p w:rsidR="00F10DB1" w:rsidRPr="00DA20F5" w:rsidRDefault="00F10DB1" w:rsidP="00D36FB8">
      <w:pPr>
        <w:ind w:firstLine="284"/>
      </w:pPr>
      <w:r w:rsidRPr="00DA20F5">
        <w:t xml:space="preserve">V roku 2011 bolo v SR priemerne evidovaných 389 264 UoZ, pričom v porovnaní s rokom 2010 ich počet vzrástol o 8 473 osôb, t. j. o 2,22 %. </w:t>
      </w:r>
    </w:p>
    <w:p w:rsidR="00F10DB1" w:rsidRPr="00DA20F5" w:rsidRDefault="00F10DB1" w:rsidP="00D36FB8">
      <w:pPr>
        <w:pStyle w:val="Nadpis7"/>
      </w:pPr>
      <w:bookmarkStart w:id="227" w:name="_Toc325438129"/>
      <w:bookmarkStart w:id="228" w:name="_Toc325440898"/>
      <w:bookmarkStart w:id="229" w:name="_Toc325626711"/>
      <w:bookmarkStart w:id="230" w:name="_Toc326216972"/>
      <w:r w:rsidRPr="00DA20F5">
        <w:t>Graf 2.4 Vývoj počtu uchádzačov o zamestnanie v rokoch 2011 a 2010</w:t>
      </w:r>
      <w:bookmarkEnd w:id="227"/>
      <w:bookmarkEnd w:id="228"/>
      <w:bookmarkEnd w:id="229"/>
      <w:bookmarkEnd w:id="230"/>
    </w:p>
    <w:p w:rsidR="00F10DB1" w:rsidRPr="00DA20F5" w:rsidRDefault="00F10DB1" w:rsidP="00D36FB8">
      <w:pPr>
        <w:jc w:val="center"/>
        <w:rPr>
          <w:color w:val="1F497D" w:themeColor="text2"/>
          <w:lang w:eastAsia="cs-CZ"/>
        </w:rPr>
      </w:pPr>
      <w:r w:rsidRPr="00DA20F5">
        <w:rPr>
          <w:noProof/>
          <w:color w:val="1F497D" w:themeColor="text2"/>
        </w:rPr>
        <w:drawing>
          <wp:inline distT="0" distB="0" distL="0" distR="0" wp14:anchorId="666AA381" wp14:editId="240F83C1">
            <wp:extent cx="5049671" cy="3214048"/>
            <wp:effectExtent l="0" t="0" r="0" b="0"/>
            <wp:docPr id="32"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10DB1" w:rsidRPr="00DA20F5" w:rsidRDefault="00F10DB1" w:rsidP="00D36FB8">
      <w:pPr>
        <w:pStyle w:val="zdroj"/>
      </w:pPr>
      <w:r w:rsidRPr="00DA20F5">
        <w:t xml:space="preserve">Zdroj: ÚPSVR </w:t>
      </w:r>
    </w:p>
    <w:p w:rsidR="00F10DB1" w:rsidRPr="00DA20F5" w:rsidRDefault="00F10DB1" w:rsidP="00D36FB8">
      <w:pPr>
        <w:ind w:firstLine="284"/>
      </w:pPr>
      <w:r w:rsidRPr="00DA20F5">
        <w:rPr>
          <w:b/>
        </w:rPr>
        <w:t>Miera evidovanej nezamestnanosti</w:t>
      </w:r>
      <w:r w:rsidRPr="00DA20F5">
        <w:t xml:space="preserve"> dosiahla v priemere</w:t>
      </w:r>
      <w:r w:rsidR="005D0C7B" w:rsidRPr="00DA20F5">
        <w:t xml:space="preserve"> za rok 2011 úroveň 13,16 %, čo </w:t>
      </w:r>
      <w:r w:rsidRPr="00DA20F5">
        <w:t>v porovnaní s rokom 2010 predstavovalo medziročný nárast o 0,68 p. b. (v roku 2010 miera evidovanej nezamestnanosti dosiahla priemernú úroveň 12,48 %).</w:t>
      </w:r>
    </w:p>
    <w:p w:rsidR="00F10DB1" w:rsidRPr="00DA20F5" w:rsidRDefault="00F10DB1" w:rsidP="00D36FB8">
      <w:pPr>
        <w:ind w:firstLine="284"/>
      </w:pPr>
      <w:r w:rsidRPr="00DA20F5">
        <w:rPr>
          <w:b/>
        </w:rPr>
        <w:t>Z regionálneho hľadiska</w:t>
      </w:r>
      <w:r w:rsidRPr="00DA20F5">
        <w:t xml:space="preserve"> za rok 2011 bola najvyššia úroveň priemernej miery evidovanej nezamestnanosti zaznamenaná v Banskobystrickom kraji (19,37 %) a najnižšia v Bratislavskom kraji (5,19 %). Úroveň celoslovenského priemeru miery evidovanej nezamestnanosti bola ďalej prekročená v Košickom kraji s ročným priemerom 18,22 % a v Prešovskom kraji s ročným priemerom 18,52 %.</w:t>
      </w:r>
    </w:p>
    <w:p w:rsidR="00F10DB1" w:rsidRPr="00DA20F5" w:rsidRDefault="00F10DB1" w:rsidP="00D36FB8">
      <w:pPr>
        <w:ind w:firstLine="284"/>
      </w:pPr>
      <w:r w:rsidRPr="00DA20F5">
        <w:t>Medziročný nárast priemernej miery evidovanej nezamestnanosti bol zaznamenaný vo všetkých krajoch SR okrem Trenčianskeho v rozpätí od 0,39 p. b. (v Tr</w:t>
      </w:r>
      <w:r w:rsidR="005D0C7B" w:rsidRPr="00DA20F5">
        <w:t>navskom kraji) do 1,54 p. b. (v </w:t>
      </w:r>
      <w:r w:rsidRPr="00DA20F5">
        <w:t xml:space="preserve">Košickom kraji). Vyšší medziročný nárast priemernej miery evidovanej nezamestnanosti ako priemer za SR (0,68 p. b.) bol zaznamenaný v štyroch krajoch: Nitrianskom (o 0,71 p. b.), Žilinskom (o 0,73 p. b.), Prešovskom (o 0,79 p b.) a Košickom (o 1,54 p b.). </w:t>
      </w:r>
    </w:p>
    <w:p w:rsidR="00F10DB1" w:rsidRPr="00DA20F5" w:rsidRDefault="00F10DB1" w:rsidP="00D36FB8">
      <w:pPr>
        <w:pStyle w:val="Nadpis7"/>
      </w:pPr>
      <w:bookmarkStart w:id="231" w:name="_Toc325438130"/>
      <w:bookmarkStart w:id="232" w:name="_Toc325440899"/>
      <w:bookmarkStart w:id="233" w:name="_Toc325626712"/>
      <w:bookmarkStart w:id="234" w:name="_Toc326216973"/>
      <w:r w:rsidRPr="00DA20F5">
        <w:lastRenderedPageBreak/>
        <w:t>Graf 2.5</w:t>
      </w:r>
      <w:r w:rsidR="00CF6056" w:rsidRPr="00DA20F5">
        <w:t xml:space="preserve"> </w:t>
      </w:r>
      <w:r w:rsidRPr="00DA20F5">
        <w:t>Priemerná miera evidovanej nezamestnanosti a počet UoZ v krajoch SR</w:t>
      </w:r>
      <w:bookmarkEnd w:id="231"/>
      <w:bookmarkEnd w:id="232"/>
      <w:bookmarkEnd w:id="233"/>
      <w:bookmarkEnd w:id="234"/>
      <w:r w:rsidRPr="00DA20F5">
        <w:t xml:space="preserve"> </w:t>
      </w:r>
    </w:p>
    <w:p w:rsidR="00F10DB1" w:rsidRPr="00DA20F5" w:rsidRDefault="00F10DB1" w:rsidP="00D36FB8">
      <w:pPr>
        <w:jc w:val="center"/>
        <w:rPr>
          <w:color w:val="1F497D" w:themeColor="text2"/>
          <w:lang w:eastAsia="cs-CZ"/>
        </w:rPr>
      </w:pPr>
      <w:r w:rsidRPr="00DA20F5">
        <w:rPr>
          <w:noProof/>
          <w:color w:val="1F497D" w:themeColor="text2"/>
        </w:rPr>
        <w:drawing>
          <wp:inline distT="0" distB="0" distL="0" distR="0" wp14:anchorId="023E3F36" wp14:editId="290BA1A8">
            <wp:extent cx="4544704" cy="2483893"/>
            <wp:effectExtent l="0" t="0" r="0" b="0"/>
            <wp:docPr id="33"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10DB1" w:rsidRPr="00DA20F5" w:rsidRDefault="00F10DB1" w:rsidP="00D36FB8">
      <w:pPr>
        <w:pStyle w:val="zdroj"/>
      </w:pPr>
      <w:r w:rsidRPr="00DA20F5">
        <w:t xml:space="preserve">Zdroj: ÚPSVR </w:t>
      </w:r>
    </w:p>
    <w:p w:rsidR="00F10DB1" w:rsidRPr="00DA20F5" w:rsidRDefault="00F10DB1" w:rsidP="00D36FB8">
      <w:pPr>
        <w:rPr>
          <w:szCs w:val="22"/>
        </w:rPr>
      </w:pPr>
      <w:r w:rsidRPr="00DA20F5">
        <w:rPr>
          <w:szCs w:val="22"/>
        </w:rPr>
        <w:t>Priemerná dĺžka evidencie UoZ sa v roku 2011 v porovnaní s rokom 2010 (13,92 mesiacov) zv</w:t>
      </w:r>
      <w:r w:rsidR="005D0C7B" w:rsidRPr="00DA20F5">
        <w:rPr>
          <w:szCs w:val="22"/>
        </w:rPr>
        <w:t>ýšila na </w:t>
      </w:r>
      <w:r w:rsidRPr="00DA20F5">
        <w:rPr>
          <w:szCs w:val="22"/>
        </w:rPr>
        <w:t xml:space="preserve">13,93 mesiacov. </w:t>
      </w:r>
    </w:p>
    <w:p w:rsidR="00F10DB1" w:rsidRPr="00DA20F5" w:rsidRDefault="00F10DB1" w:rsidP="00D36FB8"/>
    <w:p w:rsidR="00F10DB1" w:rsidRPr="00DA20F5" w:rsidRDefault="00F10DB1" w:rsidP="00D36FB8">
      <w:r w:rsidRPr="00DA20F5">
        <w:rPr>
          <w:b/>
        </w:rPr>
        <w:t>Podľa štatistickej klasifikácie ekonomických činností</w:t>
      </w:r>
      <w:r w:rsidRPr="00DA20F5">
        <w:t xml:space="preserve"> </w:t>
      </w:r>
      <w:r w:rsidRPr="00DA20F5">
        <w:rPr>
          <w:b/>
        </w:rPr>
        <w:t>(SK NACE Rev.2)</w:t>
      </w:r>
      <w:r w:rsidRPr="00DA20F5">
        <w:t xml:space="preserve"> ku koncu roka 2011 úrady</w:t>
      </w:r>
      <w:r w:rsidR="007B624E" w:rsidRPr="00DA20F5">
        <w:t xml:space="preserve"> práce</w:t>
      </w:r>
      <w:r w:rsidRPr="00DA20F5">
        <w:t xml:space="preserve"> zaevidovali najviac UoZ z odvetvia priemyselná výroba (25,72 %). Druhý najvyšší podiel (17,35 %) bol zaznamenaný z odvetvia veľkoobchod a maloobchod, oprava motorových vozidiel, dopravy a skladovania. UoZ z odvetvia verejná správa a obrana, povinné sociálne zabezpečenie sa podieľali 12,25 % a z odvetvia stavebníctvo sa podieľali 12,17 % (príloha ku kapitole 2, tab. č. 4).</w:t>
      </w:r>
    </w:p>
    <w:p w:rsidR="00F10DB1" w:rsidRPr="00DA20F5" w:rsidRDefault="00F10DB1" w:rsidP="00D36FB8">
      <w:r w:rsidRPr="00DA20F5">
        <w:rPr>
          <w:b/>
        </w:rPr>
        <w:t>Podľa klasifikácie predchádzajúceho zamestnania (KZAM</w:t>
      </w:r>
      <w:r w:rsidRPr="00DA20F5">
        <w:rPr>
          <w:rStyle w:val="Odkaznapoznmkupodiarou"/>
          <w:b/>
        </w:rPr>
        <w:footnoteReference w:id="9"/>
      </w:r>
      <w:r w:rsidRPr="00DA20F5">
        <w:rPr>
          <w:b/>
        </w:rPr>
        <w:t>)</w:t>
      </w:r>
      <w:r w:rsidRPr="00DA20F5">
        <w:t xml:space="preserve"> v roku 2011 vykazovali úrady</w:t>
      </w:r>
      <w:r w:rsidR="007B624E" w:rsidRPr="00DA20F5">
        <w:t xml:space="preserve"> práce</w:t>
      </w:r>
      <w:r w:rsidRPr="00DA20F5">
        <w:t xml:space="preserve"> najviac takých UoZ, ktorí sa do ich evidencie dostali bez predchádzaj</w:t>
      </w:r>
      <w:r w:rsidR="005D0C7B" w:rsidRPr="00DA20F5">
        <w:t>úceho pracovného zaradenia. Ich </w:t>
      </w:r>
      <w:r w:rsidRPr="00DA20F5">
        <w:t>priemerný počet dosiahol stav 221 455 osôb, čo tvorilo 56,98 % na celkovom počte UoZ. Druhú najpočetnejšiu skupinu tvorila trieda KZAM 9 - pomocní a nekvalifikovaní zamestnanci s priemerným</w:t>
      </w:r>
      <w:r w:rsidRPr="00DA20F5">
        <w:rPr>
          <w:color w:val="1F497D" w:themeColor="text2"/>
        </w:rPr>
        <w:t xml:space="preserve"> </w:t>
      </w:r>
      <w:r w:rsidRPr="00DA20F5">
        <w:t>počtom 51 256 osôb a podielom na celkovom počte UoZ 13,</w:t>
      </w:r>
      <w:r w:rsidR="005D0C7B" w:rsidRPr="00DA20F5">
        <w:t xml:space="preserve">17 %. Počet UoZ z triedy </w:t>
      </w:r>
      <w:r w:rsidR="005D0C7B" w:rsidRPr="00DA20F5">
        <w:br/>
        <w:t>KZAM 7 </w:t>
      </w:r>
      <w:r w:rsidRPr="00DA20F5">
        <w:t>-</w:t>
      </w:r>
      <w:r w:rsidR="005D0C7B" w:rsidRPr="00DA20F5">
        <w:t> </w:t>
      </w:r>
      <w:r w:rsidRPr="00DA20F5">
        <w:t>remeselníci a kvalifikovaní výrobcovia, spracovatel</w:t>
      </w:r>
      <w:r w:rsidR="005D0C7B" w:rsidRPr="00DA20F5">
        <w:t>ia, opravári bol v priemere 31 409 </w:t>
      </w:r>
      <w:r w:rsidRPr="00DA20F5">
        <w:t>osôb.</w:t>
      </w:r>
    </w:p>
    <w:p w:rsidR="00F10DB1" w:rsidRPr="00DA20F5" w:rsidRDefault="00F10DB1" w:rsidP="00D36FB8">
      <w:pPr>
        <w:pStyle w:val="Normlnysozarkami12"/>
      </w:pPr>
      <w:r w:rsidRPr="00DA20F5">
        <w:t>Najnižšie zastúpenie dosiahli UoZ z triedy KZAM 0 – príslušníci armády (profesionálni vojaci), a to v priemernom počte 117 osôb a KZAM 6 – kvalifikovaní robotníci v poľnohospodárstve, lesníctve a príbuzných oboroch, v priemere 2 977 osôb.</w:t>
      </w:r>
    </w:p>
    <w:p w:rsidR="00F10DB1" w:rsidRPr="00DA20F5" w:rsidRDefault="00F10DB1" w:rsidP="00D36FB8">
      <w:pPr>
        <w:pStyle w:val="Normlnysozarkami12"/>
      </w:pPr>
      <w:r w:rsidRPr="00DA20F5">
        <w:t>Medziročný pokles počtu UoZ bol zaznamenaný u zamestnaní v triedach KZAM 6 až KZAM 9, najvýraznejší nárast UoZ bol u osôb bez predchádzajúceho pracovného zaradenia (13,3 tis. osôb) - KZAM A </w:t>
      </w:r>
      <w:proofErr w:type="spellStart"/>
      <w:r w:rsidRPr="00DA20F5">
        <w:t>a</w:t>
      </w:r>
      <w:proofErr w:type="spellEnd"/>
      <w:r w:rsidRPr="00DA20F5">
        <w:t xml:space="preserve"> v triedach KZAM 1 až KZAM 5. </w:t>
      </w:r>
    </w:p>
    <w:p w:rsidR="000B4550" w:rsidRPr="00DA20F5" w:rsidRDefault="000B4550">
      <w:pPr>
        <w:jc w:val="left"/>
        <w:rPr>
          <w:b/>
        </w:rPr>
      </w:pPr>
      <w:bookmarkStart w:id="235" w:name="_Toc325438131"/>
      <w:bookmarkStart w:id="236" w:name="_Toc325440900"/>
      <w:bookmarkStart w:id="237" w:name="_Toc325626713"/>
      <w:bookmarkStart w:id="238" w:name="_Toc326216974"/>
      <w:r w:rsidRPr="00DA20F5">
        <w:br w:type="page"/>
      </w:r>
    </w:p>
    <w:p w:rsidR="00F10DB1" w:rsidRPr="00DA20F5" w:rsidRDefault="00F10DB1" w:rsidP="00D36FB8">
      <w:pPr>
        <w:pStyle w:val="Nadpis7"/>
      </w:pPr>
      <w:r w:rsidRPr="00DA20F5">
        <w:lastRenderedPageBreak/>
        <w:t>Graf 2.6 UoZ v členení podľa KZAM v SR</w:t>
      </w:r>
      <w:r w:rsidRPr="00DA20F5">
        <w:rPr>
          <w:rFonts w:ascii="Arial" w:hAnsi="Arial" w:cs="Arial"/>
        </w:rPr>
        <w:t xml:space="preserve"> </w:t>
      </w:r>
      <w:r w:rsidR="005D0C7B" w:rsidRPr="00DA20F5">
        <w:rPr>
          <w:rFonts w:ascii="Arial" w:hAnsi="Arial" w:cs="Arial"/>
        </w:rPr>
        <w:t>–</w:t>
      </w:r>
      <w:r w:rsidRPr="00DA20F5">
        <w:rPr>
          <w:rFonts w:ascii="Arial" w:hAnsi="Arial" w:cs="Arial"/>
        </w:rPr>
        <w:t xml:space="preserve"> </w:t>
      </w:r>
      <w:r w:rsidRPr="00DA20F5">
        <w:t>priemer za rok 2011</w:t>
      </w:r>
      <w:bookmarkEnd w:id="235"/>
      <w:bookmarkEnd w:id="236"/>
      <w:bookmarkEnd w:id="237"/>
      <w:bookmarkEnd w:id="238"/>
    </w:p>
    <w:p w:rsidR="00F10DB1" w:rsidRPr="00DA20F5" w:rsidRDefault="00F10DB1" w:rsidP="005D0C7B">
      <w:pPr>
        <w:jc w:val="center"/>
        <w:rPr>
          <w:color w:val="1F497D" w:themeColor="text2"/>
          <w:lang w:eastAsia="cs-CZ"/>
        </w:rPr>
      </w:pPr>
      <w:r w:rsidRPr="00DA20F5">
        <w:rPr>
          <w:noProof/>
          <w:color w:val="1F497D" w:themeColor="text2"/>
        </w:rPr>
        <w:drawing>
          <wp:inline distT="0" distB="0" distL="0" distR="0" wp14:anchorId="3E4575DD" wp14:editId="09C762E0">
            <wp:extent cx="5111087" cy="3016155"/>
            <wp:effectExtent l="38100" t="0" r="13970" b="0"/>
            <wp:docPr id="34"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0DB1" w:rsidRPr="00DA20F5" w:rsidRDefault="00F10DB1" w:rsidP="00D36FB8">
      <w:pPr>
        <w:pStyle w:val="zdroj"/>
        <w:rPr>
          <w:color w:val="auto"/>
        </w:rPr>
      </w:pPr>
      <w:r w:rsidRPr="00DA20F5">
        <w:rPr>
          <w:color w:val="auto"/>
        </w:rPr>
        <w:t xml:space="preserve">Zdroj: ÚPSVR </w:t>
      </w:r>
    </w:p>
    <w:p w:rsidR="00F10DB1" w:rsidRPr="00DA20F5" w:rsidRDefault="00F10DB1" w:rsidP="00D36FB8">
      <w:r w:rsidRPr="00DA20F5">
        <w:t xml:space="preserve">Z pohľadu dopytu na trhu práce bolo v roku 2011 v priemere za </w:t>
      </w:r>
      <w:r w:rsidRPr="00DA20F5">
        <w:rPr>
          <w:color w:val="000000" w:themeColor="text1"/>
        </w:rPr>
        <w:t xml:space="preserve">mesiac na úrady </w:t>
      </w:r>
      <w:r w:rsidR="007B624E" w:rsidRPr="00DA20F5">
        <w:rPr>
          <w:color w:val="000000" w:themeColor="text1"/>
        </w:rPr>
        <w:t>práce</w:t>
      </w:r>
      <w:r w:rsidR="0016708A" w:rsidRPr="00DA20F5">
        <w:rPr>
          <w:color w:val="000000" w:themeColor="text1"/>
        </w:rPr>
        <w:t xml:space="preserve"> </w:t>
      </w:r>
      <w:r w:rsidRPr="00DA20F5">
        <w:rPr>
          <w:color w:val="000000" w:themeColor="text1"/>
        </w:rPr>
        <w:t xml:space="preserve">nahlásených najviac </w:t>
      </w:r>
      <w:r w:rsidRPr="00DA20F5">
        <w:rPr>
          <w:b/>
          <w:color w:val="000000" w:themeColor="text1"/>
        </w:rPr>
        <w:t>voľných pracovných miest</w:t>
      </w:r>
      <w:r w:rsidRPr="00DA20F5">
        <w:rPr>
          <w:color w:val="000000" w:themeColor="text1"/>
        </w:rPr>
        <w:t xml:space="preserve"> (VPM) </w:t>
      </w:r>
      <w:r w:rsidRPr="00DA20F5">
        <w:rPr>
          <w:b/>
          <w:color w:val="000000" w:themeColor="text1"/>
        </w:rPr>
        <w:t>podľa KZAM</w:t>
      </w:r>
      <w:r w:rsidRPr="00DA20F5">
        <w:rPr>
          <w:color w:val="000000" w:themeColor="text1"/>
        </w:rPr>
        <w:t xml:space="preserve"> pre remeselníkov a kvalifikovaných</w:t>
      </w:r>
      <w:r w:rsidRPr="00DA20F5">
        <w:t xml:space="preserve"> výrobcov, spracovateľov – KZAM 7 (2 103 VPM, t. j. 25,6 %), pre technických, zdravotníckych a pedagogických zamestnancov – KZAM 3 (1 399 VPM, t. j. 17 %) a pre zamestnancov v obsluhe strojov a zariadení – KZAM 8 (1 227 VPM, t. j. 14,9 %). Najnižší počet voľných miest bol nahlásený pre príslušníkov armády ako profesionálnych vojakov – KZAM 0</w:t>
      </w:r>
      <w:r w:rsidR="005D0C7B" w:rsidRPr="00DA20F5">
        <w:t xml:space="preserve"> (0 VPM v priemere za mesiac) a pre </w:t>
      </w:r>
      <w:r w:rsidRPr="00DA20F5">
        <w:t xml:space="preserve">robotníkov v poľnohospodárstve a lesníctve – KZAM 6 (84 VPM, t. j. 1 %). </w:t>
      </w:r>
    </w:p>
    <w:p w:rsidR="00F10DB1" w:rsidRPr="00DA20F5" w:rsidRDefault="00F10DB1" w:rsidP="00D36FB8">
      <w:pPr>
        <w:pStyle w:val="Nadpis7"/>
      </w:pPr>
      <w:bookmarkStart w:id="239" w:name="_Toc325438132"/>
      <w:bookmarkStart w:id="240" w:name="_Toc325440901"/>
      <w:bookmarkStart w:id="241" w:name="_Toc325626714"/>
      <w:bookmarkStart w:id="242" w:name="_Toc326216975"/>
      <w:r w:rsidRPr="00DA20F5">
        <w:t>Graf 2.7</w:t>
      </w:r>
      <w:r w:rsidR="00CF6056" w:rsidRPr="00DA20F5">
        <w:t xml:space="preserve"> </w:t>
      </w:r>
      <w:r w:rsidRPr="00DA20F5">
        <w:t>Podiel VPM v roku 2011 podľa KZAM</w:t>
      </w:r>
      <w:bookmarkEnd w:id="239"/>
      <w:bookmarkEnd w:id="240"/>
      <w:bookmarkEnd w:id="241"/>
      <w:bookmarkEnd w:id="242"/>
    </w:p>
    <w:p w:rsidR="00F10DB1" w:rsidRPr="00DA20F5" w:rsidRDefault="00F10DB1" w:rsidP="00D36FB8">
      <w:pPr>
        <w:rPr>
          <w:color w:val="1F497D" w:themeColor="text2"/>
          <w:lang w:eastAsia="cs-CZ"/>
        </w:rPr>
      </w:pPr>
      <w:r w:rsidRPr="00DA20F5">
        <w:rPr>
          <w:noProof/>
          <w:color w:val="1F497D" w:themeColor="text2"/>
        </w:rPr>
        <w:drawing>
          <wp:inline distT="0" distB="0" distL="0" distR="0" wp14:anchorId="4128D8B5" wp14:editId="570E6D79">
            <wp:extent cx="5184251" cy="2941983"/>
            <wp:effectExtent l="0" t="0" r="0" b="0"/>
            <wp:docPr id="35"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0DB1" w:rsidRPr="00DA20F5" w:rsidRDefault="00F10DB1" w:rsidP="00D36FB8">
      <w:pPr>
        <w:pStyle w:val="zdroj"/>
      </w:pPr>
      <w:r w:rsidRPr="00DA20F5">
        <w:t xml:space="preserve">Zdroj: ÚPSVR </w:t>
      </w:r>
    </w:p>
    <w:p w:rsidR="00F10DB1" w:rsidRPr="00DA20F5" w:rsidRDefault="00F10DB1" w:rsidP="00D36FB8">
      <w:r w:rsidRPr="00DA20F5">
        <w:t>Z regionálneho hľadiska bolo v roku 2011 v priemere za mesiac najvi</w:t>
      </w:r>
      <w:r w:rsidR="005D0C7B" w:rsidRPr="00DA20F5">
        <w:t>ac voľných pracovných miest pre </w:t>
      </w:r>
      <w:r w:rsidRPr="00DA20F5">
        <w:t xml:space="preserve">remeselníkov a kvalifikovaných výrobcov, spracovateľov v Žilinskom kraji (483 VPM) a najmenej v Košickom kraji (63 VPM). Najviac VPM pre technických, zdravotníckych a pedagogických zamestnancov bolo v priemere v Bratislavskom kraji (484 VPM) </w:t>
      </w:r>
      <w:r w:rsidR="005D0C7B" w:rsidRPr="00DA20F5">
        <w:t xml:space="preserve">a najmenej v Košickom kraji </w:t>
      </w:r>
      <w:r w:rsidR="005D0C7B" w:rsidRPr="00DA20F5">
        <w:lastRenderedPageBreak/>
        <w:t>(70 </w:t>
      </w:r>
      <w:r w:rsidRPr="00DA20F5">
        <w:t>VPM). Najviac VPM pre zamestnancov v obsluhe strojov a zariadení bolo v priemere v Trenčianskom kraji (231 VPM), najmenej v Košickom kraji (82 VPM).</w:t>
      </w:r>
    </w:p>
    <w:p w:rsidR="00F10DB1" w:rsidRPr="00DA20F5" w:rsidRDefault="00F10DB1" w:rsidP="00D36FB8">
      <w:r w:rsidRPr="00DA20F5">
        <w:rPr>
          <w:b/>
        </w:rPr>
        <w:t>Štruktúra UoZ</w:t>
      </w:r>
      <w:r w:rsidRPr="00DA20F5">
        <w:t xml:space="preserve"> </w:t>
      </w:r>
      <w:r w:rsidRPr="00DA20F5">
        <w:rPr>
          <w:b/>
        </w:rPr>
        <w:t>podľa vzdelania</w:t>
      </w:r>
      <w:r w:rsidRPr="00DA20F5">
        <w:rPr>
          <w:rStyle w:val="Odkaznapoznmkupodiarou"/>
          <w:b/>
        </w:rPr>
        <w:footnoteReference w:id="10"/>
      </w:r>
      <w:r w:rsidRPr="00DA20F5">
        <w:t xml:space="preserve"> sa ku koncu roka 2011 v porovnaní s koncom roka 2010 nezmenila a bola v prospech UoZ s vyšším stupňom vzdelania. Najpočetnejšiu skupinu s počtom 131 tis. osôb a s podielom 32,77 % tvorili vyučení UoZ. Druhú najpočetnejšiu sk</w:t>
      </w:r>
      <w:r w:rsidR="005D0C7B" w:rsidRPr="00DA20F5">
        <w:t>upinu tvorili s </w:t>
      </w:r>
      <w:r w:rsidRPr="00DA20F5">
        <w:t xml:space="preserve">počtom 117,8 tis. osôb a podielom 29,46 % UoZ so základným vzdelaním a bez ukončeného základného vzdelania. Najmenšie zastúpenie s počtom 498 osôb mali </w:t>
      </w:r>
      <w:r w:rsidR="00F426EA" w:rsidRPr="00DA20F5">
        <w:t xml:space="preserve">UoZ </w:t>
      </w:r>
      <w:r w:rsidRPr="00DA20F5">
        <w:t>s vedeckým vzdelaním.</w:t>
      </w:r>
    </w:p>
    <w:p w:rsidR="007A29A1" w:rsidRPr="00DA20F5" w:rsidRDefault="00F10DB1" w:rsidP="00D36FB8">
      <w:pPr>
        <w:pStyle w:val="Normlnysozarkami12"/>
        <w:rPr>
          <w:b/>
        </w:rPr>
      </w:pPr>
      <w:r w:rsidRPr="00DA20F5">
        <w:t xml:space="preserve">Z regionálneho hľadiska najviac UoZ so základným alebo neukončeným základným vzdelaním bolo v Košickom (37,37 %), Prešovskom (36,35 %) a v Banskobystrickom kraji (37,34 %). Najviac evidovaných UoZ vyučených a so stredným odborným vzdelaním bez maturity bolo v Žilinskom (39,64 %), Trenčianskom (38,24 %), Nitrianskom (36,80 %) a v Trnavskom kraji (36,12 %). V Bratislavskom kraji sa na celkovom počte UoZ najviac podieľali (33,15 %) stredoškolsky vzdelané osoby, resp. osoby s úplným stredným odborným vzdelaním. </w:t>
      </w:r>
    </w:p>
    <w:p w:rsidR="00F10DB1" w:rsidRPr="00DA20F5" w:rsidRDefault="00F10DB1" w:rsidP="00D36FB8">
      <w:pPr>
        <w:pStyle w:val="Nadpis7"/>
      </w:pPr>
      <w:bookmarkStart w:id="243" w:name="_Toc325438133"/>
      <w:bookmarkStart w:id="244" w:name="_Toc325440902"/>
      <w:bookmarkStart w:id="245" w:name="_Toc325626715"/>
      <w:bookmarkStart w:id="246" w:name="_Toc326216976"/>
      <w:r w:rsidRPr="00DA20F5">
        <w:t>Graf 2.8 Podiel UoZ podľa stupňa vzdelania v krajoch SR k 31.12.2011</w:t>
      </w:r>
      <w:bookmarkEnd w:id="243"/>
      <w:bookmarkEnd w:id="244"/>
      <w:bookmarkEnd w:id="245"/>
      <w:bookmarkEnd w:id="246"/>
    </w:p>
    <w:p w:rsidR="00F10DB1" w:rsidRPr="00DA20F5" w:rsidRDefault="00F10DB1" w:rsidP="00D36FB8">
      <w:pPr>
        <w:rPr>
          <w:color w:val="1F497D" w:themeColor="text2"/>
          <w:lang w:eastAsia="cs-CZ"/>
        </w:rPr>
      </w:pPr>
      <w:r w:rsidRPr="00DA20F5">
        <w:rPr>
          <w:noProof/>
          <w:color w:val="1F497D" w:themeColor="text2"/>
        </w:rPr>
        <w:drawing>
          <wp:inline distT="0" distB="0" distL="0" distR="0" wp14:anchorId="5F8A8D00" wp14:editId="6150353B">
            <wp:extent cx="5762445" cy="3476445"/>
            <wp:effectExtent l="0" t="0" r="0" b="0"/>
            <wp:docPr id="36"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10DB1" w:rsidRPr="00DA20F5" w:rsidRDefault="00F10DB1" w:rsidP="00D36FB8">
      <w:pPr>
        <w:pStyle w:val="zdroj"/>
      </w:pPr>
      <w:r w:rsidRPr="00DA20F5">
        <w:t>Zdroj: ÚPSVR</w:t>
      </w:r>
    </w:p>
    <w:p w:rsidR="00F10DB1" w:rsidRPr="00DA20F5" w:rsidRDefault="00F10DB1" w:rsidP="00D36FB8">
      <w:pPr>
        <w:ind w:firstLine="708"/>
        <w:rPr>
          <w:szCs w:val="22"/>
        </w:rPr>
      </w:pPr>
      <w:r w:rsidRPr="00DA20F5">
        <w:rPr>
          <w:szCs w:val="22"/>
        </w:rPr>
        <w:t xml:space="preserve">Z medziročného porovnania v rámci SR vyplýva, že v roku 2011 bol zaznamenaný nárast UoZ u osôb s vyšším vzdelaním. Pokles bol zaznamenaný u uchádzačov so stredným odborným vzdelaním bez maturity (o 58 osôb) a u uchádzačov bez vzdelania (o 269 osôb). </w:t>
      </w:r>
    </w:p>
    <w:p w:rsidR="00F10DB1" w:rsidRPr="00DA20F5" w:rsidRDefault="00F10DB1" w:rsidP="00D36FB8">
      <w:pPr>
        <w:ind w:firstLine="708"/>
      </w:pPr>
      <w:r w:rsidRPr="00DA20F5">
        <w:rPr>
          <w:szCs w:val="22"/>
        </w:rPr>
        <w:lastRenderedPageBreak/>
        <w:t>Najvýraznejší medziročný nárast bol zaznamenaný u UoZ s úplným stredným a stredným odborným vzdelaním vo všetkých krajoch v rozpätí od 452 osôb v Trnavskom kraji po 1 531 osôb v Košickom kraji.</w:t>
      </w:r>
    </w:p>
    <w:p w:rsidR="00F10DB1" w:rsidRPr="00DA20F5" w:rsidRDefault="00F10DB1" w:rsidP="00D36FB8">
      <w:r w:rsidRPr="00DA20F5">
        <w:rPr>
          <w:b/>
        </w:rPr>
        <w:t>Z pohľadu dopytu podľa ukončeného vzdelania</w:t>
      </w:r>
      <w:r w:rsidRPr="00DA20F5">
        <w:t xml:space="preserve"> bolo na trhu práce</w:t>
      </w:r>
      <w:r w:rsidRPr="00DA20F5">
        <w:rPr>
          <w:b/>
        </w:rPr>
        <w:t xml:space="preserve"> </w:t>
      </w:r>
      <w:r w:rsidRPr="00DA20F5">
        <w:t xml:space="preserve">ku koncu roka 2011 z celkového počtu 6 530 voľných pracovných miest nahlásených na úradoch </w:t>
      </w:r>
      <w:r w:rsidR="007B624E" w:rsidRPr="00DA20F5">
        <w:t xml:space="preserve">práce </w:t>
      </w:r>
      <w:r w:rsidRPr="00DA20F5">
        <w:t xml:space="preserve">najviac miest požadujúcich učňovské vzdelanie (3 367 VPM, t. j. 51,6 %) a úplné stredné odborné vzdelanie (733 VPM, t. j. 11,2 %). S najnižším počtom (6 VPM) boli k dispozícii miesta pre UoZ s vedeckou klasifikáciou a miesta pre UoZ bez vzdelania (30 VPM). </w:t>
      </w:r>
    </w:p>
    <w:p w:rsidR="00F10DB1" w:rsidRPr="00DA20F5" w:rsidRDefault="00F10DB1" w:rsidP="00D36FB8">
      <w:pPr>
        <w:pStyle w:val="Nadpis7"/>
      </w:pPr>
      <w:bookmarkStart w:id="247" w:name="_Toc325438134"/>
      <w:bookmarkStart w:id="248" w:name="_Toc325440903"/>
      <w:bookmarkStart w:id="249" w:name="_Toc325626716"/>
      <w:bookmarkStart w:id="250" w:name="_Toc326216977"/>
      <w:r w:rsidRPr="00DA20F5">
        <w:t>Graf 2.9</w:t>
      </w:r>
      <w:r w:rsidR="00CF6056" w:rsidRPr="00DA20F5">
        <w:t xml:space="preserve"> </w:t>
      </w:r>
      <w:r w:rsidRPr="00DA20F5">
        <w:t>Podiel VPM ku koncu roka 2011 podľa požiadaviek na vzdelanie</w:t>
      </w:r>
      <w:bookmarkEnd w:id="247"/>
      <w:bookmarkEnd w:id="248"/>
      <w:bookmarkEnd w:id="249"/>
      <w:bookmarkEnd w:id="250"/>
    </w:p>
    <w:p w:rsidR="00F10DB1" w:rsidRPr="00DA20F5" w:rsidRDefault="00F10DB1" w:rsidP="00D36FB8">
      <w:pPr>
        <w:rPr>
          <w:color w:val="1F497D" w:themeColor="text2"/>
          <w:lang w:eastAsia="cs-CZ"/>
        </w:rPr>
      </w:pPr>
      <w:r w:rsidRPr="00DA20F5">
        <w:rPr>
          <w:noProof/>
          <w:color w:val="1F497D" w:themeColor="text2"/>
        </w:rPr>
        <w:drawing>
          <wp:inline distT="0" distB="0" distL="0" distR="0" wp14:anchorId="5D16F86A" wp14:editId="5544EE7F">
            <wp:extent cx="6093726" cy="3957851"/>
            <wp:effectExtent l="0" t="0" r="0" b="0"/>
            <wp:docPr id="37"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10DB1" w:rsidRPr="00DA20F5" w:rsidRDefault="00F10DB1" w:rsidP="00D36FB8">
      <w:pPr>
        <w:pStyle w:val="zdroj"/>
      </w:pPr>
      <w:r w:rsidRPr="00DA20F5">
        <w:t xml:space="preserve">Zdroj: ÚPSVR </w:t>
      </w:r>
    </w:p>
    <w:p w:rsidR="00F10DB1" w:rsidRPr="00DA20F5" w:rsidRDefault="00F10DB1" w:rsidP="00D36FB8">
      <w:r w:rsidRPr="00DA20F5">
        <w:t xml:space="preserve">Z regionálneho hľadiska bolo najviac VPM pre UoZ s ukončeným učňovským vzdelaním v Trenčianskom kraji (674 VPM) a najmenej v Košickom kraji (107 VPM). Najvyšší počet VPM pre UoZ s úplným stredným vzdelaním na </w:t>
      </w:r>
      <w:r w:rsidR="00BF3033" w:rsidRPr="00DA20F5">
        <w:t>strednej odbornej škole</w:t>
      </w:r>
      <w:r w:rsidRPr="00DA20F5">
        <w:t xml:space="preserve"> bol v </w:t>
      </w:r>
      <w:r w:rsidR="004B1E82" w:rsidRPr="00DA20F5">
        <w:t>Bratislavskom kraji (376 VPM) a </w:t>
      </w:r>
      <w:r w:rsidRPr="00DA20F5">
        <w:t>najmenej v Košickom kraji (12 VPM).</w:t>
      </w:r>
    </w:p>
    <w:p w:rsidR="00F10DB1" w:rsidRPr="00DA20F5" w:rsidRDefault="00F10DB1" w:rsidP="00D36FB8"/>
    <w:p w:rsidR="00F10DB1" w:rsidRPr="00DA20F5" w:rsidRDefault="00F10DB1" w:rsidP="00D36FB8">
      <w:pPr>
        <w:pStyle w:val="Normlnysozarkami12"/>
      </w:pPr>
      <w:r w:rsidRPr="00DA20F5">
        <w:t>Počet UoZ</w:t>
      </w:r>
      <w:r w:rsidRPr="00DA20F5">
        <w:rPr>
          <w:b/>
        </w:rPr>
        <w:t xml:space="preserve"> z hľadiska</w:t>
      </w:r>
      <w:r w:rsidRPr="00DA20F5">
        <w:t xml:space="preserve"> </w:t>
      </w:r>
      <w:r w:rsidRPr="00DA20F5">
        <w:rPr>
          <w:b/>
        </w:rPr>
        <w:t>vekovej štruktúry</w:t>
      </w:r>
      <w:r w:rsidRPr="00DA20F5">
        <w:t xml:space="preserve"> prestal kopírovať predchádzajúce roky, kedy najpočetnejšiu skupinu tvorili staršie osoby. </w:t>
      </w:r>
    </w:p>
    <w:p w:rsidR="00F10DB1" w:rsidRPr="00DA20F5" w:rsidRDefault="00F10DB1" w:rsidP="00D36FB8">
      <w:pPr>
        <w:pStyle w:val="Normlnysozarkami12"/>
      </w:pPr>
      <w:r w:rsidRPr="00DA20F5">
        <w:t xml:space="preserve">Ku koncu roka 2011 najpočetnejšiu skupinu medzi UoZ tvorili </w:t>
      </w:r>
      <w:r w:rsidR="004B1E82" w:rsidRPr="00DA20F5">
        <w:t>osoby vo veku 20-24 rokov (60,8 </w:t>
      </w:r>
      <w:r w:rsidRPr="00DA20F5">
        <w:t xml:space="preserve">tis. osôb). Ich podiel predstavoval 15,20 %. Druhou najpočetnejšou skupinou s počtom 55,1 tis. osôb a podielom 13,79 % boli UoZ vo veku 25-29 rokov, treťou skupinou s počtom 46,9 tis. osôb a podielom 11,72 % boli osoby vo veku 35-39 rokov. </w:t>
      </w:r>
    </w:p>
    <w:p w:rsidR="00ED3F36" w:rsidRPr="00DA20F5" w:rsidRDefault="00ED3F36" w:rsidP="00D36FB8">
      <w:pPr>
        <w:jc w:val="left"/>
        <w:rPr>
          <w:b/>
        </w:rPr>
      </w:pPr>
      <w:r w:rsidRPr="00DA20F5">
        <w:br w:type="page"/>
      </w:r>
    </w:p>
    <w:p w:rsidR="00F10DB1" w:rsidRPr="00DA20F5" w:rsidRDefault="00F10DB1" w:rsidP="00D36FB8">
      <w:pPr>
        <w:pStyle w:val="Nadpis7"/>
      </w:pPr>
      <w:bookmarkStart w:id="251" w:name="_Toc325438135"/>
      <w:bookmarkStart w:id="252" w:name="_Toc325440904"/>
      <w:bookmarkStart w:id="253" w:name="_Toc325626717"/>
      <w:bookmarkStart w:id="254" w:name="_Toc326216978"/>
      <w:r w:rsidRPr="00DA20F5">
        <w:lastRenderedPageBreak/>
        <w:t xml:space="preserve">Tab. 2.12 Štruktúra uchádzačov o zamestnanie podľa veku v krajoch SR </w:t>
      </w:r>
      <w:r w:rsidRPr="00DA20F5">
        <w:br/>
        <w:t>k 31. 12. 2011 (v %)</w:t>
      </w:r>
      <w:bookmarkEnd w:id="251"/>
      <w:bookmarkEnd w:id="252"/>
      <w:bookmarkEnd w:id="253"/>
      <w:bookmarkEnd w:id="254"/>
    </w:p>
    <w:tbl>
      <w:tblPr>
        <w:tblW w:w="9195" w:type="dxa"/>
        <w:jc w:val="center"/>
        <w:tblInd w:w="-90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695"/>
        <w:gridCol w:w="766"/>
        <w:gridCol w:w="824"/>
        <w:gridCol w:w="824"/>
        <w:gridCol w:w="824"/>
        <w:gridCol w:w="824"/>
        <w:gridCol w:w="824"/>
        <w:gridCol w:w="824"/>
        <w:gridCol w:w="824"/>
        <w:gridCol w:w="824"/>
        <w:gridCol w:w="714"/>
      </w:tblGrid>
      <w:tr w:rsidR="00ED3F36" w:rsidRPr="00DA20F5" w:rsidTr="00A05573">
        <w:trPr>
          <w:jc w:val="center"/>
        </w:trPr>
        <w:tc>
          <w:tcPr>
            <w:tcW w:w="1695"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 xml:space="preserve">Územie </w:t>
            </w:r>
            <w:r w:rsidRPr="00DA20F5">
              <w:rPr>
                <w:b/>
                <w:color w:val="FFFFFF" w:themeColor="background1"/>
              </w:rPr>
              <w:br/>
              <w:t>(kraje, SR)</w:t>
            </w:r>
          </w:p>
        </w:tc>
        <w:tc>
          <w:tcPr>
            <w:tcW w:w="766"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Do 19 rokov</w:t>
            </w:r>
          </w:p>
        </w:tc>
        <w:tc>
          <w:tcPr>
            <w:tcW w:w="737"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20-24</w:t>
            </w:r>
          </w:p>
        </w:tc>
        <w:tc>
          <w:tcPr>
            <w:tcW w:w="737"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25-29</w:t>
            </w:r>
          </w:p>
        </w:tc>
        <w:tc>
          <w:tcPr>
            <w:tcW w:w="737"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30-34</w:t>
            </w:r>
          </w:p>
        </w:tc>
        <w:tc>
          <w:tcPr>
            <w:tcW w:w="737"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35-39</w:t>
            </w:r>
          </w:p>
        </w:tc>
        <w:tc>
          <w:tcPr>
            <w:tcW w:w="737"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40-44</w:t>
            </w:r>
          </w:p>
        </w:tc>
        <w:tc>
          <w:tcPr>
            <w:tcW w:w="737"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45-49</w:t>
            </w:r>
          </w:p>
        </w:tc>
        <w:tc>
          <w:tcPr>
            <w:tcW w:w="783"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50-54</w:t>
            </w:r>
          </w:p>
        </w:tc>
        <w:tc>
          <w:tcPr>
            <w:tcW w:w="794"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55-59</w:t>
            </w:r>
          </w:p>
        </w:tc>
        <w:tc>
          <w:tcPr>
            <w:tcW w:w="735"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nad 60</w:t>
            </w:r>
          </w:p>
        </w:tc>
      </w:tr>
      <w:tr w:rsidR="00ED3F36" w:rsidRPr="00DA20F5" w:rsidTr="00A05573">
        <w:trPr>
          <w:trHeight w:val="255"/>
          <w:jc w:val="center"/>
        </w:trPr>
        <w:tc>
          <w:tcPr>
            <w:tcW w:w="1695" w:type="dxa"/>
            <w:vAlign w:val="center"/>
          </w:tcPr>
          <w:p w:rsidR="00F10DB1" w:rsidRPr="00DA20F5" w:rsidRDefault="00F10DB1" w:rsidP="00D36FB8">
            <w:r w:rsidRPr="00DA20F5">
              <w:t>Bratislavský</w:t>
            </w:r>
          </w:p>
        </w:tc>
        <w:tc>
          <w:tcPr>
            <w:tcW w:w="766" w:type="dxa"/>
            <w:vAlign w:val="center"/>
          </w:tcPr>
          <w:p w:rsidR="00F10DB1" w:rsidRPr="00DA20F5" w:rsidRDefault="00F10DB1" w:rsidP="00D36FB8">
            <w:pPr>
              <w:ind w:right="113"/>
              <w:jc w:val="right"/>
            </w:pPr>
            <w:r w:rsidRPr="00DA20F5">
              <w:t>0,80</w:t>
            </w:r>
          </w:p>
        </w:tc>
        <w:tc>
          <w:tcPr>
            <w:tcW w:w="737" w:type="dxa"/>
          </w:tcPr>
          <w:p w:rsidR="00F10DB1" w:rsidRPr="00DA20F5" w:rsidRDefault="00F10DB1" w:rsidP="00D36FB8">
            <w:pPr>
              <w:ind w:right="113"/>
              <w:jc w:val="right"/>
            </w:pPr>
            <w:r w:rsidRPr="00DA20F5">
              <w:t>13,07</w:t>
            </w:r>
          </w:p>
        </w:tc>
        <w:tc>
          <w:tcPr>
            <w:tcW w:w="737" w:type="dxa"/>
            <w:vAlign w:val="center"/>
          </w:tcPr>
          <w:p w:rsidR="00F10DB1" w:rsidRPr="00DA20F5" w:rsidRDefault="00F10DB1" w:rsidP="00D36FB8">
            <w:pPr>
              <w:ind w:right="113"/>
              <w:jc w:val="right"/>
            </w:pPr>
            <w:r w:rsidRPr="00DA20F5">
              <w:t>15,17</w:t>
            </w:r>
          </w:p>
        </w:tc>
        <w:tc>
          <w:tcPr>
            <w:tcW w:w="737" w:type="dxa"/>
            <w:vAlign w:val="center"/>
          </w:tcPr>
          <w:p w:rsidR="00F10DB1" w:rsidRPr="00DA20F5" w:rsidRDefault="00F10DB1" w:rsidP="00D36FB8">
            <w:pPr>
              <w:ind w:right="113"/>
              <w:jc w:val="right"/>
            </w:pPr>
            <w:r w:rsidRPr="00DA20F5">
              <w:t>13,31</w:t>
            </w:r>
          </w:p>
        </w:tc>
        <w:tc>
          <w:tcPr>
            <w:tcW w:w="737" w:type="dxa"/>
          </w:tcPr>
          <w:p w:rsidR="00F10DB1" w:rsidRPr="00DA20F5" w:rsidRDefault="00F10DB1" w:rsidP="00D36FB8">
            <w:pPr>
              <w:ind w:right="113"/>
              <w:jc w:val="right"/>
            </w:pPr>
            <w:r w:rsidRPr="00DA20F5">
              <w:t>12,09</w:t>
            </w:r>
          </w:p>
        </w:tc>
        <w:tc>
          <w:tcPr>
            <w:tcW w:w="737" w:type="dxa"/>
          </w:tcPr>
          <w:p w:rsidR="00F10DB1" w:rsidRPr="00DA20F5" w:rsidRDefault="00F10DB1" w:rsidP="00D36FB8">
            <w:pPr>
              <w:ind w:right="113"/>
              <w:jc w:val="right"/>
            </w:pPr>
            <w:r w:rsidRPr="00DA20F5">
              <w:t>9,11</w:t>
            </w:r>
          </w:p>
        </w:tc>
        <w:tc>
          <w:tcPr>
            <w:tcW w:w="737" w:type="dxa"/>
          </w:tcPr>
          <w:p w:rsidR="00F10DB1" w:rsidRPr="00DA20F5" w:rsidRDefault="00F10DB1" w:rsidP="00D36FB8">
            <w:pPr>
              <w:ind w:right="113"/>
              <w:jc w:val="right"/>
            </w:pPr>
            <w:r w:rsidRPr="00DA20F5">
              <w:t>9,51</w:t>
            </w:r>
          </w:p>
        </w:tc>
        <w:tc>
          <w:tcPr>
            <w:tcW w:w="783" w:type="dxa"/>
          </w:tcPr>
          <w:p w:rsidR="00F10DB1" w:rsidRPr="00DA20F5" w:rsidRDefault="00F10DB1" w:rsidP="00D36FB8">
            <w:pPr>
              <w:ind w:right="113"/>
              <w:jc w:val="right"/>
            </w:pPr>
            <w:r w:rsidRPr="00DA20F5">
              <w:t>10,41</w:t>
            </w:r>
          </w:p>
        </w:tc>
        <w:tc>
          <w:tcPr>
            <w:tcW w:w="794" w:type="dxa"/>
          </w:tcPr>
          <w:p w:rsidR="00F10DB1" w:rsidRPr="00DA20F5" w:rsidRDefault="00F10DB1" w:rsidP="00D36FB8">
            <w:pPr>
              <w:ind w:right="113"/>
              <w:jc w:val="right"/>
            </w:pPr>
            <w:r w:rsidRPr="00DA20F5">
              <w:t>13,34</w:t>
            </w:r>
          </w:p>
        </w:tc>
        <w:tc>
          <w:tcPr>
            <w:tcW w:w="735" w:type="dxa"/>
          </w:tcPr>
          <w:p w:rsidR="00F10DB1" w:rsidRPr="00DA20F5" w:rsidRDefault="00F10DB1" w:rsidP="00D36FB8">
            <w:pPr>
              <w:ind w:right="113"/>
              <w:jc w:val="right"/>
            </w:pPr>
            <w:r w:rsidRPr="00DA20F5">
              <w:t>3,19</w:t>
            </w:r>
          </w:p>
        </w:tc>
      </w:tr>
      <w:tr w:rsidR="00ED3F36" w:rsidRPr="00DA20F5" w:rsidTr="00A05573">
        <w:trPr>
          <w:trHeight w:val="255"/>
          <w:jc w:val="center"/>
        </w:trPr>
        <w:tc>
          <w:tcPr>
            <w:tcW w:w="1695" w:type="dxa"/>
            <w:vAlign w:val="center"/>
          </w:tcPr>
          <w:p w:rsidR="00F10DB1" w:rsidRPr="00DA20F5" w:rsidRDefault="00F10DB1" w:rsidP="00D36FB8">
            <w:r w:rsidRPr="00DA20F5">
              <w:t>Trnavský</w:t>
            </w:r>
          </w:p>
        </w:tc>
        <w:tc>
          <w:tcPr>
            <w:tcW w:w="766" w:type="dxa"/>
            <w:vAlign w:val="center"/>
          </w:tcPr>
          <w:p w:rsidR="00F10DB1" w:rsidRPr="00DA20F5" w:rsidRDefault="00F10DB1" w:rsidP="00D36FB8">
            <w:pPr>
              <w:ind w:right="113"/>
              <w:jc w:val="right"/>
            </w:pPr>
            <w:r w:rsidRPr="00DA20F5">
              <w:t>1,48</w:t>
            </w:r>
          </w:p>
        </w:tc>
        <w:tc>
          <w:tcPr>
            <w:tcW w:w="737" w:type="dxa"/>
          </w:tcPr>
          <w:p w:rsidR="00F10DB1" w:rsidRPr="00DA20F5" w:rsidRDefault="00F10DB1" w:rsidP="00D36FB8">
            <w:pPr>
              <w:ind w:right="113"/>
              <w:jc w:val="right"/>
            </w:pPr>
            <w:r w:rsidRPr="00DA20F5">
              <w:t>16,09</w:t>
            </w:r>
          </w:p>
        </w:tc>
        <w:tc>
          <w:tcPr>
            <w:tcW w:w="737" w:type="dxa"/>
            <w:vAlign w:val="center"/>
          </w:tcPr>
          <w:p w:rsidR="00F10DB1" w:rsidRPr="00DA20F5" w:rsidRDefault="00F10DB1" w:rsidP="00D36FB8">
            <w:pPr>
              <w:ind w:right="113"/>
              <w:jc w:val="right"/>
            </w:pPr>
            <w:r w:rsidRPr="00DA20F5">
              <w:t>13,60</w:t>
            </w:r>
          </w:p>
        </w:tc>
        <w:tc>
          <w:tcPr>
            <w:tcW w:w="737" w:type="dxa"/>
            <w:vAlign w:val="center"/>
          </w:tcPr>
          <w:p w:rsidR="00F10DB1" w:rsidRPr="00DA20F5" w:rsidRDefault="00F10DB1" w:rsidP="00D36FB8">
            <w:pPr>
              <w:ind w:right="113"/>
              <w:jc w:val="right"/>
            </w:pPr>
            <w:r w:rsidRPr="00DA20F5">
              <w:t>11,59</w:t>
            </w:r>
          </w:p>
        </w:tc>
        <w:tc>
          <w:tcPr>
            <w:tcW w:w="737" w:type="dxa"/>
          </w:tcPr>
          <w:p w:rsidR="00F10DB1" w:rsidRPr="00DA20F5" w:rsidRDefault="00F10DB1" w:rsidP="00D36FB8">
            <w:pPr>
              <w:ind w:right="113"/>
              <w:jc w:val="right"/>
            </w:pPr>
            <w:r w:rsidRPr="00DA20F5">
              <w:t>11,85</w:t>
            </w:r>
          </w:p>
        </w:tc>
        <w:tc>
          <w:tcPr>
            <w:tcW w:w="737" w:type="dxa"/>
          </w:tcPr>
          <w:p w:rsidR="00F10DB1" w:rsidRPr="00DA20F5" w:rsidRDefault="00F10DB1" w:rsidP="00D36FB8">
            <w:pPr>
              <w:ind w:right="113"/>
              <w:jc w:val="right"/>
            </w:pPr>
            <w:r w:rsidRPr="00DA20F5">
              <w:t>9,65</w:t>
            </w:r>
          </w:p>
        </w:tc>
        <w:tc>
          <w:tcPr>
            <w:tcW w:w="737" w:type="dxa"/>
          </w:tcPr>
          <w:p w:rsidR="00F10DB1" w:rsidRPr="00DA20F5" w:rsidRDefault="00F10DB1" w:rsidP="00D36FB8">
            <w:pPr>
              <w:ind w:right="113"/>
              <w:jc w:val="right"/>
            </w:pPr>
            <w:r w:rsidRPr="00DA20F5">
              <w:t>10,06</w:t>
            </w:r>
          </w:p>
        </w:tc>
        <w:tc>
          <w:tcPr>
            <w:tcW w:w="783" w:type="dxa"/>
          </w:tcPr>
          <w:p w:rsidR="00F10DB1" w:rsidRPr="00DA20F5" w:rsidRDefault="00F10DB1" w:rsidP="00D36FB8">
            <w:pPr>
              <w:ind w:right="113"/>
              <w:jc w:val="right"/>
            </w:pPr>
            <w:r w:rsidRPr="00DA20F5">
              <w:t>11,28</w:t>
            </w:r>
          </w:p>
        </w:tc>
        <w:tc>
          <w:tcPr>
            <w:tcW w:w="794" w:type="dxa"/>
          </w:tcPr>
          <w:p w:rsidR="00F10DB1" w:rsidRPr="00DA20F5" w:rsidRDefault="00F10DB1" w:rsidP="00D36FB8">
            <w:pPr>
              <w:ind w:right="113"/>
              <w:jc w:val="right"/>
            </w:pPr>
            <w:r w:rsidRPr="00DA20F5">
              <w:t>12,19</w:t>
            </w:r>
          </w:p>
        </w:tc>
        <w:tc>
          <w:tcPr>
            <w:tcW w:w="735" w:type="dxa"/>
          </w:tcPr>
          <w:p w:rsidR="00F10DB1" w:rsidRPr="00DA20F5" w:rsidRDefault="00F10DB1" w:rsidP="00D36FB8">
            <w:pPr>
              <w:ind w:right="113"/>
              <w:jc w:val="right"/>
            </w:pPr>
            <w:r w:rsidRPr="00DA20F5">
              <w:t>2,20</w:t>
            </w:r>
          </w:p>
        </w:tc>
      </w:tr>
      <w:tr w:rsidR="00ED3F36" w:rsidRPr="00DA20F5" w:rsidTr="00A05573">
        <w:trPr>
          <w:trHeight w:val="255"/>
          <w:jc w:val="center"/>
        </w:trPr>
        <w:tc>
          <w:tcPr>
            <w:tcW w:w="1695" w:type="dxa"/>
            <w:vAlign w:val="center"/>
          </w:tcPr>
          <w:p w:rsidR="00F10DB1" w:rsidRPr="00DA20F5" w:rsidRDefault="00F10DB1" w:rsidP="00D36FB8">
            <w:r w:rsidRPr="00DA20F5">
              <w:t>Trenčiansky</w:t>
            </w:r>
          </w:p>
        </w:tc>
        <w:tc>
          <w:tcPr>
            <w:tcW w:w="766" w:type="dxa"/>
            <w:vAlign w:val="bottom"/>
          </w:tcPr>
          <w:p w:rsidR="00F10DB1" w:rsidRPr="00DA20F5" w:rsidRDefault="00F10DB1" w:rsidP="00D36FB8">
            <w:pPr>
              <w:ind w:right="113"/>
              <w:jc w:val="right"/>
            </w:pPr>
            <w:r w:rsidRPr="00DA20F5">
              <w:t>1,23</w:t>
            </w:r>
          </w:p>
        </w:tc>
        <w:tc>
          <w:tcPr>
            <w:tcW w:w="737" w:type="dxa"/>
          </w:tcPr>
          <w:p w:rsidR="00F10DB1" w:rsidRPr="00DA20F5" w:rsidRDefault="00F10DB1" w:rsidP="00D36FB8">
            <w:pPr>
              <w:ind w:right="113"/>
              <w:jc w:val="right"/>
            </w:pPr>
            <w:r w:rsidRPr="00DA20F5">
              <w:t>16,76</w:t>
            </w:r>
          </w:p>
        </w:tc>
        <w:tc>
          <w:tcPr>
            <w:tcW w:w="737" w:type="dxa"/>
            <w:vAlign w:val="center"/>
          </w:tcPr>
          <w:p w:rsidR="00F10DB1" w:rsidRPr="00DA20F5" w:rsidRDefault="00F10DB1" w:rsidP="00D36FB8">
            <w:pPr>
              <w:ind w:right="113"/>
              <w:jc w:val="right"/>
            </w:pPr>
            <w:r w:rsidRPr="00DA20F5">
              <w:t>13,86</w:t>
            </w:r>
          </w:p>
        </w:tc>
        <w:tc>
          <w:tcPr>
            <w:tcW w:w="737" w:type="dxa"/>
            <w:vAlign w:val="center"/>
          </w:tcPr>
          <w:p w:rsidR="00F10DB1" w:rsidRPr="00DA20F5" w:rsidRDefault="00F10DB1" w:rsidP="00D36FB8">
            <w:pPr>
              <w:ind w:right="113"/>
              <w:jc w:val="right"/>
            </w:pPr>
            <w:r w:rsidRPr="00DA20F5">
              <w:t>10,80</w:t>
            </w:r>
          </w:p>
        </w:tc>
        <w:tc>
          <w:tcPr>
            <w:tcW w:w="737" w:type="dxa"/>
          </w:tcPr>
          <w:p w:rsidR="00F10DB1" w:rsidRPr="00DA20F5" w:rsidRDefault="00F10DB1" w:rsidP="00D36FB8">
            <w:pPr>
              <w:ind w:right="113"/>
              <w:jc w:val="right"/>
            </w:pPr>
            <w:r w:rsidRPr="00DA20F5">
              <w:t>10,16</w:t>
            </w:r>
          </w:p>
        </w:tc>
        <w:tc>
          <w:tcPr>
            <w:tcW w:w="737" w:type="dxa"/>
          </w:tcPr>
          <w:p w:rsidR="00F10DB1" w:rsidRPr="00DA20F5" w:rsidRDefault="00F10DB1" w:rsidP="00D36FB8">
            <w:pPr>
              <w:ind w:right="113"/>
              <w:jc w:val="right"/>
            </w:pPr>
            <w:r w:rsidRPr="00DA20F5">
              <w:t>9,01</w:t>
            </w:r>
          </w:p>
        </w:tc>
        <w:tc>
          <w:tcPr>
            <w:tcW w:w="737" w:type="dxa"/>
          </w:tcPr>
          <w:p w:rsidR="00F10DB1" w:rsidRPr="00DA20F5" w:rsidRDefault="00F10DB1" w:rsidP="00D36FB8">
            <w:pPr>
              <w:ind w:right="113"/>
              <w:jc w:val="right"/>
            </w:pPr>
            <w:r w:rsidRPr="00DA20F5">
              <w:t>10,73</w:t>
            </w:r>
          </w:p>
        </w:tc>
        <w:tc>
          <w:tcPr>
            <w:tcW w:w="783" w:type="dxa"/>
          </w:tcPr>
          <w:p w:rsidR="00F10DB1" w:rsidRPr="00DA20F5" w:rsidRDefault="00F10DB1" w:rsidP="00D36FB8">
            <w:pPr>
              <w:ind w:right="113"/>
              <w:jc w:val="right"/>
            </w:pPr>
            <w:r w:rsidRPr="00DA20F5">
              <w:t>12,14</w:t>
            </w:r>
          </w:p>
        </w:tc>
        <w:tc>
          <w:tcPr>
            <w:tcW w:w="794" w:type="dxa"/>
          </w:tcPr>
          <w:p w:rsidR="00F10DB1" w:rsidRPr="00DA20F5" w:rsidRDefault="00F10DB1" w:rsidP="00D36FB8">
            <w:pPr>
              <w:ind w:right="113"/>
              <w:jc w:val="right"/>
            </w:pPr>
            <w:r w:rsidRPr="00DA20F5">
              <w:t>12,72</w:t>
            </w:r>
          </w:p>
        </w:tc>
        <w:tc>
          <w:tcPr>
            <w:tcW w:w="735" w:type="dxa"/>
          </w:tcPr>
          <w:p w:rsidR="00F10DB1" w:rsidRPr="00DA20F5" w:rsidRDefault="00F10DB1" w:rsidP="00D36FB8">
            <w:pPr>
              <w:ind w:right="113"/>
              <w:jc w:val="right"/>
            </w:pPr>
            <w:r w:rsidRPr="00DA20F5">
              <w:t>2,59</w:t>
            </w:r>
          </w:p>
        </w:tc>
      </w:tr>
      <w:tr w:rsidR="00ED3F36" w:rsidRPr="00DA20F5" w:rsidTr="00A05573">
        <w:trPr>
          <w:trHeight w:val="255"/>
          <w:jc w:val="center"/>
        </w:trPr>
        <w:tc>
          <w:tcPr>
            <w:tcW w:w="1695" w:type="dxa"/>
            <w:vAlign w:val="center"/>
          </w:tcPr>
          <w:p w:rsidR="00F10DB1" w:rsidRPr="00DA20F5" w:rsidRDefault="00F10DB1" w:rsidP="00D36FB8">
            <w:r w:rsidRPr="00DA20F5">
              <w:t>Nitriansky</w:t>
            </w:r>
          </w:p>
        </w:tc>
        <w:tc>
          <w:tcPr>
            <w:tcW w:w="766" w:type="dxa"/>
            <w:vAlign w:val="bottom"/>
          </w:tcPr>
          <w:p w:rsidR="00F10DB1" w:rsidRPr="00DA20F5" w:rsidRDefault="00F10DB1" w:rsidP="00D36FB8">
            <w:pPr>
              <w:ind w:right="113"/>
              <w:jc w:val="right"/>
            </w:pPr>
            <w:r w:rsidRPr="00DA20F5">
              <w:t>1,30</w:t>
            </w:r>
          </w:p>
        </w:tc>
        <w:tc>
          <w:tcPr>
            <w:tcW w:w="737" w:type="dxa"/>
          </w:tcPr>
          <w:p w:rsidR="00F10DB1" w:rsidRPr="00DA20F5" w:rsidRDefault="00F10DB1" w:rsidP="00D36FB8">
            <w:pPr>
              <w:ind w:right="113"/>
              <w:jc w:val="right"/>
            </w:pPr>
            <w:r w:rsidRPr="00DA20F5">
              <w:t>14,10</w:t>
            </w:r>
          </w:p>
        </w:tc>
        <w:tc>
          <w:tcPr>
            <w:tcW w:w="737" w:type="dxa"/>
            <w:vAlign w:val="center"/>
          </w:tcPr>
          <w:p w:rsidR="00F10DB1" w:rsidRPr="00DA20F5" w:rsidRDefault="00F10DB1" w:rsidP="00D36FB8">
            <w:pPr>
              <w:ind w:right="113"/>
              <w:jc w:val="right"/>
            </w:pPr>
            <w:r w:rsidRPr="00DA20F5">
              <w:t>12,95</w:t>
            </w:r>
          </w:p>
        </w:tc>
        <w:tc>
          <w:tcPr>
            <w:tcW w:w="737" w:type="dxa"/>
            <w:vAlign w:val="center"/>
          </w:tcPr>
          <w:p w:rsidR="00F10DB1" w:rsidRPr="00DA20F5" w:rsidRDefault="00F10DB1" w:rsidP="00D36FB8">
            <w:pPr>
              <w:ind w:right="113"/>
              <w:jc w:val="right"/>
            </w:pPr>
            <w:r w:rsidRPr="00DA20F5">
              <w:t>10,97</w:t>
            </w:r>
          </w:p>
        </w:tc>
        <w:tc>
          <w:tcPr>
            <w:tcW w:w="737" w:type="dxa"/>
          </w:tcPr>
          <w:p w:rsidR="00F10DB1" w:rsidRPr="00DA20F5" w:rsidRDefault="00F10DB1" w:rsidP="00D36FB8">
            <w:pPr>
              <w:ind w:right="113"/>
              <w:jc w:val="right"/>
            </w:pPr>
            <w:r w:rsidRPr="00DA20F5">
              <w:t>11,98</w:t>
            </w:r>
          </w:p>
        </w:tc>
        <w:tc>
          <w:tcPr>
            <w:tcW w:w="737" w:type="dxa"/>
          </w:tcPr>
          <w:p w:rsidR="00F10DB1" w:rsidRPr="00DA20F5" w:rsidRDefault="00F10DB1" w:rsidP="00D36FB8">
            <w:pPr>
              <w:ind w:right="113"/>
              <w:jc w:val="right"/>
            </w:pPr>
            <w:r w:rsidRPr="00DA20F5">
              <w:t>10,19</w:t>
            </w:r>
          </w:p>
        </w:tc>
        <w:tc>
          <w:tcPr>
            <w:tcW w:w="737" w:type="dxa"/>
          </w:tcPr>
          <w:p w:rsidR="00F10DB1" w:rsidRPr="00DA20F5" w:rsidRDefault="00F10DB1" w:rsidP="00D36FB8">
            <w:pPr>
              <w:ind w:right="113"/>
              <w:jc w:val="right"/>
            </w:pPr>
            <w:r w:rsidRPr="00DA20F5">
              <w:t>10,93</w:t>
            </w:r>
          </w:p>
        </w:tc>
        <w:tc>
          <w:tcPr>
            <w:tcW w:w="783" w:type="dxa"/>
          </w:tcPr>
          <w:p w:rsidR="00F10DB1" w:rsidRPr="00DA20F5" w:rsidRDefault="00F10DB1" w:rsidP="00D36FB8">
            <w:pPr>
              <w:ind w:right="113"/>
              <w:jc w:val="right"/>
            </w:pPr>
            <w:r w:rsidRPr="00DA20F5">
              <w:t>12,29</w:t>
            </w:r>
          </w:p>
        </w:tc>
        <w:tc>
          <w:tcPr>
            <w:tcW w:w="794" w:type="dxa"/>
          </w:tcPr>
          <w:p w:rsidR="00F10DB1" w:rsidRPr="00DA20F5" w:rsidRDefault="00F10DB1" w:rsidP="00D36FB8">
            <w:pPr>
              <w:ind w:right="113"/>
              <w:jc w:val="right"/>
            </w:pPr>
            <w:r w:rsidRPr="00DA20F5">
              <w:t>12,72</w:t>
            </w:r>
          </w:p>
        </w:tc>
        <w:tc>
          <w:tcPr>
            <w:tcW w:w="735" w:type="dxa"/>
          </w:tcPr>
          <w:p w:rsidR="00F10DB1" w:rsidRPr="00DA20F5" w:rsidRDefault="00F10DB1" w:rsidP="00D36FB8">
            <w:pPr>
              <w:ind w:right="113"/>
              <w:jc w:val="right"/>
            </w:pPr>
            <w:r w:rsidRPr="00DA20F5">
              <w:t>2,57</w:t>
            </w:r>
          </w:p>
        </w:tc>
      </w:tr>
      <w:tr w:rsidR="00ED3F36" w:rsidRPr="00DA20F5" w:rsidTr="00A05573">
        <w:trPr>
          <w:trHeight w:val="255"/>
          <w:jc w:val="center"/>
        </w:trPr>
        <w:tc>
          <w:tcPr>
            <w:tcW w:w="1695" w:type="dxa"/>
            <w:vAlign w:val="center"/>
          </w:tcPr>
          <w:p w:rsidR="00F10DB1" w:rsidRPr="00DA20F5" w:rsidRDefault="00F10DB1" w:rsidP="00D36FB8">
            <w:r w:rsidRPr="00DA20F5">
              <w:t>Žilinský</w:t>
            </w:r>
          </w:p>
        </w:tc>
        <w:tc>
          <w:tcPr>
            <w:tcW w:w="766" w:type="dxa"/>
            <w:vAlign w:val="center"/>
          </w:tcPr>
          <w:p w:rsidR="00F10DB1" w:rsidRPr="00DA20F5" w:rsidRDefault="00F10DB1" w:rsidP="00D36FB8">
            <w:pPr>
              <w:ind w:right="113"/>
              <w:jc w:val="right"/>
            </w:pPr>
            <w:r w:rsidRPr="00DA20F5">
              <w:t>1,47</w:t>
            </w:r>
          </w:p>
        </w:tc>
        <w:tc>
          <w:tcPr>
            <w:tcW w:w="737" w:type="dxa"/>
          </w:tcPr>
          <w:p w:rsidR="00F10DB1" w:rsidRPr="00DA20F5" w:rsidRDefault="00F10DB1" w:rsidP="00D36FB8">
            <w:pPr>
              <w:ind w:right="113"/>
              <w:jc w:val="right"/>
            </w:pPr>
            <w:r w:rsidRPr="00DA20F5">
              <w:t>17,82</w:t>
            </w:r>
          </w:p>
        </w:tc>
        <w:tc>
          <w:tcPr>
            <w:tcW w:w="737" w:type="dxa"/>
            <w:vAlign w:val="center"/>
          </w:tcPr>
          <w:p w:rsidR="00F10DB1" w:rsidRPr="00DA20F5" w:rsidRDefault="00F10DB1" w:rsidP="00D36FB8">
            <w:pPr>
              <w:ind w:right="113"/>
              <w:jc w:val="right"/>
            </w:pPr>
            <w:r w:rsidRPr="00DA20F5">
              <w:t>13,42</w:t>
            </w:r>
          </w:p>
        </w:tc>
        <w:tc>
          <w:tcPr>
            <w:tcW w:w="737" w:type="dxa"/>
            <w:vAlign w:val="center"/>
          </w:tcPr>
          <w:p w:rsidR="00F10DB1" w:rsidRPr="00DA20F5" w:rsidRDefault="00F10DB1" w:rsidP="00D36FB8">
            <w:pPr>
              <w:ind w:right="113"/>
              <w:jc w:val="right"/>
            </w:pPr>
            <w:r w:rsidRPr="00DA20F5">
              <w:t>10,06</w:t>
            </w:r>
          </w:p>
        </w:tc>
        <w:tc>
          <w:tcPr>
            <w:tcW w:w="737" w:type="dxa"/>
          </w:tcPr>
          <w:p w:rsidR="00F10DB1" w:rsidRPr="00DA20F5" w:rsidRDefault="00F10DB1" w:rsidP="00D36FB8">
            <w:pPr>
              <w:ind w:right="113"/>
              <w:jc w:val="right"/>
            </w:pPr>
            <w:r w:rsidRPr="00DA20F5">
              <w:t>10,41</w:t>
            </w:r>
          </w:p>
        </w:tc>
        <w:tc>
          <w:tcPr>
            <w:tcW w:w="737" w:type="dxa"/>
          </w:tcPr>
          <w:p w:rsidR="00F10DB1" w:rsidRPr="00DA20F5" w:rsidRDefault="00F10DB1" w:rsidP="00D36FB8">
            <w:pPr>
              <w:ind w:right="113"/>
              <w:jc w:val="right"/>
            </w:pPr>
            <w:r w:rsidRPr="00DA20F5">
              <w:t>10,00</w:t>
            </w:r>
          </w:p>
        </w:tc>
        <w:tc>
          <w:tcPr>
            <w:tcW w:w="737" w:type="dxa"/>
          </w:tcPr>
          <w:p w:rsidR="00F10DB1" w:rsidRPr="00DA20F5" w:rsidRDefault="00F10DB1" w:rsidP="00D36FB8">
            <w:pPr>
              <w:ind w:right="113"/>
              <w:jc w:val="right"/>
            </w:pPr>
            <w:r w:rsidRPr="00DA20F5">
              <w:t>10,89</w:t>
            </w:r>
          </w:p>
        </w:tc>
        <w:tc>
          <w:tcPr>
            <w:tcW w:w="783" w:type="dxa"/>
          </w:tcPr>
          <w:p w:rsidR="00F10DB1" w:rsidRPr="00DA20F5" w:rsidRDefault="00F10DB1" w:rsidP="00D36FB8">
            <w:pPr>
              <w:ind w:right="113"/>
              <w:jc w:val="right"/>
            </w:pPr>
            <w:r w:rsidRPr="00DA20F5">
              <w:t>11,56</w:t>
            </w:r>
          </w:p>
        </w:tc>
        <w:tc>
          <w:tcPr>
            <w:tcW w:w="794" w:type="dxa"/>
          </w:tcPr>
          <w:p w:rsidR="00F10DB1" w:rsidRPr="00DA20F5" w:rsidRDefault="00F10DB1" w:rsidP="00D36FB8">
            <w:pPr>
              <w:ind w:right="113"/>
              <w:jc w:val="right"/>
            </w:pPr>
            <w:r w:rsidRPr="00DA20F5">
              <w:t>11,79</w:t>
            </w:r>
          </w:p>
        </w:tc>
        <w:tc>
          <w:tcPr>
            <w:tcW w:w="735" w:type="dxa"/>
          </w:tcPr>
          <w:p w:rsidR="00F10DB1" w:rsidRPr="00DA20F5" w:rsidRDefault="00F10DB1" w:rsidP="00D36FB8">
            <w:pPr>
              <w:ind w:right="113"/>
              <w:jc w:val="right"/>
            </w:pPr>
            <w:r w:rsidRPr="00DA20F5">
              <w:t>2,57</w:t>
            </w:r>
          </w:p>
        </w:tc>
      </w:tr>
      <w:tr w:rsidR="00ED3F36" w:rsidRPr="00DA20F5" w:rsidTr="00A05573">
        <w:trPr>
          <w:trHeight w:val="255"/>
          <w:jc w:val="center"/>
        </w:trPr>
        <w:tc>
          <w:tcPr>
            <w:tcW w:w="1695" w:type="dxa"/>
            <w:vAlign w:val="center"/>
          </w:tcPr>
          <w:p w:rsidR="00F10DB1" w:rsidRPr="00DA20F5" w:rsidRDefault="00F10DB1" w:rsidP="00D36FB8">
            <w:r w:rsidRPr="00DA20F5">
              <w:t>Banskobystrický</w:t>
            </w:r>
          </w:p>
        </w:tc>
        <w:tc>
          <w:tcPr>
            <w:tcW w:w="766" w:type="dxa"/>
            <w:vAlign w:val="center"/>
          </w:tcPr>
          <w:p w:rsidR="00F10DB1" w:rsidRPr="00DA20F5" w:rsidRDefault="00F10DB1" w:rsidP="00D36FB8">
            <w:pPr>
              <w:ind w:right="113"/>
              <w:jc w:val="right"/>
            </w:pPr>
            <w:r w:rsidRPr="00DA20F5">
              <w:t>2,15</w:t>
            </w:r>
          </w:p>
        </w:tc>
        <w:tc>
          <w:tcPr>
            <w:tcW w:w="737" w:type="dxa"/>
          </w:tcPr>
          <w:p w:rsidR="00F10DB1" w:rsidRPr="00DA20F5" w:rsidRDefault="00F10DB1" w:rsidP="00D36FB8">
            <w:pPr>
              <w:ind w:right="113"/>
              <w:jc w:val="right"/>
            </w:pPr>
            <w:r w:rsidRPr="00DA20F5">
              <w:t>13,45</w:t>
            </w:r>
          </w:p>
        </w:tc>
        <w:tc>
          <w:tcPr>
            <w:tcW w:w="737" w:type="dxa"/>
            <w:vAlign w:val="center"/>
          </w:tcPr>
          <w:p w:rsidR="00F10DB1" w:rsidRPr="00DA20F5" w:rsidRDefault="00F10DB1" w:rsidP="00D36FB8">
            <w:pPr>
              <w:ind w:right="113"/>
              <w:jc w:val="right"/>
            </w:pPr>
            <w:r w:rsidRPr="00DA20F5">
              <w:t>12,76</w:t>
            </w:r>
          </w:p>
        </w:tc>
        <w:tc>
          <w:tcPr>
            <w:tcW w:w="737" w:type="dxa"/>
            <w:vAlign w:val="center"/>
          </w:tcPr>
          <w:p w:rsidR="00F10DB1" w:rsidRPr="00DA20F5" w:rsidRDefault="00F10DB1" w:rsidP="00D36FB8">
            <w:pPr>
              <w:ind w:right="113"/>
              <w:jc w:val="right"/>
            </w:pPr>
            <w:r w:rsidRPr="00DA20F5">
              <w:t>11,67</w:t>
            </w:r>
          </w:p>
        </w:tc>
        <w:tc>
          <w:tcPr>
            <w:tcW w:w="737" w:type="dxa"/>
          </w:tcPr>
          <w:p w:rsidR="00F10DB1" w:rsidRPr="00DA20F5" w:rsidRDefault="00F10DB1" w:rsidP="00D36FB8">
            <w:pPr>
              <w:ind w:right="113"/>
              <w:jc w:val="right"/>
            </w:pPr>
            <w:r w:rsidRPr="00DA20F5">
              <w:t>12,36</w:t>
            </w:r>
          </w:p>
        </w:tc>
        <w:tc>
          <w:tcPr>
            <w:tcW w:w="737" w:type="dxa"/>
          </w:tcPr>
          <w:p w:rsidR="00F10DB1" w:rsidRPr="00DA20F5" w:rsidRDefault="00F10DB1" w:rsidP="00D36FB8">
            <w:pPr>
              <w:ind w:right="113"/>
              <w:jc w:val="right"/>
            </w:pPr>
            <w:r w:rsidRPr="00DA20F5">
              <w:t>10,51</w:t>
            </w:r>
          </w:p>
        </w:tc>
        <w:tc>
          <w:tcPr>
            <w:tcW w:w="737" w:type="dxa"/>
          </w:tcPr>
          <w:p w:rsidR="00F10DB1" w:rsidRPr="00DA20F5" w:rsidRDefault="00F10DB1" w:rsidP="00D36FB8">
            <w:pPr>
              <w:ind w:right="113"/>
              <w:jc w:val="right"/>
            </w:pPr>
            <w:r w:rsidRPr="00DA20F5">
              <w:t>11,36</w:t>
            </w:r>
          </w:p>
        </w:tc>
        <w:tc>
          <w:tcPr>
            <w:tcW w:w="783" w:type="dxa"/>
          </w:tcPr>
          <w:p w:rsidR="00F10DB1" w:rsidRPr="00DA20F5" w:rsidRDefault="00F10DB1" w:rsidP="00D36FB8">
            <w:pPr>
              <w:ind w:right="113"/>
              <w:jc w:val="right"/>
            </w:pPr>
            <w:r w:rsidRPr="00DA20F5">
              <w:t>11,86</w:t>
            </w:r>
          </w:p>
        </w:tc>
        <w:tc>
          <w:tcPr>
            <w:tcW w:w="794" w:type="dxa"/>
          </w:tcPr>
          <w:p w:rsidR="00F10DB1" w:rsidRPr="00DA20F5" w:rsidRDefault="00F10DB1" w:rsidP="00D36FB8">
            <w:pPr>
              <w:ind w:right="113"/>
              <w:jc w:val="right"/>
            </w:pPr>
            <w:r w:rsidRPr="00DA20F5">
              <w:t>11,71</w:t>
            </w:r>
          </w:p>
        </w:tc>
        <w:tc>
          <w:tcPr>
            <w:tcW w:w="735" w:type="dxa"/>
          </w:tcPr>
          <w:p w:rsidR="00F10DB1" w:rsidRPr="00DA20F5" w:rsidRDefault="00F10DB1" w:rsidP="00D36FB8">
            <w:pPr>
              <w:ind w:right="113"/>
              <w:jc w:val="right"/>
            </w:pPr>
            <w:r w:rsidRPr="00DA20F5">
              <w:t>2,17</w:t>
            </w:r>
          </w:p>
        </w:tc>
      </w:tr>
      <w:tr w:rsidR="00ED3F36" w:rsidRPr="00DA20F5" w:rsidTr="00A05573">
        <w:trPr>
          <w:trHeight w:val="255"/>
          <w:jc w:val="center"/>
        </w:trPr>
        <w:tc>
          <w:tcPr>
            <w:tcW w:w="1695" w:type="dxa"/>
            <w:vAlign w:val="center"/>
          </w:tcPr>
          <w:p w:rsidR="00F10DB1" w:rsidRPr="00DA20F5" w:rsidRDefault="00F10DB1" w:rsidP="00D36FB8">
            <w:r w:rsidRPr="00DA20F5">
              <w:t>Prešovský</w:t>
            </w:r>
          </w:p>
        </w:tc>
        <w:tc>
          <w:tcPr>
            <w:tcW w:w="766" w:type="dxa"/>
            <w:vAlign w:val="bottom"/>
          </w:tcPr>
          <w:p w:rsidR="00F10DB1" w:rsidRPr="00DA20F5" w:rsidRDefault="00F10DB1" w:rsidP="00D36FB8">
            <w:pPr>
              <w:ind w:right="113"/>
              <w:jc w:val="right"/>
            </w:pPr>
            <w:r w:rsidRPr="00DA20F5">
              <w:t>2,98</w:t>
            </w:r>
          </w:p>
        </w:tc>
        <w:tc>
          <w:tcPr>
            <w:tcW w:w="737" w:type="dxa"/>
          </w:tcPr>
          <w:p w:rsidR="00F10DB1" w:rsidRPr="00DA20F5" w:rsidRDefault="00F10DB1" w:rsidP="00D36FB8">
            <w:pPr>
              <w:ind w:right="113"/>
              <w:jc w:val="right"/>
            </w:pPr>
            <w:r w:rsidRPr="00DA20F5">
              <w:t>16,20</w:t>
            </w:r>
          </w:p>
        </w:tc>
        <w:tc>
          <w:tcPr>
            <w:tcW w:w="737" w:type="dxa"/>
            <w:vAlign w:val="center"/>
          </w:tcPr>
          <w:p w:rsidR="00F10DB1" w:rsidRPr="00DA20F5" w:rsidRDefault="00F10DB1" w:rsidP="00D36FB8">
            <w:pPr>
              <w:ind w:right="113"/>
              <w:jc w:val="right"/>
            </w:pPr>
            <w:r w:rsidRPr="00DA20F5">
              <w:t>14,59</w:t>
            </w:r>
          </w:p>
        </w:tc>
        <w:tc>
          <w:tcPr>
            <w:tcW w:w="737" w:type="dxa"/>
            <w:vAlign w:val="center"/>
          </w:tcPr>
          <w:p w:rsidR="00F10DB1" w:rsidRPr="00DA20F5" w:rsidRDefault="00F10DB1" w:rsidP="00D36FB8">
            <w:pPr>
              <w:ind w:right="113"/>
              <w:jc w:val="right"/>
            </w:pPr>
            <w:r w:rsidRPr="00DA20F5">
              <w:t>11,89</w:t>
            </w:r>
          </w:p>
        </w:tc>
        <w:tc>
          <w:tcPr>
            <w:tcW w:w="737" w:type="dxa"/>
          </w:tcPr>
          <w:p w:rsidR="00F10DB1" w:rsidRPr="00DA20F5" w:rsidRDefault="00F10DB1" w:rsidP="00D36FB8">
            <w:pPr>
              <w:ind w:right="113"/>
              <w:jc w:val="right"/>
            </w:pPr>
            <w:r w:rsidRPr="00DA20F5">
              <w:t>11,78</w:t>
            </w:r>
          </w:p>
        </w:tc>
        <w:tc>
          <w:tcPr>
            <w:tcW w:w="737" w:type="dxa"/>
          </w:tcPr>
          <w:p w:rsidR="00F10DB1" w:rsidRPr="00DA20F5" w:rsidRDefault="00F10DB1" w:rsidP="00D36FB8">
            <w:pPr>
              <w:ind w:right="113"/>
              <w:jc w:val="right"/>
            </w:pPr>
            <w:r w:rsidRPr="00DA20F5">
              <w:t>10,55</w:t>
            </w:r>
          </w:p>
        </w:tc>
        <w:tc>
          <w:tcPr>
            <w:tcW w:w="737" w:type="dxa"/>
          </w:tcPr>
          <w:p w:rsidR="00F10DB1" w:rsidRPr="00DA20F5" w:rsidRDefault="00F10DB1" w:rsidP="00D36FB8">
            <w:pPr>
              <w:ind w:right="113"/>
              <w:jc w:val="right"/>
            </w:pPr>
            <w:r w:rsidRPr="00DA20F5">
              <w:t>10,74</w:t>
            </w:r>
          </w:p>
        </w:tc>
        <w:tc>
          <w:tcPr>
            <w:tcW w:w="783" w:type="dxa"/>
          </w:tcPr>
          <w:p w:rsidR="00F10DB1" w:rsidRPr="00DA20F5" w:rsidRDefault="00F10DB1" w:rsidP="00D36FB8">
            <w:pPr>
              <w:ind w:right="113"/>
              <w:jc w:val="right"/>
            </w:pPr>
            <w:r w:rsidRPr="00DA20F5">
              <w:t>10,49</w:t>
            </w:r>
          </w:p>
        </w:tc>
        <w:tc>
          <w:tcPr>
            <w:tcW w:w="794" w:type="dxa"/>
          </w:tcPr>
          <w:p w:rsidR="00F10DB1" w:rsidRPr="00DA20F5" w:rsidRDefault="00F10DB1" w:rsidP="00D36FB8">
            <w:pPr>
              <w:ind w:right="113"/>
              <w:jc w:val="right"/>
            </w:pPr>
            <w:r w:rsidRPr="00DA20F5">
              <w:t>8,90</w:t>
            </w:r>
          </w:p>
        </w:tc>
        <w:tc>
          <w:tcPr>
            <w:tcW w:w="735" w:type="dxa"/>
          </w:tcPr>
          <w:p w:rsidR="00F10DB1" w:rsidRPr="00DA20F5" w:rsidRDefault="00F10DB1" w:rsidP="00D36FB8">
            <w:pPr>
              <w:ind w:right="113"/>
              <w:jc w:val="right"/>
            </w:pPr>
            <w:r w:rsidRPr="00DA20F5">
              <w:t>1,88</w:t>
            </w:r>
          </w:p>
        </w:tc>
      </w:tr>
      <w:tr w:rsidR="00ED3F36" w:rsidRPr="00DA20F5" w:rsidTr="00A05573">
        <w:trPr>
          <w:trHeight w:val="255"/>
          <w:jc w:val="center"/>
        </w:trPr>
        <w:tc>
          <w:tcPr>
            <w:tcW w:w="1695" w:type="dxa"/>
            <w:vAlign w:val="center"/>
          </w:tcPr>
          <w:p w:rsidR="00F10DB1" w:rsidRPr="00DA20F5" w:rsidRDefault="00F10DB1" w:rsidP="00D36FB8">
            <w:r w:rsidRPr="00DA20F5">
              <w:t>Košický</w:t>
            </w:r>
          </w:p>
        </w:tc>
        <w:tc>
          <w:tcPr>
            <w:tcW w:w="766" w:type="dxa"/>
            <w:vAlign w:val="bottom"/>
          </w:tcPr>
          <w:p w:rsidR="00F10DB1" w:rsidRPr="00DA20F5" w:rsidRDefault="00F10DB1" w:rsidP="00D36FB8">
            <w:pPr>
              <w:ind w:right="113"/>
              <w:jc w:val="right"/>
            </w:pPr>
            <w:r w:rsidRPr="00DA20F5">
              <w:t>2,45</w:t>
            </w:r>
          </w:p>
        </w:tc>
        <w:tc>
          <w:tcPr>
            <w:tcW w:w="737" w:type="dxa"/>
          </w:tcPr>
          <w:p w:rsidR="00F10DB1" w:rsidRPr="00DA20F5" w:rsidRDefault="00F10DB1" w:rsidP="00D36FB8">
            <w:pPr>
              <w:ind w:right="113"/>
              <w:jc w:val="right"/>
            </w:pPr>
            <w:r w:rsidRPr="00DA20F5">
              <w:t>14,45</w:t>
            </w:r>
          </w:p>
        </w:tc>
        <w:tc>
          <w:tcPr>
            <w:tcW w:w="737" w:type="dxa"/>
            <w:vAlign w:val="center"/>
          </w:tcPr>
          <w:p w:rsidR="00F10DB1" w:rsidRPr="00DA20F5" w:rsidRDefault="00F10DB1" w:rsidP="00D36FB8">
            <w:pPr>
              <w:ind w:right="113"/>
              <w:jc w:val="right"/>
            </w:pPr>
            <w:r w:rsidRPr="00DA20F5">
              <w:t>14,32</w:t>
            </w:r>
          </w:p>
        </w:tc>
        <w:tc>
          <w:tcPr>
            <w:tcW w:w="737" w:type="dxa"/>
            <w:vAlign w:val="center"/>
          </w:tcPr>
          <w:p w:rsidR="00F10DB1" w:rsidRPr="00DA20F5" w:rsidRDefault="00F10DB1" w:rsidP="00D36FB8">
            <w:pPr>
              <w:ind w:right="113"/>
              <w:jc w:val="right"/>
            </w:pPr>
            <w:r w:rsidRPr="00DA20F5">
              <w:t>11,84</w:t>
            </w:r>
          </w:p>
        </w:tc>
        <w:tc>
          <w:tcPr>
            <w:tcW w:w="737" w:type="dxa"/>
          </w:tcPr>
          <w:p w:rsidR="00F10DB1" w:rsidRPr="00DA20F5" w:rsidRDefault="00F10DB1" w:rsidP="00D36FB8">
            <w:pPr>
              <w:ind w:right="113"/>
              <w:jc w:val="right"/>
            </w:pPr>
            <w:r w:rsidRPr="00DA20F5">
              <w:t>12,19</w:t>
            </w:r>
          </w:p>
        </w:tc>
        <w:tc>
          <w:tcPr>
            <w:tcW w:w="737" w:type="dxa"/>
          </w:tcPr>
          <w:p w:rsidR="00F10DB1" w:rsidRPr="00DA20F5" w:rsidRDefault="00F10DB1" w:rsidP="00D36FB8">
            <w:pPr>
              <w:ind w:right="113"/>
              <w:jc w:val="right"/>
            </w:pPr>
            <w:r w:rsidRPr="00DA20F5">
              <w:t>10,57</w:t>
            </w:r>
          </w:p>
        </w:tc>
        <w:tc>
          <w:tcPr>
            <w:tcW w:w="737" w:type="dxa"/>
          </w:tcPr>
          <w:p w:rsidR="00F10DB1" w:rsidRPr="00DA20F5" w:rsidRDefault="00F10DB1" w:rsidP="00D36FB8">
            <w:pPr>
              <w:ind w:right="113"/>
              <w:jc w:val="right"/>
            </w:pPr>
            <w:r w:rsidRPr="00DA20F5">
              <w:t>11,03</w:t>
            </w:r>
          </w:p>
        </w:tc>
        <w:tc>
          <w:tcPr>
            <w:tcW w:w="783" w:type="dxa"/>
          </w:tcPr>
          <w:p w:rsidR="00F10DB1" w:rsidRPr="00DA20F5" w:rsidRDefault="00F10DB1" w:rsidP="00D36FB8">
            <w:pPr>
              <w:ind w:right="113"/>
              <w:jc w:val="right"/>
            </w:pPr>
            <w:r w:rsidRPr="00DA20F5">
              <w:t>11,20</w:t>
            </w:r>
          </w:p>
        </w:tc>
        <w:tc>
          <w:tcPr>
            <w:tcW w:w="794" w:type="dxa"/>
          </w:tcPr>
          <w:p w:rsidR="00F10DB1" w:rsidRPr="00DA20F5" w:rsidRDefault="00F10DB1" w:rsidP="00D36FB8">
            <w:pPr>
              <w:ind w:right="113"/>
              <w:jc w:val="right"/>
            </w:pPr>
            <w:r w:rsidRPr="00DA20F5">
              <w:t>9,84</w:t>
            </w:r>
          </w:p>
        </w:tc>
        <w:tc>
          <w:tcPr>
            <w:tcW w:w="735" w:type="dxa"/>
          </w:tcPr>
          <w:p w:rsidR="00F10DB1" w:rsidRPr="00DA20F5" w:rsidRDefault="00F10DB1" w:rsidP="00D36FB8">
            <w:pPr>
              <w:ind w:right="113"/>
              <w:jc w:val="right"/>
            </w:pPr>
            <w:r w:rsidRPr="00DA20F5">
              <w:t>2,12</w:t>
            </w:r>
          </w:p>
        </w:tc>
      </w:tr>
      <w:tr w:rsidR="00ED3F36" w:rsidRPr="00DA20F5" w:rsidTr="00A05573">
        <w:trPr>
          <w:trHeight w:val="255"/>
          <w:jc w:val="center"/>
        </w:trPr>
        <w:tc>
          <w:tcPr>
            <w:tcW w:w="1695" w:type="dxa"/>
            <w:vAlign w:val="center"/>
          </w:tcPr>
          <w:p w:rsidR="00F10DB1" w:rsidRPr="00DA20F5" w:rsidRDefault="00F10DB1" w:rsidP="00D36FB8">
            <w:pPr>
              <w:rPr>
                <w:b/>
              </w:rPr>
            </w:pPr>
            <w:r w:rsidRPr="00DA20F5">
              <w:rPr>
                <w:b/>
              </w:rPr>
              <w:t>SR</w:t>
            </w:r>
          </w:p>
        </w:tc>
        <w:tc>
          <w:tcPr>
            <w:tcW w:w="766" w:type="dxa"/>
            <w:vAlign w:val="bottom"/>
          </w:tcPr>
          <w:p w:rsidR="00F10DB1" w:rsidRPr="00DA20F5" w:rsidRDefault="00F10DB1" w:rsidP="00D36FB8">
            <w:pPr>
              <w:ind w:right="113"/>
              <w:jc w:val="right"/>
              <w:rPr>
                <w:b/>
              </w:rPr>
            </w:pPr>
            <w:r w:rsidRPr="00DA20F5">
              <w:rPr>
                <w:b/>
              </w:rPr>
              <w:t>2,01</w:t>
            </w:r>
          </w:p>
        </w:tc>
        <w:tc>
          <w:tcPr>
            <w:tcW w:w="737" w:type="dxa"/>
          </w:tcPr>
          <w:p w:rsidR="00F10DB1" w:rsidRPr="00DA20F5" w:rsidRDefault="00F10DB1" w:rsidP="00D36FB8">
            <w:pPr>
              <w:ind w:right="113"/>
              <w:jc w:val="right"/>
              <w:rPr>
                <w:b/>
              </w:rPr>
            </w:pPr>
            <w:r w:rsidRPr="00DA20F5">
              <w:rPr>
                <w:b/>
              </w:rPr>
              <w:t>15,20</w:t>
            </w:r>
          </w:p>
        </w:tc>
        <w:tc>
          <w:tcPr>
            <w:tcW w:w="737" w:type="dxa"/>
            <w:vAlign w:val="center"/>
          </w:tcPr>
          <w:p w:rsidR="00F10DB1" w:rsidRPr="00DA20F5" w:rsidRDefault="00F10DB1" w:rsidP="00D36FB8">
            <w:pPr>
              <w:ind w:right="113"/>
              <w:jc w:val="right"/>
              <w:rPr>
                <w:b/>
              </w:rPr>
            </w:pPr>
            <w:r w:rsidRPr="00DA20F5">
              <w:rPr>
                <w:b/>
              </w:rPr>
              <w:t>13,79</w:t>
            </w:r>
          </w:p>
        </w:tc>
        <w:tc>
          <w:tcPr>
            <w:tcW w:w="737" w:type="dxa"/>
            <w:vAlign w:val="center"/>
          </w:tcPr>
          <w:p w:rsidR="00F10DB1" w:rsidRPr="00DA20F5" w:rsidRDefault="00F10DB1" w:rsidP="00D36FB8">
            <w:pPr>
              <w:ind w:right="113"/>
              <w:jc w:val="right"/>
              <w:rPr>
                <w:b/>
              </w:rPr>
            </w:pPr>
            <w:r w:rsidRPr="00DA20F5">
              <w:rPr>
                <w:b/>
              </w:rPr>
              <w:t>11,49</w:t>
            </w:r>
          </w:p>
        </w:tc>
        <w:tc>
          <w:tcPr>
            <w:tcW w:w="737" w:type="dxa"/>
          </w:tcPr>
          <w:p w:rsidR="00F10DB1" w:rsidRPr="00DA20F5" w:rsidRDefault="00F10DB1" w:rsidP="00D36FB8">
            <w:pPr>
              <w:ind w:right="113"/>
              <w:jc w:val="right"/>
              <w:rPr>
                <w:b/>
              </w:rPr>
            </w:pPr>
            <w:r w:rsidRPr="00DA20F5">
              <w:rPr>
                <w:b/>
              </w:rPr>
              <w:t>11,72</w:t>
            </w:r>
          </w:p>
        </w:tc>
        <w:tc>
          <w:tcPr>
            <w:tcW w:w="737" w:type="dxa"/>
          </w:tcPr>
          <w:p w:rsidR="00F10DB1" w:rsidRPr="00DA20F5" w:rsidRDefault="00F10DB1" w:rsidP="00D36FB8">
            <w:pPr>
              <w:ind w:right="113"/>
              <w:jc w:val="right"/>
              <w:rPr>
                <w:b/>
              </w:rPr>
            </w:pPr>
            <w:r w:rsidRPr="00DA20F5">
              <w:rPr>
                <w:b/>
              </w:rPr>
              <w:t>10,18</w:t>
            </w:r>
          </w:p>
        </w:tc>
        <w:tc>
          <w:tcPr>
            <w:tcW w:w="737" w:type="dxa"/>
          </w:tcPr>
          <w:p w:rsidR="00F10DB1" w:rsidRPr="00DA20F5" w:rsidRDefault="00F10DB1" w:rsidP="00D36FB8">
            <w:pPr>
              <w:ind w:right="113"/>
              <w:jc w:val="right"/>
              <w:rPr>
                <w:b/>
              </w:rPr>
            </w:pPr>
            <w:r w:rsidRPr="00DA20F5">
              <w:rPr>
                <w:b/>
              </w:rPr>
              <w:t>10,83</w:t>
            </w:r>
          </w:p>
        </w:tc>
        <w:tc>
          <w:tcPr>
            <w:tcW w:w="783" w:type="dxa"/>
          </w:tcPr>
          <w:p w:rsidR="00F10DB1" w:rsidRPr="00DA20F5" w:rsidRDefault="00F10DB1" w:rsidP="00D36FB8">
            <w:pPr>
              <w:ind w:right="113"/>
              <w:jc w:val="right"/>
              <w:rPr>
                <w:b/>
              </w:rPr>
            </w:pPr>
            <w:r w:rsidRPr="00DA20F5">
              <w:rPr>
                <w:b/>
              </w:rPr>
              <w:t>11,39</w:t>
            </w:r>
          </w:p>
        </w:tc>
        <w:tc>
          <w:tcPr>
            <w:tcW w:w="794" w:type="dxa"/>
          </w:tcPr>
          <w:p w:rsidR="00F10DB1" w:rsidRPr="00DA20F5" w:rsidRDefault="00F10DB1" w:rsidP="00D36FB8">
            <w:pPr>
              <w:ind w:right="113"/>
              <w:jc w:val="right"/>
              <w:rPr>
                <w:b/>
              </w:rPr>
            </w:pPr>
            <w:r w:rsidRPr="00DA20F5">
              <w:rPr>
                <w:b/>
              </w:rPr>
              <w:t>11,12</w:t>
            </w:r>
          </w:p>
        </w:tc>
        <w:tc>
          <w:tcPr>
            <w:tcW w:w="735" w:type="dxa"/>
          </w:tcPr>
          <w:p w:rsidR="00F10DB1" w:rsidRPr="00DA20F5" w:rsidRDefault="00F10DB1" w:rsidP="00D36FB8">
            <w:pPr>
              <w:ind w:right="113"/>
              <w:jc w:val="right"/>
              <w:rPr>
                <w:b/>
              </w:rPr>
            </w:pPr>
            <w:r w:rsidRPr="00DA20F5">
              <w:rPr>
                <w:b/>
              </w:rPr>
              <w:t>2,28</w:t>
            </w:r>
          </w:p>
        </w:tc>
      </w:tr>
    </w:tbl>
    <w:p w:rsidR="00F10DB1" w:rsidRPr="00DA20F5" w:rsidRDefault="00F10DB1" w:rsidP="00D36FB8">
      <w:pPr>
        <w:pStyle w:val="zdroj"/>
      </w:pPr>
      <w:r w:rsidRPr="00DA20F5">
        <w:t>Zdroj: ÚPSVR</w:t>
      </w:r>
    </w:p>
    <w:p w:rsidR="00F10DB1" w:rsidRPr="00DA20F5" w:rsidRDefault="00F10DB1" w:rsidP="00D36FB8">
      <w:r w:rsidRPr="00DA20F5">
        <w:t xml:space="preserve">Pokiaľ pretrvávajúcim problémom </w:t>
      </w:r>
      <w:r w:rsidRPr="00DA20F5">
        <w:rPr>
          <w:b/>
        </w:rPr>
        <w:t>z hľadiska</w:t>
      </w:r>
      <w:r w:rsidRPr="00DA20F5">
        <w:t xml:space="preserve"> </w:t>
      </w:r>
      <w:r w:rsidRPr="00DA20F5">
        <w:rPr>
          <w:b/>
        </w:rPr>
        <w:t>dĺžky evidencie</w:t>
      </w:r>
      <w:r w:rsidRPr="00DA20F5">
        <w:t xml:space="preserve"> v ostatných dvoch rokoch boli UoZ s dobou evidencie do 12 mesiacov, v roku. 2011 sa situácia začala meniť. Počet takto evidovaných UoZ dosiahol priemerný stav 202 tis. osôb ( 51,95%) v roku 2010 to bolo 208 tis. osôb (54.8 %).</w:t>
      </w:r>
    </w:p>
    <w:p w:rsidR="00F10DB1" w:rsidRPr="00DA20F5" w:rsidRDefault="00F10DB1" w:rsidP="00D36FB8">
      <w:r w:rsidRPr="00DA20F5">
        <w:t xml:space="preserve">Najväčší počet UoZ bolo v evidencii do 3 mesiacov – 76,9 tis. osôb </w:t>
      </w:r>
      <w:r w:rsidR="004B1E82" w:rsidRPr="00DA20F5">
        <w:t>(19,74 %), od 3–6 mesiacov 57,7 </w:t>
      </w:r>
      <w:r w:rsidRPr="00DA20F5">
        <w:t xml:space="preserve">tis. osôb (14,82 %). Podiel UoZ v evidencii 12-18 mesiacov bol 10,25 %. Medziročný pokles bol u UoZ v evidencii 4 – 18 mesiacov, ostatné skupiny zaznamenali nárast. Podrobnejšie údaje o UoZ, ktorí sú v evidencií nad 12 mesiacov, sú uvedené v podkapitole Znevýhodnení UoZ. </w:t>
      </w:r>
    </w:p>
    <w:p w:rsidR="00F10DB1" w:rsidRPr="00DA20F5" w:rsidRDefault="00F10DB1" w:rsidP="00D36FB8">
      <w:pPr>
        <w:pStyle w:val="Nadpis7"/>
      </w:pPr>
      <w:bookmarkStart w:id="255" w:name="_Toc325438136"/>
      <w:bookmarkStart w:id="256" w:name="_Toc325440905"/>
      <w:bookmarkStart w:id="257" w:name="_Toc325626718"/>
      <w:bookmarkStart w:id="258" w:name="_Toc326216979"/>
      <w:r w:rsidRPr="00DA20F5">
        <w:t>Tab. 2.13</w:t>
      </w:r>
      <w:r w:rsidR="00CF6056" w:rsidRPr="00DA20F5">
        <w:t xml:space="preserve"> </w:t>
      </w:r>
      <w:r w:rsidRPr="00DA20F5">
        <w:t>Priemerný počet uchádzačov o zamestnanie podľa dĺžky evidencie v roku 2011 podľa regiónov SR (v osobách)</w:t>
      </w:r>
      <w:bookmarkEnd w:id="255"/>
      <w:bookmarkEnd w:id="256"/>
      <w:bookmarkEnd w:id="257"/>
      <w:bookmarkEnd w:id="258"/>
    </w:p>
    <w:tbl>
      <w:tblPr>
        <w:tblW w:w="9903" w:type="dxa"/>
        <w:jc w:val="center"/>
        <w:tblInd w:w="-6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424"/>
        <w:gridCol w:w="800"/>
        <w:gridCol w:w="711"/>
        <w:gridCol w:w="711"/>
        <w:gridCol w:w="711"/>
        <w:gridCol w:w="711"/>
        <w:gridCol w:w="711"/>
        <w:gridCol w:w="711"/>
        <w:gridCol w:w="711"/>
        <w:gridCol w:w="711"/>
        <w:gridCol w:w="711"/>
        <w:gridCol w:w="621"/>
        <w:gridCol w:w="711"/>
      </w:tblGrid>
      <w:tr w:rsidR="00ED3F36" w:rsidRPr="00DA20F5" w:rsidTr="00A05573">
        <w:trPr>
          <w:trHeight w:val="292"/>
          <w:jc w:val="center"/>
        </w:trPr>
        <w:tc>
          <w:tcPr>
            <w:tcW w:w="1361" w:type="dxa"/>
            <w:vMerge w:val="restar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 xml:space="preserve">Územie </w:t>
            </w:r>
            <w:r w:rsidRPr="00DA20F5">
              <w:rPr>
                <w:b/>
                <w:color w:val="FFFFFF" w:themeColor="background1"/>
              </w:rPr>
              <w:br/>
              <w:t>(kraje, SR)</w:t>
            </w:r>
          </w:p>
        </w:tc>
        <w:tc>
          <w:tcPr>
            <w:tcW w:w="802" w:type="dxa"/>
            <w:vMerge w:val="restar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Spolu</w:t>
            </w:r>
          </w:p>
        </w:tc>
        <w:tc>
          <w:tcPr>
            <w:tcW w:w="7740" w:type="dxa"/>
            <w:gridSpan w:val="11"/>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Priemerný počet osôb podľa doby evidencie v mesiacoch</w:t>
            </w:r>
          </w:p>
        </w:tc>
      </w:tr>
      <w:tr w:rsidR="00ED3F36" w:rsidRPr="00DA20F5" w:rsidTr="00ED3F36">
        <w:trPr>
          <w:trHeight w:val="148"/>
          <w:jc w:val="center"/>
        </w:trPr>
        <w:tc>
          <w:tcPr>
            <w:tcW w:w="1361" w:type="dxa"/>
            <w:vMerge/>
            <w:shd w:val="clear" w:color="auto" w:fill="4F81BD"/>
            <w:vAlign w:val="center"/>
          </w:tcPr>
          <w:p w:rsidR="00F10DB1" w:rsidRPr="00DA20F5" w:rsidRDefault="00F10DB1" w:rsidP="00D36FB8">
            <w:pPr>
              <w:jc w:val="center"/>
              <w:rPr>
                <w:b/>
                <w:color w:val="FFFFFF" w:themeColor="background1"/>
              </w:rPr>
            </w:pPr>
          </w:p>
        </w:tc>
        <w:tc>
          <w:tcPr>
            <w:tcW w:w="802" w:type="dxa"/>
            <w:vMerge/>
            <w:shd w:val="clear" w:color="auto" w:fill="4F81BD"/>
            <w:vAlign w:val="center"/>
          </w:tcPr>
          <w:p w:rsidR="00F10DB1" w:rsidRPr="00DA20F5" w:rsidRDefault="00F10DB1" w:rsidP="00D36FB8">
            <w:pPr>
              <w:jc w:val="center"/>
              <w:rPr>
                <w:b/>
                <w:color w:val="FFFFFF" w:themeColor="background1"/>
              </w:rPr>
            </w:pPr>
          </w:p>
        </w:tc>
        <w:tc>
          <w:tcPr>
            <w:tcW w:w="712"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Do 3</w:t>
            </w:r>
          </w:p>
        </w:tc>
        <w:tc>
          <w:tcPr>
            <w:tcW w:w="712"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3-6</w:t>
            </w:r>
          </w:p>
        </w:tc>
        <w:tc>
          <w:tcPr>
            <w:tcW w:w="712"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6-9</w:t>
            </w:r>
          </w:p>
        </w:tc>
        <w:tc>
          <w:tcPr>
            <w:tcW w:w="711"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9-12</w:t>
            </w:r>
          </w:p>
        </w:tc>
        <w:tc>
          <w:tcPr>
            <w:tcW w:w="711"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12-18</w:t>
            </w:r>
          </w:p>
        </w:tc>
        <w:tc>
          <w:tcPr>
            <w:tcW w:w="711"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18-24</w:t>
            </w:r>
          </w:p>
        </w:tc>
        <w:tc>
          <w:tcPr>
            <w:tcW w:w="711"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24-30</w:t>
            </w:r>
          </w:p>
        </w:tc>
        <w:tc>
          <w:tcPr>
            <w:tcW w:w="711"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30-36</w:t>
            </w:r>
          </w:p>
        </w:tc>
        <w:tc>
          <w:tcPr>
            <w:tcW w:w="711"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36-42</w:t>
            </w:r>
          </w:p>
        </w:tc>
        <w:tc>
          <w:tcPr>
            <w:tcW w:w="621" w:type="dxa"/>
            <w:shd w:val="clear" w:color="auto" w:fill="4F81BD"/>
          </w:tcPr>
          <w:p w:rsidR="00F10DB1" w:rsidRPr="00DA20F5" w:rsidRDefault="00F10DB1" w:rsidP="00D36FB8">
            <w:pPr>
              <w:jc w:val="center"/>
              <w:rPr>
                <w:b/>
                <w:color w:val="FFFFFF" w:themeColor="background1"/>
              </w:rPr>
            </w:pPr>
            <w:r w:rsidRPr="00DA20F5">
              <w:rPr>
                <w:b/>
                <w:color w:val="FFFFFF" w:themeColor="background1"/>
              </w:rPr>
              <w:t>42-48</w:t>
            </w:r>
          </w:p>
        </w:tc>
        <w:tc>
          <w:tcPr>
            <w:tcW w:w="711" w:type="dxa"/>
            <w:shd w:val="clear" w:color="auto" w:fill="4F81BD"/>
          </w:tcPr>
          <w:p w:rsidR="00F10DB1" w:rsidRPr="00DA20F5" w:rsidRDefault="00F10DB1" w:rsidP="00D36FB8">
            <w:pPr>
              <w:jc w:val="center"/>
              <w:rPr>
                <w:b/>
                <w:color w:val="FFFFFF" w:themeColor="background1"/>
              </w:rPr>
            </w:pPr>
            <w:r w:rsidRPr="00DA20F5">
              <w:rPr>
                <w:b/>
                <w:color w:val="FFFFFF" w:themeColor="background1"/>
              </w:rPr>
              <w:t>Nad 48</w:t>
            </w:r>
          </w:p>
        </w:tc>
      </w:tr>
      <w:tr w:rsidR="00ED3F36" w:rsidRPr="00DA20F5" w:rsidTr="00ED3F36">
        <w:trPr>
          <w:trHeight w:val="262"/>
          <w:jc w:val="center"/>
        </w:trPr>
        <w:tc>
          <w:tcPr>
            <w:tcW w:w="1361" w:type="dxa"/>
            <w:vAlign w:val="center"/>
          </w:tcPr>
          <w:p w:rsidR="00F10DB1" w:rsidRPr="00DA20F5" w:rsidRDefault="00F10DB1" w:rsidP="00D36FB8">
            <w:pPr>
              <w:rPr>
                <w:w w:val="90"/>
                <w:sz w:val="20"/>
              </w:rPr>
            </w:pPr>
            <w:r w:rsidRPr="00DA20F5">
              <w:rPr>
                <w:w w:val="90"/>
                <w:sz w:val="20"/>
              </w:rPr>
              <w:t>Bratislavský</w:t>
            </w:r>
          </w:p>
        </w:tc>
        <w:tc>
          <w:tcPr>
            <w:tcW w:w="802" w:type="dxa"/>
            <w:vAlign w:val="center"/>
          </w:tcPr>
          <w:p w:rsidR="00F10DB1" w:rsidRPr="00DA20F5" w:rsidRDefault="00F10DB1" w:rsidP="00D36FB8">
            <w:pPr>
              <w:rPr>
                <w:w w:val="90"/>
                <w:sz w:val="20"/>
              </w:rPr>
            </w:pPr>
            <w:r w:rsidRPr="00DA20F5">
              <w:rPr>
                <w:w w:val="90"/>
                <w:sz w:val="20"/>
              </w:rPr>
              <w:t>18 669</w:t>
            </w:r>
          </w:p>
        </w:tc>
        <w:tc>
          <w:tcPr>
            <w:tcW w:w="712" w:type="dxa"/>
          </w:tcPr>
          <w:p w:rsidR="00F10DB1" w:rsidRPr="00DA20F5" w:rsidRDefault="00F10DB1" w:rsidP="00D36FB8">
            <w:pPr>
              <w:rPr>
                <w:w w:val="90"/>
                <w:sz w:val="20"/>
              </w:rPr>
            </w:pPr>
            <w:r w:rsidRPr="00DA20F5">
              <w:rPr>
                <w:w w:val="90"/>
                <w:sz w:val="20"/>
              </w:rPr>
              <w:t>5 748</w:t>
            </w:r>
          </w:p>
        </w:tc>
        <w:tc>
          <w:tcPr>
            <w:tcW w:w="712" w:type="dxa"/>
            <w:vAlign w:val="center"/>
          </w:tcPr>
          <w:p w:rsidR="00F10DB1" w:rsidRPr="00DA20F5" w:rsidRDefault="00F10DB1" w:rsidP="00D36FB8">
            <w:pPr>
              <w:rPr>
                <w:w w:val="90"/>
                <w:sz w:val="20"/>
              </w:rPr>
            </w:pPr>
            <w:r w:rsidRPr="00DA20F5">
              <w:rPr>
                <w:w w:val="90"/>
                <w:sz w:val="20"/>
              </w:rPr>
              <w:t>4 257</w:t>
            </w:r>
          </w:p>
        </w:tc>
        <w:tc>
          <w:tcPr>
            <w:tcW w:w="712" w:type="dxa"/>
            <w:vAlign w:val="center"/>
          </w:tcPr>
          <w:p w:rsidR="00F10DB1" w:rsidRPr="00DA20F5" w:rsidRDefault="00F10DB1" w:rsidP="00D36FB8">
            <w:pPr>
              <w:rPr>
                <w:w w:val="90"/>
                <w:sz w:val="20"/>
              </w:rPr>
            </w:pPr>
            <w:r w:rsidRPr="00DA20F5">
              <w:rPr>
                <w:w w:val="90"/>
                <w:sz w:val="20"/>
              </w:rPr>
              <w:t>2 474</w:t>
            </w:r>
          </w:p>
        </w:tc>
        <w:tc>
          <w:tcPr>
            <w:tcW w:w="711" w:type="dxa"/>
          </w:tcPr>
          <w:p w:rsidR="00F10DB1" w:rsidRPr="00DA20F5" w:rsidRDefault="00F10DB1" w:rsidP="00D36FB8">
            <w:pPr>
              <w:rPr>
                <w:w w:val="90"/>
                <w:sz w:val="20"/>
              </w:rPr>
            </w:pPr>
            <w:r w:rsidRPr="00DA20F5">
              <w:rPr>
                <w:w w:val="90"/>
                <w:sz w:val="20"/>
              </w:rPr>
              <w:t>1 552</w:t>
            </w:r>
          </w:p>
        </w:tc>
        <w:tc>
          <w:tcPr>
            <w:tcW w:w="711" w:type="dxa"/>
          </w:tcPr>
          <w:p w:rsidR="00F10DB1" w:rsidRPr="00DA20F5" w:rsidRDefault="00F10DB1" w:rsidP="00D36FB8">
            <w:pPr>
              <w:rPr>
                <w:w w:val="90"/>
                <w:sz w:val="20"/>
              </w:rPr>
            </w:pPr>
            <w:r w:rsidRPr="00DA20F5">
              <w:rPr>
                <w:w w:val="90"/>
                <w:sz w:val="20"/>
              </w:rPr>
              <w:t>1 842</w:t>
            </w:r>
          </w:p>
        </w:tc>
        <w:tc>
          <w:tcPr>
            <w:tcW w:w="711" w:type="dxa"/>
          </w:tcPr>
          <w:p w:rsidR="00F10DB1" w:rsidRPr="00DA20F5" w:rsidRDefault="00F10DB1" w:rsidP="00D36FB8">
            <w:pPr>
              <w:rPr>
                <w:w w:val="90"/>
                <w:sz w:val="20"/>
              </w:rPr>
            </w:pPr>
            <w:r w:rsidRPr="00DA20F5">
              <w:rPr>
                <w:w w:val="90"/>
                <w:sz w:val="20"/>
              </w:rPr>
              <w:t>1 150</w:t>
            </w:r>
          </w:p>
        </w:tc>
        <w:tc>
          <w:tcPr>
            <w:tcW w:w="711" w:type="dxa"/>
          </w:tcPr>
          <w:p w:rsidR="00F10DB1" w:rsidRPr="00DA20F5" w:rsidRDefault="00F10DB1" w:rsidP="00D36FB8">
            <w:pPr>
              <w:rPr>
                <w:w w:val="90"/>
                <w:sz w:val="20"/>
              </w:rPr>
            </w:pPr>
            <w:r w:rsidRPr="00DA20F5">
              <w:rPr>
                <w:w w:val="90"/>
                <w:sz w:val="20"/>
              </w:rPr>
              <w:t>715</w:t>
            </w:r>
          </w:p>
        </w:tc>
        <w:tc>
          <w:tcPr>
            <w:tcW w:w="711" w:type="dxa"/>
          </w:tcPr>
          <w:p w:rsidR="00F10DB1" w:rsidRPr="00DA20F5" w:rsidRDefault="00F10DB1" w:rsidP="00D36FB8">
            <w:pPr>
              <w:rPr>
                <w:w w:val="90"/>
                <w:sz w:val="20"/>
              </w:rPr>
            </w:pPr>
            <w:r w:rsidRPr="00DA20F5">
              <w:rPr>
                <w:w w:val="90"/>
                <w:sz w:val="20"/>
              </w:rPr>
              <w:t>365</w:t>
            </w:r>
          </w:p>
        </w:tc>
        <w:tc>
          <w:tcPr>
            <w:tcW w:w="711" w:type="dxa"/>
          </w:tcPr>
          <w:p w:rsidR="00F10DB1" w:rsidRPr="00DA20F5" w:rsidRDefault="00F10DB1" w:rsidP="00D36FB8">
            <w:pPr>
              <w:rPr>
                <w:w w:val="90"/>
                <w:sz w:val="20"/>
              </w:rPr>
            </w:pPr>
            <w:r w:rsidRPr="00DA20F5">
              <w:rPr>
                <w:w w:val="90"/>
                <w:sz w:val="20"/>
              </w:rPr>
              <w:t>162</w:t>
            </w:r>
          </w:p>
        </w:tc>
        <w:tc>
          <w:tcPr>
            <w:tcW w:w="621" w:type="dxa"/>
          </w:tcPr>
          <w:p w:rsidR="00F10DB1" w:rsidRPr="00DA20F5" w:rsidRDefault="00F10DB1" w:rsidP="00D36FB8">
            <w:pPr>
              <w:rPr>
                <w:w w:val="90"/>
                <w:sz w:val="20"/>
              </w:rPr>
            </w:pPr>
            <w:r w:rsidRPr="00DA20F5">
              <w:rPr>
                <w:w w:val="90"/>
                <w:sz w:val="20"/>
              </w:rPr>
              <w:t>91</w:t>
            </w:r>
          </w:p>
        </w:tc>
        <w:tc>
          <w:tcPr>
            <w:tcW w:w="711" w:type="dxa"/>
          </w:tcPr>
          <w:p w:rsidR="00F10DB1" w:rsidRPr="00DA20F5" w:rsidRDefault="00F10DB1" w:rsidP="00D36FB8">
            <w:pPr>
              <w:rPr>
                <w:w w:val="90"/>
                <w:sz w:val="20"/>
              </w:rPr>
            </w:pPr>
            <w:r w:rsidRPr="00DA20F5">
              <w:rPr>
                <w:w w:val="90"/>
                <w:sz w:val="20"/>
              </w:rPr>
              <w:t>313</w:t>
            </w:r>
          </w:p>
        </w:tc>
      </w:tr>
      <w:tr w:rsidR="00ED3F36" w:rsidRPr="00DA20F5" w:rsidTr="00ED3F36">
        <w:trPr>
          <w:trHeight w:val="262"/>
          <w:jc w:val="center"/>
        </w:trPr>
        <w:tc>
          <w:tcPr>
            <w:tcW w:w="1361" w:type="dxa"/>
            <w:vAlign w:val="center"/>
          </w:tcPr>
          <w:p w:rsidR="00F10DB1" w:rsidRPr="00DA20F5" w:rsidRDefault="00F10DB1" w:rsidP="00D36FB8">
            <w:pPr>
              <w:rPr>
                <w:w w:val="90"/>
                <w:sz w:val="20"/>
              </w:rPr>
            </w:pPr>
            <w:r w:rsidRPr="00DA20F5">
              <w:rPr>
                <w:w w:val="90"/>
                <w:sz w:val="20"/>
              </w:rPr>
              <w:t>Trnavský</w:t>
            </w:r>
          </w:p>
        </w:tc>
        <w:tc>
          <w:tcPr>
            <w:tcW w:w="802" w:type="dxa"/>
            <w:vAlign w:val="center"/>
          </w:tcPr>
          <w:p w:rsidR="00F10DB1" w:rsidRPr="00DA20F5" w:rsidRDefault="00F10DB1" w:rsidP="00D36FB8">
            <w:pPr>
              <w:rPr>
                <w:w w:val="90"/>
                <w:sz w:val="20"/>
              </w:rPr>
            </w:pPr>
            <w:r w:rsidRPr="00DA20F5">
              <w:rPr>
                <w:w w:val="90"/>
                <w:sz w:val="20"/>
              </w:rPr>
              <w:t>28 290</w:t>
            </w:r>
          </w:p>
        </w:tc>
        <w:tc>
          <w:tcPr>
            <w:tcW w:w="712" w:type="dxa"/>
          </w:tcPr>
          <w:p w:rsidR="00F10DB1" w:rsidRPr="00DA20F5" w:rsidRDefault="00F10DB1" w:rsidP="00D36FB8">
            <w:pPr>
              <w:rPr>
                <w:w w:val="90"/>
                <w:sz w:val="20"/>
              </w:rPr>
            </w:pPr>
            <w:r w:rsidRPr="00DA20F5">
              <w:rPr>
                <w:w w:val="90"/>
                <w:sz w:val="20"/>
              </w:rPr>
              <w:t>7 587</w:t>
            </w:r>
          </w:p>
        </w:tc>
        <w:tc>
          <w:tcPr>
            <w:tcW w:w="712" w:type="dxa"/>
            <w:vAlign w:val="center"/>
          </w:tcPr>
          <w:p w:rsidR="00F10DB1" w:rsidRPr="00DA20F5" w:rsidRDefault="00F10DB1" w:rsidP="00D36FB8">
            <w:pPr>
              <w:rPr>
                <w:w w:val="90"/>
                <w:sz w:val="20"/>
              </w:rPr>
            </w:pPr>
            <w:r w:rsidRPr="00DA20F5">
              <w:rPr>
                <w:w w:val="90"/>
                <w:sz w:val="20"/>
              </w:rPr>
              <w:t>5 292</w:t>
            </w:r>
          </w:p>
        </w:tc>
        <w:tc>
          <w:tcPr>
            <w:tcW w:w="712" w:type="dxa"/>
            <w:vAlign w:val="center"/>
          </w:tcPr>
          <w:p w:rsidR="00F10DB1" w:rsidRPr="00DA20F5" w:rsidRDefault="00F10DB1" w:rsidP="00D36FB8">
            <w:pPr>
              <w:rPr>
                <w:w w:val="90"/>
                <w:sz w:val="20"/>
              </w:rPr>
            </w:pPr>
            <w:r w:rsidRPr="00DA20F5">
              <w:rPr>
                <w:w w:val="90"/>
                <w:sz w:val="20"/>
              </w:rPr>
              <w:t>3 367</w:t>
            </w:r>
          </w:p>
        </w:tc>
        <w:tc>
          <w:tcPr>
            <w:tcW w:w="711" w:type="dxa"/>
          </w:tcPr>
          <w:p w:rsidR="00F10DB1" w:rsidRPr="00DA20F5" w:rsidRDefault="00F10DB1" w:rsidP="00D36FB8">
            <w:pPr>
              <w:rPr>
                <w:w w:val="90"/>
                <w:sz w:val="20"/>
              </w:rPr>
            </w:pPr>
            <w:r w:rsidRPr="00DA20F5">
              <w:rPr>
                <w:w w:val="90"/>
                <w:sz w:val="20"/>
              </w:rPr>
              <w:t>2 268</w:t>
            </w:r>
          </w:p>
        </w:tc>
        <w:tc>
          <w:tcPr>
            <w:tcW w:w="711" w:type="dxa"/>
          </w:tcPr>
          <w:p w:rsidR="00F10DB1" w:rsidRPr="00DA20F5" w:rsidRDefault="00F10DB1" w:rsidP="00D36FB8">
            <w:pPr>
              <w:rPr>
                <w:w w:val="90"/>
                <w:sz w:val="20"/>
              </w:rPr>
            </w:pPr>
            <w:r w:rsidRPr="00DA20F5">
              <w:rPr>
                <w:w w:val="90"/>
                <w:sz w:val="20"/>
              </w:rPr>
              <w:t>2 962</w:t>
            </w:r>
          </w:p>
        </w:tc>
        <w:tc>
          <w:tcPr>
            <w:tcW w:w="711" w:type="dxa"/>
          </w:tcPr>
          <w:p w:rsidR="00F10DB1" w:rsidRPr="00DA20F5" w:rsidRDefault="00F10DB1" w:rsidP="00D36FB8">
            <w:pPr>
              <w:rPr>
                <w:w w:val="90"/>
                <w:sz w:val="20"/>
              </w:rPr>
            </w:pPr>
            <w:r w:rsidRPr="00DA20F5">
              <w:rPr>
                <w:w w:val="90"/>
                <w:sz w:val="20"/>
              </w:rPr>
              <w:t>2 089</w:t>
            </w:r>
          </w:p>
        </w:tc>
        <w:tc>
          <w:tcPr>
            <w:tcW w:w="711" w:type="dxa"/>
          </w:tcPr>
          <w:p w:rsidR="00F10DB1" w:rsidRPr="00DA20F5" w:rsidRDefault="00F10DB1" w:rsidP="00D36FB8">
            <w:pPr>
              <w:rPr>
                <w:w w:val="90"/>
                <w:sz w:val="20"/>
              </w:rPr>
            </w:pPr>
            <w:r w:rsidRPr="00DA20F5">
              <w:rPr>
                <w:w w:val="90"/>
                <w:sz w:val="20"/>
              </w:rPr>
              <w:t>1 620</w:t>
            </w:r>
          </w:p>
        </w:tc>
        <w:tc>
          <w:tcPr>
            <w:tcW w:w="711" w:type="dxa"/>
          </w:tcPr>
          <w:p w:rsidR="00F10DB1" w:rsidRPr="00DA20F5" w:rsidRDefault="00F10DB1" w:rsidP="00D36FB8">
            <w:pPr>
              <w:rPr>
                <w:w w:val="90"/>
                <w:sz w:val="20"/>
              </w:rPr>
            </w:pPr>
            <w:r w:rsidRPr="00DA20F5">
              <w:rPr>
                <w:w w:val="90"/>
                <w:sz w:val="20"/>
              </w:rPr>
              <w:t>950</w:t>
            </w:r>
          </w:p>
        </w:tc>
        <w:tc>
          <w:tcPr>
            <w:tcW w:w="711" w:type="dxa"/>
          </w:tcPr>
          <w:p w:rsidR="00F10DB1" w:rsidRPr="00DA20F5" w:rsidRDefault="00F10DB1" w:rsidP="00D36FB8">
            <w:pPr>
              <w:rPr>
                <w:w w:val="90"/>
                <w:sz w:val="20"/>
              </w:rPr>
            </w:pPr>
            <w:r w:rsidRPr="00DA20F5">
              <w:rPr>
                <w:w w:val="90"/>
                <w:sz w:val="20"/>
              </w:rPr>
              <w:t>445</w:t>
            </w:r>
          </w:p>
        </w:tc>
        <w:tc>
          <w:tcPr>
            <w:tcW w:w="621" w:type="dxa"/>
          </w:tcPr>
          <w:p w:rsidR="00F10DB1" w:rsidRPr="00DA20F5" w:rsidRDefault="00F10DB1" w:rsidP="00D36FB8">
            <w:pPr>
              <w:rPr>
                <w:w w:val="90"/>
                <w:sz w:val="20"/>
              </w:rPr>
            </w:pPr>
            <w:r w:rsidRPr="00DA20F5">
              <w:rPr>
                <w:w w:val="90"/>
                <w:sz w:val="20"/>
              </w:rPr>
              <w:t>272</w:t>
            </w:r>
          </w:p>
        </w:tc>
        <w:tc>
          <w:tcPr>
            <w:tcW w:w="711" w:type="dxa"/>
          </w:tcPr>
          <w:p w:rsidR="00F10DB1" w:rsidRPr="00DA20F5" w:rsidRDefault="00F10DB1" w:rsidP="00D36FB8">
            <w:pPr>
              <w:rPr>
                <w:w w:val="90"/>
                <w:sz w:val="20"/>
              </w:rPr>
            </w:pPr>
            <w:r w:rsidRPr="00DA20F5">
              <w:rPr>
                <w:w w:val="90"/>
                <w:sz w:val="20"/>
              </w:rPr>
              <w:t>1 439</w:t>
            </w:r>
          </w:p>
        </w:tc>
      </w:tr>
      <w:tr w:rsidR="00ED3F36" w:rsidRPr="00DA20F5" w:rsidTr="00ED3F36">
        <w:trPr>
          <w:trHeight w:val="262"/>
          <w:jc w:val="center"/>
        </w:trPr>
        <w:tc>
          <w:tcPr>
            <w:tcW w:w="1361" w:type="dxa"/>
            <w:vAlign w:val="center"/>
          </w:tcPr>
          <w:p w:rsidR="00F10DB1" w:rsidRPr="00DA20F5" w:rsidRDefault="00F10DB1" w:rsidP="00D36FB8">
            <w:pPr>
              <w:rPr>
                <w:w w:val="90"/>
                <w:sz w:val="20"/>
              </w:rPr>
            </w:pPr>
            <w:r w:rsidRPr="00DA20F5">
              <w:rPr>
                <w:w w:val="90"/>
                <w:sz w:val="20"/>
              </w:rPr>
              <w:t>Trenčiansky</w:t>
            </w:r>
          </w:p>
        </w:tc>
        <w:tc>
          <w:tcPr>
            <w:tcW w:w="802" w:type="dxa"/>
            <w:vAlign w:val="bottom"/>
          </w:tcPr>
          <w:p w:rsidR="00F10DB1" w:rsidRPr="00DA20F5" w:rsidRDefault="00F10DB1" w:rsidP="00D36FB8">
            <w:pPr>
              <w:rPr>
                <w:w w:val="90"/>
                <w:sz w:val="20"/>
              </w:rPr>
            </w:pPr>
            <w:r w:rsidRPr="00DA20F5">
              <w:rPr>
                <w:w w:val="90"/>
                <w:sz w:val="20"/>
              </w:rPr>
              <w:t>32 011</w:t>
            </w:r>
          </w:p>
        </w:tc>
        <w:tc>
          <w:tcPr>
            <w:tcW w:w="712" w:type="dxa"/>
          </w:tcPr>
          <w:p w:rsidR="00F10DB1" w:rsidRPr="00DA20F5" w:rsidRDefault="00F10DB1" w:rsidP="00D36FB8">
            <w:pPr>
              <w:rPr>
                <w:w w:val="90"/>
                <w:sz w:val="20"/>
              </w:rPr>
            </w:pPr>
            <w:r w:rsidRPr="00DA20F5">
              <w:rPr>
                <w:w w:val="90"/>
                <w:sz w:val="20"/>
              </w:rPr>
              <w:t>8 052</w:t>
            </w:r>
          </w:p>
        </w:tc>
        <w:tc>
          <w:tcPr>
            <w:tcW w:w="712" w:type="dxa"/>
            <w:vAlign w:val="center"/>
          </w:tcPr>
          <w:p w:rsidR="00F10DB1" w:rsidRPr="00DA20F5" w:rsidRDefault="00F10DB1" w:rsidP="00D36FB8">
            <w:pPr>
              <w:rPr>
                <w:w w:val="90"/>
                <w:sz w:val="20"/>
              </w:rPr>
            </w:pPr>
            <w:r w:rsidRPr="00DA20F5">
              <w:rPr>
                <w:w w:val="90"/>
                <w:sz w:val="20"/>
              </w:rPr>
              <w:t>5 505</w:t>
            </w:r>
          </w:p>
        </w:tc>
        <w:tc>
          <w:tcPr>
            <w:tcW w:w="712" w:type="dxa"/>
            <w:vAlign w:val="center"/>
          </w:tcPr>
          <w:p w:rsidR="00F10DB1" w:rsidRPr="00DA20F5" w:rsidRDefault="00F10DB1" w:rsidP="00D36FB8">
            <w:pPr>
              <w:rPr>
                <w:w w:val="90"/>
                <w:sz w:val="20"/>
              </w:rPr>
            </w:pPr>
            <w:r w:rsidRPr="00DA20F5">
              <w:rPr>
                <w:w w:val="90"/>
                <w:sz w:val="20"/>
              </w:rPr>
              <w:t>3 675</w:t>
            </w:r>
          </w:p>
        </w:tc>
        <w:tc>
          <w:tcPr>
            <w:tcW w:w="711" w:type="dxa"/>
          </w:tcPr>
          <w:p w:rsidR="00F10DB1" w:rsidRPr="00DA20F5" w:rsidRDefault="00F10DB1" w:rsidP="00D36FB8">
            <w:pPr>
              <w:rPr>
                <w:w w:val="90"/>
                <w:sz w:val="20"/>
              </w:rPr>
            </w:pPr>
            <w:r w:rsidRPr="00DA20F5">
              <w:rPr>
                <w:w w:val="90"/>
                <w:sz w:val="20"/>
              </w:rPr>
              <w:t>2 548</w:t>
            </w:r>
          </w:p>
        </w:tc>
        <w:tc>
          <w:tcPr>
            <w:tcW w:w="711" w:type="dxa"/>
          </w:tcPr>
          <w:p w:rsidR="00F10DB1" w:rsidRPr="00DA20F5" w:rsidRDefault="00F10DB1" w:rsidP="00D36FB8">
            <w:pPr>
              <w:rPr>
                <w:w w:val="90"/>
                <w:sz w:val="20"/>
              </w:rPr>
            </w:pPr>
            <w:r w:rsidRPr="00DA20F5">
              <w:rPr>
                <w:w w:val="90"/>
                <w:sz w:val="20"/>
              </w:rPr>
              <w:t>3 480</w:t>
            </w:r>
          </w:p>
        </w:tc>
        <w:tc>
          <w:tcPr>
            <w:tcW w:w="711" w:type="dxa"/>
          </w:tcPr>
          <w:p w:rsidR="00F10DB1" w:rsidRPr="00DA20F5" w:rsidRDefault="00F10DB1" w:rsidP="00D36FB8">
            <w:pPr>
              <w:rPr>
                <w:w w:val="90"/>
                <w:sz w:val="20"/>
              </w:rPr>
            </w:pPr>
            <w:r w:rsidRPr="00DA20F5">
              <w:rPr>
                <w:w w:val="90"/>
                <w:sz w:val="20"/>
              </w:rPr>
              <w:t>2 648</w:t>
            </w:r>
          </w:p>
        </w:tc>
        <w:tc>
          <w:tcPr>
            <w:tcW w:w="711" w:type="dxa"/>
          </w:tcPr>
          <w:p w:rsidR="00F10DB1" w:rsidRPr="00DA20F5" w:rsidRDefault="00F10DB1" w:rsidP="00D36FB8">
            <w:pPr>
              <w:rPr>
                <w:w w:val="90"/>
                <w:sz w:val="20"/>
              </w:rPr>
            </w:pPr>
            <w:r w:rsidRPr="00DA20F5">
              <w:rPr>
                <w:w w:val="90"/>
                <w:sz w:val="20"/>
              </w:rPr>
              <w:t>2 094</w:t>
            </w:r>
          </w:p>
        </w:tc>
        <w:tc>
          <w:tcPr>
            <w:tcW w:w="711" w:type="dxa"/>
          </w:tcPr>
          <w:p w:rsidR="00F10DB1" w:rsidRPr="00DA20F5" w:rsidRDefault="00F10DB1" w:rsidP="00D36FB8">
            <w:pPr>
              <w:rPr>
                <w:w w:val="90"/>
                <w:sz w:val="20"/>
              </w:rPr>
            </w:pPr>
            <w:r w:rsidRPr="00DA20F5">
              <w:rPr>
                <w:w w:val="90"/>
                <w:sz w:val="20"/>
              </w:rPr>
              <w:t>1 197</w:t>
            </w:r>
          </w:p>
        </w:tc>
        <w:tc>
          <w:tcPr>
            <w:tcW w:w="711" w:type="dxa"/>
          </w:tcPr>
          <w:p w:rsidR="00F10DB1" w:rsidRPr="00DA20F5" w:rsidRDefault="00F10DB1" w:rsidP="00D36FB8">
            <w:pPr>
              <w:rPr>
                <w:w w:val="90"/>
                <w:sz w:val="20"/>
              </w:rPr>
            </w:pPr>
            <w:r w:rsidRPr="00DA20F5">
              <w:rPr>
                <w:w w:val="90"/>
                <w:sz w:val="20"/>
              </w:rPr>
              <w:t>534</w:t>
            </w:r>
          </w:p>
        </w:tc>
        <w:tc>
          <w:tcPr>
            <w:tcW w:w="621" w:type="dxa"/>
          </w:tcPr>
          <w:p w:rsidR="00F10DB1" w:rsidRPr="00DA20F5" w:rsidRDefault="00F10DB1" w:rsidP="00D36FB8">
            <w:pPr>
              <w:rPr>
                <w:w w:val="90"/>
                <w:sz w:val="20"/>
              </w:rPr>
            </w:pPr>
            <w:r w:rsidRPr="00DA20F5">
              <w:rPr>
                <w:w w:val="90"/>
                <w:sz w:val="20"/>
              </w:rPr>
              <w:t>341</w:t>
            </w:r>
          </w:p>
        </w:tc>
        <w:tc>
          <w:tcPr>
            <w:tcW w:w="711" w:type="dxa"/>
          </w:tcPr>
          <w:p w:rsidR="00F10DB1" w:rsidRPr="00DA20F5" w:rsidRDefault="00F10DB1" w:rsidP="00D36FB8">
            <w:pPr>
              <w:rPr>
                <w:w w:val="90"/>
                <w:sz w:val="20"/>
              </w:rPr>
            </w:pPr>
            <w:r w:rsidRPr="00DA20F5">
              <w:rPr>
                <w:w w:val="90"/>
                <w:sz w:val="20"/>
              </w:rPr>
              <w:t>1 938</w:t>
            </w:r>
          </w:p>
        </w:tc>
      </w:tr>
      <w:tr w:rsidR="00ED3F36" w:rsidRPr="00DA20F5" w:rsidTr="00ED3F36">
        <w:trPr>
          <w:trHeight w:val="262"/>
          <w:jc w:val="center"/>
        </w:trPr>
        <w:tc>
          <w:tcPr>
            <w:tcW w:w="1361" w:type="dxa"/>
            <w:vAlign w:val="center"/>
          </w:tcPr>
          <w:p w:rsidR="00F10DB1" w:rsidRPr="00DA20F5" w:rsidRDefault="00F10DB1" w:rsidP="00D36FB8">
            <w:pPr>
              <w:rPr>
                <w:w w:val="90"/>
                <w:sz w:val="20"/>
              </w:rPr>
            </w:pPr>
            <w:r w:rsidRPr="00DA20F5">
              <w:rPr>
                <w:w w:val="90"/>
                <w:sz w:val="20"/>
              </w:rPr>
              <w:t>Nitriansky</w:t>
            </w:r>
          </w:p>
        </w:tc>
        <w:tc>
          <w:tcPr>
            <w:tcW w:w="802" w:type="dxa"/>
            <w:vAlign w:val="bottom"/>
          </w:tcPr>
          <w:p w:rsidR="00F10DB1" w:rsidRPr="00DA20F5" w:rsidRDefault="00F10DB1" w:rsidP="00D36FB8">
            <w:pPr>
              <w:rPr>
                <w:w w:val="90"/>
                <w:sz w:val="20"/>
              </w:rPr>
            </w:pPr>
            <w:r w:rsidRPr="00DA20F5">
              <w:rPr>
                <w:w w:val="90"/>
                <w:sz w:val="20"/>
              </w:rPr>
              <w:t>48 064</w:t>
            </w:r>
          </w:p>
        </w:tc>
        <w:tc>
          <w:tcPr>
            <w:tcW w:w="712" w:type="dxa"/>
          </w:tcPr>
          <w:p w:rsidR="00F10DB1" w:rsidRPr="00DA20F5" w:rsidRDefault="00F10DB1" w:rsidP="00D36FB8">
            <w:pPr>
              <w:rPr>
                <w:w w:val="90"/>
                <w:sz w:val="20"/>
              </w:rPr>
            </w:pPr>
            <w:r w:rsidRPr="00DA20F5">
              <w:rPr>
                <w:w w:val="90"/>
                <w:sz w:val="20"/>
              </w:rPr>
              <w:t>10 065</w:t>
            </w:r>
          </w:p>
        </w:tc>
        <w:tc>
          <w:tcPr>
            <w:tcW w:w="712" w:type="dxa"/>
            <w:vAlign w:val="center"/>
          </w:tcPr>
          <w:p w:rsidR="00F10DB1" w:rsidRPr="00DA20F5" w:rsidRDefault="00F10DB1" w:rsidP="00D36FB8">
            <w:pPr>
              <w:rPr>
                <w:w w:val="90"/>
                <w:sz w:val="20"/>
              </w:rPr>
            </w:pPr>
            <w:r w:rsidRPr="00DA20F5">
              <w:rPr>
                <w:w w:val="90"/>
                <w:sz w:val="20"/>
              </w:rPr>
              <w:t>7 933</w:t>
            </w:r>
          </w:p>
        </w:tc>
        <w:tc>
          <w:tcPr>
            <w:tcW w:w="712" w:type="dxa"/>
            <w:vAlign w:val="center"/>
          </w:tcPr>
          <w:p w:rsidR="00F10DB1" w:rsidRPr="00DA20F5" w:rsidRDefault="00F10DB1" w:rsidP="00D36FB8">
            <w:pPr>
              <w:rPr>
                <w:w w:val="90"/>
                <w:sz w:val="20"/>
              </w:rPr>
            </w:pPr>
            <w:r w:rsidRPr="00DA20F5">
              <w:rPr>
                <w:w w:val="90"/>
                <w:sz w:val="20"/>
              </w:rPr>
              <w:t>5 148</w:t>
            </w:r>
          </w:p>
        </w:tc>
        <w:tc>
          <w:tcPr>
            <w:tcW w:w="711" w:type="dxa"/>
          </w:tcPr>
          <w:p w:rsidR="00F10DB1" w:rsidRPr="00DA20F5" w:rsidRDefault="00F10DB1" w:rsidP="00D36FB8">
            <w:pPr>
              <w:rPr>
                <w:w w:val="90"/>
                <w:sz w:val="20"/>
              </w:rPr>
            </w:pPr>
            <w:r w:rsidRPr="00DA20F5">
              <w:rPr>
                <w:w w:val="90"/>
                <w:sz w:val="20"/>
              </w:rPr>
              <w:t>3 703</w:t>
            </w:r>
          </w:p>
        </w:tc>
        <w:tc>
          <w:tcPr>
            <w:tcW w:w="711" w:type="dxa"/>
          </w:tcPr>
          <w:p w:rsidR="00F10DB1" w:rsidRPr="00DA20F5" w:rsidRDefault="00F10DB1" w:rsidP="00D36FB8">
            <w:pPr>
              <w:rPr>
                <w:w w:val="90"/>
                <w:sz w:val="20"/>
              </w:rPr>
            </w:pPr>
            <w:r w:rsidRPr="00DA20F5">
              <w:rPr>
                <w:w w:val="90"/>
                <w:sz w:val="20"/>
              </w:rPr>
              <w:t>5 048</w:t>
            </w:r>
          </w:p>
        </w:tc>
        <w:tc>
          <w:tcPr>
            <w:tcW w:w="711" w:type="dxa"/>
          </w:tcPr>
          <w:p w:rsidR="00F10DB1" w:rsidRPr="00DA20F5" w:rsidRDefault="00F10DB1" w:rsidP="00D36FB8">
            <w:pPr>
              <w:rPr>
                <w:w w:val="90"/>
                <w:sz w:val="20"/>
              </w:rPr>
            </w:pPr>
            <w:r w:rsidRPr="00DA20F5">
              <w:rPr>
                <w:w w:val="90"/>
                <w:sz w:val="20"/>
              </w:rPr>
              <w:t>3 918</w:t>
            </w:r>
          </w:p>
        </w:tc>
        <w:tc>
          <w:tcPr>
            <w:tcW w:w="711" w:type="dxa"/>
          </w:tcPr>
          <w:p w:rsidR="00F10DB1" w:rsidRPr="00DA20F5" w:rsidRDefault="00F10DB1" w:rsidP="00D36FB8">
            <w:pPr>
              <w:rPr>
                <w:w w:val="90"/>
                <w:sz w:val="20"/>
              </w:rPr>
            </w:pPr>
            <w:r w:rsidRPr="00DA20F5">
              <w:rPr>
                <w:w w:val="90"/>
                <w:sz w:val="20"/>
              </w:rPr>
              <w:t>3 342</w:t>
            </w:r>
          </w:p>
        </w:tc>
        <w:tc>
          <w:tcPr>
            <w:tcW w:w="711" w:type="dxa"/>
          </w:tcPr>
          <w:p w:rsidR="00F10DB1" w:rsidRPr="00DA20F5" w:rsidRDefault="00F10DB1" w:rsidP="00D36FB8">
            <w:pPr>
              <w:rPr>
                <w:w w:val="90"/>
                <w:sz w:val="20"/>
              </w:rPr>
            </w:pPr>
            <w:r w:rsidRPr="00DA20F5">
              <w:rPr>
                <w:w w:val="90"/>
                <w:sz w:val="20"/>
              </w:rPr>
              <w:t>2 143</w:t>
            </w:r>
          </w:p>
        </w:tc>
        <w:tc>
          <w:tcPr>
            <w:tcW w:w="711" w:type="dxa"/>
          </w:tcPr>
          <w:p w:rsidR="00F10DB1" w:rsidRPr="00DA20F5" w:rsidRDefault="00F10DB1" w:rsidP="00D36FB8">
            <w:pPr>
              <w:rPr>
                <w:w w:val="90"/>
                <w:sz w:val="20"/>
              </w:rPr>
            </w:pPr>
            <w:r w:rsidRPr="00DA20F5">
              <w:rPr>
                <w:w w:val="90"/>
                <w:sz w:val="20"/>
              </w:rPr>
              <w:t>1 101</w:t>
            </w:r>
          </w:p>
        </w:tc>
        <w:tc>
          <w:tcPr>
            <w:tcW w:w="621" w:type="dxa"/>
          </w:tcPr>
          <w:p w:rsidR="00F10DB1" w:rsidRPr="00DA20F5" w:rsidRDefault="00F10DB1" w:rsidP="00D36FB8">
            <w:pPr>
              <w:rPr>
                <w:w w:val="90"/>
                <w:sz w:val="20"/>
              </w:rPr>
            </w:pPr>
            <w:r w:rsidRPr="00DA20F5">
              <w:rPr>
                <w:w w:val="90"/>
                <w:sz w:val="20"/>
              </w:rPr>
              <w:t>705</w:t>
            </w:r>
          </w:p>
        </w:tc>
        <w:tc>
          <w:tcPr>
            <w:tcW w:w="711" w:type="dxa"/>
          </w:tcPr>
          <w:p w:rsidR="00F10DB1" w:rsidRPr="00DA20F5" w:rsidRDefault="00F10DB1" w:rsidP="00D36FB8">
            <w:pPr>
              <w:rPr>
                <w:w w:val="90"/>
                <w:sz w:val="20"/>
              </w:rPr>
            </w:pPr>
            <w:r w:rsidRPr="00DA20F5">
              <w:rPr>
                <w:w w:val="90"/>
                <w:sz w:val="20"/>
              </w:rPr>
              <w:t>4 958</w:t>
            </w:r>
          </w:p>
        </w:tc>
      </w:tr>
      <w:tr w:rsidR="00ED3F36" w:rsidRPr="00DA20F5" w:rsidTr="00ED3F36">
        <w:trPr>
          <w:trHeight w:val="262"/>
          <w:jc w:val="center"/>
        </w:trPr>
        <w:tc>
          <w:tcPr>
            <w:tcW w:w="1361" w:type="dxa"/>
            <w:vAlign w:val="center"/>
          </w:tcPr>
          <w:p w:rsidR="00F10DB1" w:rsidRPr="00DA20F5" w:rsidRDefault="00F10DB1" w:rsidP="00D36FB8">
            <w:pPr>
              <w:rPr>
                <w:w w:val="90"/>
                <w:sz w:val="20"/>
              </w:rPr>
            </w:pPr>
            <w:r w:rsidRPr="00DA20F5">
              <w:rPr>
                <w:w w:val="90"/>
                <w:sz w:val="20"/>
              </w:rPr>
              <w:t>Žilinský</w:t>
            </w:r>
          </w:p>
        </w:tc>
        <w:tc>
          <w:tcPr>
            <w:tcW w:w="802" w:type="dxa"/>
            <w:vAlign w:val="center"/>
          </w:tcPr>
          <w:p w:rsidR="00F10DB1" w:rsidRPr="00DA20F5" w:rsidRDefault="00F10DB1" w:rsidP="00D36FB8">
            <w:pPr>
              <w:rPr>
                <w:w w:val="90"/>
                <w:sz w:val="20"/>
              </w:rPr>
            </w:pPr>
            <w:r w:rsidRPr="00DA20F5">
              <w:rPr>
                <w:w w:val="90"/>
                <w:sz w:val="20"/>
              </w:rPr>
              <w:t>41 143</w:t>
            </w:r>
          </w:p>
        </w:tc>
        <w:tc>
          <w:tcPr>
            <w:tcW w:w="712" w:type="dxa"/>
          </w:tcPr>
          <w:p w:rsidR="00F10DB1" w:rsidRPr="00DA20F5" w:rsidRDefault="00F10DB1" w:rsidP="00D36FB8">
            <w:pPr>
              <w:rPr>
                <w:w w:val="90"/>
                <w:sz w:val="20"/>
              </w:rPr>
            </w:pPr>
            <w:r w:rsidRPr="00DA20F5">
              <w:rPr>
                <w:w w:val="90"/>
                <w:sz w:val="20"/>
              </w:rPr>
              <w:t>9 714</w:t>
            </w:r>
          </w:p>
        </w:tc>
        <w:tc>
          <w:tcPr>
            <w:tcW w:w="712" w:type="dxa"/>
            <w:vAlign w:val="center"/>
          </w:tcPr>
          <w:p w:rsidR="00F10DB1" w:rsidRPr="00DA20F5" w:rsidRDefault="00F10DB1" w:rsidP="00D36FB8">
            <w:pPr>
              <w:rPr>
                <w:w w:val="90"/>
                <w:sz w:val="20"/>
              </w:rPr>
            </w:pPr>
            <w:r w:rsidRPr="00DA20F5">
              <w:rPr>
                <w:w w:val="90"/>
                <w:sz w:val="20"/>
              </w:rPr>
              <w:t>7 282</w:t>
            </w:r>
          </w:p>
        </w:tc>
        <w:tc>
          <w:tcPr>
            <w:tcW w:w="712" w:type="dxa"/>
            <w:vAlign w:val="center"/>
          </w:tcPr>
          <w:p w:rsidR="00F10DB1" w:rsidRPr="00DA20F5" w:rsidRDefault="00F10DB1" w:rsidP="00D36FB8">
            <w:pPr>
              <w:rPr>
                <w:w w:val="90"/>
                <w:sz w:val="20"/>
              </w:rPr>
            </w:pPr>
            <w:r w:rsidRPr="00DA20F5">
              <w:rPr>
                <w:w w:val="90"/>
                <w:sz w:val="20"/>
              </w:rPr>
              <w:t>4 757</w:t>
            </w:r>
          </w:p>
        </w:tc>
        <w:tc>
          <w:tcPr>
            <w:tcW w:w="711" w:type="dxa"/>
          </w:tcPr>
          <w:p w:rsidR="00F10DB1" w:rsidRPr="00DA20F5" w:rsidRDefault="00F10DB1" w:rsidP="00D36FB8">
            <w:pPr>
              <w:rPr>
                <w:w w:val="90"/>
                <w:sz w:val="20"/>
              </w:rPr>
            </w:pPr>
            <w:r w:rsidRPr="00DA20F5">
              <w:rPr>
                <w:w w:val="90"/>
                <w:sz w:val="20"/>
              </w:rPr>
              <w:t>3 248</w:t>
            </w:r>
          </w:p>
        </w:tc>
        <w:tc>
          <w:tcPr>
            <w:tcW w:w="711" w:type="dxa"/>
          </w:tcPr>
          <w:p w:rsidR="00F10DB1" w:rsidRPr="00DA20F5" w:rsidRDefault="00F10DB1" w:rsidP="00D36FB8">
            <w:pPr>
              <w:rPr>
                <w:w w:val="90"/>
                <w:sz w:val="20"/>
              </w:rPr>
            </w:pPr>
            <w:r w:rsidRPr="00DA20F5">
              <w:rPr>
                <w:w w:val="90"/>
                <w:sz w:val="20"/>
              </w:rPr>
              <w:t>4 229</w:t>
            </w:r>
          </w:p>
        </w:tc>
        <w:tc>
          <w:tcPr>
            <w:tcW w:w="711" w:type="dxa"/>
          </w:tcPr>
          <w:p w:rsidR="00F10DB1" w:rsidRPr="00DA20F5" w:rsidRDefault="00F10DB1" w:rsidP="00D36FB8">
            <w:pPr>
              <w:rPr>
                <w:w w:val="90"/>
                <w:sz w:val="20"/>
              </w:rPr>
            </w:pPr>
            <w:r w:rsidRPr="00DA20F5">
              <w:rPr>
                <w:w w:val="90"/>
                <w:sz w:val="20"/>
              </w:rPr>
              <w:t>3 172</w:t>
            </w:r>
          </w:p>
        </w:tc>
        <w:tc>
          <w:tcPr>
            <w:tcW w:w="711" w:type="dxa"/>
          </w:tcPr>
          <w:p w:rsidR="00F10DB1" w:rsidRPr="00DA20F5" w:rsidRDefault="00F10DB1" w:rsidP="00D36FB8">
            <w:pPr>
              <w:rPr>
                <w:w w:val="90"/>
                <w:sz w:val="20"/>
              </w:rPr>
            </w:pPr>
            <w:r w:rsidRPr="00DA20F5">
              <w:rPr>
                <w:w w:val="90"/>
                <w:sz w:val="20"/>
              </w:rPr>
              <w:t>2 487</w:t>
            </w:r>
          </w:p>
        </w:tc>
        <w:tc>
          <w:tcPr>
            <w:tcW w:w="711" w:type="dxa"/>
          </w:tcPr>
          <w:p w:rsidR="00F10DB1" w:rsidRPr="00DA20F5" w:rsidRDefault="00F10DB1" w:rsidP="00D36FB8">
            <w:pPr>
              <w:rPr>
                <w:w w:val="90"/>
                <w:sz w:val="20"/>
              </w:rPr>
            </w:pPr>
            <w:r w:rsidRPr="00DA20F5">
              <w:rPr>
                <w:w w:val="90"/>
                <w:sz w:val="20"/>
              </w:rPr>
              <w:t>1 524</w:t>
            </w:r>
          </w:p>
        </w:tc>
        <w:tc>
          <w:tcPr>
            <w:tcW w:w="711" w:type="dxa"/>
          </w:tcPr>
          <w:p w:rsidR="00F10DB1" w:rsidRPr="00DA20F5" w:rsidRDefault="00F10DB1" w:rsidP="00D36FB8">
            <w:pPr>
              <w:rPr>
                <w:w w:val="90"/>
                <w:sz w:val="20"/>
              </w:rPr>
            </w:pPr>
            <w:r w:rsidRPr="00DA20F5">
              <w:rPr>
                <w:w w:val="90"/>
                <w:sz w:val="20"/>
              </w:rPr>
              <w:t>753</w:t>
            </w:r>
          </w:p>
        </w:tc>
        <w:tc>
          <w:tcPr>
            <w:tcW w:w="621" w:type="dxa"/>
          </w:tcPr>
          <w:p w:rsidR="00F10DB1" w:rsidRPr="00DA20F5" w:rsidRDefault="00F10DB1" w:rsidP="00D36FB8">
            <w:pPr>
              <w:rPr>
                <w:w w:val="90"/>
                <w:sz w:val="20"/>
              </w:rPr>
            </w:pPr>
            <w:r w:rsidRPr="00DA20F5">
              <w:rPr>
                <w:w w:val="90"/>
                <w:sz w:val="20"/>
              </w:rPr>
              <w:t>515</w:t>
            </w:r>
          </w:p>
        </w:tc>
        <w:tc>
          <w:tcPr>
            <w:tcW w:w="711" w:type="dxa"/>
          </w:tcPr>
          <w:p w:rsidR="00F10DB1" w:rsidRPr="00DA20F5" w:rsidRDefault="00F10DB1" w:rsidP="00D36FB8">
            <w:pPr>
              <w:rPr>
                <w:w w:val="90"/>
                <w:sz w:val="20"/>
              </w:rPr>
            </w:pPr>
            <w:r w:rsidRPr="00DA20F5">
              <w:rPr>
                <w:w w:val="90"/>
                <w:sz w:val="20"/>
              </w:rPr>
              <w:t>3 392</w:t>
            </w:r>
          </w:p>
        </w:tc>
      </w:tr>
      <w:tr w:rsidR="00ED3F36" w:rsidRPr="00DA20F5" w:rsidTr="00ED3F36">
        <w:trPr>
          <w:trHeight w:val="262"/>
          <w:jc w:val="center"/>
        </w:trPr>
        <w:tc>
          <w:tcPr>
            <w:tcW w:w="1361" w:type="dxa"/>
            <w:vAlign w:val="center"/>
          </w:tcPr>
          <w:p w:rsidR="00F10DB1" w:rsidRPr="00DA20F5" w:rsidRDefault="00F10DB1" w:rsidP="00D36FB8">
            <w:pPr>
              <w:rPr>
                <w:w w:val="90"/>
                <w:sz w:val="20"/>
              </w:rPr>
            </w:pPr>
            <w:r w:rsidRPr="00DA20F5">
              <w:rPr>
                <w:w w:val="90"/>
                <w:sz w:val="20"/>
              </w:rPr>
              <w:t>Banskobystrický</w:t>
            </w:r>
          </w:p>
        </w:tc>
        <w:tc>
          <w:tcPr>
            <w:tcW w:w="802" w:type="dxa"/>
            <w:vAlign w:val="center"/>
          </w:tcPr>
          <w:p w:rsidR="00F10DB1" w:rsidRPr="00DA20F5" w:rsidRDefault="00F10DB1" w:rsidP="00D36FB8">
            <w:pPr>
              <w:rPr>
                <w:w w:val="90"/>
                <w:sz w:val="20"/>
              </w:rPr>
            </w:pPr>
            <w:r w:rsidRPr="00DA20F5">
              <w:rPr>
                <w:w w:val="90"/>
                <w:sz w:val="20"/>
              </w:rPr>
              <w:t>67 016</w:t>
            </w:r>
          </w:p>
        </w:tc>
        <w:tc>
          <w:tcPr>
            <w:tcW w:w="712" w:type="dxa"/>
          </w:tcPr>
          <w:p w:rsidR="00F10DB1" w:rsidRPr="00DA20F5" w:rsidRDefault="00F10DB1" w:rsidP="00D36FB8">
            <w:pPr>
              <w:rPr>
                <w:w w:val="90"/>
                <w:sz w:val="20"/>
              </w:rPr>
            </w:pPr>
            <w:r w:rsidRPr="00DA20F5">
              <w:rPr>
                <w:w w:val="90"/>
                <w:sz w:val="20"/>
              </w:rPr>
              <w:t>10 380</w:t>
            </w:r>
          </w:p>
        </w:tc>
        <w:tc>
          <w:tcPr>
            <w:tcW w:w="712" w:type="dxa"/>
            <w:vAlign w:val="center"/>
          </w:tcPr>
          <w:p w:rsidR="00F10DB1" w:rsidRPr="00DA20F5" w:rsidRDefault="00F10DB1" w:rsidP="00D36FB8">
            <w:pPr>
              <w:rPr>
                <w:w w:val="90"/>
                <w:sz w:val="20"/>
              </w:rPr>
            </w:pPr>
            <w:r w:rsidRPr="00DA20F5">
              <w:rPr>
                <w:w w:val="90"/>
                <w:sz w:val="20"/>
              </w:rPr>
              <w:t>7 929</w:t>
            </w:r>
          </w:p>
        </w:tc>
        <w:tc>
          <w:tcPr>
            <w:tcW w:w="712" w:type="dxa"/>
            <w:vAlign w:val="center"/>
          </w:tcPr>
          <w:p w:rsidR="00F10DB1" w:rsidRPr="00DA20F5" w:rsidRDefault="00F10DB1" w:rsidP="00D36FB8">
            <w:pPr>
              <w:rPr>
                <w:w w:val="90"/>
                <w:sz w:val="20"/>
              </w:rPr>
            </w:pPr>
            <w:r w:rsidRPr="00DA20F5">
              <w:rPr>
                <w:w w:val="90"/>
                <w:sz w:val="20"/>
              </w:rPr>
              <w:t>5 642</w:t>
            </w:r>
          </w:p>
        </w:tc>
        <w:tc>
          <w:tcPr>
            <w:tcW w:w="711" w:type="dxa"/>
          </w:tcPr>
          <w:p w:rsidR="00F10DB1" w:rsidRPr="00DA20F5" w:rsidRDefault="00F10DB1" w:rsidP="00D36FB8">
            <w:pPr>
              <w:rPr>
                <w:w w:val="90"/>
                <w:sz w:val="20"/>
              </w:rPr>
            </w:pPr>
            <w:r w:rsidRPr="00DA20F5">
              <w:rPr>
                <w:w w:val="90"/>
                <w:sz w:val="20"/>
              </w:rPr>
              <w:t>4 208</w:t>
            </w:r>
          </w:p>
        </w:tc>
        <w:tc>
          <w:tcPr>
            <w:tcW w:w="711" w:type="dxa"/>
          </w:tcPr>
          <w:p w:rsidR="00F10DB1" w:rsidRPr="00DA20F5" w:rsidRDefault="00F10DB1" w:rsidP="00D36FB8">
            <w:pPr>
              <w:rPr>
                <w:w w:val="90"/>
                <w:sz w:val="20"/>
              </w:rPr>
            </w:pPr>
            <w:r w:rsidRPr="00DA20F5">
              <w:rPr>
                <w:w w:val="90"/>
                <w:sz w:val="20"/>
              </w:rPr>
              <w:t>6 341</w:t>
            </w:r>
          </w:p>
        </w:tc>
        <w:tc>
          <w:tcPr>
            <w:tcW w:w="711" w:type="dxa"/>
          </w:tcPr>
          <w:p w:rsidR="00F10DB1" w:rsidRPr="00DA20F5" w:rsidRDefault="00F10DB1" w:rsidP="00D36FB8">
            <w:pPr>
              <w:rPr>
                <w:w w:val="90"/>
                <w:sz w:val="20"/>
              </w:rPr>
            </w:pPr>
            <w:r w:rsidRPr="00DA20F5">
              <w:rPr>
                <w:w w:val="90"/>
                <w:sz w:val="20"/>
              </w:rPr>
              <w:t>5 321</w:t>
            </w:r>
          </w:p>
        </w:tc>
        <w:tc>
          <w:tcPr>
            <w:tcW w:w="711" w:type="dxa"/>
          </w:tcPr>
          <w:p w:rsidR="00F10DB1" w:rsidRPr="00DA20F5" w:rsidRDefault="00F10DB1" w:rsidP="00D36FB8">
            <w:pPr>
              <w:rPr>
                <w:w w:val="90"/>
                <w:sz w:val="20"/>
              </w:rPr>
            </w:pPr>
            <w:r w:rsidRPr="00DA20F5">
              <w:rPr>
                <w:w w:val="90"/>
                <w:sz w:val="20"/>
              </w:rPr>
              <w:t>4 966</w:t>
            </w:r>
          </w:p>
        </w:tc>
        <w:tc>
          <w:tcPr>
            <w:tcW w:w="711" w:type="dxa"/>
          </w:tcPr>
          <w:p w:rsidR="00F10DB1" w:rsidRPr="00DA20F5" w:rsidRDefault="00F10DB1" w:rsidP="00D36FB8">
            <w:pPr>
              <w:rPr>
                <w:w w:val="90"/>
                <w:sz w:val="20"/>
              </w:rPr>
            </w:pPr>
            <w:r w:rsidRPr="00DA20F5">
              <w:rPr>
                <w:w w:val="90"/>
                <w:sz w:val="20"/>
              </w:rPr>
              <w:t>3 731</w:t>
            </w:r>
          </w:p>
        </w:tc>
        <w:tc>
          <w:tcPr>
            <w:tcW w:w="711" w:type="dxa"/>
          </w:tcPr>
          <w:p w:rsidR="00F10DB1" w:rsidRPr="00DA20F5" w:rsidRDefault="00F10DB1" w:rsidP="00D36FB8">
            <w:pPr>
              <w:rPr>
                <w:w w:val="90"/>
                <w:sz w:val="20"/>
              </w:rPr>
            </w:pPr>
            <w:r w:rsidRPr="00DA20F5">
              <w:rPr>
                <w:w w:val="90"/>
                <w:sz w:val="20"/>
              </w:rPr>
              <w:t>2 266</w:t>
            </w:r>
          </w:p>
        </w:tc>
        <w:tc>
          <w:tcPr>
            <w:tcW w:w="621" w:type="dxa"/>
          </w:tcPr>
          <w:p w:rsidR="00F10DB1" w:rsidRPr="00DA20F5" w:rsidRDefault="00F10DB1" w:rsidP="00D36FB8">
            <w:pPr>
              <w:rPr>
                <w:w w:val="90"/>
                <w:sz w:val="20"/>
              </w:rPr>
            </w:pPr>
            <w:r w:rsidRPr="00DA20F5">
              <w:rPr>
                <w:w w:val="90"/>
                <w:sz w:val="20"/>
              </w:rPr>
              <w:t>1 695</w:t>
            </w:r>
          </w:p>
        </w:tc>
        <w:tc>
          <w:tcPr>
            <w:tcW w:w="711" w:type="dxa"/>
          </w:tcPr>
          <w:p w:rsidR="00F10DB1" w:rsidRPr="00DA20F5" w:rsidRDefault="00F10DB1" w:rsidP="00D36FB8">
            <w:pPr>
              <w:rPr>
                <w:w w:val="90"/>
                <w:sz w:val="20"/>
              </w:rPr>
            </w:pPr>
            <w:r w:rsidRPr="00DA20F5">
              <w:rPr>
                <w:w w:val="90"/>
                <w:sz w:val="20"/>
              </w:rPr>
              <w:t>14 538</w:t>
            </w:r>
          </w:p>
        </w:tc>
      </w:tr>
      <w:tr w:rsidR="00ED3F36" w:rsidRPr="00DA20F5" w:rsidTr="00ED3F36">
        <w:trPr>
          <w:trHeight w:val="262"/>
          <w:jc w:val="center"/>
        </w:trPr>
        <w:tc>
          <w:tcPr>
            <w:tcW w:w="1361" w:type="dxa"/>
            <w:vAlign w:val="center"/>
          </w:tcPr>
          <w:p w:rsidR="00F10DB1" w:rsidRPr="00DA20F5" w:rsidRDefault="00F10DB1" w:rsidP="00D36FB8">
            <w:pPr>
              <w:rPr>
                <w:w w:val="90"/>
                <w:sz w:val="20"/>
              </w:rPr>
            </w:pPr>
            <w:r w:rsidRPr="00DA20F5">
              <w:rPr>
                <w:w w:val="90"/>
                <w:sz w:val="20"/>
              </w:rPr>
              <w:t>Prešovský</w:t>
            </w:r>
          </w:p>
        </w:tc>
        <w:tc>
          <w:tcPr>
            <w:tcW w:w="802" w:type="dxa"/>
            <w:vAlign w:val="bottom"/>
          </w:tcPr>
          <w:p w:rsidR="00F10DB1" w:rsidRPr="00DA20F5" w:rsidRDefault="00F10DB1" w:rsidP="00D36FB8">
            <w:pPr>
              <w:rPr>
                <w:w w:val="90"/>
                <w:sz w:val="20"/>
              </w:rPr>
            </w:pPr>
            <w:r w:rsidRPr="00DA20F5">
              <w:rPr>
                <w:w w:val="90"/>
                <w:sz w:val="20"/>
              </w:rPr>
              <w:t>80 240</w:t>
            </w:r>
          </w:p>
        </w:tc>
        <w:tc>
          <w:tcPr>
            <w:tcW w:w="712" w:type="dxa"/>
          </w:tcPr>
          <w:p w:rsidR="00F10DB1" w:rsidRPr="00DA20F5" w:rsidRDefault="00F10DB1" w:rsidP="00D36FB8">
            <w:pPr>
              <w:rPr>
                <w:w w:val="90"/>
                <w:sz w:val="20"/>
              </w:rPr>
            </w:pPr>
            <w:r w:rsidRPr="00DA20F5">
              <w:rPr>
                <w:w w:val="90"/>
                <w:sz w:val="20"/>
              </w:rPr>
              <w:t>13 388</w:t>
            </w:r>
          </w:p>
        </w:tc>
        <w:tc>
          <w:tcPr>
            <w:tcW w:w="712" w:type="dxa"/>
            <w:vAlign w:val="center"/>
          </w:tcPr>
          <w:p w:rsidR="00F10DB1" w:rsidRPr="00DA20F5" w:rsidRDefault="00F10DB1" w:rsidP="00D36FB8">
            <w:pPr>
              <w:rPr>
                <w:w w:val="90"/>
                <w:sz w:val="20"/>
              </w:rPr>
            </w:pPr>
            <w:r w:rsidRPr="00DA20F5">
              <w:rPr>
                <w:w w:val="90"/>
                <w:sz w:val="20"/>
              </w:rPr>
              <w:t>10 106</w:t>
            </w:r>
          </w:p>
        </w:tc>
        <w:tc>
          <w:tcPr>
            <w:tcW w:w="712" w:type="dxa"/>
            <w:vAlign w:val="center"/>
          </w:tcPr>
          <w:p w:rsidR="00F10DB1" w:rsidRPr="00DA20F5" w:rsidRDefault="00F10DB1" w:rsidP="00D36FB8">
            <w:pPr>
              <w:rPr>
                <w:w w:val="90"/>
                <w:sz w:val="20"/>
              </w:rPr>
            </w:pPr>
            <w:r w:rsidRPr="00DA20F5">
              <w:rPr>
                <w:w w:val="90"/>
                <w:sz w:val="20"/>
              </w:rPr>
              <w:t>7 363</w:t>
            </w:r>
          </w:p>
        </w:tc>
        <w:tc>
          <w:tcPr>
            <w:tcW w:w="711" w:type="dxa"/>
          </w:tcPr>
          <w:p w:rsidR="00F10DB1" w:rsidRPr="00DA20F5" w:rsidRDefault="00F10DB1" w:rsidP="00D36FB8">
            <w:pPr>
              <w:rPr>
                <w:w w:val="90"/>
                <w:sz w:val="20"/>
              </w:rPr>
            </w:pPr>
            <w:r w:rsidRPr="00DA20F5">
              <w:rPr>
                <w:w w:val="90"/>
                <w:sz w:val="20"/>
              </w:rPr>
              <w:t>5 597</w:t>
            </w:r>
          </w:p>
        </w:tc>
        <w:tc>
          <w:tcPr>
            <w:tcW w:w="711" w:type="dxa"/>
          </w:tcPr>
          <w:p w:rsidR="00F10DB1" w:rsidRPr="00DA20F5" w:rsidRDefault="00F10DB1" w:rsidP="00D36FB8">
            <w:pPr>
              <w:rPr>
                <w:w w:val="90"/>
                <w:sz w:val="20"/>
              </w:rPr>
            </w:pPr>
            <w:r w:rsidRPr="00DA20F5">
              <w:rPr>
                <w:w w:val="90"/>
                <w:sz w:val="20"/>
              </w:rPr>
              <w:t>8 225</w:t>
            </w:r>
          </w:p>
        </w:tc>
        <w:tc>
          <w:tcPr>
            <w:tcW w:w="711" w:type="dxa"/>
          </w:tcPr>
          <w:p w:rsidR="00F10DB1" w:rsidRPr="00DA20F5" w:rsidRDefault="00F10DB1" w:rsidP="00D36FB8">
            <w:pPr>
              <w:rPr>
                <w:w w:val="90"/>
                <w:sz w:val="20"/>
              </w:rPr>
            </w:pPr>
            <w:r w:rsidRPr="00DA20F5">
              <w:rPr>
                <w:w w:val="90"/>
                <w:sz w:val="20"/>
              </w:rPr>
              <w:t>6 706</w:t>
            </w:r>
          </w:p>
        </w:tc>
        <w:tc>
          <w:tcPr>
            <w:tcW w:w="711" w:type="dxa"/>
          </w:tcPr>
          <w:p w:rsidR="00F10DB1" w:rsidRPr="00DA20F5" w:rsidRDefault="00F10DB1" w:rsidP="00D36FB8">
            <w:pPr>
              <w:rPr>
                <w:w w:val="90"/>
                <w:sz w:val="20"/>
              </w:rPr>
            </w:pPr>
            <w:r w:rsidRPr="00DA20F5">
              <w:rPr>
                <w:w w:val="90"/>
                <w:sz w:val="20"/>
              </w:rPr>
              <w:t>5 939</w:t>
            </w:r>
          </w:p>
        </w:tc>
        <w:tc>
          <w:tcPr>
            <w:tcW w:w="711" w:type="dxa"/>
          </w:tcPr>
          <w:p w:rsidR="00F10DB1" w:rsidRPr="00DA20F5" w:rsidRDefault="00F10DB1" w:rsidP="00D36FB8">
            <w:pPr>
              <w:rPr>
                <w:w w:val="90"/>
                <w:sz w:val="20"/>
              </w:rPr>
            </w:pPr>
            <w:r w:rsidRPr="00DA20F5">
              <w:rPr>
                <w:w w:val="90"/>
                <w:sz w:val="20"/>
              </w:rPr>
              <w:t>4 392</w:t>
            </w:r>
          </w:p>
        </w:tc>
        <w:tc>
          <w:tcPr>
            <w:tcW w:w="711" w:type="dxa"/>
          </w:tcPr>
          <w:p w:rsidR="00F10DB1" w:rsidRPr="00DA20F5" w:rsidRDefault="00F10DB1" w:rsidP="00D36FB8">
            <w:pPr>
              <w:rPr>
                <w:w w:val="90"/>
                <w:sz w:val="20"/>
              </w:rPr>
            </w:pPr>
            <w:r w:rsidRPr="00DA20F5">
              <w:rPr>
                <w:w w:val="90"/>
                <w:sz w:val="20"/>
              </w:rPr>
              <w:t>2 722</w:t>
            </w:r>
          </w:p>
        </w:tc>
        <w:tc>
          <w:tcPr>
            <w:tcW w:w="621" w:type="dxa"/>
          </w:tcPr>
          <w:p w:rsidR="00F10DB1" w:rsidRPr="00DA20F5" w:rsidRDefault="00F10DB1" w:rsidP="00D36FB8">
            <w:pPr>
              <w:rPr>
                <w:w w:val="90"/>
                <w:sz w:val="20"/>
              </w:rPr>
            </w:pPr>
            <w:r w:rsidRPr="00DA20F5">
              <w:rPr>
                <w:w w:val="90"/>
                <w:sz w:val="20"/>
              </w:rPr>
              <w:t>1 914</w:t>
            </w:r>
          </w:p>
        </w:tc>
        <w:tc>
          <w:tcPr>
            <w:tcW w:w="711" w:type="dxa"/>
          </w:tcPr>
          <w:p w:rsidR="00F10DB1" w:rsidRPr="00DA20F5" w:rsidRDefault="00F10DB1" w:rsidP="00D36FB8">
            <w:pPr>
              <w:rPr>
                <w:w w:val="90"/>
                <w:sz w:val="20"/>
              </w:rPr>
            </w:pPr>
            <w:r w:rsidRPr="00DA20F5">
              <w:rPr>
                <w:w w:val="90"/>
                <w:sz w:val="20"/>
              </w:rPr>
              <w:t>13 888</w:t>
            </w:r>
          </w:p>
        </w:tc>
      </w:tr>
      <w:tr w:rsidR="00ED3F36" w:rsidRPr="00DA20F5" w:rsidTr="00ED3F36">
        <w:trPr>
          <w:trHeight w:val="262"/>
          <w:jc w:val="center"/>
        </w:trPr>
        <w:tc>
          <w:tcPr>
            <w:tcW w:w="1361" w:type="dxa"/>
            <w:vAlign w:val="center"/>
          </w:tcPr>
          <w:p w:rsidR="00F10DB1" w:rsidRPr="00DA20F5" w:rsidRDefault="00F10DB1" w:rsidP="00D36FB8">
            <w:pPr>
              <w:rPr>
                <w:w w:val="90"/>
                <w:sz w:val="20"/>
              </w:rPr>
            </w:pPr>
            <w:r w:rsidRPr="00DA20F5">
              <w:rPr>
                <w:w w:val="90"/>
                <w:sz w:val="20"/>
              </w:rPr>
              <w:t>Košický</w:t>
            </w:r>
          </w:p>
        </w:tc>
        <w:tc>
          <w:tcPr>
            <w:tcW w:w="802" w:type="dxa"/>
            <w:vAlign w:val="bottom"/>
          </w:tcPr>
          <w:p w:rsidR="00F10DB1" w:rsidRPr="00DA20F5" w:rsidRDefault="00F10DB1" w:rsidP="00D36FB8">
            <w:pPr>
              <w:rPr>
                <w:w w:val="90"/>
                <w:sz w:val="20"/>
              </w:rPr>
            </w:pPr>
            <w:r w:rsidRPr="00DA20F5">
              <w:rPr>
                <w:w w:val="90"/>
                <w:sz w:val="20"/>
              </w:rPr>
              <w:t>73 830</w:t>
            </w:r>
          </w:p>
        </w:tc>
        <w:tc>
          <w:tcPr>
            <w:tcW w:w="712" w:type="dxa"/>
          </w:tcPr>
          <w:p w:rsidR="00F10DB1" w:rsidRPr="00DA20F5" w:rsidRDefault="00F10DB1" w:rsidP="00D36FB8">
            <w:pPr>
              <w:rPr>
                <w:w w:val="90"/>
                <w:sz w:val="20"/>
              </w:rPr>
            </w:pPr>
            <w:r w:rsidRPr="00DA20F5">
              <w:rPr>
                <w:w w:val="90"/>
                <w:sz w:val="20"/>
              </w:rPr>
              <w:t>11 926</w:t>
            </w:r>
          </w:p>
        </w:tc>
        <w:tc>
          <w:tcPr>
            <w:tcW w:w="712" w:type="dxa"/>
            <w:vAlign w:val="center"/>
          </w:tcPr>
          <w:p w:rsidR="00F10DB1" w:rsidRPr="00DA20F5" w:rsidRDefault="00F10DB1" w:rsidP="00D36FB8">
            <w:pPr>
              <w:rPr>
                <w:w w:val="90"/>
                <w:sz w:val="20"/>
              </w:rPr>
            </w:pPr>
            <w:r w:rsidRPr="00DA20F5">
              <w:rPr>
                <w:w w:val="90"/>
                <w:sz w:val="20"/>
              </w:rPr>
              <w:t>9 373</w:t>
            </w:r>
          </w:p>
        </w:tc>
        <w:tc>
          <w:tcPr>
            <w:tcW w:w="712" w:type="dxa"/>
            <w:vAlign w:val="center"/>
          </w:tcPr>
          <w:p w:rsidR="00F10DB1" w:rsidRPr="00DA20F5" w:rsidRDefault="00F10DB1" w:rsidP="00D36FB8">
            <w:pPr>
              <w:rPr>
                <w:w w:val="90"/>
                <w:sz w:val="20"/>
              </w:rPr>
            </w:pPr>
            <w:r w:rsidRPr="00DA20F5">
              <w:rPr>
                <w:w w:val="90"/>
                <w:sz w:val="20"/>
              </w:rPr>
              <w:t>6 893</w:t>
            </w:r>
          </w:p>
        </w:tc>
        <w:tc>
          <w:tcPr>
            <w:tcW w:w="711" w:type="dxa"/>
          </w:tcPr>
          <w:p w:rsidR="00F10DB1" w:rsidRPr="00DA20F5" w:rsidRDefault="00F10DB1" w:rsidP="00D36FB8">
            <w:pPr>
              <w:rPr>
                <w:w w:val="90"/>
                <w:sz w:val="20"/>
              </w:rPr>
            </w:pPr>
            <w:r w:rsidRPr="00DA20F5">
              <w:rPr>
                <w:w w:val="90"/>
                <w:sz w:val="20"/>
              </w:rPr>
              <w:t>5 259</w:t>
            </w:r>
          </w:p>
        </w:tc>
        <w:tc>
          <w:tcPr>
            <w:tcW w:w="711" w:type="dxa"/>
          </w:tcPr>
          <w:p w:rsidR="00F10DB1" w:rsidRPr="00DA20F5" w:rsidRDefault="00F10DB1" w:rsidP="00D36FB8">
            <w:pPr>
              <w:rPr>
                <w:w w:val="90"/>
                <w:sz w:val="20"/>
              </w:rPr>
            </w:pPr>
            <w:r w:rsidRPr="00DA20F5">
              <w:rPr>
                <w:w w:val="90"/>
                <w:sz w:val="20"/>
              </w:rPr>
              <w:t>7 710</w:t>
            </w:r>
          </w:p>
        </w:tc>
        <w:tc>
          <w:tcPr>
            <w:tcW w:w="711" w:type="dxa"/>
          </w:tcPr>
          <w:p w:rsidR="00F10DB1" w:rsidRPr="00DA20F5" w:rsidRDefault="00F10DB1" w:rsidP="00D36FB8">
            <w:pPr>
              <w:rPr>
                <w:w w:val="90"/>
                <w:sz w:val="20"/>
              </w:rPr>
            </w:pPr>
            <w:r w:rsidRPr="00DA20F5">
              <w:rPr>
                <w:w w:val="90"/>
                <w:sz w:val="20"/>
              </w:rPr>
              <w:t>5 816</w:t>
            </w:r>
          </w:p>
        </w:tc>
        <w:tc>
          <w:tcPr>
            <w:tcW w:w="711" w:type="dxa"/>
          </w:tcPr>
          <w:p w:rsidR="00F10DB1" w:rsidRPr="00DA20F5" w:rsidRDefault="00F10DB1" w:rsidP="00D36FB8">
            <w:pPr>
              <w:rPr>
                <w:w w:val="90"/>
                <w:sz w:val="20"/>
              </w:rPr>
            </w:pPr>
            <w:r w:rsidRPr="00DA20F5">
              <w:rPr>
                <w:w w:val="90"/>
                <w:sz w:val="20"/>
              </w:rPr>
              <w:t>5 096</w:t>
            </w:r>
          </w:p>
        </w:tc>
        <w:tc>
          <w:tcPr>
            <w:tcW w:w="711" w:type="dxa"/>
          </w:tcPr>
          <w:p w:rsidR="00F10DB1" w:rsidRPr="00DA20F5" w:rsidRDefault="00F10DB1" w:rsidP="00D36FB8">
            <w:pPr>
              <w:rPr>
                <w:w w:val="90"/>
                <w:sz w:val="20"/>
              </w:rPr>
            </w:pPr>
            <w:r w:rsidRPr="00DA20F5">
              <w:rPr>
                <w:w w:val="90"/>
                <w:sz w:val="20"/>
              </w:rPr>
              <w:t>3 958</w:t>
            </w:r>
          </w:p>
        </w:tc>
        <w:tc>
          <w:tcPr>
            <w:tcW w:w="711" w:type="dxa"/>
          </w:tcPr>
          <w:p w:rsidR="00F10DB1" w:rsidRPr="00DA20F5" w:rsidRDefault="00F10DB1" w:rsidP="00D36FB8">
            <w:pPr>
              <w:rPr>
                <w:w w:val="90"/>
                <w:sz w:val="20"/>
              </w:rPr>
            </w:pPr>
            <w:r w:rsidRPr="00DA20F5">
              <w:rPr>
                <w:w w:val="90"/>
                <w:sz w:val="20"/>
              </w:rPr>
              <w:t>2 560</w:t>
            </w:r>
          </w:p>
        </w:tc>
        <w:tc>
          <w:tcPr>
            <w:tcW w:w="621" w:type="dxa"/>
          </w:tcPr>
          <w:p w:rsidR="00F10DB1" w:rsidRPr="00DA20F5" w:rsidRDefault="00F10DB1" w:rsidP="00D36FB8">
            <w:pPr>
              <w:rPr>
                <w:w w:val="90"/>
                <w:sz w:val="20"/>
              </w:rPr>
            </w:pPr>
            <w:r w:rsidRPr="00DA20F5">
              <w:rPr>
                <w:w w:val="90"/>
                <w:sz w:val="20"/>
              </w:rPr>
              <w:t>1 746</w:t>
            </w:r>
          </w:p>
        </w:tc>
        <w:tc>
          <w:tcPr>
            <w:tcW w:w="711" w:type="dxa"/>
          </w:tcPr>
          <w:p w:rsidR="00F10DB1" w:rsidRPr="00DA20F5" w:rsidRDefault="00F10DB1" w:rsidP="00D36FB8">
            <w:pPr>
              <w:rPr>
                <w:w w:val="90"/>
                <w:sz w:val="20"/>
              </w:rPr>
            </w:pPr>
            <w:r w:rsidRPr="00DA20F5">
              <w:rPr>
                <w:w w:val="90"/>
                <w:sz w:val="20"/>
              </w:rPr>
              <w:t>13 494</w:t>
            </w:r>
          </w:p>
        </w:tc>
      </w:tr>
      <w:tr w:rsidR="00ED3F36" w:rsidRPr="00DA20F5" w:rsidTr="00ED3F36">
        <w:trPr>
          <w:trHeight w:val="262"/>
          <w:jc w:val="center"/>
        </w:trPr>
        <w:tc>
          <w:tcPr>
            <w:tcW w:w="1361" w:type="dxa"/>
            <w:vAlign w:val="center"/>
          </w:tcPr>
          <w:p w:rsidR="00F10DB1" w:rsidRPr="00DA20F5" w:rsidRDefault="00F10DB1" w:rsidP="00D36FB8">
            <w:pPr>
              <w:rPr>
                <w:w w:val="90"/>
                <w:sz w:val="20"/>
              </w:rPr>
            </w:pPr>
            <w:r w:rsidRPr="00DA20F5">
              <w:rPr>
                <w:w w:val="90"/>
                <w:sz w:val="20"/>
              </w:rPr>
              <w:t>SR</w:t>
            </w:r>
          </w:p>
        </w:tc>
        <w:tc>
          <w:tcPr>
            <w:tcW w:w="802" w:type="dxa"/>
            <w:vAlign w:val="bottom"/>
          </w:tcPr>
          <w:p w:rsidR="00F10DB1" w:rsidRPr="00DA20F5" w:rsidRDefault="00F10DB1" w:rsidP="00D36FB8">
            <w:pPr>
              <w:rPr>
                <w:w w:val="90"/>
                <w:sz w:val="20"/>
              </w:rPr>
            </w:pPr>
            <w:r w:rsidRPr="00DA20F5">
              <w:rPr>
                <w:w w:val="90"/>
                <w:sz w:val="20"/>
              </w:rPr>
              <w:t>389 264</w:t>
            </w:r>
          </w:p>
        </w:tc>
        <w:tc>
          <w:tcPr>
            <w:tcW w:w="712" w:type="dxa"/>
          </w:tcPr>
          <w:p w:rsidR="00F10DB1" w:rsidRPr="00DA20F5" w:rsidRDefault="00F10DB1" w:rsidP="00D36FB8">
            <w:pPr>
              <w:rPr>
                <w:w w:val="90"/>
                <w:sz w:val="20"/>
              </w:rPr>
            </w:pPr>
            <w:r w:rsidRPr="00DA20F5">
              <w:rPr>
                <w:w w:val="90"/>
                <w:sz w:val="20"/>
              </w:rPr>
              <w:t>76 858</w:t>
            </w:r>
          </w:p>
        </w:tc>
        <w:tc>
          <w:tcPr>
            <w:tcW w:w="712" w:type="dxa"/>
            <w:vAlign w:val="center"/>
          </w:tcPr>
          <w:p w:rsidR="00F10DB1" w:rsidRPr="00DA20F5" w:rsidRDefault="00F10DB1" w:rsidP="00D36FB8">
            <w:pPr>
              <w:rPr>
                <w:w w:val="90"/>
                <w:sz w:val="20"/>
              </w:rPr>
            </w:pPr>
            <w:r w:rsidRPr="00DA20F5">
              <w:rPr>
                <w:w w:val="90"/>
                <w:sz w:val="20"/>
              </w:rPr>
              <w:t>57 677</w:t>
            </w:r>
          </w:p>
        </w:tc>
        <w:tc>
          <w:tcPr>
            <w:tcW w:w="712" w:type="dxa"/>
            <w:vAlign w:val="center"/>
          </w:tcPr>
          <w:p w:rsidR="00F10DB1" w:rsidRPr="00DA20F5" w:rsidRDefault="00F10DB1" w:rsidP="00D36FB8">
            <w:pPr>
              <w:rPr>
                <w:w w:val="90"/>
                <w:sz w:val="20"/>
              </w:rPr>
            </w:pPr>
            <w:r w:rsidRPr="00DA20F5">
              <w:rPr>
                <w:w w:val="90"/>
                <w:sz w:val="20"/>
              </w:rPr>
              <w:t>39 318</w:t>
            </w:r>
          </w:p>
        </w:tc>
        <w:tc>
          <w:tcPr>
            <w:tcW w:w="711" w:type="dxa"/>
          </w:tcPr>
          <w:p w:rsidR="00F10DB1" w:rsidRPr="00DA20F5" w:rsidRDefault="00F10DB1" w:rsidP="00D36FB8">
            <w:pPr>
              <w:rPr>
                <w:w w:val="90"/>
                <w:sz w:val="20"/>
              </w:rPr>
            </w:pPr>
            <w:r w:rsidRPr="00DA20F5">
              <w:rPr>
                <w:w w:val="90"/>
                <w:sz w:val="20"/>
              </w:rPr>
              <w:t>28 382</w:t>
            </w:r>
          </w:p>
        </w:tc>
        <w:tc>
          <w:tcPr>
            <w:tcW w:w="711" w:type="dxa"/>
          </w:tcPr>
          <w:p w:rsidR="00F10DB1" w:rsidRPr="00DA20F5" w:rsidRDefault="00F10DB1" w:rsidP="00D36FB8">
            <w:pPr>
              <w:rPr>
                <w:w w:val="90"/>
                <w:sz w:val="20"/>
              </w:rPr>
            </w:pPr>
            <w:r w:rsidRPr="00DA20F5">
              <w:rPr>
                <w:w w:val="90"/>
                <w:sz w:val="20"/>
              </w:rPr>
              <w:t>39 907</w:t>
            </w:r>
          </w:p>
        </w:tc>
        <w:tc>
          <w:tcPr>
            <w:tcW w:w="711" w:type="dxa"/>
          </w:tcPr>
          <w:p w:rsidR="00F10DB1" w:rsidRPr="00DA20F5" w:rsidRDefault="00F10DB1" w:rsidP="00D36FB8">
            <w:pPr>
              <w:rPr>
                <w:w w:val="90"/>
                <w:sz w:val="20"/>
              </w:rPr>
            </w:pPr>
            <w:r w:rsidRPr="00DA20F5">
              <w:rPr>
                <w:w w:val="90"/>
                <w:sz w:val="20"/>
              </w:rPr>
              <w:t>30 819</w:t>
            </w:r>
          </w:p>
        </w:tc>
        <w:tc>
          <w:tcPr>
            <w:tcW w:w="711" w:type="dxa"/>
          </w:tcPr>
          <w:p w:rsidR="00F10DB1" w:rsidRPr="00DA20F5" w:rsidRDefault="00F10DB1" w:rsidP="00D36FB8">
            <w:pPr>
              <w:rPr>
                <w:w w:val="90"/>
                <w:sz w:val="20"/>
              </w:rPr>
            </w:pPr>
            <w:r w:rsidRPr="00DA20F5">
              <w:rPr>
                <w:w w:val="90"/>
                <w:sz w:val="20"/>
              </w:rPr>
              <w:t>26 260</w:t>
            </w:r>
          </w:p>
        </w:tc>
        <w:tc>
          <w:tcPr>
            <w:tcW w:w="711" w:type="dxa"/>
          </w:tcPr>
          <w:p w:rsidR="00F10DB1" w:rsidRPr="00DA20F5" w:rsidRDefault="00F10DB1" w:rsidP="00D36FB8">
            <w:pPr>
              <w:rPr>
                <w:w w:val="90"/>
                <w:sz w:val="20"/>
              </w:rPr>
            </w:pPr>
            <w:r w:rsidRPr="00DA20F5">
              <w:rPr>
                <w:w w:val="90"/>
                <w:sz w:val="20"/>
              </w:rPr>
              <w:t>18 261</w:t>
            </w:r>
          </w:p>
        </w:tc>
        <w:tc>
          <w:tcPr>
            <w:tcW w:w="711" w:type="dxa"/>
          </w:tcPr>
          <w:p w:rsidR="00F10DB1" w:rsidRPr="00DA20F5" w:rsidRDefault="00F10DB1" w:rsidP="00D36FB8">
            <w:pPr>
              <w:rPr>
                <w:w w:val="90"/>
                <w:sz w:val="20"/>
              </w:rPr>
            </w:pPr>
            <w:r w:rsidRPr="00DA20F5">
              <w:rPr>
                <w:w w:val="90"/>
                <w:sz w:val="20"/>
              </w:rPr>
              <w:t>10 543</w:t>
            </w:r>
          </w:p>
        </w:tc>
        <w:tc>
          <w:tcPr>
            <w:tcW w:w="621" w:type="dxa"/>
          </w:tcPr>
          <w:p w:rsidR="00F10DB1" w:rsidRPr="00DA20F5" w:rsidRDefault="00F10DB1" w:rsidP="00D36FB8">
            <w:pPr>
              <w:rPr>
                <w:w w:val="90"/>
                <w:sz w:val="20"/>
              </w:rPr>
            </w:pPr>
            <w:r w:rsidRPr="00DA20F5">
              <w:rPr>
                <w:w w:val="90"/>
                <w:sz w:val="20"/>
              </w:rPr>
              <w:t>7 278</w:t>
            </w:r>
          </w:p>
        </w:tc>
        <w:tc>
          <w:tcPr>
            <w:tcW w:w="711" w:type="dxa"/>
          </w:tcPr>
          <w:p w:rsidR="00F10DB1" w:rsidRPr="00DA20F5" w:rsidRDefault="00F10DB1" w:rsidP="00D36FB8">
            <w:pPr>
              <w:rPr>
                <w:w w:val="90"/>
                <w:sz w:val="20"/>
              </w:rPr>
            </w:pPr>
            <w:r w:rsidRPr="00DA20F5">
              <w:rPr>
                <w:w w:val="90"/>
                <w:sz w:val="20"/>
              </w:rPr>
              <w:t>53 960</w:t>
            </w:r>
          </w:p>
        </w:tc>
      </w:tr>
    </w:tbl>
    <w:p w:rsidR="00F10DB1" w:rsidRPr="00DA20F5" w:rsidRDefault="00F10DB1" w:rsidP="00D36FB8">
      <w:pPr>
        <w:pStyle w:val="zdroj"/>
      </w:pPr>
      <w:r w:rsidRPr="00DA20F5">
        <w:t xml:space="preserve">Zdroj: ÚPSVR </w:t>
      </w:r>
    </w:p>
    <w:p w:rsidR="00F10DB1" w:rsidRPr="00DA20F5" w:rsidRDefault="00F10DB1" w:rsidP="00D36FB8">
      <w:pPr>
        <w:pStyle w:val="123"/>
      </w:pPr>
      <w:r w:rsidRPr="00DA20F5">
        <w:t>Uchádzači o zamestnanie z rodového hľadiska</w:t>
      </w:r>
    </w:p>
    <w:p w:rsidR="00F10DB1" w:rsidRPr="00DA20F5" w:rsidRDefault="00F10DB1" w:rsidP="00D36FB8">
      <w:r w:rsidRPr="00DA20F5">
        <w:rPr>
          <w:b/>
        </w:rPr>
        <w:t>Z rodového hľadiska bolo</w:t>
      </w:r>
      <w:r w:rsidRPr="00DA20F5">
        <w:t xml:space="preserve"> v roku 2011 v priemere 188 304 UoZ - žien, čo v porovnaní s rokom 2010, kedy ich bolo priemerne 179 859, predstavovalo nárast o 8 445, resp. o 4,7 %. Podiel evidovaných nezamestnaných žien predstavoval 48,4 % (nárast o 1,2 p.</w:t>
      </w:r>
      <w:r w:rsidR="007B624E" w:rsidRPr="00DA20F5">
        <w:t xml:space="preserve"> </w:t>
      </w:r>
      <w:r w:rsidRPr="00DA20F5">
        <w:t xml:space="preserve">b.). </w:t>
      </w:r>
    </w:p>
    <w:p w:rsidR="00F10DB1" w:rsidRPr="00DA20F5" w:rsidRDefault="00F10DB1" w:rsidP="00D36FB8">
      <w:pPr>
        <w:pStyle w:val="Normlnysozarkami11"/>
      </w:pPr>
      <w:r w:rsidRPr="00DA20F5">
        <w:t>Najvyšší podiel žien na celkových počtoch UoZ v roku 2011 bol v Trnavskom kraji (51,96 %), v ostatných krajoch sa podiel pohyboval v rozmedzí od 46,26 % (Prešovský kraj) do 51,78 % (Bratislavský kraj).</w:t>
      </w:r>
    </w:p>
    <w:p w:rsidR="00F10DB1" w:rsidRPr="00DA20F5" w:rsidRDefault="00F10DB1" w:rsidP="00D36FB8">
      <w:pPr>
        <w:ind w:firstLine="708"/>
        <w:rPr>
          <w:szCs w:val="22"/>
        </w:rPr>
      </w:pPr>
      <w:r w:rsidRPr="00DA20F5">
        <w:rPr>
          <w:szCs w:val="22"/>
        </w:rPr>
        <w:t xml:space="preserve">Z hľadiska </w:t>
      </w:r>
      <w:r w:rsidRPr="00DA20F5">
        <w:rPr>
          <w:b/>
          <w:szCs w:val="22"/>
        </w:rPr>
        <w:t>vzdelanostnej štruktúry</w:t>
      </w:r>
      <w:r w:rsidRPr="00DA20F5">
        <w:rPr>
          <w:szCs w:val="22"/>
        </w:rPr>
        <w:t xml:space="preserve"> najviac UoZ - žien ku koncu roka 2011 bolo 50 741 (26,20 %) vyučených, z nich najviac, 9 348 bolo v Prešovskom kraji, žien so základným a nedokončeným základným vzdelaním bolo 49 820 (25,72%), z nich najviac, 49 820 v Košickom kraji, so stredným a stredným odborným vzdelaním s maturitou 38 328 (19,79%), z nich najviac, 6 569 v Košickom kraji. </w:t>
      </w:r>
    </w:p>
    <w:p w:rsidR="00F10DB1" w:rsidRPr="00DA20F5" w:rsidRDefault="00F10DB1" w:rsidP="00D36FB8">
      <w:pPr>
        <w:ind w:firstLine="708"/>
        <w:rPr>
          <w:szCs w:val="22"/>
        </w:rPr>
      </w:pPr>
      <w:r w:rsidRPr="00DA20F5">
        <w:rPr>
          <w:szCs w:val="22"/>
        </w:rPr>
        <w:t xml:space="preserve">Relatívne najviac UoZ – žien bolo </w:t>
      </w:r>
      <w:r w:rsidRPr="00DA20F5">
        <w:rPr>
          <w:b/>
          <w:szCs w:val="22"/>
        </w:rPr>
        <w:t>vo vekovej skupine</w:t>
      </w:r>
      <w:r w:rsidRPr="00DA20F5">
        <w:rPr>
          <w:szCs w:val="22"/>
        </w:rPr>
        <w:t xml:space="preserve"> 20–24 ročných (v Žilinskom kraji 17,07%, v Trenčianskom 15,83%, v Trnavskom 14,81% a v Prešovskom kraji 13,62%), </w:t>
      </w:r>
      <w:r w:rsidR="004B1E82" w:rsidRPr="00DA20F5">
        <w:rPr>
          <w:szCs w:val="22"/>
        </w:rPr>
        <w:br/>
      </w:r>
      <w:r w:rsidRPr="00DA20F5">
        <w:rPr>
          <w:szCs w:val="22"/>
        </w:rPr>
        <w:lastRenderedPageBreak/>
        <w:t>25–29</w:t>
      </w:r>
      <w:r w:rsidRPr="00DA20F5">
        <w:rPr>
          <w:color w:val="1F497D" w:themeColor="text2"/>
          <w:szCs w:val="22"/>
        </w:rPr>
        <w:t xml:space="preserve"> </w:t>
      </w:r>
      <w:r w:rsidRPr="00DA20F5">
        <w:rPr>
          <w:szCs w:val="22"/>
        </w:rPr>
        <w:t>ročných (v Bratislavskom 14,94% a v Košickom kr</w:t>
      </w:r>
      <w:r w:rsidR="004B1E82" w:rsidRPr="00DA20F5">
        <w:rPr>
          <w:szCs w:val="22"/>
        </w:rPr>
        <w:t>aji 13,62% ) a 35–39 ročných (v </w:t>
      </w:r>
      <w:r w:rsidRPr="00DA20F5">
        <w:rPr>
          <w:szCs w:val="22"/>
        </w:rPr>
        <w:t xml:space="preserve">Nitrianskom 13,31% a v Banskobystrickom kraji 13,20%). </w:t>
      </w:r>
    </w:p>
    <w:p w:rsidR="00F10DB1" w:rsidRPr="00DA20F5" w:rsidRDefault="00F10DB1" w:rsidP="00D36FB8">
      <w:pPr>
        <w:ind w:firstLine="708"/>
        <w:rPr>
          <w:szCs w:val="22"/>
        </w:rPr>
      </w:pPr>
      <w:r w:rsidRPr="00DA20F5">
        <w:rPr>
          <w:color w:val="000000" w:themeColor="text1"/>
          <w:szCs w:val="22"/>
        </w:rPr>
        <w:t xml:space="preserve">Z hľadiska </w:t>
      </w:r>
      <w:r w:rsidRPr="00DA20F5">
        <w:rPr>
          <w:b/>
          <w:color w:val="000000" w:themeColor="text1"/>
          <w:szCs w:val="22"/>
        </w:rPr>
        <w:t>dĺžky evidencie</w:t>
      </w:r>
      <w:r w:rsidRPr="00DA20F5">
        <w:rPr>
          <w:color w:val="000000" w:themeColor="text1"/>
          <w:szCs w:val="22"/>
        </w:rPr>
        <w:t xml:space="preserve"> najvyšší počet žien ku koncu roka 2011 bol v skupine UoZ </w:t>
      </w:r>
      <w:r w:rsidR="009C235E" w:rsidRPr="00DA20F5">
        <w:rPr>
          <w:color w:val="000000" w:themeColor="text1"/>
          <w:szCs w:val="22"/>
        </w:rPr>
        <w:t>evidovaných</w:t>
      </w:r>
      <w:r w:rsidRPr="00DA20F5">
        <w:rPr>
          <w:color w:val="000000" w:themeColor="text1"/>
          <w:szCs w:val="22"/>
        </w:rPr>
        <w:t xml:space="preserve"> 3–6 mesiacov, a to 32 111 osôb (16,58%), nich najviac, 5 375 v Prešovskom kraji. Druhý najvyšší stav žien</w:t>
      </w:r>
      <w:r w:rsidRPr="00DA20F5">
        <w:rPr>
          <w:szCs w:val="22"/>
        </w:rPr>
        <w:t xml:space="preserve"> ku koncu sledovaného obdobia obsahovala</w:t>
      </w:r>
      <w:r w:rsidR="004B1E82" w:rsidRPr="00DA20F5">
        <w:rPr>
          <w:szCs w:val="22"/>
        </w:rPr>
        <w:t xml:space="preserve"> skupina s trvaním evidencie do </w:t>
      </w:r>
      <w:r w:rsidRPr="00DA20F5">
        <w:rPr>
          <w:szCs w:val="22"/>
        </w:rPr>
        <w:t>3 mesiacov, a to 32 068 osôb, čo bolo 16,56% zo všetkých evidovaných žien, z nich najviac, 5 071 v Prešovskom kraji. Počet žien v evidencii nad 48 mesiacov dosiahol stav 30 893 osôb (15,95%), z nich najviac, 8 285 v Banskobystrickom kraji.</w:t>
      </w:r>
    </w:p>
    <w:p w:rsidR="00F10DB1" w:rsidRPr="00DA20F5" w:rsidRDefault="00F10DB1" w:rsidP="00D36FB8">
      <w:pPr>
        <w:pStyle w:val="Nadpis7"/>
      </w:pPr>
      <w:bookmarkStart w:id="259" w:name="_Toc325438137"/>
      <w:bookmarkStart w:id="260" w:name="_Toc325440906"/>
      <w:bookmarkStart w:id="261" w:name="_Toc325626719"/>
      <w:bookmarkStart w:id="262" w:name="_Toc326216980"/>
      <w:r w:rsidRPr="00DA20F5">
        <w:t>Graf 2.10</w:t>
      </w:r>
      <w:r w:rsidR="00CF6056" w:rsidRPr="00DA20F5">
        <w:t xml:space="preserve"> </w:t>
      </w:r>
      <w:r w:rsidRPr="00DA20F5">
        <w:t>Vývoj stavov nezamestnaných žien v SR</w:t>
      </w:r>
      <w:bookmarkEnd w:id="259"/>
      <w:bookmarkEnd w:id="260"/>
      <w:bookmarkEnd w:id="261"/>
      <w:bookmarkEnd w:id="262"/>
    </w:p>
    <w:p w:rsidR="00F10DB1" w:rsidRPr="00DA20F5" w:rsidRDefault="00F10DB1" w:rsidP="00D36FB8">
      <w:pPr>
        <w:jc w:val="center"/>
        <w:rPr>
          <w:color w:val="1F497D" w:themeColor="text2"/>
          <w:lang w:eastAsia="cs-CZ"/>
        </w:rPr>
      </w:pPr>
      <w:r w:rsidRPr="00DA20F5">
        <w:rPr>
          <w:noProof/>
          <w:color w:val="1F497D" w:themeColor="text2"/>
        </w:rPr>
        <w:drawing>
          <wp:inline distT="0" distB="0" distL="0" distR="0" wp14:anchorId="507E5EDE" wp14:editId="1B0A5799">
            <wp:extent cx="4494363" cy="2251494"/>
            <wp:effectExtent l="0" t="0" r="0" b="0"/>
            <wp:docPr id="38"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10DB1" w:rsidRPr="00DA20F5" w:rsidRDefault="00F10DB1" w:rsidP="00D36FB8">
      <w:pPr>
        <w:pStyle w:val="zdroj"/>
        <w:ind w:left="1134"/>
      </w:pPr>
      <w:r w:rsidRPr="00DA20F5">
        <w:t>Zdroj: ÚPSVR</w:t>
      </w:r>
    </w:p>
    <w:p w:rsidR="00F10DB1" w:rsidRPr="00DA20F5" w:rsidRDefault="00F10DB1" w:rsidP="00D36FB8">
      <w:pPr>
        <w:pStyle w:val="123"/>
      </w:pPr>
      <w:r w:rsidRPr="00DA20F5">
        <w:t>Znevýhodnení uchádzači o zamestnanie</w:t>
      </w:r>
    </w:p>
    <w:p w:rsidR="00F10DB1" w:rsidRPr="00DA20F5" w:rsidRDefault="00F10DB1" w:rsidP="00D36FB8">
      <w:r w:rsidRPr="00DA20F5">
        <w:t xml:space="preserve">Najpočetnejšou skupinou zo znevýhodnených UoZ sú </w:t>
      </w:r>
      <w:r w:rsidRPr="00DA20F5">
        <w:rPr>
          <w:b/>
        </w:rPr>
        <w:t>dlhodobo nezamestnaní občania</w:t>
      </w:r>
      <w:r w:rsidRPr="00DA20F5">
        <w:t xml:space="preserve"> vedení v evidencii UoZ najmenej 12 mesiacov z predchádzajúcich 16 mesiacov. Na trhu práce majú sťažené uplatnenie z dôvodu, že dlhodobou evidenciou postupne strácajú odborné vedomosti, pracovné zručnosti a pracovné návyky. Do tejto kategórie patria ťažko umiestniteľné osoby s nízkou vzdelanostnou úrovňou a bez kvalifikácie. Kategórie znevýhodnených UoZ sú definované v § 8 ods. 1 zákona o službách zamestnanosti.</w:t>
      </w:r>
    </w:p>
    <w:p w:rsidR="00F10DB1" w:rsidRPr="00DA20F5" w:rsidRDefault="00F10DB1" w:rsidP="00D36FB8">
      <w:pPr>
        <w:pStyle w:val="Nadpis7"/>
      </w:pPr>
      <w:bookmarkStart w:id="263" w:name="_Toc325438138"/>
      <w:bookmarkStart w:id="264" w:name="_Toc325440907"/>
      <w:bookmarkStart w:id="265" w:name="_Toc325626720"/>
      <w:bookmarkStart w:id="266" w:name="_Toc326216981"/>
      <w:r w:rsidRPr="00DA20F5">
        <w:t>Graf 2.11</w:t>
      </w:r>
      <w:r w:rsidR="00CF6056" w:rsidRPr="00DA20F5">
        <w:t xml:space="preserve"> </w:t>
      </w:r>
      <w:r w:rsidRPr="00DA20F5">
        <w:t>Vývoj stavov UoZ nad 12 mesiacov v SR</w:t>
      </w:r>
      <w:bookmarkEnd w:id="263"/>
      <w:bookmarkEnd w:id="264"/>
      <w:bookmarkEnd w:id="265"/>
      <w:bookmarkEnd w:id="266"/>
    </w:p>
    <w:p w:rsidR="00F10DB1" w:rsidRPr="00DA20F5" w:rsidRDefault="00F10DB1" w:rsidP="00D36FB8">
      <w:pPr>
        <w:jc w:val="center"/>
        <w:rPr>
          <w:color w:val="1F497D" w:themeColor="text2"/>
          <w:lang w:eastAsia="cs-CZ"/>
        </w:rPr>
      </w:pPr>
      <w:r w:rsidRPr="00DA20F5">
        <w:rPr>
          <w:noProof/>
          <w:color w:val="1F497D" w:themeColor="text2"/>
        </w:rPr>
        <w:drawing>
          <wp:inline distT="0" distB="0" distL="0" distR="0" wp14:anchorId="76CF401A" wp14:editId="07DB1624">
            <wp:extent cx="4649638" cy="2700068"/>
            <wp:effectExtent l="0" t="0" r="0" b="0"/>
            <wp:docPr id="39"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10DB1" w:rsidRPr="00DA20F5" w:rsidRDefault="00F86FEF" w:rsidP="00D36FB8">
      <w:pPr>
        <w:pStyle w:val="zdroj"/>
        <w:ind w:left="1134"/>
      </w:pPr>
      <w:r>
        <w:rPr>
          <w:noProof/>
        </w:rPr>
        <w:pict>
          <v:rect id="Obdĺžnik 1" o:spid="_x0000_s1027" style="position:absolute;left:0;text-align:left;margin-left:303.75pt;margin-top:247.8pt;width:5pt;height:12.6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" filled="f" stroked="f">
            <v:textbox style="mso-next-textbox:#Obdĺžnik 1;mso-fit-shape-to-text:t" inset="0,0,0,0">
              <w:txbxContent>
                <w:p w:rsidR="00743140" w:rsidRPr="00363505" w:rsidRDefault="00743140" w:rsidP="00F10DB1"/>
              </w:txbxContent>
            </v:textbox>
          </v:rect>
        </w:pict>
      </w:r>
      <w:r w:rsidR="00F10DB1" w:rsidRPr="00DA20F5">
        <w:t>Zdroj: ÚPSVR</w:t>
      </w:r>
    </w:p>
    <w:p w:rsidR="00F10DB1" w:rsidRPr="00DA20F5" w:rsidRDefault="00F10DB1" w:rsidP="00D36FB8">
      <w:r w:rsidRPr="00DA20F5">
        <w:lastRenderedPageBreak/>
        <w:t xml:space="preserve">V roku 2011 bolo v evidencii UoZ v priemere 187 028 dlhodobo nezamestnaných osôb. Ich absolútny počet v porovnaní s rokom 2010 vzrástol o 14 945 osôb. Podiel </w:t>
      </w:r>
      <w:r w:rsidR="004B1E82" w:rsidRPr="00DA20F5">
        <w:t>dlhodobo nezamestnaných osôb na </w:t>
      </w:r>
      <w:r w:rsidRPr="00DA20F5">
        <w:t xml:space="preserve">celkovom počte UoZ v roku 2011 predstavoval v priemere 48,0 %, čo je v porovnaní s rokom 2010 (45,2 %) nárast o 2,8 p. b. </w:t>
      </w:r>
    </w:p>
    <w:p w:rsidR="00F10DB1" w:rsidRPr="00DA20F5" w:rsidRDefault="00F10DB1" w:rsidP="00D36FB8">
      <w:pPr>
        <w:pStyle w:val="Nadpis7"/>
      </w:pPr>
      <w:bookmarkStart w:id="267" w:name="_Toc325438139"/>
      <w:bookmarkStart w:id="268" w:name="_Toc325440908"/>
      <w:bookmarkStart w:id="269" w:name="_Toc325626721"/>
      <w:bookmarkStart w:id="270" w:name="_Toc326216982"/>
      <w:r w:rsidRPr="00DA20F5">
        <w:t>Graf 2.12</w:t>
      </w:r>
      <w:r w:rsidR="00CF6056" w:rsidRPr="00DA20F5">
        <w:t xml:space="preserve"> </w:t>
      </w:r>
      <w:r w:rsidRPr="00DA20F5">
        <w:t>Podiel UoZ nad 12 mesiacov na celkových počtoch (v %)</w:t>
      </w:r>
      <w:bookmarkEnd w:id="267"/>
      <w:bookmarkEnd w:id="268"/>
      <w:bookmarkEnd w:id="269"/>
      <w:bookmarkEnd w:id="270"/>
    </w:p>
    <w:p w:rsidR="00F10DB1" w:rsidRPr="00DA20F5" w:rsidRDefault="00F10DB1" w:rsidP="00D36FB8">
      <w:pPr>
        <w:jc w:val="center"/>
        <w:rPr>
          <w:color w:val="1F497D" w:themeColor="text2"/>
          <w:lang w:eastAsia="cs-CZ"/>
        </w:rPr>
      </w:pPr>
      <w:r w:rsidRPr="00DA20F5">
        <w:rPr>
          <w:noProof/>
          <w:color w:val="1F497D" w:themeColor="text2"/>
        </w:rPr>
        <w:drawing>
          <wp:inline distT="0" distB="0" distL="0" distR="0" wp14:anchorId="7AED1DBE" wp14:editId="759B0AD7">
            <wp:extent cx="4699221" cy="2846567"/>
            <wp:effectExtent l="0" t="0" r="6350" b="0"/>
            <wp:docPr id="40"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10DB1" w:rsidRPr="00DA20F5" w:rsidRDefault="00F10DB1" w:rsidP="00D36FB8">
      <w:pPr>
        <w:pStyle w:val="zdroj"/>
      </w:pPr>
      <w:r w:rsidRPr="00DA20F5">
        <w:t>Zdroj: ÚPSVR</w:t>
      </w:r>
    </w:p>
    <w:p w:rsidR="00F10DB1" w:rsidRPr="00DA20F5" w:rsidRDefault="00F10DB1" w:rsidP="00D36FB8">
      <w:r w:rsidRPr="00DA20F5">
        <w:t>Z celkového počtu UoZ nad 12 mesiacov bolo ku koncu roka 2011 na Slovensku najviac nezamestnaných vo vekovej kategórii 55-59 rokov – 26 253 osôb (1</w:t>
      </w:r>
      <w:r w:rsidR="004B1E82" w:rsidRPr="00DA20F5">
        <w:t xml:space="preserve">3,9 %). Veková skupina </w:t>
      </w:r>
      <w:r w:rsidR="004B1E82" w:rsidRPr="00DA20F5">
        <w:br/>
        <w:t>od 45 do </w:t>
      </w:r>
      <w:r w:rsidRPr="00DA20F5">
        <w:t xml:space="preserve">59 rokov tvorila podiel 40,7 % zo všetkých UoZ nad 12 mesiacov (76 772 osôb). </w:t>
      </w:r>
    </w:p>
    <w:p w:rsidR="00F10DB1" w:rsidRPr="00DA20F5" w:rsidRDefault="00F10DB1" w:rsidP="00D36FB8">
      <w:pPr>
        <w:pStyle w:val="Nadpis7"/>
      </w:pPr>
      <w:bookmarkStart w:id="271" w:name="_Toc325438140"/>
      <w:bookmarkStart w:id="272" w:name="_Toc325440909"/>
      <w:bookmarkStart w:id="273" w:name="_Toc325626722"/>
      <w:bookmarkStart w:id="274" w:name="_Toc326216983"/>
      <w:r w:rsidRPr="00DA20F5">
        <w:t>Tab. 2.14</w:t>
      </w:r>
      <w:r w:rsidR="00CF6056" w:rsidRPr="00DA20F5">
        <w:t xml:space="preserve"> </w:t>
      </w:r>
      <w:r w:rsidRPr="00DA20F5">
        <w:t xml:space="preserve">Uchádzači o zamestnanie podľa veku v evidencii UoZ nad 12 mesiacov </w:t>
      </w:r>
      <w:r w:rsidRPr="00DA20F5">
        <w:br/>
        <w:t>ku koncu roka 2011 (v osobách)</w:t>
      </w:r>
      <w:bookmarkEnd w:id="271"/>
      <w:bookmarkEnd w:id="272"/>
      <w:bookmarkEnd w:id="273"/>
      <w:bookmarkEnd w:id="274"/>
    </w:p>
    <w:tbl>
      <w:tblPr>
        <w:tblW w:w="9356"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527"/>
        <w:gridCol w:w="698"/>
        <w:gridCol w:w="782"/>
        <w:gridCol w:w="782"/>
        <w:gridCol w:w="781"/>
        <w:gridCol w:w="781"/>
        <w:gridCol w:w="781"/>
        <w:gridCol w:w="781"/>
        <w:gridCol w:w="781"/>
        <w:gridCol w:w="781"/>
        <w:gridCol w:w="980"/>
        <w:gridCol w:w="901"/>
      </w:tblGrid>
      <w:tr w:rsidR="00ED3F36" w:rsidRPr="00DA20F5" w:rsidTr="00A05573">
        <w:trPr>
          <w:jc w:val="center"/>
        </w:trPr>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vek</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15-19</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20-24</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25-29</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30-34</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35-39</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40-44</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45-49</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50-54</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55-59</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60 a viac</w:t>
            </w:r>
          </w:p>
        </w:tc>
        <w:tc>
          <w:tcPr>
            <w:tcW w:w="0" w:type="auto"/>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SPOLU</w:t>
            </w:r>
          </w:p>
        </w:tc>
      </w:tr>
      <w:tr w:rsidR="00ED3F36" w:rsidRPr="00DA20F5" w:rsidTr="00A05573">
        <w:trPr>
          <w:jc w:val="center"/>
        </w:trPr>
        <w:tc>
          <w:tcPr>
            <w:tcW w:w="0" w:type="auto"/>
          </w:tcPr>
          <w:p w:rsidR="00F10DB1" w:rsidRPr="00DA20F5" w:rsidRDefault="00F10DB1" w:rsidP="00D36FB8">
            <w:pPr>
              <w:rPr>
                <w:sz w:val="20"/>
              </w:rPr>
            </w:pPr>
            <w:r w:rsidRPr="00DA20F5">
              <w:rPr>
                <w:sz w:val="20"/>
              </w:rPr>
              <w:t>SR</w:t>
            </w:r>
          </w:p>
        </w:tc>
        <w:tc>
          <w:tcPr>
            <w:tcW w:w="0" w:type="auto"/>
          </w:tcPr>
          <w:p w:rsidR="00F10DB1" w:rsidRPr="00DA20F5" w:rsidRDefault="00F10DB1" w:rsidP="00D36FB8">
            <w:pPr>
              <w:rPr>
                <w:sz w:val="20"/>
              </w:rPr>
            </w:pPr>
            <w:r w:rsidRPr="00DA20F5">
              <w:rPr>
                <w:sz w:val="20"/>
              </w:rPr>
              <w:t>2 348</w:t>
            </w:r>
          </w:p>
        </w:tc>
        <w:tc>
          <w:tcPr>
            <w:tcW w:w="0" w:type="auto"/>
          </w:tcPr>
          <w:p w:rsidR="00F10DB1" w:rsidRPr="00DA20F5" w:rsidRDefault="00F10DB1" w:rsidP="00D36FB8">
            <w:pPr>
              <w:rPr>
                <w:sz w:val="20"/>
              </w:rPr>
            </w:pPr>
            <w:r w:rsidRPr="00DA20F5">
              <w:rPr>
                <w:sz w:val="20"/>
              </w:rPr>
              <w:t>17 996</w:t>
            </w:r>
          </w:p>
        </w:tc>
        <w:tc>
          <w:tcPr>
            <w:tcW w:w="0" w:type="auto"/>
          </w:tcPr>
          <w:p w:rsidR="00F10DB1" w:rsidRPr="00DA20F5" w:rsidRDefault="00F10DB1" w:rsidP="00D36FB8">
            <w:pPr>
              <w:rPr>
                <w:sz w:val="20"/>
              </w:rPr>
            </w:pPr>
            <w:r w:rsidRPr="00DA20F5">
              <w:rPr>
                <w:sz w:val="20"/>
              </w:rPr>
              <w:t>19 678</w:t>
            </w:r>
          </w:p>
        </w:tc>
        <w:tc>
          <w:tcPr>
            <w:tcW w:w="0" w:type="auto"/>
          </w:tcPr>
          <w:p w:rsidR="00F10DB1" w:rsidRPr="00DA20F5" w:rsidRDefault="00F10DB1" w:rsidP="00D36FB8">
            <w:pPr>
              <w:rPr>
                <w:sz w:val="20"/>
              </w:rPr>
            </w:pPr>
            <w:r w:rsidRPr="00DA20F5">
              <w:rPr>
                <w:sz w:val="20"/>
              </w:rPr>
              <w:t>20 954</w:t>
            </w:r>
          </w:p>
        </w:tc>
        <w:tc>
          <w:tcPr>
            <w:tcW w:w="0" w:type="auto"/>
          </w:tcPr>
          <w:p w:rsidR="00F10DB1" w:rsidRPr="00DA20F5" w:rsidRDefault="00F10DB1" w:rsidP="00D36FB8">
            <w:pPr>
              <w:rPr>
                <w:sz w:val="20"/>
              </w:rPr>
            </w:pPr>
            <w:r w:rsidRPr="00DA20F5">
              <w:rPr>
                <w:sz w:val="20"/>
              </w:rPr>
              <w:t>23 765</w:t>
            </w:r>
          </w:p>
        </w:tc>
        <w:tc>
          <w:tcPr>
            <w:tcW w:w="0" w:type="auto"/>
          </w:tcPr>
          <w:p w:rsidR="00F10DB1" w:rsidRPr="00DA20F5" w:rsidRDefault="00F10DB1" w:rsidP="00D36FB8">
            <w:pPr>
              <w:rPr>
                <w:sz w:val="20"/>
              </w:rPr>
            </w:pPr>
            <w:r w:rsidRPr="00DA20F5">
              <w:rPr>
                <w:sz w:val="20"/>
              </w:rPr>
              <w:t>21 892</w:t>
            </w:r>
          </w:p>
        </w:tc>
        <w:tc>
          <w:tcPr>
            <w:tcW w:w="0" w:type="auto"/>
          </w:tcPr>
          <w:p w:rsidR="00F10DB1" w:rsidRPr="00DA20F5" w:rsidRDefault="00F10DB1" w:rsidP="00D36FB8">
            <w:pPr>
              <w:rPr>
                <w:sz w:val="20"/>
              </w:rPr>
            </w:pPr>
            <w:r w:rsidRPr="00DA20F5">
              <w:rPr>
                <w:sz w:val="20"/>
              </w:rPr>
              <w:t>24 342</w:t>
            </w:r>
          </w:p>
        </w:tc>
        <w:tc>
          <w:tcPr>
            <w:tcW w:w="0" w:type="auto"/>
          </w:tcPr>
          <w:p w:rsidR="00F10DB1" w:rsidRPr="00DA20F5" w:rsidRDefault="00F10DB1" w:rsidP="00D36FB8">
            <w:pPr>
              <w:rPr>
                <w:sz w:val="20"/>
              </w:rPr>
            </w:pPr>
            <w:r w:rsidRPr="00DA20F5">
              <w:rPr>
                <w:sz w:val="20"/>
              </w:rPr>
              <w:t>26 177</w:t>
            </w:r>
          </w:p>
        </w:tc>
        <w:tc>
          <w:tcPr>
            <w:tcW w:w="0" w:type="auto"/>
          </w:tcPr>
          <w:p w:rsidR="00F10DB1" w:rsidRPr="00DA20F5" w:rsidRDefault="00F10DB1" w:rsidP="00D36FB8">
            <w:pPr>
              <w:rPr>
                <w:sz w:val="20"/>
              </w:rPr>
            </w:pPr>
            <w:r w:rsidRPr="00DA20F5">
              <w:rPr>
                <w:sz w:val="20"/>
              </w:rPr>
              <w:t>26 253</w:t>
            </w:r>
          </w:p>
        </w:tc>
        <w:tc>
          <w:tcPr>
            <w:tcW w:w="0" w:type="auto"/>
          </w:tcPr>
          <w:p w:rsidR="00F10DB1" w:rsidRPr="00DA20F5" w:rsidRDefault="00F10DB1" w:rsidP="00D36FB8">
            <w:pPr>
              <w:rPr>
                <w:sz w:val="20"/>
              </w:rPr>
            </w:pPr>
            <w:r w:rsidRPr="00DA20F5">
              <w:rPr>
                <w:sz w:val="20"/>
              </w:rPr>
              <w:t>5 161</w:t>
            </w:r>
          </w:p>
        </w:tc>
        <w:tc>
          <w:tcPr>
            <w:tcW w:w="0" w:type="auto"/>
          </w:tcPr>
          <w:p w:rsidR="00F10DB1" w:rsidRPr="00DA20F5" w:rsidRDefault="00F10DB1" w:rsidP="00D36FB8">
            <w:pPr>
              <w:rPr>
                <w:sz w:val="20"/>
              </w:rPr>
            </w:pPr>
            <w:r w:rsidRPr="00DA20F5">
              <w:rPr>
                <w:sz w:val="20"/>
              </w:rPr>
              <w:t>188 566</w:t>
            </w:r>
          </w:p>
        </w:tc>
      </w:tr>
    </w:tbl>
    <w:p w:rsidR="00F10DB1" w:rsidRPr="00DA20F5" w:rsidRDefault="00F10DB1" w:rsidP="00D36FB8">
      <w:pPr>
        <w:pStyle w:val="zdroj"/>
      </w:pPr>
      <w:r w:rsidRPr="00DA20F5">
        <w:t xml:space="preserve">Zdroj: ÚPSVR </w:t>
      </w:r>
    </w:p>
    <w:p w:rsidR="00F10DB1" w:rsidRPr="00DA20F5" w:rsidRDefault="00F10DB1" w:rsidP="00D36FB8">
      <w:r w:rsidRPr="00DA20F5">
        <w:t xml:space="preserve">Z hľadiska vzdelania sa najviac na dlhodobej nezamestnanosti podieľali UoZ so základným vzdelaním a bez vzdelania, ktorých ku koncu roka 2011 bolo 77 116, čo predstavovalo 40,9 % zo všetkých UoZ evidovaných nad 12 mesiacov ku koncu roku 2011. Druhý najvyšší podiel tvorili UoZ s vyučením, z učilíšť (61 192 osôb), čo predstavovalo podiel 32,5 %. </w:t>
      </w:r>
    </w:p>
    <w:p w:rsidR="00F10DB1" w:rsidRPr="00DA20F5" w:rsidRDefault="00F10DB1" w:rsidP="00D36FB8">
      <w:pPr>
        <w:pStyle w:val="Nadpis7"/>
      </w:pPr>
      <w:bookmarkStart w:id="275" w:name="_Toc325438141"/>
      <w:bookmarkStart w:id="276" w:name="_Toc325440910"/>
      <w:bookmarkStart w:id="277" w:name="_Toc325626723"/>
      <w:bookmarkStart w:id="278" w:name="_Toc326216984"/>
      <w:r w:rsidRPr="00DA20F5">
        <w:t>Tab. 2.15</w:t>
      </w:r>
      <w:r w:rsidR="00CF6056" w:rsidRPr="00DA20F5">
        <w:t xml:space="preserve"> </w:t>
      </w:r>
      <w:r w:rsidRPr="00DA20F5">
        <w:t>Uchádzači o zamestnanie podľa stupňa dosiahnutého vzdelania, vedení v evidencii UoZ nad 12 mesiacov ku koncu roka 2011 (v osobách)</w:t>
      </w:r>
      <w:bookmarkEnd w:id="275"/>
      <w:bookmarkEnd w:id="276"/>
      <w:bookmarkEnd w:id="277"/>
      <w:bookmarkEnd w:id="278"/>
    </w:p>
    <w:tbl>
      <w:tblPr>
        <w:tblW w:w="9014"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1077"/>
        <w:gridCol w:w="766"/>
        <w:gridCol w:w="787"/>
        <w:gridCol w:w="787"/>
        <w:gridCol w:w="530"/>
        <w:gridCol w:w="787"/>
        <w:gridCol w:w="685"/>
        <w:gridCol w:w="787"/>
        <w:gridCol w:w="685"/>
        <w:gridCol w:w="685"/>
        <w:gridCol w:w="530"/>
        <w:gridCol w:w="908"/>
      </w:tblGrid>
      <w:tr w:rsidR="00ED3F36" w:rsidRPr="00DA20F5" w:rsidTr="00A05573">
        <w:trPr>
          <w:jc w:val="center"/>
        </w:trPr>
        <w:tc>
          <w:tcPr>
            <w:tcW w:w="1077" w:type="dxa"/>
            <w:shd w:val="clear" w:color="auto" w:fill="4F81BD"/>
          </w:tcPr>
          <w:p w:rsidR="00F10DB1" w:rsidRPr="00DA20F5" w:rsidRDefault="00F10DB1" w:rsidP="00D36FB8">
            <w:pPr>
              <w:jc w:val="center"/>
              <w:rPr>
                <w:b/>
                <w:color w:val="FFFFFF" w:themeColor="background1"/>
                <w:sz w:val="20"/>
              </w:rPr>
            </w:pPr>
            <w:r w:rsidRPr="00DA20F5">
              <w:rPr>
                <w:b/>
                <w:color w:val="FFFFFF" w:themeColor="background1"/>
                <w:sz w:val="20"/>
              </w:rPr>
              <w:t>Stupeň vzdelania</w:t>
            </w:r>
          </w:p>
        </w:tc>
        <w:tc>
          <w:tcPr>
            <w:tcW w:w="766" w:type="dxa"/>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0</w:t>
            </w:r>
          </w:p>
        </w:tc>
        <w:tc>
          <w:tcPr>
            <w:tcW w:w="0" w:type="auto"/>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1</w:t>
            </w:r>
          </w:p>
        </w:tc>
        <w:tc>
          <w:tcPr>
            <w:tcW w:w="0" w:type="auto"/>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2</w:t>
            </w:r>
          </w:p>
        </w:tc>
        <w:tc>
          <w:tcPr>
            <w:tcW w:w="0" w:type="auto"/>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3</w:t>
            </w:r>
          </w:p>
        </w:tc>
        <w:tc>
          <w:tcPr>
            <w:tcW w:w="0" w:type="auto"/>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4</w:t>
            </w:r>
          </w:p>
        </w:tc>
        <w:tc>
          <w:tcPr>
            <w:tcW w:w="0" w:type="auto"/>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5</w:t>
            </w:r>
          </w:p>
        </w:tc>
        <w:tc>
          <w:tcPr>
            <w:tcW w:w="0" w:type="auto"/>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6</w:t>
            </w:r>
          </w:p>
        </w:tc>
        <w:tc>
          <w:tcPr>
            <w:tcW w:w="0" w:type="auto"/>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7</w:t>
            </w:r>
          </w:p>
        </w:tc>
        <w:tc>
          <w:tcPr>
            <w:tcW w:w="0" w:type="auto"/>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8</w:t>
            </w:r>
          </w:p>
        </w:tc>
        <w:tc>
          <w:tcPr>
            <w:tcW w:w="0" w:type="auto"/>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9</w:t>
            </w:r>
          </w:p>
        </w:tc>
        <w:tc>
          <w:tcPr>
            <w:tcW w:w="0" w:type="auto"/>
            <w:shd w:val="clear" w:color="auto" w:fill="4F81BD"/>
            <w:vAlign w:val="center"/>
          </w:tcPr>
          <w:p w:rsidR="00F10DB1" w:rsidRPr="00DA20F5" w:rsidRDefault="00F10DB1" w:rsidP="00D36FB8">
            <w:pPr>
              <w:jc w:val="center"/>
              <w:rPr>
                <w:b/>
                <w:color w:val="FFFFFF" w:themeColor="background1"/>
                <w:sz w:val="20"/>
              </w:rPr>
            </w:pPr>
            <w:r w:rsidRPr="00DA20F5">
              <w:rPr>
                <w:b/>
                <w:color w:val="FFFFFF" w:themeColor="background1"/>
                <w:sz w:val="20"/>
              </w:rPr>
              <w:t>SPOLU</w:t>
            </w:r>
          </w:p>
        </w:tc>
      </w:tr>
      <w:tr w:rsidR="00ED3F36" w:rsidRPr="00DA20F5" w:rsidTr="00A05573">
        <w:trPr>
          <w:jc w:val="center"/>
        </w:trPr>
        <w:tc>
          <w:tcPr>
            <w:tcW w:w="1077" w:type="dxa"/>
          </w:tcPr>
          <w:p w:rsidR="00F10DB1" w:rsidRPr="00DA20F5" w:rsidRDefault="00F10DB1" w:rsidP="00D36FB8">
            <w:pPr>
              <w:rPr>
                <w:sz w:val="20"/>
              </w:rPr>
            </w:pPr>
            <w:r w:rsidRPr="00DA20F5">
              <w:rPr>
                <w:sz w:val="20"/>
              </w:rPr>
              <w:t>SR</w:t>
            </w:r>
          </w:p>
        </w:tc>
        <w:tc>
          <w:tcPr>
            <w:tcW w:w="766" w:type="dxa"/>
          </w:tcPr>
          <w:p w:rsidR="00F10DB1" w:rsidRPr="00DA20F5" w:rsidRDefault="00F10DB1" w:rsidP="00D36FB8">
            <w:pPr>
              <w:rPr>
                <w:sz w:val="20"/>
              </w:rPr>
            </w:pPr>
            <w:r w:rsidRPr="00DA20F5">
              <w:rPr>
                <w:sz w:val="20"/>
              </w:rPr>
              <w:t>13 345</w:t>
            </w:r>
          </w:p>
        </w:tc>
        <w:tc>
          <w:tcPr>
            <w:tcW w:w="0" w:type="auto"/>
          </w:tcPr>
          <w:p w:rsidR="00F10DB1" w:rsidRPr="00DA20F5" w:rsidRDefault="00F10DB1" w:rsidP="00D36FB8">
            <w:pPr>
              <w:rPr>
                <w:sz w:val="20"/>
              </w:rPr>
            </w:pPr>
            <w:r w:rsidRPr="00DA20F5">
              <w:rPr>
                <w:sz w:val="20"/>
              </w:rPr>
              <w:t>63 771</w:t>
            </w:r>
          </w:p>
        </w:tc>
        <w:tc>
          <w:tcPr>
            <w:tcW w:w="0" w:type="auto"/>
          </w:tcPr>
          <w:p w:rsidR="00F10DB1" w:rsidRPr="00DA20F5" w:rsidRDefault="00F10DB1" w:rsidP="00D36FB8">
            <w:pPr>
              <w:rPr>
                <w:sz w:val="20"/>
              </w:rPr>
            </w:pPr>
            <w:r w:rsidRPr="00DA20F5">
              <w:rPr>
                <w:sz w:val="20"/>
              </w:rPr>
              <w:t>61 192</w:t>
            </w:r>
          </w:p>
        </w:tc>
        <w:tc>
          <w:tcPr>
            <w:tcW w:w="0" w:type="auto"/>
          </w:tcPr>
          <w:p w:rsidR="00F10DB1" w:rsidRPr="00DA20F5" w:rsidRDefault="00F10DB1" w:rsidP="00D36FB8">
            <w:pPr>
              <w:rPr>
                <w:sz w:val="20"/>
              </w:rPr>
            </w:pPr>
            <w:r w:rsidRPr="00DA20F5">
              <w:rPr>
                <w:sz w:val="20"/>
              </w:rPr>
              <w:t>686</w:t>
            </w:r>
          </w:p>
        </w:tc>
        <w:tc>
          <w:tcPr>
            <w:tcW w:w="0" w:type="auto"/>
          </w:tcPr>
          <w:p w:rsidR="00F10DB1" w:rsidRPr="00DA20F5" w:rsidRDefault="00F10DB1" w:rsidP="00D36FB8">
            <w:pPr>
              <w:rPr>
                <w:sz w:val="20"/>
              </w:rPr>
            </w:pPr>
            <w:r w:rsidRPr="00DA20F5">
              <w:rPr>
                <w:sz w:val="20"/>
              </w:rPr>
              <w:t>14 713</w:t>
            </w:r>
          </w:p>
        </w:tc>
        <w:tc>
          <w:tcPr>
            <w:tcW w:w="0" w:type="auto"/>
          </w:tcPr>
          <w:p w:rsidR="00F10DB1" w:rsidRPr="00DA20F5" w:rsidRDefault="00F10DB1" w:rsidP="00D36FB8">
            <w:pPr>
              <w:rPr>
                <w:sz w:val="20"/>
              </w:rPr>
            </w:pPr>
            <w:r w:rsidRPr="00DA20F5">
              <w:rPr>
                <w:sz w:val="20"/>
              </w:rPr>
              <w:t>4 858</w:t>
            </w:r>
          </w:p>
        </w:tc>
        <w:tc>
          <w:tcPr>
            <w:tcW w:w="0" w:type="auto"/>
          </w:tcPr>
          <w:p w:rsidR="00F10DB1" w:rsidRPr="00DA20F5" w:rsidRDefault="00F10DB1" w:rsidP="00D36FB8">
            <w:pPr>
              <w:rPr>
                <w:sz w:val="20"/>
              </w:rPr>
            </w:pPr>
            <w:r w:rsidRPr="00DA20F5">
              <w:rPr>
                <w:sz w:val="20"/>
              </w:rPr>
              <w:t>21 907</w:t>
            </w:r>
          </w:p>
        </w:tc>
        <w:tc>
          <w:tcPr>
            <w:tcW w:w="0" w:type="auto"/>
          </w:tcPr>
          <w:p w:rsidR="00F10DB1" w:rsidRPr="00DA20F5" w:rsidRDefault="00F10DB1" w:rsidP="00D36FB8">
            <w:pPr>
              <w:rPr>
                <w:sz w:val="20"/>
              </w:rPr>
            </w:pPr>
            <w:r w:rsidRPr="00DA20F5">
              <w:rPr>
                <w:sz w:val="20"/>
              </w:rPr>
              <w:t>1 909</w:t>
            </w:r>
          </w:p>
        </w:tc>
        <w:tc>
          <w:tcPr>
            <w:tcW w:w="0" w:type="auto"/>
          </w:tcPr>
          <w:p w:rsidR="00F10DB1" w:rsidRPr="00DA20F5" w:rsidRDefault="00F10DB1" w:rsidP="00D36FB8">
            <w:pPr>
              <w:rPr>
                <w:sz w:val="20"/>
              </w:rPr>
            </w:pPr>
            <w:r w:rsidRPr="00DA20F5">
              <w:rPr>
                <w:sz w:val="20"/>
              </w:rPr>
              <w:t>6 080</w:t>
            </w:r>
          </w:p>
        </w:tc>
        <w:tc>
          <w:tcPr>
            <w:tcW w:w="0" w:type="auto"/>
          </w:tcPr>
          <w:p w:rsidR="00F10DB1" w:rsidRPr="00DA20F5" w:rsidRDefault="00F10DB1" w:rsidP="00D36FB8">
            <w:pPr>
              <w:rPr>
                <w:sz w:val="20"/>
              </w:rPr>
            </w:pPr>
            <w:r w:rsidRPr="00DA20F5">
              <w:rPr>
                <w:sz w:val="20"/>
              </w:rPr>
              <w:t>105</w:t>
            </w:r>
          </w:p>
        </w:tc>
        <w:tc>
          <w:tcPr>
            <w:tcW w:w="0" w:type="auto"/>
          </w:tcPr>
          <w:p w:rsidR="00F10DB1" w:rsidRPr="00DA20F5" w:rsidRDefault="00F10DB1" w:rsidP="00D36FB8">
            <w:pPr>
              <w:rPr>
                <w:sz w:val="20"/>
              </w:rPr>
            </w:pPr>
            <w:r w:rsidRPr="00DA20F5">
              <w:rPr>
                <w:sz w:val="20"/>
              </w:rPr>
              <w:t>188 566</w:t>
            </w:r>
          </w:p>
        </w:tc>
      </w:tr>
    </w:tbl>
    <w:p w:rsidR="00F10DB1" w:rsidRPr="00DA20F5" w:rsidRDefault="00F10DB1" w:rsidP="00D36FB8">
      <w:pPr>
        <w:pStyle w:val="zdroj"/>
      </w:pPr>
      <w:r w:rsidRPr="00DA20F5">
        <w:t xml:space="preserve">Zdroj: ÚPSVR </w:t>
      </w:r>
    </w:p>
    <w:p w:rsidR="00F10DB1" w:rsidRPr="00DA20F5" w:rsidRDefault="00F10DB1" w:rsidP="00D36FB8">
      <w:pPr>
        <w:ind w:firstLine="567"/>
      </w:pPr>
      <w:r w:rsidRPr="00DA20F5">
        <w:t>V roku 2011 bolo priemerne mesačne evidovaných 86 833 UoZ</w:t>
      </w:r>
      <w:r w:rsidRPr="00DA20F5">
        <w:rPr>
          <w:b/>
        </w:rPr>
        <w:t xml:space="preserve"> starších ako 50 rokov</w:t>
      </w:r>
      <w:r w:rsidRPr="00DA20F5">
        <w:t>. V porovnaní s rokom 2010 (priemerne mesačne 84 578 UoZ starších ako 50 rokov) to predstavovalo nárast o 2 255 osôb (2,7 %).</w:t>
      </w:r>
    </w:p>
    <w:p w:rsidR="008D25A5" w:rsidRPr="00DA20F5" w:rsidRDefault="008D25A5" w:rsidP="00D36FB8">
      <w:pPr>
        <w:jc w:val="left"/>
        <w:rPr>
          <w:b/>
        </w:rPr>
      </w:pPr>
      <w:bookmarkStart w:id="279" w:name="_Toc325438142"/>
      <w:bookmarkStart w:id="280" w:name="_Toc325440911"/>
      <w:r w:rsidRPr="00DA20F5">
        <w:br w:type="page"/>
      </w:r>
    </w:p>
    <w:p w:rsidR="00F10DB1" w:rsidRPr="00DA20F5" w:rsidRDefault="00F10DB1" w:rsidP="00D36FB8">
      <w:pPr>
        <w:pStyle w:val="Nadpis7"/>
      </w:pPr>
      <w:bookmarkStart w:id="281" w:name="_Toc325626724"/>
      <w:bookmarkStart w:id="282" w:name="_Toc326216985"/>
      <w:r w:rsidRPr="00DA20F5">
        <w:lastRenderedPageBreak/>
        <w:t>Graf 2.13 Vývoj počtu UoZ starších ako 50 rokov</w:t>
      </w:r>
      <w:bookmarkEnd w:id="279"/>
      <w:bookmarkEnd w:id="280"/>
      <w:bookmarkEnd w:id="281"/>
      <w:bookmarkEnd w:id="282"/>
    </w:p>
    <w:p w:rsidR="00F10DB1" w:rsidRPr="00DA20F5" w:rsidRDefault="00F10DB1" w:rsidP="00D36FB8">
      <w:pPr>
        <w:jc w:val="center"/>
        <w:rPr>
          <w:color w:val="1F497D" w:themeColor="text2"/>
          <w:lang w:eastAsia="cs-CZ"/>
        </w:rPr>
      </w:pPr>
      <w:r w:rsidRPr="00DA20F5">
        <w:rPr>
          <w:noProof/>
          <w:color w:val="1F497D" w:themeColor="text2"/>
        </w:rPr>
        <w:drawing>
          <wp:inline distT="0" distB="0" distL="0" distR="0" wp14:anchorId="57FBCDDE" wp14:editId="7215AFE9">
            <wp:extent cx="4587903" cy="2504660"/>
            <wp:effectExtent l="0" t="0" r="3175" b="0"/>
            <wp:docPr id="41"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10DB1" w:rsidRPr="00DA20F5" w:rsidRDefault="00F10DB1" w:rsidP="00D36FB8">
      <w:pPr>
        <w:pStyle w:val="zdroj"/>
        <w:ind w:left="567"/>
      </w:pPr>
      <w:r w:rsidRPr="00DA20F5">
        <w:t>Zdroj: ÚPSVR</w:t>
      </w:r>
    </w:p>
    <w:p w:rsidR="00F10DB1" w:rsidRPr="00DA20F5" w:rsidRDefault="00F10DB1" w:rsidP="00D36FB8">
      <w:r w:rsidRPr="00DA20F5">
        <w:t xml:space="preserve">Podiel UoZ starších ako 50 rokov na celkovom počte UoZ predstavoval 22,3 %, čo v porovnaní s rokom 2010 (22,2 %) bol nárast o 0,1 p. b. </w:t>
      </w:r>
    </w:p>
    <w:p w:rsidR="00F10DB1" w:rsidRPr="00DA20F5" w:rsidRDefault="00F10DB1" w:rsidP="00D36FB8">
      <w:pPr>
        <w:pStyle w:val="Normlnysozarkami12"/>
      </w:pPr>
      <w:r w:rsidRPr="00DA20F5">
        <w:t xml:space="preserve">Priemerný mesačný počet UoZ z radov </w:t>
      </w:r>
      <w:r w:rsidRPr="00DA20F5">
        <w:rPr>
          <w:b/>
        </w:rPr>
        <w:t>absolventov škôl</w:t>
      </w:r>
      <w:r w:rsidRPr="00DA20F5">
        <w:t xml:space="preserve"> v roku 2011 v porovnaní s rokom 2010 vzrástol o 686 osôb na 29 058 osôb. Podiel na celkovom priemernom počte UoZ sa v porovnaní s rokom 2010 zvýšil (o 0,1 p. b. z 7,4 % v roku 2010 na 7,5 % v roku 2011).</w:t>
      </w:r>
    </w:p>
    <w:p w:rsidR="00F10DB1" w:rsidRPr="00DA20F5" w:rsidRDefault="00F10DB1" w:rsidP="00D36FB8">
      <w:pPr>
        <w:pStyle w:val="Normlnysozarkami12"/>
      </w:pPr>
      <w:r w:rsidRPr="00DA20F5">
        <w:t xml:space="preserve">Vývoj počtu UoZ z radov </w:t>
      </w:r>
      <w:r w:rsidRPr="00DA20F5">
        <w:rPr>
          <w:b/>
        </w:rPr>
        <w:t>absolventov škôl</w:t>
      </w:r>
      <w:r w:rsidRPr="00DA20F5">
        <w:t xml:space="preserve"> v roku 2011 kopíroval rok 2010. Nárast v mesiacoch jún a júl spôsobil prítok končiacich absolventov vysokých škôl, ktorých počty postupne v letných mesiacoch roka klesali. Výrazný nárast počtu UoZ bol z</w:t>
      </w:r>
      <w:r w:rsidR="004B1E82" w:rsidRPr="00DA20F5">
        <w:t>aznamenaný v septembri, kedy po </w:t>
      </w:r>
      <w:r w:rsidRPr="00DA20F5">
        <w:t xml:space="preserve">ukončení prázdnin prichádzali do evidencie UoZ absolventi stredných škôl a učilíšť. Tento cyklus bol identický s predchádzajúcimi rokmi. </w:t>
      </w:r>
    </w:p>
    <w:p w:rsidR="00F10DB1" w:rsidRPr="00DA20F5" w:rsidRDefault="00F10DB1" w:rsidP="00D36FB8">
      <w:pPr>
        <w:pStyle w:val="Normlnysozarkami12"/>
      </w:pPr>
      <w:r w:rsidRPr="00DA20F5">
        <w:t xml:space="preserve">Z hľadiska vzdelanostnej štruktúry prišlo ku konca roka 2011 do evidencie UoZ najviac absolventov zo stredných odborných škôl v počte 10 395 (33,7 % zo všetkých nezamestnaných absolventov) a zo stredných odborných učilíšť s maturitou v počte 8 212 osôb (26,7 %). Najmenej nezamestnaných absolventov bolo z gymnázií, v počte 2 125 osôb (6,9 </w:t>
      </w:r>
      <w:r w:rsidR="002F1BC5" w:rsidRPr="00DA20F5">
        <w:t xml:space="preserve">%) </w:t>
      </w:r>
      <w:r w:rsidR="004B1E82" w:rsidRPr="00DA20F5">
        <w:t>(príloha ku kapitole 2, tab. </w:t>
      </w:r>
      <w:r w:rsidRPr="00DA20F5">
        <w:t>č. 5).</w:t>
      </w:r>
    </w:p>
    <w:p w:rsidR="00F10DB1" w:rsidRPr="00DA20F5" w:rsidRDefault="00F10DB1" w:rsidP="00D36FB8">
      <w:pPr>
        <w:pStyle w:val="Nadpis7"/>
      </w:pPr>
      <w:bookmarkStart w:id="283" w:name="_Toc325438143"/>
      <w:bookmarkStart w:id="284" w:name="_Toc325440912"/>
      <w:bookmarkStart w:id="285" w:name="_Toc325626725"/>
      <w:bookmarkStart w:id="286" w:name="_Toc326216986"/>
      <w:r w:rsidRPr="00DA20F5">
        <w:t>Graf 2.14</w:t>
      </w:r>
      <w:r w:rsidR="00CF6056" w:rsidRPr="00DA20F5">
        <w:t xml:space="preserve"> </w:t>
      </w:r>
      <w:r w:rsidRPr="00DA20F5">
        <w:t xml:space="preserve">Vývoj </w:t>
      </w:r>
      <w:r w:rsidR="003E7F8E" w:rsidRPr="00DA20F5">
        <w:t>počtu</w:t>
      </w:r>
      <w:r w:rsidRPr="00DA20F5">
        <w:t xml:space="preserve"> UoZ - absolventov škôl v SR</w:t>
      </w:r>
      <w:bookmarkEnd w:id="283"/>
      <w:bookmarkEnd w:id="284"/>
      <w:bookmarkEnd w:id="285"/>
      <w:bookmarkEnd w:id="286"/>
    </w:p>
    <w:p w:rsidR="00F10DB1" w:rsidRPr="00DA20F5" w:rsidRDefault="00F10DB1" w:rsidP="00D36FB8">
      <w:pPr>
        <w:jc w:val="center"/>
        <w:rPr>
          <w:color w:val="1F497D" w:themeColor="text2"/>
          <w:lang w:eastAsia="cs-CZ"/>
        </w:rPr>
      </w:pPr>
      <w:r w:rsidRPr="00DA20F5">
        <w:rPr>
          <w:noProof/>
          <w:color w:val="1F497D" w:themeColor="text2"/>
        </w:rPr>
        <w:drawing>
          <wp:inline distT="0" distB="0" distL="0" distR="0" wp14:anchorId="450A7DEC" wp14:editId="3E8D9F60">
            <wp:extent cx="4500438" cy="2242267"/>
            <wp:effectExtent l="0" t="0" r="0" b="0"/>
            <wp:docPr id="42"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10DB1" w:rsidRPr="00DA20F5" w:rsidRDefault="00F10DB1" w:rsidP="00D36FB8">
      <w:pPr>
        <w:pStyle w:val="zdroj"/>
      </w:pPr>
      <w:r w:rsidRPr="00DA20F5">
        <w:t xml:space="preserve">Zdroj: ÚPSVR </w:t>
      </w:r>
    </w:p>
    <w:p w:rsidR="00F10DB1" w:rsidRPr="00DA20F5" w:rsidRDefault="00F10DB1" w:rsidP="00D36FB8">
      <w:r w:rsidRPr="00DA20F5">
        <w:t xml:space="preserve">V roku 2011 bolo v evidencii UoZ v priemere 12 397 </w:t>
      </w:r>
      <w:r w:rsidRPr="00DA20F5">
        <w:rPr>
          <w:b/>
        </w:rPr>
        <w:t>občanov so</w:t>
      </w:r>
      <w:r w:rsidRPr="00DA20F5">
        <w:t xml:space="preserve"> </w:t>
      </w:r>
      <w:r w:rsidRPr="00DA20F5">
        <w:rPr>
          <w:b/>
        </w:rPr>
        <w:t>zdravotným postihnutím</w:t>
      </w:r>
      <w:r w:rsidRPr="00DA20F5">
        <w:t xml:space="preserve"> (ZP) a ich počet medziročne vzrástol v priemere o 1 427osôb. Podiel UoZ so ZP na celkovom počte UoZ v roku 2011 predstavoval 3,2 %, pričom v porovnaní s predchádzajúcim rokom vzrástol o 0,3 p. b. </w:t>
      </w:r>
    </w:p>
    <w:p w:rsidR="00F10DB1" w:rsidRPr="00DA20F5" w:rsidRDefault="00F10DB1" w:rsidP="004B1E82">
      <w:pPr>
        <w:pStyle w:val="Nadpis7"/>
        <w:spacing w:before="0"/>
      </w:pPr>
      <w:bookmarkStart w:id="287" w:name="_Toc325438144"/>
      <w:bookmarkStart w:id="288" w:name="_Toc325440913"/>
      <w:bookmarkStart w:id="289" w:name="_Toc325626726"/>
      <w:bookmarkStart w:id="290" w:name="_Toc326216987"/>
      <w:r w:rsidRPr="00DA20F5">
        <w:lastRenderedPageBreak/>
        <w:t>Graf 2.15</w:t>
      </w:r>
      <w:r w:rsidR="00CF6056" w:rsidRPr="00DA20F5">
        <w:t xml:space="preserve"> </w:t>
      </w:r>
      <w:r w:rsidRPr="00DA20F5">
        <w:t>Vývoj uchádzačov o zamestnanie so ZP a ich podiel</w:t>
      </w:r>
      <w:r w:rsidR="004B1E82" w:rsidRPr="00DA20F5">
        <w:t xml:space="preserve"> na celkovom počte uchádzačov o </w:t>
      </w:r>
      <w:r w:rsidRPr="00DA20F5">
        <w:t>zamestnanie (stav ku koncu mesiaca)</w:t>
      </w:r>
      <w:bookmarkEnd w:id="287"/>
      <w:bookmarkEnd w:id="288"/>
      <w:bookmarkEnd w:id="289"/>
      <w:bookmarkEnd w:id="290"/>
    </w:p>
    <w:p w:rsidR="00F10DB1" w:rsidRPr="00DA20F5" w:rsidRDefault="005B43BA" w:rsidP="00BC3252">
      <w:pPr>
        <w:jc w:val="center"/>
        <w:rPr>
          <w:color w:val="1F497D" w:themeColor="text2"/>
          <w:lang w:eastAsia="cs-CZ"/>
        </w:rPr>
      </w:pPr>
      <w:r w:rsidRPr="00DA20F5">
        <w:rPr>
          <w:noProof/>
        </w:rPr>
        <w:drawing>
          <wp:inline distT="0" distB="0" distL="0" distR="0" wp14:anchorId="5A27FB24" wp14:editId="4ADA890A">
            <wp:extent cx="5367130" cy="2997641"/>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10DB1" w:rsidRPr="00DA20F5" w:rsidRDefault="00F10DB1" w:rsidP="00D36FB8">
      <w:pPr>
        <w:pStyle w:val="zdroj"/>
      </w:pPr>
      <w:r w:rsidRPr="00DA20F5">
        <w:t xml:space="preserve">Zdroj: ÚPSVR </w:t>
      </w:r>
    </w:p>
    <w:p w:rsidR="00F10DB1" w:rsidRPr="00DA20F5" w:rsidRDefault="00F10DB1" w:rsidP="00D36FB8">
      <w:r w:rsidRPr="00DA20F5">
        <w:t xml:space="preserve">V roku 2011 bolo v priemere v evidencii UoZ 3 399 </w:t>
      </w:r>
      <w:r w:rsidRPr="00DA20F5">
        <w:rPr>
          <w:b/>
        </w:rPr>
        <w:t>mladistvých</w:t>
      </w:r>
      <w:r w:rsidRPr="00DA20F5">
        <w:t xml:space="preserve"> (do 18 rokov), čo v porovnaní s predchádzajúcim rokom (3 457) znamená pokles o 58 osôb. Ich podiel na celkovom priemernom počte UoZ v porovnaní s rokom 2010 zostal bezo zmien (0,9 %). </w:t>
      </w:r>
    </w:p>
    <w:p w:rsidR="00F10DB1" w:rsidRPr="00DA20F5" w:rsidRDefault="00F10DB1" w:rsidP="004B1E82">
      <w:pPr>
        <w:pStyle w:val="Nadpis7"/>
        <w:spacing w:before="120"/>
      </w:pPr>
      <w:bookmarkStart w:id="291" w:name="_Toc325438145"/>
      <w:bookmarkStart w:id="292" w:name="_Toc325440914"/>
      <w:bookmarkStart w:id="293" w:name="_Toc325626727"/>
      <w:bookmarkStart w:id="294" w:name="_Toc326216988"/>
      <w:r w:rsidRPr="00DA20F5">
        <w:t>Graf 2.16</w:t>
      </w:r>
      <w:r w:rsidR="00CF6056" w:rsidRPr="00DA20F5">
        <w:t xml:space="preserve"> </w:t>
      </w:r>
      <w:r w:rsidR="003E7F8E" w:rsidRPr="00DA20F5">
        <w:t>Počty</w:t>
      </w:r>
      <w:r w:rsidRPr="00DA20F5">
        <w:t xml:space="preserve"> UoZ mladistvých v SR</w:t>
      </w:r>
      <w:bookmarkEnd w:id="291"/>
      <w:bookmarkEnd w:id="292"/>
      <w:bookmarkEnd w:id="293"/>
      <w:bookmarkEnd w:id="294"/>
    </w:p>
    <w:p w:rsidR="00F10DB1" w:rsidRPr="00DA20F5" w:rsidRDefault="00F10DB1" w:rsidP="00D36FB8">
      <w:pPr>
        <w:jc w:val="center"/>
        <w:rPr>
          <w:color w:val="1F497D" w:themeColor="text2"/>
          <w:lang w:eastAsia="cs-CZ"/>
        </w:rPr>
      </w:pPr>
      <w:r w:rsidRPr="00DA20F5">
        <w:rPr>
          <w:noProof/>
          <w:color w:val="1F497D" w:themeColor="text2"/>
        </w:rPr>
        <w:drawing>
          <wp:inline distT="0" distB="0" distL="0" distR="0" wp14:anchorId="3CC8333A" wp14:editId="676215CE">
            <wp:extent cx="4484535" cy="2226365"/>
            <wp:effectExtent l="0" t="0" r="0" b="2540"/>
            <wp:docPr id="44"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10DB1" w:rsidRPr="00DA20F5" w:rsidRDefault="00F10DB1" w:rsidP="004B1E82">
      <w:pPr>
        <w:pStyle w:val="zdroj"/>
        <w:spacing w:before="0"/>
      </w:pPr>
      <w:r w:rsidRPr="00DA20F5">
        <w:t xml:space="preserve">Zdroj: ÚPSVR </w:t>
      </w:r>
    </w:p>
    <w:p w:rsidR="00F10DB1" w:rsidRPr="00DA20F5" w:rsidRDefault="00F10DB1" w:rsidP="00D36FB8">
      <w:pPr>
        <w:pStyle w:val="Nadpis7"/>
      </w:pPr>
      <w:bookmarkStart w:id="295" w:name="_Toc325438146"/>
      <w:bookmarkStart w:id="296" w:name="_Toc325440915"/>
      <w:bookmarkStart w:id="297" w:name="_Toc325626728"/>
      <w:bookmarkStart w:id="298" w:name="_Toc326216989"/>
      <w:r w:rsidRPr="00DA20F5">
        <w:t xml:space="preserve">Tab. 2.16 Podiel znevýhodnených skupín uchádzačov o zamestnanie </w:t>
      </w:r>
      <w:r w:rsidRPr="00DA20F5">
        <w:br/>
        <w:t>na celkovom počte uchádzačov o zamestnanie (v %)</w:t>
      </w:r>
      <w:bookmarkEnd w:id="295"/>
      <w:bookmarkEnd w:id="296"/>
      <w:bookmarkEnd w:id="297"/>
      <w:bookmarkEnd w:id="298"/>
    </w:p>
    <w:tbl>
      <w:tblPr>
        <w:tblW w:w="4667"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910"/>
        <w:gridCol w:w="1508"/>
        <w:gridCol w:w="1695"/>
        <w:gridCol w:w="1555"/>
      </w:tblGrid>
      <w:tr w:rsidR="00665CD2" w:rsidRPr="00DA20F5" w:rsidTr="00A05573">
        <w:trPr>
          <w:trHeight w:val="260"/>
          <w:jc w:val="center"/>
        </w:trPr>
        <w:tc>
          <w:tcPr>
            <w:tcW w:w="2255"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Znevýhodnení uchádzači o zamestnanie</w:t>
            </w:r>
          </w:p>
        </w:tc>
        <w:tc>
          <w:tcPr>
            <w:tcW w:w="870"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2010</w:t>
            </w:r>
          </w:p>
        </w:tc>
        <w:tc>
          <w:tcPr>
            <w:tcW w:w="978"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2011</w:t>
            </w:r>
          </w:p>
        </w:tc>
        <w:tc>
          <w:tcPr>
            <w:tcW w:w="897"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medziročný rast/pokles</w:t>
            </w:r>
          </w:p>
          <w:p w:rsidR="00F10DB1" w:rsidRPr="00DA20F5" w:rsidRDefault="00F10DB1" w:rsidP="00D36FB8">
            <w:pPr>
              <w:jc w:val="center"/>
              <w:rPr>
                <w:b/>
                <w:color w:val="FFFFFF" w:themeColor="background1"/>
              </w:rPr>
            </w:pPr>
            <w:r w:rsidRPr="00DA20F5">
              <w:rPr>
                <w:b/>
                <w:color w:val="FFFFFF" w:themeColor="background1"/>
              </w:rPr>
              <w:t>( p. b.)</w:t>
            </w:r>
          </w:p>
        </w:tc>
      </w:tr>
      <w:tr w:rsidR="00665CD2" w:rsidRPr="00DA20F5" w:rsidTr="00A05573">
        <w:trPr>
          <w:trHeight w:val="236"/>
          <w:jc w:val="center"/>
        </w:trPr>
        <w:tc>
          <w:tcPr>
            <w:tcW w:w="2255" w:type="pct"/>
            <w:vAlign w:val="center"/>
          </w:tcPr>
          <w:p w:rsidR="00F10DB1" w:rsidRPr="00DA20F5" w:rsidRDefault="00F10DB1" w:rsidP="00D36FB8">
            <w:r w:rsidRPr="00DA20F5">
              <w:t>UoZ nad 12 mesiacov</w:t>
            </w:r>
          </w:p>
        </w:tc>
        <w:tc>
          <w:tcPr>
            <w:tcW w:w="870" w:type="pct"/>
            <w:vAlign w:val="center"/>
          </w:tcPr>
          <w:p w:rsidR="00F10DB1" w:rsidRPr="00DA20F5" w:rsidRDefault="00F10DB1" w:rsidP="00D36FB8">
            <w:pPr>
              <w:ind w:right="454"/>
              <w:jc w:val="right"/>
            </w:pPr>
            <w:r w:rsidRPr="00DA20F5">
              <w:t>45,2</w:t>
            </w:r>
          </w:p>
        </w:tc>
        <w:tc>
          <w:tcPr>
            <w:tcW w:w="978" w:type="pct"/>
            <w:vAlign w:val="center"/>
          </w:tcPr>
          <w:p w:rsidR="00F10DB1" w:rsidRPr="00DA20F5" w:rsidRDefault="00F10DB1" w:rsidP="00D36FB8">
            <w:pPr>
              <w:ind w:right="454"/>
              <w:jc w:val="right"/>
            </w:pPr>
            <w:r w:rsidRPr="00DA20F5">
              <w:t>48,0</w:t>
            </w:r>
          </w:p>
        </w:tc>
        <w:tc>
          <w:tcPr>
            <w:tcW w:w="897" w:type="pct"/>
            <w:vAlign w:val="bottom"/>
          </w:tcPr>
          <w:p w:rsidR="00F10DB1" w:rsidRPr="00DA20F5" w:rsidRDefault="00F10DB1" w:rsidP="00D36FB8">
            <w:pPr>
              <w:ind w:right="454"/>
              <w:jc w:val="right"/>
            </w:pPr>
            <w:r w:rsidRPr="00DA20F5">
              <w:t>2,8</w:t>
            </w:r>
          </w:p>
        </w:tc>
      </w:tr>
      <w:tr w:rsidR="00665CD2" w:rsidRPr="00DA20F5" w:rsidTr="00A05573">
        <w:trPr>
          <w:trHeight w:val="236"/>
          <w:jc w:val="center"/>
        </w:trPr>
        <w:tc>
          <w:tcPr>
            <w:tcW w:w="2255" w:type="pct"/>
            <w:vAlign w:val="center"/>
          </w:tcPr>
          <w:p w:rsidR="00F10DB1" w:rsidRPr="00DA20F5" w:rsidRDefault="00F10DB1" w:rsidP="00D36FB8">
            <w:r w:rsidRPr="00DA20F5">
              <w:t>Absolventi škôl</w:t>
            </w:r>
          </w:p>
        </w:tc>
        <w:tc>
          <w:tcPr>
            <w:tcW w:w="870" w:type="pct"/>
            <w:vAlign w:val="center"/>
          </w:tcPr>
          <w:p w:rsidR="00F10DB1" w:rsidRPr="00DA20F5" w:rsidRDefault="00F10DB1" w:rsidP="00D36FB8">
            <w:pPr>
              <w:ind w:right="454"/>
              <w:jc w:val="right"/>
            </w:pPr>
            <w:r w:rsidRPr="00DA20F5">
              <w:t>7,4</w:t>
            </w:r>
          </w:p>
        </w:tc>
        <w:tc>
          <w:tcPr>
            <w:tcW w:w="978" w:type="pct"/>
            <w:vAlign w:val="center"/>
          </w:tcPr>
          <w:p w:rsidR="00F10DB1" w:rsidRPr="00DA20F5" w:rsidRDefault="00F10DB1" w:rsidP="00D36FB8">
            <w:pPr>
              <w:ind w:right="454"/>
              <w:jc w:val="right"/>
            </w:pPr>
            <w:r w:rsidRPr="00DA20F5">
              <w:t>7,5</w:t>
            </w:r>
          </w:p>
        </w:tc>
        <w:tc>
          <w:tcPr>
            <w:tcW w:w="897" w:type="pct"/>
            <w:vAlign w:val="bottom"/>
          </w:tcPr>
          <w:p w:rsidR="00F10DB1" w:rsidRPr="00DA20F5" w:rsidRDefault="00F10DB1" w:rsidP="00D36FB8">
            <w:pPr>
              <w:ind w:right="454"/>
              <w:jc w:val="right"/>
            </w:pPr>
            <w:r w:rsidRPr="00DA20F5">
              <w:t>0,1</w:t>
            </w:r>
          </w:p>
        </w:tc>
      </w:tr>
      <w:tr w:rsidR="00665CD2" w:rsidRPr="00DA20F5" w:rsidTr="00A05573">
        <w:trPr>
          <w:trHeight w:val="236"/>
          <w:jc w:val="center"/>
        </w:trPr>
        <w:tc>
          <w:tcPr>
            <w:tcW w:w="2255" w:type="pct"/>
            <w:vAlign w:val="center"/>
          </w:tcPr>
          <w:p w:rsidR="00F10DB1" w:rsidRPr="00DA20F5" w:rsidRDefault="00F10DB1" w:rsidP="00D36FB8">
            <w:r w:rsidRPr="00DA20F5">
              <w:t>UoZ so ZP</w:t>
            </w:r>
          </w:p>
        </w:tc>
        <w:tc>
          <w:tcPr>
            <w:tcW w:w="870" w:type="pct"/>
            <w:vAlign w:val="center"/>
          </w:tcPr>
          <w:p w:rsidR="00F10DB1" w:rsidRPr="00DA20F5" w:rsidRDefault="00F10DB1" w:rsidP="00D36FB8">
            <w:pPr>
              <w:ind w:right="454"/>
              <w:jc w:val="right"/>
            </w:pPr>
            <w:r w:rsidRPr="00DA20F5">
              <w:t>2,9</w:t>
            </w:r>
          </w:p>
        </w:tc>
        <w:tc>
          <w:tcPr>
            <w:tcW w:w="978" w:type="pct"/>
            <w:vAlign w:val="center"/>
          </w:tcPr>
          <w:p w:rsidR="00F10DB1" w:rsidRPr="00DA20F5" w:rsidRDefault="00F10DB1" w:rsidP="00D36FB8">
            <w:pPr>
              <w:ind w:right="454"/>
              <w:jc w:val="right"/>
            </w:pPr>
            <w:r w:rsidRPr="00DA20F5">
              <w:t>3,2</w:t>
            </w:r>
          </w:p>
        </w:tc>
        <w:tc>
          <w:tcPr>
            <w:tcW w:w="897" w:type="pct"/>
            <w:vAlign w:val="bottom"/>
          </w:tcPr>
          <w:p w:rsidR="00F10DB1" w:rsidRPr="00DA20F5" w:rsidRDefault="00F10DB1" w:rsidP="00D36FB8">
            <w:pPr>
              <w:ind w:right="454"/>
              <w:jc w:val="right"/>
            </w:pPr>
            <w:r w:rsidRPr="00DA20F5">
              <w:t>0,3</w:t>
            </w:r>
          </w:p>
        </w:tc>
      </w:tr>
      <w:tr w:rsidR="00665CD2" w:rsidRPr="00DA20F5" w:rsidTr="00A05573">
        <w:trPr>
          <w:trHeight w:val="236"/>
          <w:jc w:val="center"/>
        </w:trPr>
        <w:tc>
          <w:tcPr>
            <w:tcW w:w="2255" w:type="pct"/>
            <w:vAlign w:val="center"/>
          </w:tcPr>
          <w:p w:rsidR="00F10DB1" w:rsidRPr="00DA20F5" w:rsidRDefault="00F10DB1" w:rsidP="00D36FB8">
            <w:r w:rsidRPr="00DA20F5">
              <w:t>Mladiství</w:t>
            </w:r>
          </w:p>
        </w:tc>
        <w:tc>
          <w:tcPr>
            <w:tcW w:w="870" w:type="pct"/>
            <w:vAlign w:val="center"/>
          </w:tcPr>
          <w:p w:rsidR="00F10DB1" w:rsidRPr="00DA20F5" w:rsidRDefault="00F10DB1" w:rsidP="00D36FB8">
            <w:pPr>
              <w:ind w:right="454"/>
              <w:jc w:val="right"/>
            </w:pPr>
            <w:r w:rsidRPr="00DA20F5">
              <w:t>0,9</w:t>
            </w:r>
          </w:p>
        </w:tc>
        <w:tc>
          <w:tcPr>
            <w:tcW w:w="978" w:type="pct"/>
            <w:vAlign w:val="center"/>
          </w:tcPr>
          <w:p w:rsidR="00F10DB1" w:rsidRPr="00DA20F5" w:rsidRDefault="00F10DB1" w:rsidP="00D36FB8">
            <w:pPr>
              <w:ind w:right="454"/>
              <w:jc w:val="right"/>
            </w:pPr>
            <w:r w:rsidRPr="00DA20F5">
              <w:t>0,9</w:t>
            </w:r>
          </w:p>
        </w:tc>
        <w:tc>
          <w:tcPr>
            <w:tcW w:w="897" w:type="pct"/>
            <w:vAlign w:val="bottom"/>
          </w:tcPr>
          <w:p w:rsidR="00F10DB1" w:rsidRPr="00DA20F5" w:rsidRDefault="00F10DB1" w:rsidP="00D36FB8">
            <w:pPr>
              <w:ind w:right="454"/>
              <w:jc w:val="right"/>
            </w:pPr>
            <w:r w:rsidRPr="00DA20F5">
              <w:t>0,0</w:t>
            </w:r>
          </w:p>
        </w:tc>
      </w:tr>
      <w:tr w:rsidR="00665CD2" w:rsidRPr="00DA20F5" w:rsidTr="00A05573">
        <w:trPr>
          <w:trHeight w:val="236"/>
          <w:jc w:val="center"/>
        </w:trPr>
        <w:tc>
          <w:tcPr>
            <w:tcW w:w="2255" w:type="pct"/>
            <w:vAlign w:val="center"/>
          </w:tcPr>
          <w:p w:rsidR="00F10DB1" w:rsidRPr="00DA20F5" w:rsidRDefault="00F10DB1" w:rsidP="00D36FB8">
            <w:r w:rsidRPr="00DA20F5">
              <w:t>UoZ starší ako 50 rokov</w:t>
            </w:r>
          </w:p>
        </w:tc>
        <w:tc>
          <w:tcPr>
            <w:tcW w:w="870" w:type="pct"/>
            <w:vAlign w:val="center"/>
          </w:tcPr>
          <w:p w:rsidR="00F10DB1" w:rsidRPr="00DA20F5" w:rsidRDefault="00F10DB1" w:rsidP="00D36FB8">
            <w:pPr>
              <w:ind w:right="454"/>
              <w:jc w:val="right"/>
            </w:pPr>
            <w:r w:rsidRPr="00DA20F5">
              <w:t>22,2</w:t>
            </w:r>
          </w:p>
        </w:tc>
        <w:tc>
          <w:tcPr>
            <w:tcW w:w="978" w:type="pct"/>
            <w:vAlign w:val="center"/>
          </w:tcPr>
          <w:p w:rsidR="00F10DB1" w:rsidRPr="00DA20F5" w:rsidRDefault="00F10DB1" w:rsidP="00D36FB8">
            <w:pPr>
              <w:ind w:right="454"/>
              <w:jc w:val="right"/>
            </w:pPr>
            <w:r w:rsidRPr="00DA20F5">
              <w:t>22,3</w:t>
            </w:r>
          </w:p>
        </w:tc>
        <w:tc>
          <w:tcPr>
            <w:tcW w:w="897" w:type="pct"/>
            <w:vAlign w:val="bottom"/>
          </w:tcPr>
          <w:p w:rsidR="00F10DB1" w:rsidRPr="00DA20F5" w:rsidRDefault="00F10DB1" w:rsidP="00D36FB8">
            <w:pPr>
              <w:ind w:right="454"/>
              <w:jc w:val="right"/>
            </w:pPr>
            <w:r w:rsidRPr="00DA20F5">
              <w:t>0,1</w:t>
            </w:r>
          </w:p>
        </w:tc>
      </w:tr>
    </w:tbl>
    <w:p w:rsidR="00F10DB1" w:rsidRPr="00DA20F5" w:rsidRDefault="00F10DB1" w:rsidP="00D36FB8">
      <w:pPr>
        <w:pStyle w:val="zdroj"/>
      </w:pPr>
      <w:r w:rsidRPr="00DA20F5">
        <w:t xml:space="preserve">Zdroj: ÚPSVR </w:t>
      </w:r>
    </w:p>
    <w:p w:rsidR="00F10DB1" w:rsidRPr="00DA20F5" w:rsidRDefault="00F10DB1" w:rsidP="000B4550">
      <w:pPr>
        <w:pStyle w:val="Nadpis6"/>
      </w:pPr>
      <w:bookmarkStart w:id="299" w:name="_Toc326216990"/>
      <w:r w:rsidRPr="00DA20F5">
        <w:lastRenderedPageBreak/>
        <w:t>Aktívne opatrenia na trhu práce</w:t>
      </w:r>
      <w:bookmarkEnd w:id="299"/>
    </w:p>
    <w:p w:rsidR="00F10DB1" w:rsidRPr="00DA20F5" w:rsidRDefault="00F10DB1" w:rsidP="00DC1659">
      <w:pPr>
        <w:pStyle w:val="Nadpis41"/>
      </w:pPr>
      <w:r w:rsidRPr="00DA20F5">
        <w:t>Vyhodnotenie zmien právnych predpisov v oblasti služieb zamestnanosti v roku 2011</w:t>
      </w:r>
    </w:p>
    <w:p w:rsidR="00F10DB1" w:rsidRPr="00DA20F5" w:rsidRDefault="00F10DB1" w:rsidP="00D36FB8">
      <w:pPr>
        <w:pStyle w:val="123"/>
      </w:pPr>
      <w:r w:rsidRPr="00DA20F5">
        <w:t>a)</w:t>
      </w:r>
      <w:r w:rsidRPr="00DA20F5">
        <w:tab/>
        <w:t>Zákon o službách zamestnanosti</w:t>
      </w:r>
    </w:p>
    <w:p w:rsidR="00F10DB1" w:rsidRPr="00DA20F5" w:rsidRDefault="00F10DB1" w:rsidP="00D36FB8">
      <w:pPr>
        <w:ind w:firstLine="357"/>
      </w:pPr>
      <w:r w:rsidRPr="00DA20F5">
        <w:t xml:space="preserve">Opatrenia APTP boli v roku 2011 zamerané na zvyšovanie zamestnanosti, zmiernenie regionálnych rozdielov, znižovanie dlhodobej nezamestnanosti a s tým spojenej podpory tvorby nových pracovných miest ako najúčinnejšieho prostriedku na zabezpečenie rastu príjmov obyvateľstva. Boli prijaté opatrenia s cieľom podporiť motiváciu nezamestnaných prijať pracovné pozície, motiváciu zamestnávateľov na vytváraní nových pracovných miest pre dlhodobo nezamestnaných a na uplatňovanie ďalších opatrení, ktoré vytvoria motivačné prostredie nielen pre domácich, ale aj pre zahraničných zamestnávateľov. </w:t>
      </w:r>
    </w:p>
    <w:p w:rsidR="00F10DB1" w:rsidRPr="00DA20F5" w:rsidRDefault="00F10DB1" w:rsidP="00D36FB8">
      <w:pPr>
        <w:pStyle w:val="Normlnysozarkami12"/>
      </w:pPr>
      <w:r w:rsidRPr="00DA20F5">
        <w:rPr>
          <w:b/>
        </w:rPr>
        <w:t xml:space="preserve">Aktívne opatrenia na trhu práce </w:t>
      </w:r>
      <w:r w:rsidRPr="00DA20F5">
        <w:t>(AOTP) v hodnotenom období boli realizované najmä uplatňovaním zákona č. 5/2004 Z. z. o službách zamestnanosti a o zmene a doplnení niektorých zákonov v znení neskorších predpisov (zákon o službách zamestnanosti), ktorý bol v priebehu roka 2011 niekoľkokrát novelizovaný, a to:</w:t>
      </w:r>
    </w:p>
    <w:p w:rsidR="00F10DB1" w:rsidRPr="00DA20F5" w:rsidRDefault="00F10DB1" w:rsidP="00D36FB8">
      <w:pPr>
        <w:pStyle w:val="Normlnysozarkami12"/>
        <w:rPr>
          <w:color w:val="1F497D" w:themeColor="text2"/>
        </w:rPr>
      </w:pPr>
    </w:p>
    <w:p w:rsidR="00F10DB1" w:rsidRPr="00DA20F5" w:rsidRDefault="00F10DB1" w:rsidP="00D36FB8">
      <w:r w:rsidRPr="00DA20F5">
        <w:t>Zákonom č. 373/2010 Z. z., ktorým sa mení a dopĺňa zákon č. 5/2004 Z. z. o službách zamestnanosti a o zmene a doplnení niektorých zákonov v znení neskorších predpisov a ktorým sa menia a dopĺňajú niektoré zákony s účinnosťou od 1. januára 2011 sa:</w:t>
      </w:r>
    </w:p>
    <w:p w:rsidR="00F10DB1" w:rsidRPr="00DA20F5" w:rsidRDefault="00F10DB1" w:rsidP="00D36FB8">
      <w:pPr>
        <w:numPr>
          <w:ilvl w:val="0"/>
          <w:numId w:val="10"/>
        </w:numPr>
        <w:tabs>
          <w:tab w:val="clear" w:pos="360"/>
          <w:tab w:val="num" w:pos="720"/>
        </w:tabs>
        <w:ind w:left="720"/>
      </w:pPr>
      <w:r w:rsidRPr="00DA20F5">
        <w:t>zabezpečilo predĺženie účinnosti jedného z hlavných dočasných opatrení na zmiernenie dopadov globálnej ekonomickej krízy na zamestnanosť, ktorým je príspevok na podporu udržania zamestnanosti (§ 50d) s progresívnym mechanizmom zníženého odvodového zaťaženia pre zamestnávateľov, a to do konca roka 2011,</w:t>
      </w:r>
    </w:p>
    <w:p w:rsidR="00F10DB1" w:rsidRPr="00DA20F5" w:rsidRDefault="00F10DB1" w:rsidP="00D36FB8">
      <w:pPr>
        <w:numPr>
          <w:ilvl w:val="0"/>
          <w:numId w:val="10"/>
        </w:numPr>
        <w:tabs>
          <w:tab w:val="clear" w:pos="360"/>
          <w:tab w:val="num" w:pos="720"/>
        </w:tabs>
        <w:ind w:left="720"/>
      </w:pPr>
      <w:r w:rsidRPr="00DA20F5">
        <w:t>vypustili niektoré aktívne opatrenia na trhu práce z dôvodu nízkej miery ich využívania, a to príspevok na podporu zamestnávania absolventov vzdeláva</w:t>
      </w:r>
      <w:r w:rsidR="004B1E82" w:rsidRPr="00DA20F5">
        <w:t>nia a prípravy pre trh práce (§ </w:t>
      </w:r>
      <w:r w:rsidRPr="00DA20F5">
        <w:t xml:space="preserve">51a), </w:t>
      </w:r>
    </w:p>
    <w:p w:rsidR="00F10DB1" w:rsidRPr="00DA20F5" w:rsidRDefault="00F10DB1" w:rsidP="00D36FB8">
      <w:pPr>
        <w:numPr>
          <w:ilvl w:val="0"/>
          <w:numId w:val="10"/>
        </w:numPr>
        <w:tabs>
          <w:tab w:val="clear" w:pos="360"/>
          <w:tab w:val="num" w:pos="720"/>
        </w:tabs>
        <w:ind w:left="720"/>
      </w:pPr>
      <w:r w:rsidRPr="00DA20F5">
        <w:t>upravili všetky mechanizmy súvisiace so schvaľovaním a realizáciou projektov a programov aktívnych opatrení trhu práce v záujme zefektívnenia využívania finančných prostriedkov verejnej správy,</w:t>
      </w:r>
    </w:p>
    <w:p w:rsidR="00F10DB1" w:rsidRPr="00DA20F5" w:rsidRDefault="00F10DB1" w:rsidP="00D36FB8">
      <w:pPr>
        <w:numPr>
          <w:ilvl w:val="0"/>
          <w:numId w:val="10"/>
        </w:numPr>
        <w:tabs>
          <w:tab w:val="clear" w:pos="360"/>
          <w:tab w:val="num" w:pos="720"/>
        </w:tabs>
        <w:ind w:left="720"/>
      </w:pPr>
      <w:r w:rsidRPr="00DA20F5">
        <w:t>upravili kompetencie ústredia a úradov práce, sociálnych vecí a rodiny vo vzťahu k realizácii projektov,</w:t>
      </w:r>
    </w:p>
    <w:p w:rsidR="00F10DB1" w:rsidRPr="00DA20F5" w:rsidRDefault="00F10DB1" w:rsidP="00D36FB8">
      <w:pPr>
        <w:numPr>
          <w:ilvl w:val="0"/>
          <w:numId w:val="10"/>
        </w:numPr>
        <w:tabs>
          <w:tab w:val="clear" w:pos="360"/>
          <w:tab w:val="num" w:pos="720"/>
        </w:tabs>
        <w:ind w:left="720"/>
      </w:pPr>
      <w:r w:rsidRPr="00DA20F5">
        <w:t>zosúladilo náhradné plnenie formou zadávania zákazky a odoberania výrobkov ako náhradného plnenia namiesto zamestnávania povinného p</w:t>
      </w:r>
      <w:r w:rsidR="004B1E82" w:rsidRPr="00DA20F5">
        <w:t>odielu zamestnávania občanov so </w:t>
      </w:r>
      <w:r w:rsidRPr="00DA20F5">
        <w:t>zdravotným postihnutím nadväzne na zákon č. 25/2006 Z. z. o verejnom obstarávaním v súlade so závermi z kontroly vykonanej Najvyšším kont</w:t>
      </w:r>
      <w:r w:rsidR="004B1E82" w:rsidRPr="00DA20F5">
        <w:t>rolným úradom SR, vzťahujúce sa </w:t>
      </w:r>
      <w:r w:rsidRPr="00DA20F5">
        <w:t>na vykonanú kontrolu programov, resp. nástrojov zameraných na zvýšenie zamestnanosti osôb so zdravotným postihnutím vo verejnom sektore.</w:t>
      </w:r>
    </w:p>
    <w:p w:rsidR="00F10DB1" w:rsidRPr="00DA20F5" w:rsidRDefault="00F10DB1" w:rsidP="00D36FB8">
      <w:pPr>
        <w:ind w:left="360"/>
        <w:rPr>
          <w:color w:val="1F497D" w:themeColor="text2"/>
        </w:rPr>
      </w:pPr>
    </w:p>
    <w:p w:rsidR="00F10DB1" w:rsidRPr="00DA20F5" w:rsidRDefault="00F10DB1" w:rsidP="00D36FB8">
      <w:r w:rsidRPr="00DA20F5">
        <w:t>Zákonom č. 120/2011 Z. z., ktorým sa mení a dopĺňa zákon č. 5/2004 Z. z. o službách zamestnanosti a o zmene a doplnení niektorých zákonov v znení neskorších predpisov a ktorým sa menia a dopĺňajú niektoré zákony sa zmenil právny stav v oblasti aktivačnej činnosti tak, že s účinnosťou od 1. júla 2011, bol zavedený príspevok na aktivačnú činnosť formou menších obecných služieb pre obec alebo formou menších služieb pre samosprávny kraji</w:t>
      </w:r>
      <w:r w:rsidRPr="00DA20F5">
        <w:rPr>
          <w:b/>
        </w:rPr>
        <w:t xml:space="preserve"> </w:t>
      </w:r>
      <w:r w:rsidRPr="00DA20F5">
        <w:t xml:space="preserve">(§ 52). </w:t>
      </w:r>
    </w:p>
    <w:p w:rsidR="00F10DB1" w:rsidRPr="00DA20F5" w:rsidRDefault="00F10DB1" w:rsidP="00D36FB8">
      <w:pPr>
        <w:ind w:left="360"/>
        <w:rPr>
          <w:bCs/>
        </w:rPr>
      </w:pPr>
      <w:r w:rsidRPr="00DA20F5">
        <w:rPr>
          <w:bCs/>
        </w:rPr>
        <w:t xml:space="preserve">Príspevok je určený na </w:t>
      </w:r>
    </w:p>
    <w:p w:rsidR="00F10DB1" w:rsidRPr="00DA20F5" w:rsidRDefault="00F10DB1" w:rsidP="00D36FB8">
      <w:pPr>
        <w:numPr>
          <w:ilvl w:val="0"/>
          <w:numId w:val="10"/>
        </w:numPr>
        <w:tabs>
          <w:tab w:val="clear" w:pos="360"/>
          <w:tab w:val="num" w:pos="720"/>
        </w:tabs>
        <w:ind w:left="720"/>
      </w:pPr>
      <w:r w:rsidRPr="00DA20F5">
        <w:t>podporu udržiavania pracovných návykov dlhodobo nezamestnaného občana, ktorý je poberateľom dávky v hmotnej núdzi a príspevkov k dávke v hmotnej núdzi,</w:t>
      </w:r>
    </w:p>
    <w:p w:rsidR="00F10DB1" w:rsidRPr="00DA20F5" w:rsidRDefault="00F10DB1" w:rsidP="00D36FB8">
      <w:pPr>
        <w:numPr>
          <w:ilvl w:val="0"/>
          <w:numId w:val="10"/>
        </w:numPr>
        <w:tabs>
          <w:tab w:val="clear" w:pos="360"/>
          <w:tab w:val="num" w:pos="720"/>
        </w:tabs>
        <w:ind w:left="720"/>
      </w:pPr>
      <w:r w:rsidRPr="00DA20F5">
        <w:t>obdobie najviac počas šiestich kalendárnych mesiacov v rozsahu najviac 20 hodín týždenne okrem týždňa, v ktorom sa aktivačná činnosť začala, s možnosťou jej opakovaného vykonávania najviac počas ďalších dvanástich kalendárnych mesiacov,</w:t>
      </w:r>
    </w:p>
    <w:p w:rsidR="00F10DB1" w:rsidRPr="00DA20F5" w:rsidRDefault="00F10DB1" w:rsidP="00D36FB8">
      <w:pPr>
        <w:numPr>
          <w:ilvl w:val="0"/>
          <w:numId w:val="10"/>
        </w:numPr>
        <w:tabs>
          <w:tab w:val="clear" w:pos="360"/>
          <w:tab w:val="num" w:pos="720"/>
        </w:tabs>
        <w:ind w:left="720"/>
      </w:pPr>
      <w:r w:rsidRPr="00DA20F5">
        <w:t>úhradu časti nákladov na osobné ochranné pracovné prostriedky, úrazové poistenie dlhodobo nezamestnaných občanov, časti nákladov na pracovné náradie a časti ďalších nákladov, ktoré súvisia s vykonávaním menších obecných služieb pre</w:t>
      </w:r>
      <w:r w:rsidR="004B1E82" w:rsidRPr="00DA20F5">
        <w:t xml:space="preserve"> obec alebo menších služieb pre </w:t>
      </w:r>
      <w:r w:rsidRPr="00DA20F5">
        <w:t>samosprávny kraj a na úhradu časti celkovej ceny práce zamestnanca, ktorý organizuje aktivačnú činnosť.</w:t>
      </w:r>
    </w:p>
    <w:p w:rsidR="00F10DB1" w:rsidRPr="00DA20F5" w:rsidRDefault="00F10DB1" w:rsidP="00D36FB8">
      <w:pPr>
        <w:ind w:left="360"/>
        <w:rPr>
          <w:bCs/>
        </w:rPr>
      </w:pPr>
      <w:r w:rsidRPr="00DA20F5">
        <w:rPr>
          <w:bCs/>
        </w:rPr>
        <w:lastRenderedPageBreak/>
        <w:t xml:space="preserve">Uvedenou novelou zákona o službách zamestnanosti sa: </w:t>
      </w:r>
    </w:p>
    <w:p w:rsidR="00F10DB1" w:rsidRPr="00DA20F5" w:rsidRDefault="00F10DB1" w:rsidP="00D36FB8">
      <w:pPr>
        <w:numPr>
          <w:ilvl w:val="0"/>
          <w:numId w:val="10"/>
        </w:numPr>
        <w:tabs>
          <w:tab w:val="clear" w:pos="360"/>
          <w:tab w:val="num" w:pos="720"/>
        </w:tabs>
        <w:ind w:left="720"/>
      </w:pPr>
      <w:r w:rsidRPr="00DA20F5">
        <w:t>upravili podmienky organizovania aktivačnej činnosti form</w:t>
      </w:r>
      <w:r w:rsidR="004B1E82" w:rsidRPr="00DA20F5">
        <w:t>ou menších obecných služieb pre </w:t>
      </w:r>
      <w:r w:rsidRPr="00DA20F5">
        <w:t>obec podľa § 52 rozšírením možnosti poskytnutia prísp</w:t>
      </w:r>
      <w:r w:rsidR="004B1E82" w:rsidRPr="00DA20F5">
        <w:t>evku formou menších služieb pre </w:t>
      </w:r>
      <w:r w:rsidRPr="00DA20F5">
        <w:t>samosprávny kraj organizované samosprávnym krajom, rozpočtovou alebo príspevkovou organizáciou, ktorej zakladateľom alebo zriaďovateľom je samosprávny kraj,</w:t>
      </w:r>
    </w:p>
    <w:p w:rsidR="00F10DB1" w:rsidRPr="00DA20F5" w:rsidRDefault="00F10DB1" w:rsidP="00D36FB8">
      <w:pPr>
        <w:numPr>
          <w:ilvl w:val="0"/>
          <w:numId w:val="10"/>
        </w:numPr>
        <w:tabs>
          <w:tab w:val="clear" w:pos="360"/>
          <w:tab w:val="num" w:pos="720"/>
        </w:tabs>
        <w:ind w:left="720"/>
      </w:pPr>
      <w:r w:rsidRPr="00DA20F5">
        <w:t>rozšírili oblasti vykonávania menších obecných alebo menších služieb pre samosprávny kraj (napr. pomoc pri mimoriadnych udalostiach a odstraňovaní ich následkov),</w:t>
      </w:r>
    </w:p>
    <w:p w:rsidR="00F10DB1" w:rsidRPr="00DA20F5" w:rsidRDefault="00F10DB1" w:rsidP="00D36FB8">
      <w:pPr>
        <w:numPr>
          <w:ilvl w:val="0"/>
          <w:numId w:val="10"/>
        </w:numPr>
        <w:tabs>
          <w:tab w:val="clear" w:pos="360"/>
          <w:tab w:val="num" w:pos="720"/>
        </w:tabs>
        <w:ind w:left="720"/>
      </w:pPr>
      <w:r w:rsidRPr="00DA20F5">
        <w:t>predĺžilo obdobie na opakované vykonávanie menších obecných služieb pre obec alebo formou menších služieb pre samosprávny kraj zo šiestich kalendárnych mesiacov na dvanásť,</w:t>
      </w:r>
    </w:p>
    <w:p w:rsidR="00F10DB1" w:rsidRPr="00DA20F5" w:rsidRDefault="00F10DB1" w:rsidP="00D36FB8">
      <w:pPr>
        <w:numPr>
          <w:ilvl w:val="0"/>
          <w:numId w:val="10"/>
        </w:numPr>
        <w:tabs>
          <w:tab w:val="clear" w:pos="360"/>
          <w:tab w:val="num" w:pos="720"/>
        </w:tabs>
        <w:ind w:left="720"/>
      </w:pPr>
      <w:r w:rsidRPr="00DA20F5">
        <w:t>zmenila miestna príslušnosť úradu práce, sociálnych vecí a rodiny na poskytnutie príspevku; príspevok poskytuje úrad</w:t>
      </w:r>
      <w:r w:rsidR="007B624E" w:rsidRPr="00DA20F5">
        <w:t xml:space="preserve"> práce</w:t>
      </w:r>
      <w:r w:rsidRPr="00DA20F5">
        <w:t>, v ktorého územnom obvode má dlhodobo nezamestnaný občan trvalý pobyt.</w:t>
      </w:r>
    </w:p>
    <w:p w:rsidR="00C77DC2" w:rsidRPr="00DA20F5" w:rsidRDefault="00C77DC2" w:rsidP="00D36FB8">
      <w:pPr>
        <w:pStyle w:val="Default"/>
        <w:jc w:val="both"/>
        <w:rPr>
          <w:rFonts w:ascii="Times New Roman" w:hAnsi="Times New Roman" w:cs="Times New Roman"/>
          <w:color w:val="auto"/>
          <w:sz w:val="22"/>
          <w:szCs w:val="22"/>
        </w:rPr>
      </w:pPr>
      <w:r w:rsidRPr="00DA20F5">
        <w:rPr>
          <w:rFonts w:ascii="Times New Roman" w:hAnsi="Times New Roman" w:cs="Times New Roman"/>
          <w:color w:val="auto"/>
          <w:sz w:val="22"/>
          <w:szCs w:val="22"/>
        </w:rPr>
        <w:t>Zákonom č. 231/2011 Z. z., ktorým sa mení a dopĺňa zákon č. 561/2007 Z. z. o investičnej pomoci a o zmene a doplnení niektorých zákonov v znení zákona č. 56/2009 Z. z. a ktorým sa menia a dopĺňajú niektoré zákony s účinnosťou od 1. augusta 2011 sa upravili podmienky pri poskytovaní príspevku na vytvorenie nového pracovného miesta (§ 53d) nadväzne na rozčlenenie okresov podľa výšky miery nezamestnanosti pre poskytnutie investičnej pomoci.</w:t>
      </w:r>
    </w:p>
    <w:p w:rsidR="00C77DC2" w:rsidRPr="00DA20F5" w:rsidRDefault="00C77DC2" w:rsidP="00D36FB8">
      <w:pPr>
        <w:pStyle w:val="123"/>
      </w:pPr>
      <w:r w:rsidRPr="00DA20F5">
        <w:t>b)</w:t>
      </w:r>
      <w:r w:rsidRPr="00DA20F5">
        <w:tab/>
        <w:t>Ostatné právne predpisy</w:t>
      </w:r>
    </w:p>
    <w:p w:rsidR="00F10DB1" w:rsidRPr="00DA20F5" w:rsidRDefault="00F10DB1" w:rsidP="00D36FB8">
      <w:pPr>
        <w:pStyle w:val="Default"/>
        <w:jc w:val="both"/>
        <w:rPr>
          <w:rFonts w:ascii="Times New Roman" w:hAnsi="Times New Roman" w:cs="Times New Roman"/>
          <w:color w:val="auto"/>
          <w:sz w:val="22"/>
          <w:szCs w:val="22"/>
        </w:rPr>
      </w:pPr>
      <w:r w:rsidRPr="00DA20F5">
        <w:rPr>
          <w:rFonts w:ascii="Times New Roman" w:hAnsi="Times New Roman" w:cs="Times New Roman"/>
          <w:color w:val="auto"/>
          <w:sz w:val="22"/>
          <w:szCs w:val="22"/>
        </w:rPr>
        <w:t>Zákonom č. 223/2011 Z. z., ktorým sa mení a dopĺňa zákon č. 82/2005 Z. z. o nelegálnej práci a nelegálnom zamestnávaní a o zmene a doplnení niektorých zákonov v znení neskorších predpisov a ktorým sa menia a dopĺňajú niektoré zákony sa s účinnosťou</w:t>
      </w:r>
      <w:r w:rsidRPr="00DA20F5">
        <w:rPr>
          <w:rFonts w:ascii="Times New Roman" w:hAnsi="Times New Roman" w:cs="Times New Roman"/>
          <w:b/>
          <w:color w:val="auto"/>
          <w:sz w:val="22"/>
          <w:szCs w:val="22"/>
        </w:rPr>
        <w:t xml:space="preserve"> </w:t>
      </w:r>
      <w:r w:rsidRPr="00DA20F5">
        <w:rPr>
          <w:rFonts w:ascii="Times New Roman" w:hAnsi="Times New Roman" w:cs="Times New Roman"/>
          <w:color w:val="auto"/>
          <w:sz w:val="22"/>
          <w:szCs w:val="22"/>
        </w:rPr>
        <w:t>od 20. júla 2011 sa</w:t>
      </w:r>
      <w:r w:rsidRPr="00DA20F5">
        <w:rPr>
          <w:rFonts w:ascii="Times New Roman" w:hAnsi="Times New Roman" w:cs="Times New Roman"/>
          <w:b/>
          <w:color w:val="auto"/>
          <w:sz w:val="22"/>
          <w:szCs w:val="22"/>
        </w:rPr>
        <w:t xml:space="preserve"> </w:t>
      </w:r>
      <w:r w:rsidRPr="00DA20F5">
        <w:rPr>
          <w:rFonts w:ascii="Times New Roman" w:hAnsi="Times New Roman" w:cs="Times New Roman"/>
          <w:color w:val="auto"/>
          <w:sz w:val="22"/>
          <w:szCs w:val="22"/>
        </w:rPr>
        <w:t>vytvoril právny rámec možnosti obsadenia voľného pracovného miesta, ktoré zodpovedá vysokokvalifikovanému zamestnaniu, štátnym príslušníkom tretej krajiny.</w:t>
      </w:r>
    </w:p>
    <w:p w:rsidR="00F10DB1" w:rsidRPr="00DA20F5" w:rsidRDefault="00F10DB1" w:rsidP="00D36FB8">
      <w:pPr>
        <w:ind w:firstLine="360"/>
        <w:rPr>
          <w:bCs/>
        </w:rPr>
      </w:pPr>
      <w:r w:rsidRPr="00DA20F5">
        <w:rPr>
          <w:bCs/>
        </w:rPr>
        <w:t xml:space="preserve">Uvedenou novelou zákona o službách zamestnanosti sa: </w:t>
      </w:r>
    </w:p>
    <w:p w:rsidR="00F10DB1" w:rsidRPr="00DA20F5" w:rsidRDefault="00F10DB1" w:rsidP="00D36FB8">
      <w:pPr>
        <w:numPr>
          <w:ilvl w:val="0"/>
          <w:numId w:val="10"/>
        </w:numPr>
        <w:tabs>
          <w:tab w:val="clear" w:pos="360"/>
          <w:tab w:val="num" w:pos="720"/>
        </w:tabs>
        <w:ind w:left="720"/>
      </w:pPr>
      <w:r w:rsidRPr="00DA20F5">
        <w:t>transponovala smernica Rady 2009/50/ES z 25. mája 2009 o podmienkach vstupu a pobytu štátnych príslušníkov tretích krajín na účely vysokokvalifikovaného zamestnania,</w:t>
      </w:r>
    </w:p>
    <w:p w:rsidR="00F10DB1" w:rsidRPr="00DA20F5" w:rsidRDefault="00F10DB1" w:rsidP="00D36FB8">
      <w:pPr>
        <w:numPr>
          <w:ilvl w:val="0"/>
          <w:numId w:val="10"/>
        </w:numPr>
        <w:tabs>
          <w:tab w:val="clear" w:pos="360"/>
          <w:tab w:val="num" w:pos="720"/>
        </w:tabs>
        <w:ind w:left="720"/>
      </w:pPr>
      <w:r w:rsidRPr="00DA20F5">
        <w:t>na účely zákona o službách zamestnanosti v súlade so smernicou 2009/50/ES vymedzil pojem štátny príslušník tretej krajiny,</w:t>
      </w:r>
    </w:p>
    <w:p w:rsidR="00F10DB1" w:rsidRPr="00DA20F5" w:rsidRDefault="00F10DB1" w:rsidP="00D36FB8">
      <w:pPr>
        <w:numPr>
          <w:ilvl w:val="0"/>
          <w:numId w:val="10"/>
        </w:numPr>
        <w:tabs>
          <w:tab w:val="clear" w:pos="360"/>
          <w:tab w:val="num" w:pos="720"/>
        </w:tabs>
        <w:ind w:left="720"/>
      </w:pPr>
      <w:r w:rsidRPr="00DA20F5">
        <w:t xml:space="preserve">doplnila nová kompetencia </w:t>
      </w:r>
      <w:r w:rsidR="007B624E" w:rsidRPr="00DA20F5">
        <w:t>ÚPSVR</w:t>
      </w:r>
      <w:r w:rsidRPr="00DA20F5">
        <w:t xml:space="preserve"> a to vydávať potvrdenie o možnosti obsadenia voľného pracovného miesta, ktoré zodpovedá vysokokvalifikovanému zamestnaniu, štátnym príslušníkom tretej krajiny,</w:t>
      </w:r>
    </w:p>
    <w:p w:rsidR="00F10DB1" w:rsidRPr="00DA20F5" w:rsidRDefault="00F10DB1" w:rsidP="00D36FB8">
      <w:pPr>
        <w:numPr>
          <w:ilvl w:val="0"/>
          <w:numId w:val="10"/>
        </w:numPr>
        <w:tabs>
          <w:tab w:val="clear" w:pos="360"/>
          <w:tab w:val="num" w:pos="720"/>
        </w:tabs>
        <w:ind w:left="720"/>
      </w:pPr>
      <w:r w:rsidRPr="00DA20F5">
        <w:t xml:space="preserve">spresnila kompetencia </w:t>
      </w:r>
      <w:r w:rsidR="007B624E" w:rsidRPr="00DA20F5">
        <w:t>ÚPSVR</w:t>
      </w:r>
      <w:r w:rsidRPr="00DA20F5">
        <w:t xml:space="preserve"> vo veci prejednávania priestupkov a rozhodovania o uložení dodatočnej platby podľa zákona č. 82/2005 Z. z.,</w:t>
      </w:r>
    </w:p>
    <w:p w:rsidR="00F10DB1" w:rsidRPr="00DA20F5" w:rsidRDefault="00F10DB1" w:rsidP="00D36FB8">
      <w:pPr>
        <w:numPr>
          <w:ilvl w:val="0"/>
          <w:numId w:val="10"/>
        </w:numPr>
        <w:tabs>
          <w:tab w:val="clear" w:pos="360"/>
          <w:tab w:val="num" w:pos="720"/>
        </w:tabs>
        <w:ind w:left="720"/>
      </w:pPr>
      <w:r w:rsidRPr="00DA20F5">
        <w:t xml:space="preserve">upravila povinnosť </w:t>
      </w:r>
      <w:r w:rsidR="007B624E" w:rsidRPr="00DA20F5">
        <w:t>ÚPSVR</w:t>
      </w:r>
      <w:r w:rsidRPr="00DA20F5">
        <w:t xml:space="preserve"> v oblasti vedenia evidencií o vykonávaní zamestnania občanov členských štátov EÚ a štátnych príslušníkov tretích krajín na území SR,</w:t>
      </w:r>
    </w:p>
    <w:p w:rsidR="00F10DB1" w:rsidRPr="00DA20F5" w:rsidRDefault="00F10DB1" w:rsidP="00D36FB8">
      <w:pPr>
        <w:numPr>
          <w:ilvl w:val="0"/>
          <w:numId w:val="10"/>
        </w:numPr>
        <w:tabs>
          <w:tab w:val="clear" w:pos="360"/>
          <w:tab w:val="num" w:pos="720"/>
        </w:tabs>
        <w:ind w:left="720"/>
      </w:pPr>
      <w:r w:rsidRPr="00DA20F5">
        <w:t>doplnila kompetencia úradu</w:t>
      </w:r>
      <w:r w:rsidR="007B624E" w:rsidRPr="00DA20F5">
        <w:t xml:space="preserve"> práce</w:t>
      </w:r>
      <w:r w:rsidRPr="00DA20F5">
        <w:t>, a to rozhodovať o uložení dodatočnej platby podľa zákona č. 82/2005 Z. z.,</w:t>
      </w:r>
    </w:p>
    <w:p w:rsidR="00F10DB1" w:rsidRPr="00DA20F5" w:rsidRDefault="00F10DB1" w:rsidP="00D36FB8">
      <w:pPr>
        <w:numPr>
          <w:ilvl w:val="0"/>
          <w:numId w:val="10"/>
        </w:numPr>
        <w:tabs>
          <w:tab w:val="clear" w:pos="360"/>
          <w:tab w:val="num" w:pos="720"/>
        </w:tabs>
        <w:ind w:left="720"/>
      </w:pPr>
      <w:r w:rsidRPr="00DA20F5">
        <w:t xml:space="preserve">upravili povinnosti úradu poskytovať </w:t>
      </w:r>
      <w:r w:rsidR="007B624E" w:rsidRPr="00DA20F5">
        <w:t>ÚPSVR</w:t>
      </w:r>
      <w:r w:rsidRPr="00DA20F5">
        <w:t xml:space="preserve"> informácie na účely vydávania potvrdení o možnosti obsadenia pracovného miesta, ktoré zodpovedá vysokokvalifikovanému zamestnaniu, štátnym príslušníkom tretej krajiny, plniť povinn</w:t>
      </w:r>
      <w:r w:rsidR="004B1E82" w:rsidRPr="00DA20F5">
        <w:t>osti podľa zákona č. 82/2005 Z. </w:t>
      </w:r>
      <w:r w:rsidRPr="00DA20F5">
        <w:t>z., v oblasti vedenia evidencií o vykonávaní zamestnania občanov EÚ a štátnych príslušníkov tretích krajín na území SR,</w:t>
      </w:r>
    </w:p>
    <w:p w:rsidR="00F10DB1" w:rsidRPr="00DA20F5" w:rsidRDefault="00F10DB1" w:rsidP="00D36FB8">
      <w:pPr>
        <w:numPr>
          <w:ilvl w:val="0"/>
          <w:numId w:val="10"/>
        </w:numPr>
        <w:tabs>
          <w:tab w:val="clear" w:pos="360"/>
          <w:tab w:val="num" w:pos="720"/>
        </w:tabs>
        <w:ind w:left="720"/>
      </w:pPr>
      <w:r w:rsidRPr="00DA20F5">
        <w:t>spresnila kompetencia úradu</w:t>
      </w:r>
      <w:r w:rsidR="007B624E" w:rsidRPr="00DA20F5">
        <w:t xml:space="preserve"> práce</w:t>
      </w:r>
      <w:r w:rsidRPr="00DA20F5">
        <w:t xml:space="preserve"> vo veci prejednávania priestupkov, </w:t>
      </w:r>
    </w:p>
    <w:p w:rsidR="00F10DB1" w:rsidRPr="00DA20F5" w:rsidRDefault="00F10DB1" w:rsidP="00D36FB8">
      <w:pPr>
        <w:numPr>
          <w:ilvl w:val="0"/>
          <w:numId w:val="10"/>
        </w:numPr>
        <w:tabs>
          <w:tab w:val="clear" w:pos="360"/>
          <w:tab w:val="num" w:pos="720"/>
        </w:tabs>
        <w:ind w:left="720"/>
      </w:pPr>
      <w:r w:rsidRPr="00DA20F5">
        <w:t>upravilo, že rovnaké právne postavenie ako občan SR na účely zákona o službách zamestnanosti má aj štátny príslušník tretej krajiny, ktorému bola udelená modrá karta Európskej únie,</w:t>
      </w:r>
    </w:p>
    <w:p w:rsidR="00F10DB1" w:rsidRPr="00DA20F5" w:rsidRDefault="00F10DB1" w:rsidP="00D36FB8">
      <w:pPr>
        <w:numPr>
          <w:ilvl w:val="0"/>
          <w:numId w:val="10"/>
        </w:numPr>
        <w:tabs>
          <w:tab w:val="clear" w:pos="360"/>
          <w:tab w:val="num" w:pos="720"/>
        </w:tabs>
        <w:ind w:left="720"/>
      </w:pPr>
      <w:r w:rsidRPr="00DA20F5">
        <w:t xml:space="preserve">upravili podmienky pre vydanie potvrdenia o možnosti obsadenia pracovného miesta, ktoré zodpovedá vysokokvalifikovanému zamestnaniu, štátnym príslušníkom tretej krajiny, </w:t>
      </w:r>
    </w:p>
    <w:p w:rsidR="00F10DB1" w:rsidRPr="00DA20F5" w:rsidRDefault="00F10DB1" w:rsidP="00D36FB8">
      <w:pPr>
        <w:numPr>
          <w:ilvl w:val="0"/>
          <w:numId w:val="10"/>
        </w:numPr>
        <w:tabs>
          <w:tab w:val="clear" w:pos="360"/>
          <w:tab w:val="num" w:pos="720"/>
        </w:tabs>
        <w:ind w:left="720"/>
      </w:pPr>
      <w:r w:rsidRPr="00DA20F5">
        <w:t>rozšírili dôvody zániku platnosti povolenia na zamestnanie; ide o prípady, ak štátny príslušník tretej krajiny s platným povolením na zamestnanie požiada o vydanie modrej karty Európskej únie (v prípade vydania modrej karty EÚ zaniká platnosť povolenia na zamestnanie),</w:t>
      </w:r>
    </w:p>
    <w:p w:rsidR="00F10DB1" w:rsidRPr="00DA20F5" w:rsidRDefault="00F10DB1" w:rsidP="00D36FB8">
      <w:pPr>
        <w:numPr>
          <w:ilvl w:val="0"/>
          <w:numId w:val="10"/>
        </w:numPr>
        <w:tabs>
          <w:tab w:val="clear" w:pos="360"/>
          <w:tab w:val="num" w:pos="720"/>
        </w:tabs>
        <w:ind w:left="720"/>
      </w:pPr>
      <w:r w:rsidRPr="00DA20F5">
        <w:t>upravili povinnosti zamestnávateľa pri zamestnávaní občanov členských štátov EÚ a štátnych príslušníkov tretích krajín,</w:t>
      </w:r>
    </w:p>
    <w:p w:rsidR="00F10DB1" w:rsidRPr="00DA20F5" w:rsidRDefault="00F10DB1" w:rsidP="00D36FB8">
      <w:pPr>
        <w:numPr>
          <w:ilvl w:val="0"/>
          <w:numId w:val="10"/>
        </w:numPr>
        <w:tabs>
          <w:tab w:val="clear" w:pos="360"/>
          <w:tab w:val="num" w:pos="720"/>
        </w:tabs>
        <w:ind w:left="720"/>
      </w:pPr>
      <w:r w:rsidRPr="00DA20F5">
        <w:lastRenderedPageBreak/>
        <w:t xml:space="preserve">upravilo, že podnety na pozastavenie alebo zrušenie činnosti agentúry dočasného zamestnávania alebo agentúry podporovaného zamestnávania môže podať príslušný inšpektorát práce, </w:t>
      </w:r>
    </w:p>
    <w:p w:rsidR="00F10DB1" w:rsidRPr="00DA20F5" w:rsidRDefault="00D84E0F" w:rsidP="00D36FB8">
      <w:pPr>
        <w:numPr>
          <w:ilvl w:val="0"/>
          <w:numId w:val="10"/>
        </w:numPr>
        <w:tabs>
          <w:tab w:val="clear" w:pos="360"/>
          <w:tab w:val="num" w:pos="720"/>
        </w:tabs>
        <w:ind w:left="720"/>
      </w:pPr>
      <w:r w:rsidRPr="00DA20F5">
        <w:t xml:space="preserve">sa </w:t>
      </w:r>
      <w:r w:rsidR="00F10DB1" w:rsidRPr="00DA20F5">
        <w:t>upravil</w:t>
      </w:r>
      <w:r w:rsidRPr="00DA20F5">
        <w:t>a klauzula jedného</w:t>
      </w:r>
      <w:r w:rsidR="00F10DB1" w:rsidRPr="00DA20F5">
        <w:t xml:space="preserve"> zo zamestnávateľov na účely poskytovania príspevku na podporu zamestnanosti na realizáciu opatrení na ochranu pred povodňami a na riešenie následkov mimoriadnej situácie podľa § 50j; a to právnická osoba, ktorá je správcom odvodňovacích systémov,</w:t>
      </w:r>
    </w:p>
    <w:p w:rsidR="00F10DB1" w:rsidRPr="00DA20F5" w:rsidRDefault="00F10DB1" w:rsidP="00D36FB8">
      <w:pPr>
        <w:numPr>
          <w:ilvl w:val="0"/>
          <w:numId w:val="10"/>
        </w:numPr>
        <w:tabs>
          <w:tab w:val="clear" w:pos="360"/>
          <w:tab w:val="num" w:pos="720"/>
        </w:tabs>
        <w:ind w:left="720"/>
      </w:pPr>
      <w:r w:rsidRPr="00DA20F5">
        <w:t xml:space="preserve">rozšírila možnosť získavania informácii z informačného systému </w:t>
      </w:r>
      <w:r w:rsidR="007B624E" w:rsidRPr="00DA20F5">
        <w:t>ÚPSVR</w:t>
      </w:r>
      <w:r w:rsidRPr="00DA20F5">
        <w:t xml:space="preserve"> a</w:t>
      </w:r>
      <w:r w:rsidR="007B624E" w:rsidRPr="00DA20F5">
        <w:t> </w:t>
      </w:r>
      <w:r w:rsidRPr="00DA20F5">
        <w:t>úradu</w:t>
      </w:r>
      <w:r w:rsidR="007B624E" w:rsidRPr="00DA20F5">
        <w:t xml:space="preserve"> práce</w:t>
      </w:r>
      <w:r w:rsidRPr="00DA20F5">
        <w:t xml:space="preserve"> Ministerstvu vnútra Slovenskej republiky, útvarom Policajného zboru a inšpektorátom práce, ktoré sú potrebné na plnenie úloh v rozsahu ich pôsobnosti. Ide napr. o informácie o vydaných, zaniknutých, zrušených alebo predĺžených povoleniach na zamestnanie štátnych príslušníkov tretích krajín a informácie o začatí zamestnania a skončení zamestnania štátneho príslušníka tretej krajiny,</w:t>
      </w:r>
    </w:p>
    <w:p w:rsidR="00F10DB1" w:rsidRPr="00DA20F5" w:rsidRDefault="00F10DB1" w:rsidP="00D36FB8">
      <w:pPr>
        <w:numPr>
          <w:ilvl w:val="0"/>
          <w:numId w:val="10"/>
        </w:numPr>
        <w:tabs>
          <w:tab w:val="clear" w:pos="360"/>
          <w:tab w:val="num" w:pos="720"/>
        </w:tabs>
        <w:ind w:left="720"/>
      </w:pPr>
      <w:r w:rsidRPr="00DA20F5">
        <w:t xml:space="preserve">spresnili dôvody, na ktoré sa prihliada pri ukladaní pokút </w:t>
      </w:r>
      <w:r w:rsidR="00665CD2" w:rsidRPr="00DA20F5">
        <w:t>Ú</w:t>
      </w:r>
      <w:r w:rsidR="00044E79" w:rsidRPr="00DA20F5">
        <w:t xml:space="preserve">PSVR </w:t>
      </w:r>
      <w:r w:rsidRPr="00DA20F5">
        <w:t>a úradom</w:t>
      </w:r>
      <w:r w:rsidR="00007827" w:rsidRPr="00DA20F5">
        <w:t xml:space="preserve"> práce</w:t>
      </w:r>
      <w:r w:rsidRPr="00DA20F5">
        <w:t>,</w:t>
      </w:r>
    </w:p>
    <w:p w:rsidR="00F10DB1" w:rsidRPr="00DA20F5" w:rsidRDefault="00F10DB1" w:rsidP="00D36FB8">
      <w:pPr>
        <w:numPr>
          <w:ilvl w:val="0"/>
          <w:numId w:val="10"/>
        </w:numPr>
        <w:tabs>
          <w:tab w:val="clear" w:pos="360"/>
          <w:tab w:val="num" w:pos="720"/>
        </w:tabs>
        <w:ind w:left="720"/>
      </w:pPr>
      <w:r w:rsidRPr="00DA20F5">
        <w:t>upravil rozsah a podmienky pri poskytovaní príspevku podľa zákona o službách zamestnanosti, ktorý predstavuje pomoc podľa Zmluvy o fungovaní EÚ.</w:t>
      </w:r>
    </w:p>
    <w:p w:rsidR="00F10DB1" w:rsidRPr="00DA20F5" w:rsidRDefault="00F10DB1" w:rsidP="00D36FB8">
      <w:pPr>
        <w:pStyle w:val="Default"/>
        <w:jc w:val="both"/>
        <w:rPr>
          <w:rFonts w:ascii="Times New Roman" w:hAnsi="Times New Roman" w:cs="Times New Roman"/>
          <w:color w:val="auto"/>
          <w:sz w:val="22"/>
          <w:szCs w:val="22"/>
        </w:rPr>
      </w:pPr>
    </w:p>
    <w:p w:rsidR="00F10DB1" w:rsidRPr="00DA20F5" w:rsidRDefault="00F10DB1" w:rsidP="00D36FB8">
      <w:pPr>
        <w:pStyle w:val="Default"/>
        <w:jc w:val="both"/>
        <w:rPr>
          <w:rFonts w:ascii="Times New Roman" w:hAnsi="Times New Roman" w:cs="Times New Roman"/>
          <w:color w:val="auto"/>
          <w:sz w:val="22"/>
          <w:szCs w:val="22"/>
        </w:rPr>
      </w:pPr>
      <w:r w:rsidRPr="00DA20F5">
        <w:rPr>
          <w:rFonts w:ascii="Times New Roman" w:hAnsi="Times New Roman" w:cs="Times New Roman"/>
          <w:color w:val="auto"/>
          <w:sz w:val="22"/>
          <w:szCs w:val="22"/>
        </w:rPr>
        <w:t>Zákonom č. 257/2011 Z. z., ktorým sa mení a dopĺňa zákon č. 311/2001 Z. z. Zákonník práce v znení neskorších predpisov a ktorým sa menia a dopĺňajú niektoré zákony s účinnosťou od 1. septembra 2011 sa spresnil právny rámec agentúr dočasného zamestnávania a ich povinností. Uvedenou novelou zákona o službách zamestnanosti sa:</w:t>
      </w:r>
    </w:p>
    <w:p w:rsidR="00F10DB1" w:rsidRPr="00DA20F5" w:rsidRDefault="00F10DB1" w:rsidP="00D36FB8">
      <w:pPr>
        <w:numPr>
          <w:ilvl w:val="0"/>
          <w:numId w:val="10"/>
        </w:numPr>
        <w:tabs>
          <w:tab w:val="clear" w:pos="360"/>
          <w:tab w:val="num" w:pos="720"/>
        </w:tabs>
        <w:ind w:left="720"/>
        <w:rPr>
          <w:szCs w:val="22"/>
        </w:rPr>
      </w:pPr>
      <w:r w:rsidRPr="00DA20F5">
        <w:rPr>
          <w:szCs w:val="22"/>
        </w:rPr>
        <w:t>dokončila transpozícia Smernice Európskeho parlamentu a Rady 2008/104/ES z 19. novembra 2008 o dočasnej agentúrnej práci, podľa ktorej dočasný agentúrny zamest</w:t>
      </w:r>
      <w:r w:rsidR="004B1E82" w:rsidRPr="00DA20F5">
        <w:rPr>
          <w:szCs w:val="22"/>
        </w:rPr>
        <w:t>nanec pracuje pod </w:t>
      </w:r>
      <w:r w:rsidRPr="00DA20F5">
        <w:rPr>
          <w:szCs w:val="22"/>
        </w:rPr>
        <w:t xml:space="preserve">dohľadom a vedením užívateľského zamestnávateľa, ku </w:t>
      </w:r>
      <w:r w:rsidR="004B1E82" w:rsidRPr="00DA20F5">
        <w:rPr>
          <w:szCs w:val="22"/>
        </w:rPr>
        <w:t>ktorému je dočasne pridelený na </w:t>
      </w:r>
      <w:r w:rsidRPr="00DA20F5">
        <w:rPr>
          <w:szCs w:val="22"/>
        </w:rPr>
        <w:t>výkon práce. Zároveň sa upravila terminológia v zmysle smernice</w:t>
      </w:r>
      <w:r w:rsidR="00665CD2" w:rsidRPr="00DA20F5">
        <w:rPr>
          <w:szCs w:val="22"/>
        </w:rPr>
        <w:t>.</w:t>
      </w:r>
    </w:p>
    <w:p w:rsidR="00F10DB1" w:rsidRPr="00DA20F5" w:rsidRDefault="00F10DB1" w:rsidP="00D36FB8">
      <w:pPr>
        <w:numPr>
          <w:ilvl w:val="0"/>
          <w:numId w:val="10"/>
        </w:numPr>
        <w:tabs>
          <w:tab w:val="clear" w:pos="360"/>
          <w:tab w:val="num" w:pos="720"/>
        </w:tabs>
        <w:ind w:left="720"/>
        <w:rPr>
          <w:szCs w:val="22"/>
        </w:rPr>
      </w:pPr>
      <w:r w:rsidRPr="00DA20F5">
        <w:rPr>
          <w:szCs w:val="22"/>
        </w:rPr>
        <w:t>ustanovil zákaz vyberania poplatku agentúrou dočasného zamestnávania od dočasného agentúrneho zamestnanca za pridelenie alebo za uzatvorenie pracovného pomeru s užívateľským zamestnávateľom po skončení tohto pridelenia,</w:t>
      </w:r>
    </w:p>
    <w:p w:rsidR="00F10DB1" w:rsidRPr="00DA20F5" w:rsidRDefault="00F10DB1" w:rsidP="00D36FB8">
      <w:pPr>
        <w:numPr>
          <w:ilvl w:val="0"/>
          <w:numId w:val="10"/>
        </w:numPr>
        <w:tabs>
          <w:tab w:val="clear" w:pos="360"/>
          <w:tab w:val="num" w:pos="720"/>
        </w:tabs>
        <w:ind w:left="720"/>
        <w:rPr>
          <w:szCs w:val="22"/>
        </w:rPr>
      </w:pPr>
      <w:r w:rsidRPr="00DA20F5">
        <w:rPr>
          <w:szCs w:val="22"/>
        </w:rPr>
        <w:t xml:space="preserve">ustanovila povinnosť </w:t>
      </w:r>
      <w:r w:rsidR="007B624E" w:rsidRPr="00DA20F5">
        <w:rPr>
          <w:szCs w:val="22"/>
        </w:rPr>
        <w:t>ÚPSVR</w:t>
      </w:r>
      <w:r w:rsidRPr="00DA20F5">
        <w:rPr>
          <w:szCs w:val="22"/>
        </w:rPr>
        <w:t xml:space="preserve"> viesť register agentúr dočasného zamestnávania,</w:t>
      </w:r>
    </w:p>
    <w:p w:rsidR="00F10DB1" w:rsidRPr="00DA20F5" w:rsidRDefault="00F10DB1" w:rsidP="00D36FB8">
      <w:pPr>
        <w:numPr>
          <w:ilvl w:val="0"/>
          <w:numId w:val="10"/>
        </w:numPr>
        <w:tabs>
          <w:tab w:val="clear" w:pos="360"/>
          <w:tab w:val="num" w:pos="720"/>
        </w:tabs>
        <w:ind w:left="720"/>
        <w:rPr>
          <w:szCs w:val="22"/>
        </w:rPr>
      </w:pPr>
      <w:r w:rsidRPr="00DA20F5">
        <w:rPr>
          <w:szCs w:val="22"/>
        </w:rPr>
        <w:t>rozšírila povinnosť agentúry dočasného zamestnávania umožniť prístup dočasnému agentúrnemu zamestnancovi k odbornému vzdelávaniu alebo k získaniu odborných zručností aj v období medzi jeho prideleniami a umožnil sa prístup dočasných agentúrnych zamestnancov k zariadeniam starostlivosti o deti,</w:t>
      </w:r>
    </w:p>
    <w:p w:rsidR="00F10DB1" w:rsidRPr="00DA20F5" w:rsidRDefault="00F10DB1" w:rsidP="00D36FB8">
      <w:pPr>
        <w:numPr>
          <w:ilvl w:val="0"/>
          <w:numId w:val="10"/>
        </w:numPr>
        <w:tabs>
          <w:tab w:val="clear" w:pos="360"/>
          <w:tab w:val="num" w:pos="720"/>
        </w:tabs>
        <w:ind w:left="720"/>
        <w:rPr>
          <w:szCs w:val="22"/>
        </w:rPr>
      </w:pPr>
      <w:r w:rsidRPr="00DA20F5">
        <w:rPr>
          <w:szCs w:val="22"/>
        </w:rPr>
        <w:t xml:space="preserve">stanovil termín, do ktorého je agentúra dočasného zamestnávania povinná </w:t>
      </w:r>
      <w:r w:rsidR="007B624E" w:rsidRPr="00DA20F5">
        <w:rPr>
          <w:szCs w:val="22"/>
        </w:rPr>
        <w:t>ÚPSVR</w:t>
      </w:r>
      <w:r w:rsidRPr="00DA20F5">
        <w:rPr>
          <w:szCs w:val="22"/>
        </w:rPr>
        <w:t xml:space="preserve"> predkladať ročnú správu o svojej činnosti.</w:t>
      </w:r>
    </w:p>
    <w:p w:rsidR="004B1E82" w:rsidRPr="00DA20F5" w:rsidRDefault="004B1E82" w:rsidP="004B1E82">
      <w:pPr>
        <w:ind w:left="720"/>
        <w:rPr>
          <w:szCs w:val="22"/>
        </w:rPr>
      </w:pPr>
    </w:p>
    <w:p w:rsidR="00F10DB1" w:rsidRPr="00DA20F5" w:rsidRDefault="00F10DB1" w:rsidP="00DC1659">
      <w:pPr>
        <w:pStyle w:val="Nadpis41"/>
      </w:pPr>
      <w:r w:rsidRPr="00DA20F5">
        <w:t>AOTP na podporu zamestnateľnosti a zvyšovanie zamestnanosti a ich uplatňovanie v roku 2011</w:t>
      </w:r>
    </w:p>
    <w:p w:rsidR="00F10DB1" w:rsidRPr="00DA20F5" w:rsidRDefault="00F10DB1" w:rsidP="00D36FB8">
      <w:r w:rsidRPr="00DA20F5">
        <w:t xml:space="preserve">Podľa zákona o službách zamestnanosti boli v roku 2011 UoZ, záujemcom o zamestnanie (ZoZ), zamestnancom za účelom ich umiestnenia a udržania na trhu práce a zamestnávateľom zabezpečené tieto aktívne opatrenia na trhu práce: </w:t>
      </w:r>
    </w:p>
    <w:p w:rsidR="00F10DB1" w:rsidRPr="00DA20F5" w:rsidRDefault="00F10DB1" w:rsidP="00D36FB8">
      <w:pPr>
        <w:rPr>
          <w:bCs/>
        </w:rPr>
      </w:pPr>
    </w:p>
    <w:p w:rsidR="00F10DB1" w:rsidRPr="00DA20F5" w:rsidRDefault="00F10DB1" w:rsidP="00D36FB8">
      <w:r w:rsidRPr="00DA20F5">
        <w:rPr>
          <w:bCs/>
        </w:rPr>
        <w:t xml:space="preserve">a) podpora zvyšovania zamestnateľnosti </w:t>
      </w:r>
      <w:r w:rsidRPr="00DA20F5">
        <w:t>uchádzačov o zamestnanie a záujemcov o zamestnanie</w:t>
      </w:r>
    </w:p>
    <w:p w:rsidR="00F10DB1" w:rsidRPr="00DA20F5" w:rsidRDefault="00F10DB1" w:rsidP="00D36FB8">
      <w:pPr>
        <w:pStyle w:val="bullet1"/>
      </w:pPr>
      <w:r w:rsidRPr="00DA20F5">
        <w:t>informačné a poradenské služby (§ 42)</w:t>
      </w:r>
    </w:p>
    <w:p w:rsidR="00F10DB1" w:rsidRPr="00DA20F5" w:rsidRDefault="00F10DB1" w:rsidP="00D36FB8">
      <w:pPr>
        <w:pStyle w:val="bullet1"/>
      </w:pPr>
      <w:r w:rsidRPr="00DA20F5">
        <w:t>odborné poradenské služby (§ 43)</w:t>
      </w:r>
    </w:p>
    <w:p w:rsidR="00F10DB1" w:rsidRPr="00DA20F5" w:rsidRDefault="00F10DB1" w:rsidP="00D36FB8">
      <w:pPr>
        <w:pStyle w:val="bullet1"/>
      </w:pPr>
      <w:r w:rsidRPr="00DA20F5">
        <w:t>vzdelávanie a príprava pre trh práce uchádzača o zamestnanie a záujemcu o zamestnanie (§ 46)</w:t>
      </w:r>
    </w:p>
    <w:p w:rsidR="00F10DB1" w:rsidRPr="00DA20F5" w:rsidRDefault="00F10DB1" w:rsidP="00D36FB8">
      <w:pPr>
        <w:pStyle w:val="bullet1"/>
      </w:pPr>
      <w:r w:rsidRPr="00DA20F5">
        <w:t>dávka počas vzdelávania prípravy pre trh práce a počas prípravy na pracovné uplatnenie</w:t>
      </w:r>
      <w:r w:rsidR="004B1E82" w:rsidRPr="00DA20F5">
        <w:t xml:space="preserve"> občana so </w:t>
      </w:r>
      <w:r w:rsidRPr="00DA20F5">
        <w:t>zdravotným postihnutím (§ 48b)</w:t>
      </w:r>
    </w:p>
    <w:p w:rsidR="00F10DB1" w:rsidRPr="00DA20F5" w:rsidRDefault="00F10DB1" w:rsidP="00D36FB8">
      <w:pPr>
        <w:pStyle w:val="bullet1"/>
      </w:pPr>
      <w:r w:rsidRPr="00DA20F5">
        <w:t>príspevok na zapracovanie znevýhodneného uchádzača o zamestnanie (§ 49a)</w:t>
      </w:r>
    </w:p>
    <w:p w:rsidR="00F10DB1" w:rsidRPr="00DA20F5" w:rsidRDefault="00F10DB1" w:rsidP="00D36FB8">
      <w:pPr>
        <w:pStyle w:val="bullet1"/>
      </w:pPr>
      <w:r w:rsidRPr="00DA20F5">
        <w:t>príspevok na vykonávanie absolventskej praxe (§ 51)</w:t>
      </w:r>
    </w:p>
    <w:p w:rsidR="00F10DB1" w:rsidRPr="00DA20F5" w:rsidRDefault="00F10DB1" w:rsidP="00D36FB8">
      <w:pPr>
        <w:pStyle w:val="bullet1"/>
      </w:pPr>
      <w:r w:rsidRPr="00DA20F5">
        <w:t>príspevok na aktivačnú činnosť formou menších obecných služieb pre obec alebo formou menších služieb pre samosprávny kraj (§ 52)</w:t>
      </w:r>
    </w:p>
    <w:p w:rsidR="00F10DB1" w:rsidRPr="00DA20F5" w:rsidRDefault="00F10DB1" w:rsidP="00D36FB8">
      <w:pPr>
        <w:pStyle w:val="bullet1"/>
      </w:pPr>
      <w:r w:rsidRPr="00DA20F5">
        <w:t>príspevok na aktivačnú činnosť formou dobrovoľníckej služby (§ 52a)</w:t>
      </w:r>
    </w:p>
    <w:p w:rsidR="00F10DB1" w:rsidRPr="00DA20F5" w:rsidRDefault="00F10DB1" w:rsidP="00D36FB8">
      <w:pPr>
        <w:pStyle w:val="bullet1"/>
      </w:pPr>
      <w:r w:rsidRPr="00DA20F5">
        <w:lastRenderedPageBreak/>
        <w:t>príprava na pracovné uplatnenie občana so zdravotným postihnutím (§ 55a)</w:t>
      </w:r>
    </w:p>
    <w:p w:rsidR="00F10DB1" w:rsidRPr="00DA20F5" w:rsidRDefault="00F10DB1" w:rsidP="00D36FB8"/>
    <w:p w:rsidR="00F10DB1" w:rsidRPr="00DA20F5" w:rsidRDefault="00F10DB1" w:rsidP="00D36FB8">
      <w:r w:rsidRPr="00DA20F5">
        <w:t xml:space="preserve">b) podpora zamestnanosti, vytvárania a udržania pracovných miest </w:t>
      </w:r>
    </w:p>
    <w:p w:rsidR="00F10DB1" w:rsidRPr="00DA20F5" w:rsidRDefault="00F10DB1" w:rsidP="00D36FB8">
      <w:pPr>
        <w:pStyle w:val="bullet1"/>
      </w:pPr>
      <w:r w:rsidRPr="00DA20F5">
        <w:t>sprostredkovanie zamestnania (§ 32)</w:t>
      </w:r>
    </w:p>
    <w:p w:rsidR="00F10DB1" w:rsidRPr="00DA20F5" w:rsidRDefault="00F10DB1" w:rsidP="00D36FB8">
      <w:pPr>
        <w:pStyle w:val="bullet1"/>
      </w:pPr>
      <w:r w:rsidRPr="00DA20F5">
        <w:t>vzdelávanie a príprava pre trh práce zamestnanca (§ 47)</w:t>
      </w:r>
    </w:p>
    <w:p w:rsidR="00F10DB1" w:rsidRPr="00DA20F5" w:rsidRDefault="00F10DB1" w:rsidP="00D36FB8">
      <w:pPr>
        <w:pStyle w:val="bullet1"/>
      </w:pPr>
      <w:r w:rsidRPr="00DA20F5">
        <w:t>príspevok na samostatnú zárobkovú činnosť (§ 49)</w:t>
      </w:r>
    </w:p>
    <w:p w:rsidR="00F10DB1" w:rsidRPr="00DA20F5" w:rsidRDefault="00F10DB1" w:rsidP="00D36FB8">
      <w:pPr>
        <w:pStyle w:val="bullet1"/>
      </w:pPr>
      <w:r w:rsidRPr="00DA20F5">
        <w:t>príspevok na zamestnávanie znevýhodneného uchádzača o zamestnanie (§ 50)</w:t>
      </w:r>
    </w:p>
    <w:p w:rsidR="00F10DB1" w:rsidRPr="00DA20F5" w:rsidRDefault="00F10DB1" w:rsidP="00D36FB8">
      <w:pPr>
        <w:pStyle w:val="bullet1"/>
      </w:pPr>
      <w:r w:rsidRPr="00DA20F5">
        <w:t>príspevok na podporu udržania v zamestnaní zamestnancov s nízkymi mzdami (§ 50a)</w:t>
      </w:r>
    </w:p>
    <w:p w:rsidR="00F10DB1" w:rsidRPr="00DA20F5" w:rsidRDefault="00F10DB1" w:rsidP="00D36FB8">
      <w:pPr>
        <w:pStyle w:val="bullet1"/>
      </w:pPr>
      <w:r w:rsidRPr="00DA20F5">
        <w:t>príspevok na podporu vytvárania a udržania pracovných miest v sociálnom podniku (§ 50c)</w:t>
      </w:r>
    </w:p>
    <w:p w:rsidR="00F10DB1" w:rsidRPr="00DA20F5" w:rsidRDefault="00F10DB1" w:rsidP="00D36FB8">
      <w:pPr>
        <w:pStyle w:val="bullet1"/>
      </w:pPr>
      <w:r w:rsidRPr="00DA20F5">
        <w:t>príspevok na podporu udržania zamestnanosti (§ 50d)</w:t>
      </w:r>
    </w:p>
    <w:p w:rsidR="00F10DB1" w:rsidRPr="00DA20F5" w:rsidRDefault="00F10DB1" w:rsidP="00D36FB8">
      <w:pPr>
        <w:pStyle w:val="bullet1"/>
      </w:pPr>
      <w:r w:rsidRPr="00DA20F5">
        <w:t>príspevok na podporu regionálnej a miestnej zamestnanosti (§ 50i)</w:t>
      </w:r>
    </w:p>
    <w:p w:rsidR="00F10DB1" w:rsidRPr="00DA20F5" w:rsidRDefault="00F10DB1" w:rsidP="00D36FB8">
      <w:pPr>
        <w:pStyle w:val="bullet1"/>
      </w:pPr>
      <w:r w:rsidRPr="00DA20F5">
        <w:t>príspevok na podporu zamestnanosti na realizáciu opatrení na ochranu pred povodňami a na riešenie následkov mimoriadnej situácie (§ 50j)</w:t>
      </w:r>
    </w:p>
    <w:p w:rsidR="00F10DB1" w:rsidRPr="00DA20F5" w:rsidRDefault="00F10DB1" w:rsidP="00D36FB8">
      <w:pPr>
        <w:pStyle w:val="bullet1"/>
      </w:pPr>
      <w:r w:rsidRPr="00DA20F5">
        <w:t>príspevok na dochádzku za prácou (§ 53)</w:t>
      </w:r>
    </w:p>
    <w:p w:rsidR="00F10DB1" w:rsidRPr="00DA20F5" w:rsidRDefault="00F10DB1" w:rsidP="00D36FB8">
      <w:pPr>
        <w:pStyle w:val="bullet1"/>
      </w:pPr>
      <w:r w:rsidRPr="00DA20F5">
        <w:t>príspevok na presťahovanie za prácou (§ 53a)</w:t>
      </w:r>
    </w:p>
    <w:p w:rsidR="00F10DB1" w:rsidRPr="00DA20F5" w:rsidRDefault="00F10DB1" w:rsidP="00D36FB8">
      <w:pPr>
        <w:pStyle w:val="bullet1"/>
      </w:pPr>
      <w:r w:rsidRPr="00DA20F5">
        <w:t>príspevok na dopravu do zamestnania (§ 53b)</w:t>
      </w:r>
    </w:p>
    <w:p w:rsidR="00F10DB1" w:rsidRPr="00DA20F5" w:rsidRDefault="00F10DB1" w:rsidP="00D36FB8">
      <w:pPr>
        <w:pStyle w:val="bullet1"/>
      </w:pPr>
      <w:r w:rsidRPr="00DA20F5">
        <w:t>príspevok na vytvorenie nového pracovného miesta (§ 53d)</w:t>
      </w:r>
    </w:p>
    <w:p w:rsidR="00F10DB1" w:rsidRPr="00DA20F5" w:rsidRDefault="00F10DB1" w:rsidP="00D36FB8">
      <w:pPr>
        <w:pStyle w:val="bullet1"/>
      </w:pPr>
      <w:r w:rsidRPr="00DA20F5">
        <w:t>pilotné projekty (§ 54)</w:t>
      </w:r>
    </w:p>
    <w:p w:rsidR="00F10DB1" w:rsidRPr="00DA20F5" w:rsidRDefault="00F10DB1" w:rsidP="00D36FB8">
      <w:pPr>
        <w:pStyle w:val="bullet1"/>
      </w:pPr>
      <w:r w:rsidRPr="00DA20F5">
        <w:t>príspevok na zriadenie chránenej dielne a chráneného pracoviska (§ 56)</w:t>
      </w:r>
    </w:p>
    <w:p w:rsidR="00F10DB1" w:rsidRPr="00DA20F5" w:rsidRDefault="00F10DB1" w:rsidP="00D36FB8">
      <w:pPr>
        <w:pStyle w:val="bullet1"/>
      </w:pPr>
      <w:r w:rsidRPr="00DA20F5">
        <w:t>príspevok na udržanie občana so zdravotným postihnutím v zamestnaní (§ 56a)</w:t>
      </w:r>
    </w:p>
    <w:p w:rsidR="00F10DB1" w:rsidRPr="00DA20F5" w:rsidRDefault="00F10DB1" w:rsidP="00D36FB8">
      <w:pPr>
        <w:pStyle w:val="bullet1"/>
      </w:pPr>
      <w:r w:rsidRPr="00DA20F5">
        <w:t>príspevok občanovi so zdravotným postihnutím na prevádzkovanie alebo vykonávanie samostatnej zárobkovej činnosti (§ 57)</w:t>
      </w:r>
    </w:p>
    <w:p w:rsidR="00F10DB1" w:rsidRPr="00DA20F5" w:rsidRDefault="00F10DB1" w:rsidP="00D36FB8">
      <w:pPr>
        <w:pStyle w:val="bullet1"/>
      </w:pPr>
      <w:r w:rsidRPr="00DA20F5">
        <w:t>príspevok na obnovu alebo technické zhodnotenie hmotného majetku chránenej dielne alebo chráneného pracoviska (§ 57a)</w:t>
      </w:r>
    </w:p>
    <w:p w:rsidR="00F10DB1" w:rsidRPr="00DA20F5" w:rsidRDefault="00F10DB1" w:rsidP="00D36FB8">
      <w:pPr>
        <w:pStyle w:val="bullet1"/>
        <w:rPr>
          <w:b/>
          <w:bCs/>
        </w:rPr>
      </w:pPr>
      <w:r w:rsidRPr="00DA20F5">
        <w:t>príspevok na činnosť pracovného asistenta (§ 59)</w:t>
      </w:r>
    </w:p>
    <w:p w:rsidR="00F10DB1" w:rsidRPr="00DA20F5" w:rsidRDefault="00F10DB1" w:rsidP="00D36FB8">
      <w:pPr>
        <w:pStyle w:val="bullet1"/>
        <w:rPr>
          <w:b/>
          <w:bCs/>
        </w:rPr>
      </w:pPr>
      <w:r w:rsidRPr="00DA20F5">
        <w:t>príspevok na úhradu prevádzkových nákladov chránenej dielne a</w:t>
      </w:r>
      <w:r w:rsidR="004B1E82" w:rsidRPr="00DA20F5">
        <w:t>lebo chráneného pracoviska a na </w:t>
      </w:r>
      <w:r w:rsidRPr="00DA20F5">
        <w:t>úhradu nákladov na dopravu zamestnancov (§ 60)</w:t>
      </w:r>
    </w:p>
    <w:p w:rsidR="00F10DB1" w:rsidRPr="00DA20F5" w:rsidRDefault="00F10DB1" w:rsidP="00D36FB8"/>
    <w:p w:rsidR="00F10DB1" w:rsidRPr="00DA20F5" w:rsidRDefault="00F10DB1" w:rsidP="00D36FB8">
      <w:r w:rsidRPr="00DA20F5">
        <w:t xml:space="preserve">AOTP v zmysle zákona o službách zamestnanosti boli realizované </w:t>
      </w:r>
      <w:r w:rsidR="007B624E" w:rsidRPr="00DA20F5">
        <w:t>ÚPSVR</w:t>
      </w:r>
      <w:r w:rsidRPr="00DA20F5">
        <w:t xml:space="preserve"> a úradmi </w:t>
      </w:r>
      <w:r w:rsidR="007B624E" w:rsidRPr="00DA20F5">
        <w:t xml:space="preserve">práce </w:t>
      </w:r>
      <w:r w:rsidR="004B1E82" w:rsidRPr="00DA20F5">
        <w:t>a </w:t>
      </w:r>
      <w:r w:rsidRPr="00DA20F5">
        <w:t xml:space="preserve">kontinuálne prechádzali z roku 2010 do roku 2011, avšak pri mesačnom sledovaní realizácie AOTP možno u niektorých nástrojov pozorovať ich výrazne sezónny charakter. </w:t>
      </w:r>
    </w:p>
    <w:p w:rsidR="00F10DB1" w:rsidRPr="00DA20F5" w:rsidRDefault="00F10DB1" w:rsidP="00D36FB8">
      <w:pPr>
        <w:pStyle w:val="Normlnysozarkami12"/>
      </w:pPr>
      <w:r w:rsidRPr="00DA20F5">
        <w:t>Väčšina z AOTP sa realizovala prostredníctvom národných pro</w:t>
      </w:r>
      <w:r w:rsidR="004B1E82" w:rsidRPr="00DA20F5">
        <w:t>jektov, ktoré sú financované zo </w:t>
      </w:r>
      <w:r w:rsidRPr="00DA20F5">
        <w:t xml:space="preserve">zdrojov Európskeho sociálneho fondu a spolufinancované zo zdrojov štátneho rozpočtu. V roku 2011 bolo podporených celkovo viac ako 137 tis. UoZ, ZoZ, resp. zamestnancov/pracovných miest v celkovej sume dohodnutých finančných prostriedkov vo výške viac ako 180 mil. €. Prehľad o uplatňovaní jednotlivých AOTP v roku 2011 je </w:t>
      </w:r>
      <w:r w:rsidR="002F1BC5" w:rsidRPr="00DA20F5">
        <w:t xml:space="preserve">uvedený v prílohe ku kapitole 2 - </w:t>
      </w:r>
      <w:r w:rsidRPr="00DA20F5">
        <w:t>Prehľad realizácie aktívnych opatrení na trhu práce a v tab. č. 6 a 7.</w:t>
      </w:r>
    </w:p>
    <w:p w:rsidR="008D25A5" w:rsidRPr="00DA20F5" w:rsidRDefault="008D25A5" w:rsidP="00D36FB8">
      <w:pPr>
        <w:pStyle w:val="Normlnysozarkami12"/>
      </w:pPr>
    </w:p>
    <w:p w:rsidR="008D25A5" w:rsidRPr="00DA20F5" w:rsidRDefault="008D25A5" w:rsidP="00D36FB8">
      <w:pPr>
        <w:jc w:val="left"/>
        <w:rPr>
          <w:rFonts w:ascii="Times New Roman Bold" w:hAnsi="Times New Roman Bold"/>
          <w:b/>
          <w:bCs/>
          <w:iCs/>
          <w:color w:val="365F91"/>
          <w:sz w:val="28"/>
          <w:szCs w:val="22"/>
          <w:lang w:eastAsia="cs-CZ"/>
        </w:rPr>
      </w:pPr>
      <w:r w:rsidRPr="00DA20F5">
        <w:br w:type="page"/>
      </w:r>
    </w:p>
    <w:p w:rsidR="00F10DB1" w:rsidRPr="00DA20F5" w:rsidRDefault="00F10DB1" w:rsidP="00D36FB8">
      <w:pPr>
        <w:pStyle w:val="nadpis2"/>
      </w:pPr>
      <w:bookmarkStart w:id="300" w:name="_Toc326216991"/>
      <w:r w:rsidRPr="00DA20F5">
        <w:lastRenderedPageBreak/>
        <w:t>Mzdy a pracovné podmienky</w:t>
      </w:r>
      <w:bookmarkEnd w:id="300"/>
    </w:p>
    <w:p w:rsidR="00F10DB1" w:rsidRPr="00DA20F5" w:rsidRDefault="00F10DB1" w:rsidP="00D36FB8">
      <w:pPr>
        <w:rPr>
          <w:rStyle w:val="heading4Char0"/>
          <w:color w:val="auto"/>
        </w:rPr>
      </w:pPr>
      <w:r w:rsidRPr="00DA20F5">
        <w:rPr>
          <w:rStyle w:val="heading4Char0"/>
          <w:color w:val="auto"/>
        </w:rPr>
        <w:t>Vyhodnotenie zmien právnych predpisov v roku 2011 v oblasti</w:t>
      </w:r>
      <w:r w:rsidRPr="00DA20F5">
        <w:rPr>
          <w:b/>
          <w:szCs w:val="22"/>
        </w:rPr>
        <w:t xml:space="preserve"> </w:t>
      </w:r>
      <w:r w:rsidRPr="00DA20F5">
        <w:rPr>
          <w:rStyle w:val="heading4Char0"/>
          <w:color w:val="auto"/>
        </w:rPr>
        <w:t xml:space="preserve">miezd a pracovných podmienok </w:t>
      </w:r>
    </w:p>
    <w:p w:rsidR="00F10DB1" w:rsidRPr="00DA20F5" w:rsidRDefault="00F10DB1" w:rsidP="00D36FB8">
      <w:pPr>
        <w:rPr>
          <w:szCs w:val="25"/>
        </w:rPr>
      </w:pPr>
    </w:p>
    <w:p w:rsidR="00F10DB1" w:rsidRPr="00DA20F5" w:rsidRDefault="00F10DB1" w:rsidP="00DB509D">
      <w:pPr>
        <w:numPr>
          <w:ilvl w:val="0"/>
          <w:numId w:val="11"/>
        </w:numPr>
        <w:tabs>
          <w:tab w:val="clear" w:pos="1068"/>
          <w:tab w:val="left" w:pos="0"/>
        </w:tabs>
        <w:overflowPunct w:val="0"/>
        <w:autoSpaceDE w:val="0"/>
        <w:autoSpaceDN w:val="0"/>
        <w:adjustRightInd w:val="0"/>
        <w:ind w:left="360"/>
        <w:textAlignment w:val="baseline"/>
        <w:rPr>
          <w:b/>
          <w:szCs w:val="22"/>
        </w:rPr>
      </w:pPr>
      <w:r w:rsidRPr="00DA20F5">
        <w:rPr>
          <w:b/>
          <w:szCs w:val="22"/>
        </w:rPr>
        <w:t xml:space="preserve">Minimálna mzda </w:t>
      </w:r>
    </w:p>
    <w:p w:rsidR="00F10DB1" w:rsidRPr="00DA20F5" w:rsidRDefault="00F10DB1" w:rsidP="00D36FB8">
      <w:pPr>
        <w:rPr>
          <w:b/>
          <w:szCs w:val="25"/>
        </w:rPr>
      </w:pPr>
    </w:p>
    <w:p w:rsidR="00F10DB1" w:rsidRPr="00DA20F5" w:rsidRDefault="00F10DB1" w:rsidP="00D36FB8">
      <w:pPr>
        <w:ind w:firstLine="360"/>
        <w:rPr>
          <w:szCs w:val="22"/>
        </w:rPr>
      </w:pPr>
      <w:r w:rsidRPr="00DA20F5">
        <w:rPr>
          <w:b/>
          <w:szCs w:val="22"/>
        </w:rPr>
        <w:t>Zákon č. 663/2007 Z. z. o minimálnej mzde</w:t>
      </w:r>
      <w:r w:rsidRPr="00DA20F5">
        <w:rPr>
          <w:szCs w:val="22"/>
        </w:rPr>
        <w:t xml:space="preserve"> v znení neskorších predpisov o minimálnej mzde v roku 2011 nebol novelizovaný. S účinnosťou od 1. januára 2011 vláda Slovenskej republiky ustanovila nariadením vlády SR č. </w:t>
      </w:r>
      <w:r w:rsidRPr="00DA20F5">
        <w:rPr>
          <w:b/>
          <w:szCs w:val="22"/>
        </w:rPr>
        <w:t>408/2010 Z. z.</w:t>
      </w:r>
      <w:r w:rsidR="00C77DC2" w:rsidRPr="00DA20F5">
        <w:rPr>
          <w:szCs w:val="22"/>
        </w:rPr>
        <w:t xml:space="preserve"> sumu minimálnej mzdy na </w:t>
      </w:r>
      <w:r w:rsidRPr="00DA20F5">
        <w:rPr>
          <w:b/>
          <w:szCs w:val="22"/>
        </w:rPr>
        <w:t xml:space="preserve">317,00 </w:t>
      </w:r>
      <w:r w:rsidR="00F7214D" w:rsidRPr="00DA20F5">
        <w:rPr>
          <w:b/>
          <w:szCs w:val="22"/>
        </w:rPr>
        <w:t>€</w:t>
      </w:r>
      <w:r w:rsidRPr="00DA20F5">
        <w:rPr>
          <w:b/>
          <w:szCs w:val="22"/>
        </w:rPr>
        <w:t xml:space="preserve"> za mesiac</w:t>
      </w:r>
      <w:r w:rsidR="004B1E82" w:rsidRPr="00DA20F5">
        <w:rPr>
          <w:szCs w:val="22"/>
        </w:rPr>
        <w:t xml:space="preserve"> pre </w:t>
      </w:r>
      <w:r w:rsidRPr="00DA20F5">
        <w:rPr>
          <w:szCs w:val="22"/>
        </w:rPr>
        <w:t xml:space="preserve">zamestnanca odmeňovaného mesačnou mzdou a </w:t>
      </w:r>
      <w:r w:rsidRPr="00DA20F5">
        <w:rPr>
          <w:b/>
          <w:szCs w:val="22"/>
        </w:rPr>
        <w:t xml:space="preserve">1,822 </w:t>
      </w:r>
      <w:r w:rsidR="00F7214D" w:rsidRPr="00DA20F5">
        <w:rPr>
          <w:b/>
          <w:szCs w:val="22"/>
        </w:rPr>
        <w:t>€</w:t>
      </w:r>
      <w:r w:rsidRPr="00DA20F5">
        <w:rPr>
          <w:b/>
          <w:szCs w:val="22"/>
        </w:rPr>
        <w:t xml:space="preserve"> za hodinu</w:t>
      </w:r>
      <w:r w:rsidRPr="00DA20F5">
        <w:rPr>
          <w:szCs w:val="22"/>
        </w:rPr>
        <w:t xml:space="preserve"> odpracovanú zamestnancom pre ostatných zamestnancov.</w:t>
      </w:r>
    </w:p>
    <w:p w:rsidR="00F10DB1" w:rsidRPr="00DA20F5" w:rsidRDefault="00F10DB1" w:rsidP="00D36FB8">
      <w:pPr>
        <w:ind w:firstLine="360"/>
        <w:rPr>
          <w:szCs w:val="22"/>
        </w:rPr>
      </w:pPr>
      <w:r w:rsidRPr="00DA20F5">
        <w:rPr>
          <w:szCs w:val="22"/>
        </w:rPr>
        <w:t>V roku 2011 v súlade so splnomocňovacím ustanovením zákona o minimálnej mzde vláda Slovenskej republiky schválila nariadenie vlády SR, ktorým sa s</w:t>
      </w:r>
      <w:r w:rsidRPr="00DA20F5">
        <w:rPr>
          <w:rFonts w:ascii="ms sans serif" w:hAnsi="ms sans serif"/>
          <w:szCs w:val="32"/>
          <w:lang w:bidi="bn-BD"/>
        </w:rPr>
        <w:t xml:space="preserve">uma minimálnej mzdy na rok 2012 ustanovila na </w:t>
      </w:r>
      <w:r w:rsidRPr="00DA20F5">
        <w:rPr>
          <w:rFonts w:ascii="ms sans serif" w:hAnsi="ms sans serif"/>
          <w:b/>
          <w:bCs/>
          <w:szCs w:val="32"/>
          <w:lang w:bidi="bn-BD"/>
        </w:rPr>
        <w:t xml:space="preserve">327,20 </w:t>
      </w:r>
      <w:r w:rsidR="00F7214D" w:rsidRPr="00DA20F5">
        <w:rPr>
          <w:rFonts w:ascii="ms sans serif" w:hAnsi="ms sans serif"/>
          <w:b/>
          <w:bCs/>
          <w:szCs w:val="32"/>
          <w:lang w:bidi="bn-BD"/>
        </w:rPr>
        <w:t>€</w:t>
      </w:r>
      <w:r w:rsidRPr="00DA20F5">
        <w:rPr>
          <w:rFonts w:ascii="ms sans serif" w:hAnsi="ms sans serif"/>
          <w:b/>
          <w:bCs/>
          <w:szCs w:val="32"/>
          <w:lang w:bidi="bn-BD"/>
        </w:rPr>
        <w:t xml:space="preserve"> za mesiac</w:t>
      </w:r>
      <w:r w:rsidRPr="00DA20F5">
        <w:rPr>
          <w:rFonts w:ascii="ms sans serif" w:hAnsi="ms sans serif"/>
          <w:szCs w:val="32"/>
          <w:lang w:bidi="bn-BD"/>
        </w:rPr>
        <w:t xml:space="preserve"> pre zamestnanca odmeňovaného mesačnou mzdou</w:t>
      </w:r>
      <w:r w:rsidR="00C77DC2" w:rsidRPr="00DA20F5">
        <w:rPr>
          <w:rFonts w:ascii="ms sans serif" w:hAnsi="ms sans serif"/>
          <w:szCs w:val="32"/>
          <w:lang w:bidi="bn-BD"/>
        </w:rPr>
        <w:t xml:space="preserve"> a</w:t>
      </w:r>
      <w:r w:rsidRPr="00DA20F5">
        <w:rPr>
          <w:rFonts w:ascii="ms sans serif" w:hAnsi="ms sans serif"/>
          <w:szCs w:val="32"/>
          <w:lang w:bidi="bn-BD"/>
        </w:rPr>
        <w:t xml:space="preserve"> </w:t>
      </w:r>
      <w:r w:rsidRPr="00DA20F5">
        <w:rPr>
          <w:rFonts w:ascii="ms sans serif" w:hAnsi="ms sans serif"/>
          <w:b/>
          <w:bCs/>
          <w:szCs w:val="32"/>
          <w:lang w:bidi="bn-BD"/>
        </w:rPr>
        <w:t xml:space="preserve">1,880 </w:t>
      </w:r>
      <w:r w:rsidR="00F7214D" w:rsidRPr="00DA20F5">
        <w:rPr>
          <w:rFonts w:ascii="ms sans serif" w:hAnsi="ms sans serif"/>
          <w:b/>
          <w:bCs/>
          <w:szCs w:val="32"/>
          <w:lang w:bidi="bn-BD"/>
        </w:rPr>
        <w:t>€</w:t>
      </w:r>
      <w:r w:rsidR="004B1E82" w:rsidRPr="00DA20F5">
        <w:rPr>
          <w:rFonts w:ascii="ms sans serif" w:hAnsi="ms sans serif"/>
          <w:b/>
          <w:bCs/>
          <w:szCs w:val="32"/>
          <w:lang w:bidi="bn-BD"/>
        </w:rPr>
        <w:t xml:space="preserve"> za </w:t>
      </w:r>
      <w:r w:rsidRPr="00DA20F5">
        <w:rPr>
          <w:rFonts w:ascii="ms sans serif" w:hAnsi="ms sans serif"/>
          <w:b/>
          <w:bCs/>
          <w:szCs w:val="32"/>
          <w:lang w:bidi="bn-BD"/>
        </w:rPr>
        <w:t>hodinu</w:t>
      </w:r>
      <w:r w:rsidRPr="00DA20F5">
        <w:rPr>
          <w:rFonts w:ascii="ms sans serif" w:hAnsi="ms sans serif"/>
          <w:szCs w:val="32"/>
          <w:lang w:bidi="bn-BD"/>
        </w:rPr>
        <w:t xml:space="preserve"> odpracovanú zamestnancom </w:t>
      </w:r>
      <w:r w:rsidRPr="00DA20F5">
        <w:rPr>
          <w:szCs w:val="22"/>
        </w:rPr>
        <w:t>pre ostatných zamestnancov.</w:t>
      </w:r>
    </w:p>
    <w:p w:rsidR="008D25A5" w:rsidRPr="00DA20F5" w:rsidRDefault="008D25A5" w:rsidP="00D36FB8">
      <w:pPr>
        <w:ind w:firstLine="708"/>
        <w:rPr>
          <w:rFonts w:ascii="ms sans serif" w:hAnsi="ms sans serif"/>
          <w:szCs w:val="32"/>
          <w:lang w:bidi="bn-BD"/>
        </w:rPr>
      </w:pPr>
    </w:p>
    <w:p w:rsidR="00F10DB1" w:rsidRPr="00DA20F5" w:rsidRDefault="00F10DB1" w:rsidP="00D36FB8">
      <w:pPr>
        <w:tabs>
          <w:tab w:val="left" w:pos="426"/>
        </w:tabs>
        <w:rPr>
          <w:b/>
        </w:rPr>
      </w:pPr>
      <w:r w:rsidRPr="00DA20F5">
        <w:rPr>
          <w:b/>
        </w:rPr>
        <w:t>b)</w:t>
      </w:r>
      <w:r w:rsidRPr="00DA20F5">
        <w:rPr>
          <w:b/>
        </w:rPr>
        <w:tab/>
        <w:t>Zákonník práce</w:t>
      </w:r>
    </w:p>
    <w:p w:rsidR="00F10DB1" w:rsidRPr="00DA20F5" w:rsidRDefault="00C77DC2" w:rsidP="00D36FB8">
      <w:pPr>
        <w:autoSpaceDE w:val="0"/>
        <w:autoSpaceDN w:val="0"/>
        <w:adjustRightInd w:val="0"/>
        <w:spacing w:before="120"/>
        <w:rPr>
          <w:b/>
        </w:rPr>
      </w:pPr>
      <w:r w:rsidRPr="00DA20F5">
        <w:t>O</w:t>
      </w:r>
      <w:r w:rsidR="00F10DB1" w:rsidRPr="00DA20F5">
        <w:t xml:space="preserve">d apríla 2011 nadobudol účinnosť </w:t>
      </w:r>
      <w:r w:rsidR="00F10DB1" w:rsidRPr="00DA20F5">
        <w:rPr>
          <w:b/>
        </w:rPr>
        <w:t>zákon č. 48/2011 Z. z</w:t>
      </w:r>
      <w:r w:rsidR="00F10DB1" w:rsidRPr="00DA20F5">
        <w:t>., ktorým sa mení a dopĺňa zákon č. 311/2001 Z. z. Zákonník práce v znení neskorších predpisov, ktorého cieľom bolo upraviť v zmysle požiadavky Európskej komisie</w:t>
      </w:r>
      <w:r w:rsidR="00387249" w:rsidRPr="00DA20F5">
        <w:t xml:space="preserve"> (EK)</w:t>
      </w:r>
      <w:r w:rsidR="00F10DB1" w:rsidRPr="00DA20F5">
        <w:t xml:space="preserve"> ustanovenia, ktoré sa týkajú rovnakého zaobchádzania, návratu zamestnankyne do práce po skončení materskej dovolenky a zamestnanca po skončení rodičovskej dovolenky (po 34 týždňoch) a návratu zamestnankyne alebo zamestnanca do práce po skončení rodičovskej dovolenky (dovŕšenie troch rokov veku dieťaťa alebo šesť rokov veku dieťaťa, ak ide o dieťa s dlhodobo nepriaznivým zdravotným stavom vyžadujúcim osobitnú starostlivosť). Novelou sa zjednodušilo a upravilo zriadenie, zloženie a činnosť európskych zamestnaneckých rád v zmysle smernice 2009/38/ES.</w:t>
      </w:r>
      <w:r w:rsidR="00F10DB1" w:rsidRPr="00DA20F5">
        <w:rPr>
          <w:b/>
        </w:rPr>
        <w:t xml:space="preserve"> </w:t>
      </w:r>
    </w:p>
    <w:p w:rsidR="00F10DB1" w:rsidRPr="00DA20F5" w:rsidRDefault="00C77DC2" w:rsidP="00D36FB8">
      <w:pPr>
        <w:tabs>
          <w:tab w:val="num" w:pos="1302"/>
        </w:tabs>
        <w:autoSpaceDE w:val="0"/>
        <w:autoSpaceDN w:val="0"/>
        <w:adjustRightInd w:val="0"/>
        <w:spacing w:before="120"/>
      </w:pPr>
      <w:r w:rsidRPr="00DA20F5">
        <w:t>O</w:t>
      </w:r>
      <w:r w:rsidR="00F10DB1" w:rsidRPr="00DA20F5">
        <w:t xml:space="preserve">d septembra 2011 nadobudol účinnosť </w:t>
      </w:r>
      <w:r w:rsidR="00F10DB1" w:rsidRPr="00DA20F5">
        <w:rPr>
          <w:b/>
        </w:rPr>
        <w:t>zákon č. 257/2011 Z. z</w:t>
      </w:r>
      <w:r w:rsidR="00F10DB1" w:rsidRPr="00DA20F5">
        <w:t>., k</w:t>
      </w:r>
      <w:r w:rsidR="004B1E82" w:rsidRPr="00DA20F5">
        <w:t>torým sa mení a dopĺňa zákon č. </w:t>
      </w:r>
      <w:r w:rsidR="00F10DB1" w:rsidRPr="00DA20F5">
        <w:t>311/2001 Z. z. Zákonník práce v znení neskorších predpisov. Cieľom novely Zákonníka práce bolo zabezpečiť väčšiu flexibilitu pracovnoprávnych vzťahov, motivovať zamestnávateľov k podpore zosúladenia pracovných a rodičovských povinností. Vyššia flexibilita Zákonníka práce má viesť k vytváraniu nových pracovných miest a k zachovaniu existujúcich pracovných miest.</w:t>
      </w:r>
      <w:r w:rsidR="00F10DB1" w:rsidRPr="00DA20F5">
        <w:rPr>
          <w:b/>
          <w:bCs/>
        </w:rPr>
        <w:t xml:space="preserve"> </w:t>
      </w:r>
      <w:r w:rsidR="00F10DB1" w:rsidRPr="00DA20F5">
        <w:rPr>
          <w:bCs/>
        </w:rPr>
        <w:t>Konkrétne zmeny sa týkali zavedenia dlhšej skúšobnej doby v prípade niektorých skupín vedúcich zamestnancov, skrátila sa základná výpovedná doba na jeden mesiac, zaviedla sa nová definícia hromadného prepúšťania, ktorá má umožniť vyššiu mieru flexibility pri skončení pracovného pomeru s väčším počtom zamestnancov, zrušil sa súbeh výpovednej doby a odstupného, zaviedol sa nový spôsob rozvrhnutia pracovného času - konto pracovného času a zaviedlo sa flexikonto</w:t>
      </w:r>
      <w:r w:rsidR="00F10DB1" w:rsidRPr="00DA20F5">
        <w:t xml:space="preserve"> (prekážka v práci na strane zamestnávateľa)</w:t>
      </w:r>
      <w:r w:rsidR="00F10DB1" w:rsidRPr="00DA20F5">
        <w:rPr>
          <w:bCs/>
        </w:rPr>
        <w:t xml:space="preserve"> ako trvalý právny inštitút</w:t>
      </w:r>
      <w:r w:rsidR="00F10DB1" w:rsidRPr="00DA20F5">
        <w:t>, ktorý zamestnávateľ môže využiť ako jeden zo spôsobov riešenia osobitnej situácie (vážne prevádzkové dôvody), ktorá u neho nastala a pre ktorú nemôže zamestnancom prideľovať prácu</w:t>
      </w:r>
      <w:r w:rsidR="00F10DB1" w:rsidRPr="00DA20F5">
        <w:rPr>
          <w:bCs/>
        </w:rPr>
        <w:t>.</w:t>
      </w:r>
      <w:r w:rsidR="00F10DB1" w:rsidRPr="00DA20F5">
        <w:t xml:space="preserve"> V oblasti zosúladenia pracovného a rodinného života sa zmeny týkali flexibilnejšej úpravy pracovného pomeru na určitú dobu, flexibilnejšej úpravy pružného pracovného času, spresnila sa možnosť kumulovania pracovného voľna, ktoré sa poskytuje za prácu nadčas na určité obdobie, zaviedol sa nový inštitút deleného pracovného miesta a umožnilo sa zamestnávateľovi dohodnúť sa so zamestnancom na posunutí čerpania rodičovskej dovolenky (až do dovŕšenia päť rokov veku dieťaťa).</w:t>
      </w:r>
    </w:p>
    <w:p w:rsidR="00F10DB1" w:rsidRPr="00DA20F5" w:rsidRDefault="008D25A5" w:rsidP="00D36FB8">
      <w:pPr>
        <w:pStyle w:val="Normlnysozarkami12"/>
        <w:tabs>
          <w:tab w:val="left" w:pos="426"/>
        </w:tabs>
        <w:spacing w:before="120"/>
        <w:ind w:firstLine="0"/>
        <w:rPr>
          <w:i/>
        </w:rPr>
      </w:pPr>
      <w:r w:rsidRPr="00DA20F5">
        <w:rPr>
          <w:b/>
        </w:rPr>
        <w:t>c)</w:t>
      </w:r>
      <w:r w:rsidRPr="00DA20F5">
        <w:rPr>
          <w:b/>
        </w:rPr>
        <w:tab/>
      </w:r>
      <w:r w:rsidR="00F10DB1" w:rsidRPr="00DA20F5">
        <w:rPr>
          <w:b/>
        </w:rPr>
        <w:t>Zákon č. 253/1994 Z. z. o právnom postavení a platových pomeroch starostov obcí a primátorov miest</w:t>
      </w:r>
      <w:r w:rsidR="00F10DB1" w:rsidRPr="00DA20F5">
        <w:rPr>
          <w:b/>
          <w:i/>
        </w:rPr>
        <w:t xml:space="preserve"> </w:t>
      </w:r>
      <w:r w:rsidR="00F10DB1" w:rsidRPr="00DA20F5">
        <w:rPr>
          <w:i/>
        </w:rPr>
        <w:t>(ďalej len „zákon o starostoch“)</w:t>
      </w:r>
    </w:p>
    <w:p w:rsidR="008D25A5" w:rsidRPr="00DA20F5" w:rsidRDefault="008D25A5" w:rsidP="00D36FB8">
      <w:pPr>
        <w:pStyle w:val="Normlnysozarkami12"/>
        <w:tabs>
          <w:tab w:val="left" w:pos="426"/>
        </w:tabs>
        <w:spacing w:before="120"/>
        <w:ind w:firstLine="0"/>
        <w:rPr>
          <w:i/>
        </w:rPr>
      </w:pPr>
    </w:p>
    <w:p w:rsidR="00F10DB1" w:rsidRPr="00DA20F5" w:rsidRDefault="00F10DB1" w:rsidP="00D36FB8">
      <w:pPr>
        <w:pStyle w:val="Normlnysozarkami12"/>
      </w:pPr>
      <w:r w:rsidRPr="00DA20F5">
        <w:tab/>
        <w:t xml:space="preserve">Platy poskytované z verejných financií voleným funkcionárom a štátnym zamestnancom reguluje štát prostredníctvom normotvorby Národnej rady Slovenskej republiky (ďalej len NR SR). Vzhľadom na ekonomickú situáciu Slovenskej republiky bolo potrebné pristúpiť k úprave pravidiel formou novely zákona o starostoch. Z dôvodovej správy vyplýva, že cieľom tejto legislatívnej úpravy je zabrániť zadlžovaniu samospráv a preniesť zodpovednosť za ich hospodárenie aj na starostov a primátorov, čím sa má zabezpečiť princíp zásluhovosti pri výkone ich funkcie. </w:t>
      </w:r>
    </w:p>
    <w:p w:rsidR="00F10DB1" w:rsidRPr="00DA20F5" w:rsidRDefault="00F10DB1" w:rsidP="00D36FB8">
      <w:pPr>
        <w:pStyle w:val="Normlnysozarkami12"/>
      </w:pPr>
      <w:r w:rsidRPr="00DA20F5">
        <w:lastRenderedPageBreak/>
        <w:tab/>
        <w:t>Zákon o starostoch sa s účinnosťou od 1. júna 2011 menil zákonom NR SR č. 154/2011 Z. z. nasledovne:</w:t>
      </w:r>
    </w:p>
    <w:p w:rsidR="00F10DB1" w:rsidRPr="00DA20F5" w:rsidRDefault="00F10DB1" w:rsidP="00D36FB8">
      <w:pPr>
        <w:pStyle w:val="Normlnysozarkami12"/>
      </w:pPr>
      <w:r w:rsidRPr="00DA20F5">
        <w:t xml:space="preserve">Dôležitou úpravou v priebehu roka 2011 je zníženie koeficientu výpočtu u všetkých platových skupín starostov obcí a primátorov miest, ktoré sú odvodené od priemernej mesačnej mzdy zamestnanca v národnom hospodárstve o 10 % nadol. </w:t>
      </w:r>
    </w:p>
    <w:p w:rsidR="008D25A5" w:rsidRPr="00DA20F5" w:rsidRDefault="008D25A5" w:rsidP="00D36FB8">
      <w:pPr>
        <w:pStyle w:val="Normlnysozarkami12"/>
      </w:pPr>
    </w:p>
    <w:tbl>
      <w:tblPr>
        <w:tblW w:w="3602"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999"/>
        <w:gridCol w:w="1215"/>
        <w:gridCol w:w="2565"/>
        <w:gridCol w:w="1911"/>
      </w:tblGrid>
      <w:tr w:rsidR="00665CD2" w:rsidRPr="00DA20F5" w:rsidTr="00E83770">
        <w:trPr>
          <w:trHeight w:val="260"/>
          <w:jc w:val="center"/>
        </w:trPr>
        <w:tc>
          <w:tcPr>
            <w:tcW w:w="747"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Skupina</w:t>
            </w:r>
          </w:p>
        </w:tc>
        <w:tc>
          <w:tcPr>
            <w:tcW w:w="2825" w:type="pct"/>
            <w:gridSpan w:val="2"/>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veľkosť obce/mesta</w:t>
            </w:r>
          </w:p>
        </w:tc>
        <w:tc>
          <w:tcPr>
            <w:tcW w:w="1428"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násobok priemernej mzdy</w:t>
            </w:r>
          </w:p>
        </w:tc>
      </w:tr>
      <w:tr w:rsidR="00665CD2" w:rsidRPr="00DA20F5" w:rsidTr="00A05573">
        <w:trPr>
          <w:trHeight w:val="236"/>
          <w:jc w:val="center"/>
        </w:trPr>
        <w:tc>
          <w:tcPr>
            <w:tcW w:w="747" w:type="pct"/>
            <w:vAlign w:val="center"/>
          </w:tcPr>
          <w:p w:rsidR="00F10DB1" w:rsidRPr="00DA20F5" w:rsidRDefault="00F10DB1" w:rsidP="00D36FB8">
            <w:r w:rsidRPr="00DA20F5">
              <w:t>1.</w:t>
            </w:r>
          </w:p>
        </w:tc>
        <w:tc>
          <w:tcPr>
            <w:tcW w:w="908" w:type="pct"/>
          </w:tcPr>
          <w:p w:rsidR="00F10DB1" w:rsidRPr="00DA20F5" w:rsidRDefault="00F10DB1" w:rsidP="00D36FB8"/>
        </w:tc>
        <w:tc>
          <w:tcPr>
            <w:tcW w:w="1917" w:type="pct"/>
            <w:vAlign w:val="center"/>
          </w:tcPr>
          <w:p w:rsidR="00F10DB1" w:rsidRPr="00DA20F5" w:rsidRDefault="00F10DB1" w:rsidP="00D36FB8">
            <w:r w:rsidRPr="00DA20F5">
              <w:t>do 500 obyvateľov</w:t>
            </w:r>
          </w:p>
        </w:tc>
        <w:tc>
          <w:tcPr>
            <w:tcW w:w="1428" w:type="pct"/>
            <w:vAlign w:val="center"/>
          </w:tcPr>
          <w:p w:rsidR="00F10DB1" w:rsidRPr="00DA20F5" w:rsidRDefault="00F10DB1" w:rsidP="00D36FB8">
            <w:pPr>
              <w:ind w:left="302"/>
            </w:pPr>
            <w:r w:rsidRPr="00DA20F5">
              <w:t>1,49-násobok</w:t>
            </w:r>
          </w:p>
        </w:tc>
      </w:tr>
      <w:tr w:rsidR="00665CD2" w:rsidRPr="00DA20F5" w:rsidTr="00A05573">
        <w:trPr>
          <w:trHeight w:val="236"/>
          <w:jc w:val="center"/>
        </w:trPr>
        <w:tc>
          <w:tcPr>
            <w:tcW w:w="747" w:type="pct"/>
            <w:vAlign w:val="center"/>
          </w:tcPr>
          <w:p w:rsidR="00F10DB1" w:rsidRPr="00DA20F5" w:rsidRDefault="00F10DB1" w:rsidP="00D36FB8">
            <w:r w:rsidRPr="00DA20F5">
              <w:t>2.</w:t>
            </w:r>
          </w:p>
        </w:tc>
        <w:tc>
          <w:tcPr>
            <w:tcW w:w="908" w:type="pct"/>
          </w:tcPr>
          <w:p w:rsidR="00F10DB1" w:rsidRPr="00DA20F5" w:rsidRDefault="00F10DB1" w:rsidP="00D36FB8">
            <w:r w:rsidRPr="00DA20F5">
              <w:t>od 501</w:t>
            </w:r>
          </w:p>
        </w:tc>
        <w:tc>
          <w:tcPr>
            <w:tcW w:w="1917" w:type="pct"/>
            <w:vAlign w:val="center"/>
          </w:tcPr>
          <w:p w:rsidR="00F10DB1" w:rsidRPr="00DA20F5" w:rsidRDefault="00F10DB1" w:rsidP="00D36FB8">
            <w:r w:rsidRPr="00DA20F5">
              <w:t>do 1 000 obyvateľov</w:t>
            </w:r>
          </w:p>
        </w:tc>
        <w:tc>
          <w:tcPr>
            <w:tcW w:w="1428" w:type="pct"/>
            <w:vAlign w:val="center"/>
          </w:tcPr>
          <w:p w:rsidR="00F10DB1" w:rsidRPr="00DA20F5" w:rsidRDefault="00F10DB1" w:rsidP="00D36FB8">
            <w:pPr>
              <w:ind w:left="302"/>
            </w:pPr>
            <w:r w:rsidRPr="00DA20F5">
              <w:t>1,65-násobok</w:t>
            </w:r>
          </w:p>
        </w:tc>
      </w:tr>
      <w:tr w:rsidR="00665CD2" w:rsidRPr="00DA20F5" w:rsidTr="00A05573">
        <w:trPr>
          <w:trHeight w:val="236"/>
          <w:jc w:val="center"/>
        </w:trPr>
        <w:tc>
          <w:tcPr>
            <w:tcW w:w="747" w:type="pct"/>
            <w:vAlign w:val="center"/>
          </w:tcPr>
          <w:p w:rsidR="00F10DB1" w:rsidRPr="00DA20F5" w:rsidRDefault="00F10DB1" w:rsidP="00D36FB8">
            <w:r w:rsidRPr="00DA20F5">
              <w:t>3.</w:t>
            </w:r>
          </w:p>
        </w:tc>
        <w:tc>
          <w:tcPr>
            <w:tcW w:w="908" w:type="pct"/>
          </w:tcPr>
          <w:p w:rsidR="00F10DB1" w:rsidRPr="00DA20F5" w:rsidRDefault="00F10DB1" w:rsidP="00D36FB8">
            <w:r w:rsidRPr="00DA20F5">
              <w:t>od 1 001</w:t>
            </w:r>
          </w:p>
        </w:tc>
        <w:tc>
          <w:tcPr>
            <w:tcW w:w="1917" w:type="pct"/>
            <w:vAlign w:val="center"/>
          </w:tcPr>
          <w:p w:rsidR="00F10DB1" w:rsidRPr="00DA20F5" w:rsidRDefault="00F10DB1" w:rsidP="00D36FB8">
            <w:r w:rsidRPr="00DA20F5">
              <w:t>do 3 000 obyvateľov</w:t>
            </w:r>
          </w:p>
        </w:tc>
        <w:tc>
          <w:tcPr>
            <w:tcW w:w="1428" w:type="pct"/>
            <w:vAlign w:val="center"/>
          </w:tcPr>
          <w:p w:rsidR="00F10DB1" w:rsidRPr="00DA20F5" w:rsidRDefault="00F10DB1" w:rsidP="00D36FB8">
            <w:pPr>
              <w:ind w:left="302"/>
            </w:pPr>
            <w:r w:rsidRPr="00DA20F5">
              <w:t>1,98-násobok</w:t>
            </w:r>
          </w:p>
        </w:tc>
      </w:tr>
      <w:tr w:rsidR="00665CD2" w:rsidRPr="00DA20F5" w:rsidTr="00A05573">
        <w:trPr>
          <w:trHeight w:val="236"/>
          <w:jc w:val="center"/>
        </w:trPr>
        <w:tc>
          <w:tcPr>
            <w:tcW w:w="747" w:type="pct"/>
            <w:vAlign w:val="center"/>
          </w:tcPr>
          <w:p w:rsidR="00F10DB1" w:rsidRPr="00DA20F5" w:rsidRDefault="00F10DB1" w:rsidP="00D36FB8">
            <w:r w:rsidRPr="00DA20F5">
              <w:t>4.</w:t>
            </w:r>
          </w:p>
        </w:tc>
        <w:tc>
          <w:tcPr>
            <w:tcW w:w="908" w:type="pct"/>
          </w:tcPr>
          <w:p w:rsidR="00F10DB1" w:rsidRPr="00DA20F5" w:rsidRDefault="00F10DB1" w:rsidP="00D36FB8">
            <w:r w:rsidRPr="00DA20F5">
              <w:t>od 3 001</w:t>
            </w:r>
          </w:p>
        </w:tc>
        <w:tc>
          <w:tcPr>
            <w:tcW w:w="1917" w:type="pct"/>
            <w:vAlign w:val="center"/>
          </w:tcPr>
          <w:p w:rsidR="00F10DB1" w:rsidRPr="00DA20F5" w:rsidRDefault="00F10DB1" w:rsidP="00D36FB8">
            <w:r w:rsidRPr="00DA20F5">
              <w:t>do 5 000 obyvateľov</w:t>
            </w:r>
          </w:p>
        </w:tc>
        <w:tc>
          <w:tcPr>
            <w:tcW w:w="1428" w:type="pct"/>
            <w:vAlign w:val="center"/>
          </w:tcPr>
          <w:p w:rsidR="00F10DB1" w:rsidRPr="00DA20F5" w:rsidRDefault="00F10DB1" w:rsidP="00D36FB8">
            <w:pPr>
              <w:ind w:left="302"/>
            </w:pPr>
            <w:r w:rsidRPr="00DA20F5">
              <w:t>2,17-násobok</w:t>
            </w:r>
          </w:p>
        </w:tc>
      </w:tr>
      <w:tr w:rsidR="00665CD2" w:rsidRPr="00DA20F5" w:rsidTr="00A05573">
        <w:trPr>
          <w:trHeight w:val="236"/>
          <w:jc w:val="center"/>
        </w:trPr>
        <w:tc>
          <w:tcPr>
            <w:tcW w:w="747" w:type="pct"/>
            <w:vAlign w:val="center"/>
          </w:tcPr>
          <w:p w:rsidR="00F10DB1" w:rsidRPr="00DA20F5" w:rsidRDefault="00F10DB1" w:rsidP="00D36FB8">
            <w:r w:rsidRPr="00DA20F5">
              <w:t>5.</w:t>
            </w:r>
          </w:p>
        </w:tc>
        <w:tc>
          <w:tcPr>
            <w:tcW w:w="908" w:type="pct"/>
          </w:tcPr>
          <w:p w:rsidR="00F10DB1" w:rsidRPr="00DA20F5" w:rsidRDefault="00F10DB1" w:rsidP="00D36FB8">
            <w:r w:rsidRPr="00DA20F5">
              <w:t>od 5 001</w:t>
            </w:r>
          </w:p>
        </w:tc>
        <w:tc>
          <w:tcPr>
            <w:tcW w:w="1917" w:type="pct"/>
            <w:vAlign w:val="center"/>
          </w:tcPr>
          <w:p w:rsidR="00F10DB1" w:rsidRPr="00DA20F5" w:rsidRDefault="00F10DB1" w:rsidP="00D36FB8">
            <w:r w:rsidRPr="00DA20F5">
              <w:t>do 10 000 obyvateľov</w:t>
            </w:r>
          </w:p>
        </w:tc>
        <w:tc>
          <w:tcPr>
            <w:tcW w:w="1428" w:type="pct"/>
            <w:vAlign w:val="center"/>
          </w:tcPr>
          <w:p w:rsidR="00F10DB1" w:rsidRPr="00DA20F5" w:rsidRDefault="00F10DB1" w:rsidP="00D36FB8">
            <w:pPr>
              <w:ind w:left="302"/>
            </w:pPr>
            <w:r w:rsidRPr="00DA20F5">
              <w:t>2,34-násobok</w:t>
            </w:r>
          </w:p>
        </w:tc>
      </w:tr>
      <w:tr w:rsidR="00665CD2" w:rsidRPr="00DA20F5" w:rsidTr="00A05573">
        <w:trPr>
          <w:trHeight w:val="236"/>
          <w:jc w:val="center"/>
        </w:trPr>
        <w:tc>
          <w:tcPr>
            <w:tcW w:w="747" w:type="pct"/>
            <w:vAlign w:val="center"/>
          </w:tcPr>
          <w:p w:rsidR="00F10DB1" w:rsidRPr="00DA20F5" w:rsidRDefault="00F10DB1" w:rsidP="00D36FB8">
            <w:r w:rsidRPr="00DA20F5">
              <w:t>6.</w:t>
            </w:r>
          </w:p>
        </w:tc>
        <w:tc>
          <w:tcPr>
            <w:tcW w:w="908" w:type="pct"/>
          </w:tcPr>
          <w:p w:rsidR="00F10DB1" w:rsidRPr="00DA20F5" w:rsidRDefault="00F10DB1" w:rsidP="00D36FB8">
            <w:r w:rsidRPr="00DA20F5">
              <w:t>od 10 001</w:t>
            </w:r>
          </w:p>
        </w:tc>
        <w:tc>
          <w:tcPr>
            <w:tcW w:w="1917" w:type="pct"/>
            <w:vAlign w:val="center"/>
          </w:tcPr>
          <w:p w:rsidR="00F10DB1" w:rsidRPr="00DA20F5" w:rsidRDefault="00F10DB1" w:rsidP="00D36FB8">
            <w:r w:rsidRPr="00DA20F5">
              <w:t>do 20 000 obyvateľov</w:t>
            </w:r>
          </w:p>
        </w:tc>
        <w:tc>
          <w:tcPr>
            <w:tcW w:w="1428" w:type="pct"/>
            <w:vAlign w:val="center"/>
          </w:tcPr>
          <w:p w:rsidR="00F10DB1" w:rsidRPr="00DA20F5" w:rsidRDefault="00F10DB1" w:rsidP="00D36FB8">
            <w:pPr>
              <w:ind w:left="302"/>
            </w:pPr>
            <w:r w:rsidRPr="00DA20F5">
              <w:t>2,53-násobok</w:t>
            </w:r>
          </w:p>
        </w:tc>
      </w:tr>
      <w:tr w:rsidR="00665CD2" w:rsidRPr="00DA20F5" w:rsidTr="00A05573">
        <w:trPr>
          <w:trHeight w:val="236"/>
          <w:jc w:val="center"/>
        </w:trPr>
        <w:tc>
          <w:tcPr>
            <w:tcW w:w="747" w:type="pct"/>
            <w:vAlign w:val="center"/>
          </w:tcPr>
          <w:p w:rsidR="00F10DB1" w:rsidRPr="00DA20F5" w:rsidRDefault="00F10DB1" w:rsidP="00D36FB8">
            <w:r w:rsidRPr="00DA20F5">
              <w:t>7.</w:t>
            </w:r>
          </w:p>
        </w:tc>
        <w:tc>
          <w:tcPr>
            <w:tcW w:w="908" w:type="pct"/>
          </w:tcPr>
          <w:p w:rsidR="00F10DB1" w:rsidRPr="00DA20F5" w:rsidRDefault="00F10DB1" w:rsidP="00D36FB8">
            <w:r w:rsidRPr="00DA20F5">
              <w:t>od 20 001</w:t>
            </w:r>
          </w:p>
        </w:tc>
        <w:tc>
          <w:tcPr>
            <w:tcW w:w="1917" w:type="pct"/>
            <w:vAlign w:val="center"/>
          </w:tcPr>
          <w:p w:rsidR="00F10DB1" w:rsidRPr="00DA20F5" w:rsidRDefault="00F10DB1" w:rsidP="00D36FB8">
            <w:r w:rsidRPr="00DA20F5">
              <w:t>do 50 000 obyvateľov</w:t>
            </w:r>
          </w:p>
        </w:tc>
        <w:tc>
          <w:tcPr>
            <w:tcW w:w="1428" w:type="pct"/>
            <w:vAlign w:val="center"/>
          </w:tcPr>
          <w:p w:rsidR="00F10DB1" w:rsidRPr="00DA20F5" w:rsidRDefault="00F10DB1" w:rsidP="00D36FB8">
            <w:pPr>
              <w:ind w:left="302"/>
            </w:pPr>
            <w:r w:rsidRPr="00DA20F5">
              <w:t>2,89-násobok</w:t>
            </w:r>
          </w:p>
        </w:tc>
      </w:tr>
      <w:tr w:rsidR="00665CD2" w:rsidRPr="00DA20F5" w:rsidTr="00A05573">
        <w:trPr>
          <w:trHeight w:val="236"/>
          <w:jc w:val="center"/>
        </w:trPr>
        <w:tc>
          <w:tcPr>
            <w:tcW w:w="747" w:type="pct"/>
            <w:vAlign w:val="center"/>
          </w:tcPr>
          <w:p w:rsidR="00F10DB1" w:rsidRPr="00DA20F5" w:rsidRDefault="00F10DB1" w:rsidP="00D36FB8">
            <w:r w:rsidRPr="00DA20F5">
              <w:t>8.</w:t>
            </w:r>
          </w:p>
        </w:tc>
        <w:tc>
          <w:tcPr>
            <w:tcW w:w="908" w:type="pct"/>
          </w:tcPr>
          <w:p w:rsidR="00F10DB1" w:rsidRPr="00DA20F5" w:rsidRDefault="00F10DB1" w:rsidP="00D36FB8">
            <w:r w:rsidRPr="00DA20F5">
              <w:t>od 50 001</w:t>
            </w:r>
          </w:p>
        </w:tc>
        <w:tc>
          <w:tcPr>
            <w:tcW w:w="1917" w:type="pct"/>
            <w:vAlign w:val="center"/>
          </w:tcPr>
          <w:p w:rsidR="00F10DB1" w:rsidRPr="00DA20F5" w:rsidRDefault="00F10DB1" w:rsidP="00D36FB8">
            <w:r w:rsidRPr="00DA20F5">
              <w:t>do 100 000 obyvateľov</w:t>
            </w:r>
          </w:p>
        </w:tc>
        <w:tc>
          <w:tcPr>
            <w:tcW w:w="1428" w:type="pct"/>
            <w:vAlign w:val="center"/>
          </w:tcPr>
          <w:p w:rsidR="00F10DB1" w:rsidRPr="00DA20F5" w:rsidRDefault="00F10DB1" w:rsidP="00D36FB8">
            <w:pPr>
              <w:ind w:left="302"/>
            </w:pPr>
            <w:r w:rsidRPr="00DA20F5">
              <w:t>3,19-násobok</w:t>
            </w:r>
          </w:p>
        </w:tc>
      </w:tr>
      <w:tr w:rsidR="00665CD2" w:rsidRPr="00DA20F5" w:rsidTr="00A05573">
        <w:trPr>
          <w:trHeight w:val="236"/>
          <w:jc w:val="center"/>
        </w:trPr>
        <w:tc>
          <w:tcPr>
            <w:tcW w:w="747" w:type="pct"/>
            <w:vAlign w:val="center"/>
          </w:tcPr>
          <w:p w:rsidR="00F10DB1" w:rsidRPr="00DA20F5" w:rsidRDefault="00F10DB1" w:rsidP="00D36FB8">
            <w:r w:rsidRPr="00DA20F5">
              <w:t>9.</w:t>
            </w:r>
          </w:p>
        </w:tc>
        <w:tc>
          <w:tcPr>
            <w:tcW w:w="908" w:type="pct"/>
          </w:tcPr>
          <w:p w:rsidR="00F10DB1" w:rsidRPr="00DA20F5" w:rsidRDefault="00F10DB1" w:rsidP="00D36FB8"/>
        </w:tc>
        <w:tc>
          <w:tcPr>
            <w:tcW w:w="1917" w:type="pct"/>
            <w:vAlign w:val="center"/>
          </w:tcPr>
          <w:p w:rsidR="00F10DB1" w:rsidRPr="00DA20F5" w:rsidRDefault="00F10DB1" w:rsidP="00D36FB8">
            <w:r w:rsidRPr="00DA20F5">
              <w:t>nad 100 000 obyvateľov</w:t>
            </w:r>
          </w:p>
        </w:tc>
        <w:tc>
          <w:tcPr>
            <w:tcW w:w="1428" w:type="pct"/>
            <w:vAlign w:val="center"/>
          </w:tcPr>
          <w:p w:rsidR="00F10DB1" w:rsidRPr="00DA20F5" w:rsidRDefault="00F10DB1" w:rsidP="00D36FB8">
            <w:pPr>
              <w:ind w:left="302"/>
            </w:pPr>
            <w:r w:rsidRPr="00DA20F5">
              <w:t>3,58-násobok</w:t>
            </w:r>
          </w:p>
        </w:tc>
      </w:tr>
    </w:tbl>
    <w:p w:rsidR="00F10DB1" w:rsidRPr="00DA20F5" w:rsidRDefault="00F10DB1" w:rsidP="00D36FB8">
      <w:pPr>
        <w:pStyle w:val="Normlnysozarkami12"/>
        <w:rPr>
          <w:color w:val="1F497D" w:themeColor="text2"/>
        </w:rPr>
      </w:pPr>
    </w:p>
    <w:p w:rsidR="00F10DB1" w:rsidRPr="00DA20F5" w:rsidRDefault="00F10DB1" w:rsidP="00D36FB8">
      <w:pPr>
        <w:pStyle w:val="Normlnysozarkami12"/>
      </w:pPr>
      <w:r w:rsidRPr="00DA20F5">
        <w:tab/>
        <w:t xml:space="preserve">Podľa Článku I, bodu 3 zákona č. 154/2011 Z. z. nemôže byť plat starostu nižší, ako je ustanovené v § 3 ods. 1 zákona o starostoch, čiže ako je priemerná mesačná mzda zamestnanca v národnom hospodárstve vyčíslená na základe údajov Štatistického úradu SR za predchádzajúci kalendárny rok a násobku podľa vyššie uvedenej tabuľky. Obecné zastupiteľstvo môže tento plat rozhodnutím zvýšiť až o 70%, pričom obciam s počtom obyvateľov do 500 je so súhlasom starostu umožnené znížiť 1,49-násobok jeho platu až na 0-násobok počas jeho funkčného obdobia (Článok I, bod 5 zákona č. 154/2011 Z. z.). Z dôvodovej správy k zákonu č. 154/2011 Z. z. vyplýva, že zavedením legislatívnej zmeny znížiť obciam s počtom obyvateľov nižším ako 500 plat starostu na </w:t>
      </w:r>
      <w:r w:rsidRPr="00DA20F5">
        <w:br/>
        <w:t>0-násobok sa sleduje ich odbremenenie od povinných odvodových platieb, ktoré neraz zapríčiňovali narastanie ich rozpočtového dlhu.</w:t>
      </w:r>
    </w:p>
    <w:p w:rsidR="00F10DB1" w:rsidRPr="00DA20F5" w:rsidRDefault="00F10DB1" w:rsidP="00D36FB8">
      <w:pPr>
        <w:pStyle w:val="Normlnysozarkami12"/>
      </w:pPr>
    </w:p>
    <w:p w:rsidR="00F10DB1" w:rsidRPr="00DA20F5" w:rsidRDefault="00F10DB1" w:rsidP="00D36FB8">
      <w:pPr>
        <w:pStyle w:val="Normlnysozarkami12"/>
      </w:pPr>
      <w:r w:rsidRPr="00DA20F5">
        <w:tab/>
        <w:t>Výška odstupného pre starostov a primátorov z dôvodu skončenia ich funkčného obdobia sa zákonom č. 154/2011 Z. z. znižuje z 5-násobku ich priemerného mesačného platu na 3-násobok, pričom odstupné starostovi nepatrí, ak vykonával svoju funkciu menej ako 6 mesiacov (Článok I, bod 9 zákona č. 154/2011 Z. z.).</w:t>
      </w:r>
    </w:p>
    <w:p w:rsidR="00F10DB1" w:rsidRPr="00DA20F5" w:rsidRDefault="00F10DB1" w:rsidP="00D36FB8">
      <w:pPr>
        <w:pStyle w:val="Normlnysozarkami12"/>
      </w:pPr>
    </w:p>
    <w:p w:rsidR="00F10DB1" w:rsidRPr="00DA20F5" w:rsidRDefault="00F10DB1" w:rsidP="00D36FB8">
      <w:pPr>
        <w:pStyle w:val="Normlnysozarkami12"/>
        <w:tabs>
          <w:tab w:val="left" w:pos="426"/>
        </w:tabs>
        <w:ind w:firstLine="0"/>
        <w:rPr>
          <w:b/>
        </w:rPr>
      </w:pPr>
      <w:r w:rsidRPr="00DA20F5">
        <w:rPr>
          <w:b/>
        </w:rPr>
        <w:t>d)</w:t>
      </w:r>
      <w:r w:rsidRPr="00DA20F5">
        <w:rPr>
          <w:b/>
        </w:rPr>
        <w:tab/>
        <w:t xml:space="preserve">Zákon č. 553/2003 Z. z. o odmeňovaní niektorých zamestnancov pri výkone práce vo verejnom záujme a o zmene a doplnení niektorých zákonov </w:t>
      </w:r>
    </w:p>
    <w:p w:rsidR="00F10DB1" w:rsidRPr="00DA20F5" w:rsidRDefault="00F10DB1" w:rsidP="00D36FB8">
      <w:pPr>
        <w:pStyle w:val="Normlnysozarkami12"/>
      </w:pPr>
    </w:p>
    <w:p w:rsidR="00F10DB1" w:rsidRPr="00DA20F5" w:rsidRDefault="00F10DB1" w:rsidP="00D36FB8">
      <w:pPr>
        <w:pStyle w:val="Normlnysozarkami12"/>
      </w:pPr>
      <w:r w:rsidRPr="00DA20F5">
        <w:tab/>
        <w:t xml:space="preserve">Zákon č. 390/2011 Z. z. s účinnosťou od 21. októbra 2011, ktorým sa mení </w:t>
      </w:r>
      <w:r w:rsidRPr="00DA20F5">
        <w:rPr>
          <w:bCs/>
        </w:rPr>
        <w:t>zákon č. 317/2009 Z. z. o pedagogických zamestnancoch a odborných zamestnancoch, mení zákon o odmeňovaní niektorých zamestnancov pri výkone práce vo verejnom záujme nasledovne:</w:t>
      </w:r>
    </w:p>
    <w:p w:rsidR="00F10DB1" w:rsidRPr="00DA20F5" w:rsidRDefault="00F10DB1" w:rsidP="00D36FB8">
      <w:pPr>
        <w:pStyle w:val="Normlnysozarkami12"/>
        <w:rPr>
          <w:rFonts w:eastAsia="PalatinoLinotype-Roman"/>
        </w:rPr>
      </w:pPr>
      <w:r w:rsidRPr="00DA20F5">
        <w:tab/>
        <w:t xml:space="preserve">V zmysle Článku III, bodu 3 zákona č. 390/2011 Z. z. sa odsek 1 § 4 zákona č. 553/2003 Z. z. dopĺňa plat zamestnanca o príplatok začínajúcemu pedagogickému zamestnancovi a začínajúcemu odbornému zamestnancovi. Dôvodová správa k zákonu č. 390/2011 Z. z. odôvodňuje túto legislatívnu zmenu úmyslom, aby bol nástupný plat začínajúceho pedagogického alebo odborného zamestnanca približne rovnaký, aký je nástupný plat ostatných začínajúcich zamestnancov v národnom hospodárstve s rovnakým stupňom vzdelania. Príplatok začínajúceho pedagogického zamestnanca a začínajúceho odborného zamestnanca sa dopĺňa aj do § 14 zákona č. 553/2003 Z. z. </w:t>
      </w:r>
      <w:r w:rsidRPr="00DA20F5">
        <w:rPr>
          <w:rFonts w:eastAsia="PalatinoLinotype-Roman"/>
        </w:rPr>
        <w:t xml:space="preserve">Začínajúcemu pedagogickému zamestnancovi </w:t>
      </w:r>
      <w:r w:rsidRPr="00DA20F5">
        <w:t>a začínajúcemu odbornému zamestnancovi</w:t>
      </w:r>
      <w:r w:rsidRPr="00DA20F5">
        <w:rPr>
          <w:rFonts w:eastAsia="PalatinoLinotype-Roman"/>
        </w:rPr>
        <w:t xml:space="preserve"> patrí príplatok začínajúceho pedagogického zamestnanca a príplatok </w:t>
      </w:r>
      <w:r w:rsidRPr="00DA20F5">
        <w:t>začínajúceho odborného zamestnanca</w:t>
      </w:r>
      <w:r w:rsidRPr="00DA20F5">
        <w:rPr>
          <w:rFonts w:eastAsia="PalatinoLinotype-Roman"/>
        </w:rPr>
        <w:t>. Príplatok</w:t>
      </w:r>
      <w:r w:rsidRPr="00DA20F5">
        <w:rPr>
          <w:rFonts w:eastAsia="PalatinoLinotype-Roman"/>
          <w:color w:val="1F497D" w:themeColor="text2"/>
        </w:rPr>
        <w:t xml:space="preserve"> </w:t>
      </w:r>
      <w:r w:rsidRPr="00DA20F5">
        <w:rPr>
          <w:rFonts w:eastAsia="PalatinoLinotype-Roman"/>
        </w:rPr>
        <w:t xml:space="preserve">sa im poskytuje mesačne vo výške 6 % z platovej tarify platovej triedy a pracovnej triedy, do ktorej sú zaradení. </w:t>
      </w:r>
    </w:p>
    <w:p w:rsidR="00F10DB1" w:rsidRPr="00DA20F5" w:rsidRDefault="00F10DB1" w:rsidP="00D36FB8">
      <w:pPr>
        <w:pStyle w:val="Normlnysozarkami12"/>
        <w:rPr>
          <w:rFonts w:eastAsia="PalatinoLinotype-Roman"/>
        </w:rPr>
      </w:pPr>
      <w:r w:rsidRPr="00DA20F5">
        <w:tab/>
        <w:t xml:space="preserve">Článok III, bod 3 zákona č. 390/2011 Z. z. dopĺňa odsek 1 § 4 zákona č. 553/2003 Z. z. plat zamestnanca tiež o príplatok za prácu so žiakmi so zdravotným znevýhodnením a zo sociálne znevýhodneného prostredia. Uvádzaným dôvodom je, že práca pedagóga v triede, v ktorej sú spolu </w:t>
      </w:r>
      <w:r w:rsidRPr="00DA20F5">
        <w:lastRenderedPageBreak/>
        <w:t xml:space="preserve">s talentovanými a priemernými žiakmi aj žiaci z uvedených skupín je náročnejšia. Poskytnutie takéhoto príplatku je obmedzené podmienkou, že v triede nemôže pôsobiť asistent učiteľa. Výšku poskytovania takéhoto príplatku si škola upraví vo svojom vnútornom predpise, pričom maximálna výška príplatku nesmie prekročiť 2,5% platovej tarify 12. platovej triedy prvej pracovnej triedy. Podľa Článku III, bodu 5 zákona č. 390/2011 Z. z. poskytne zamestnávateľ </w:t>
      </w:r>
      <w:r w:rsidRPr="00DA20F5">
        <w:rPr>
          <w:rFonts w:eastAsia="PalatinoLinotype-Roman"/>
        </w:rPr>
        <w:t>príplatok učiteľovi za výkon pedagogickej činnosti v triede základnej školy s najmenej 30 % individuálne začlenenými žiakmi so zdravotným znevýhodnením alebo so žiakmi zo sociálne znevýhodneného prostredia z celkového maximálneho počtu žiakov v triede.</w:t>
      </w:r>
    </w:p>
    <w:p w:rsidR="00F10DB1" w:rsidRPr="00DA20F5" w:rsidRDefault="00F10DB1" w:rsidP="00D36FB8">
      <w:pPr>
        <w:pStyle w:val="Normlnysozarkami12"/>
        <w:rPr>
          <w:rFonts w:eastAsia="PalatinoLinotype-Roman"/>
        </w:rPr>
      </w:pPr>
    </w:p>
    <w:tbl>
      <w:tblPr>
        <w:tblW w:w="2335"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931"/>
        <w:gridCol w:w="1809"/>
        <w:gridCol w:w="1597"/>
      </w:tblGrid>
      <w:tr w:rsidR="00665CD2" w:rsidRPr="00DA20F5" w:rsidTr="00665CD2">
        <w:trPr>
          <w:trHeight w:val="260"/>
          <w:jc w:val="center"/>
        </w:trPr>
        <w:tc>
          <w:tcPr>
            <w:tcW w:w="5000" w:type="pct"/>
            <w:gridSpan w:val="3"/>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Stupnica platových taríf</w:t>
            </w:r>
          </w:p>
        </w:tc>
      </w:tr>
      <w:tr w:rsidR="00665CD2" w:rsidRPr="00DA20F5" w:rsidTr="004B1E82">
        <w:trPr>
          <w:trHeight w:val="260"/>
          <w:jc w:val="center"/>
        </w:trPr>
        <w:tc>
          <w:tcPr>
            <w:tcW w:w="1073"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Platová trieda</w:t>
            </w:r>
          </w:p>
        </w:tc>
        <w:tc>
          <w:tcPr>
            <w:tcW w:w="2086" w:type="pct"/>
            <w:shd w:val="clear" w:color="auto" w:fill="4F81BD"/>
            <w:vAlign w:val="center"/>
          </w:tcPr>
          <w:p w:rsidR="00F10DB1" w:rsidRPr="00DA20F5" w:rsidRDefault="00F10DB1" w:rsidP="004B1E82">
            <w:pPr>
              <w:jc w:val="center"/>
              <w:rPr>
                <w:b/>
                <w:color w:val="FFFFFF" w:themeColor="background1"/>
              </w:rPr>
            </w:pPr>
            <w:r w:rsidRPr="00DA20F5">
              <w:rPr>
                <w:b/>
                <w:color w:val="FFFFFF" w:themeColor="background1"/>
              </w:rPr>
              <w:t>Pracovná trieda</w:t>
            </w:r>
          </w:p>
        </w:tc>
        <w:tc>
          <w:tcPr>
            <w:tcW w:w="1841"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Platová tarifa (€)</w:t>
            </w:r>
          </w:p>
        </w:tc>
      </w:tr>
      <w:tr w:rsidR="00665CD2" w:rsidRPr="00DA20F5" w:rsidTr="00665CD2">
        <w:trPr>
          <w:trHeight w:val="236"/>
          <w:jc w:val="center"/>
        </w:trPr>
        <w:tc>
          <w:tcPr>
            <w:tcW w:w="1073" w:type="pct"/>
            <w:vMerge w:val="restart"/>
            <w:vAlign w:val="center"/>
          </w:tcPr>
          <w:p w:rsidR="00F10DB1" w:rsidRPr="00DA20F5" w:rsidRDefault="00F10DB1" w:rsidP="00D36FB8">
            <w:r w:rsidRPr="00DA20F5">
              <w:t>6</w:t>
            </w:r>
          </w:p>
        </w:tc>
        <w:tc>
          <w:tcPr>
            <w:tcW w:w="2086" w:type="pct"/>
          </w:tcPr>
          <w:p w:rsidR="00F10DB1" w:rsidRPr="00DA20F5" w:rsidRDefault="00F10DB1" w:rsidP="00D36FB8">
            <w:pPr>
              <w:jc w:val="center"/>
            </w:pPr>
            <w:r w:rsidRPr="00DA20F5">
              <w:t>1</w:t>
            </w:r>
          </w:p>
        </w:tc>
        <w:tc>
          <w:tcPr>
            <w:tcW w:w="1841" w:type="pct"/>
            <w:vAlign w:val="center"/>
          </w:tcPr>
          <w:p w:rsidR="00F10DB1" w:rsidRPr="00DA20F5" w:rsidRDefault="00F10DB1" w:rsidP="00D36FB8">
            <w:pPr>
              <w:ind w:left="315"/>
            </w:pPr>
            <w:r w:rsidRPr="00DA20F5">
              <w:t>370,00</w:t>
            </w:r>
          </w:p>
        </w:tc>
      </w:tr>
      <w:tr w:rsidR="00665CD2" w:rsidRPr="00DA20F5" w:rsidTr="00665CD2">
        <w:trPr>
          <w:trHeight w:val="236"/>
          <w:jc w:val="center"/>
        </w:trPr>
        <w:tc>
          <w:tcPr>
            <w:tcW w:w="1073" w:type="pct"/>
            <w:vMerge/>
            <w:vAlign w:val="center"/>
          </w:tcPr>
          <w:p w:rsidR="00F10DB1" w:rsidRPr="00DA20F5" w:rsidRDefault="00F10DB1" w:rsidP="00D36FB8"/>
        </w:tc>
        <w:tc>
          <w:tcPr>
            <w:tcW w:w="2086" w:type="pct"/>
          </w:tcPr>
          <w:p w:rsidR="00F10DB1" w:rsidRPr="00DA20F5" w:rsidRDefault="00F10DB1" w:rsidP="00D36FB8">
            <w:pPr>
              <w:jc w:val="center"/>
            </w:pPr>
            <w:r w:rsidRPr="00DA20F5">
              <w:t>2</w:t>
            </w:r>
          </w:p>
        </w:tc>
        <w:tc>
          <w:tcPr>
            <w:tcW w:w="1841" w:type="pct"/>
            <w:vAlign w:val="center"/>
          </w:tcPr>
          <w:p w:rsidR="00F10DB1" w:rsidRPr="00DA20F5" w:rsidRDefault="00F10DB1" w:rsidP="00D36FB8">
            <w:pPr>
              <w:ind w:left="315"/>
            </w:pPr>
            <w:r w:rsidRPr="00DA20F5">
              <w:t>395,50</w:t>
            </w:r>
          </w:p>
        </w:tc>
      </w:tr>
      <w:tr w:rsidR="00665CD2" w:rsidRPr="00DA20F5" w:rsidTr="00665CD2">
        <w:trPr>
          <w:trHeight w:val="236"/>
          <w:jc w:val="center"/>
        </w:trPr>
        <w:tc>
          <w:tcPr>
            <w:tcW w:w="1073" w:type="pct"/>
            <w:vMerge w:val="restart"/>
            <w:vAlign w:val="center"/>
          </w:tcPr>
          <w:p w:rsidR="00F10DB1" w:rsidRPr="00DA20F5" w:rsidRDefault="00F10DB1" w:rsidP="00D36FB8">
            <w:r w:rsidRPr="00DA20F5">
              <w:t>7</w:t>
            </w:r>
          </w:p>
        </w:tc>
        <w:tc>
          <w:tcPr>
            <w:tcW w:w="2086" w:type="pct"/>
          </w:tcPr>
          <w:p w:rsidR="00F10DB1" w:rsidRPr="00DA20F5" w:rsidRDefault="00F10DB1" w:rsidP="00D36FB8">
            <w:pPr>
              <w:jc w:val="center"/>
            </w:pPr>
            <w:r w:rsidRPr="00DA20F5">
              <w:t>1</w:t>
            </w:r>
          </w:p>
        </w:tc>
        <w:tc>
          <w:tcPr>
            <w:tcW w:w="1841" w:type="pct"/>
          </w:tcPr>
          <w:p w:rsidR="00F10DB1" w:rsidRPr="00DA20F5" w:rsidRDefault="00F10DB1" w:rsidP="00D36FB8">
            <w:pPr>
              <w:ind w:left="315"/>
            </w:pPr>
            <w:r w:rsidRPr="00DA20F5">
              <w:t>410,00</w:t>
            </w:r>
          </w:p>
        </w:tc>
      </w:tr>
      <w:tr w:rsidR="00665CD2" w:rsidRPr="00DA20F5" w:rsidTr="00665CD2">
        <w:trPr>
          <w:trHeight w:val="236"/>
          <w:jc w:val="center"/>
        </w:trPr>
        <w:tc>
          <w:tcPr>
            <w:tcW w:w="1073" w:type="pct"/>
            <w:vMerge/>
            <w:vAlign w:val="center"/>
          </w:tcPr>
          <w:p w:rsidR="00F10DB1" w:rsidRPr="00DA20F5" w:rsidRDefault="00F10DB1" w:rsidP="00D36FB8"/>
        </w:tc>
        <w:tc>
          <w:tcPr>
            <w:tcW w:w="2086" w:type="pct"/>
          </w:tcPr>
          <w:p w:rsidR="00F10DB1" w:rsidRPr="00DA20F5" w:rsidRDefault="00F10DB1" w:rsidP="00D36FB8">
            <w:pPr>
              <w:jc w:val="center"/>
            </w:pPr>
            <w:r w:rsidRPr="00DA20F5">
              <w:t>2</w:t>
            </w:r>
          </w:p>
        </w:tc>
        <w:tc>
          <w:tcPr>
            <w:tcW w:w="1841" w:type="pct"/>
          </w:tcPr>
          <w:p w:rsidR="00F10DB1" w:rsidRPr="00DA20F5" w:rsidRDefault="00F10DB1" w:rsidP="00D36FB8">
            <w:pPr>
              <w:ind w:left="315"/>
            </w:pPr>
            <w:r w:rsidRPr="00DA20F5">
              <w:t>439,00</w:t>
            </w:r>
          </w:p>
        </w:tc>
      </w:tr>
      <w:tr w:rsidR="00665CD2" w:rsidRPr="00DA20F5" w:rsidTr="00665CD2">
        <w:trPr>
          <w:trHeight w:val="236"/>
          <w:jc w:val="center"/>
        </w:trPr>
        <w:tc>
          <w:tcPr>
            <w:tcW w:w="1073" w:type="pct"/>
            <w:vMerge w:val="restart"/>
            <w:vAlign w:val="center"/>
          </w:tcPr>
          <w:p w:rsidR="00F10DB1" w:rsidRPr="00DA20F5" w:rsidRDefault="00F10DB1" w:rsidP="00D36FB8">
            <w:r w:rsidRPr="00DA20F5">
              <w:t>8</w:t>
            </w:r>
          </w:p>
        </w:tc>
        <w:tc>
          <w:tcPr>
            <w:tcW w:w="2086" w:type="pct"/>
          </w:tcPr>
          <w:p w:rsidR="00F10DB1" w:rsidRPr="00DA20F5" w:rsidRDefault="00F10DB1" w:rsidP="00D36FB8">
            <w:pPr>
              <w:jc w:val="center"/>
            </w:pPr>
            <w:r w:rsidRPr="00DA20F5">
              <w:t>1</w:t>
            </w:r>
          </w:p>
        </w:tc>
        <w:tc>
          <w:tcPr>
            <w:tcW w:w="1841" w:type="pct"/>
          </w:tcPr>
          <w:p w:rsidR="00F10DB1" w:rsidRPr="00DA20F5" w:rsidRDefault="00F10DB1" w:rsidP="00D36FB8">
            <w:pPr>
              <w:ind w:left="315"/>
            </w:pPr>
            <w:r w:rsidRPr="00DA20F5">
              <w:t>454,50</w:t>
            </w:r>
          </w:p>
        </w:tc>
      </w:tr>
      <w:tr w:rsidR="00665CD2" w:rsidRPr="00DA20F5" w:rsidTr="00665CD2">
        <w:trPr>
          <w:trHeight w:val="236"/>
          <w:jc w:val="center"/>
        </w:trPr>
        <w:tc>
          <w:tcPr>
            <w:tcW w:w="1073" w:type="pct"/>
            <w:vMerge/>
            <w:vAlign w:val="center"/>
          </w:tcPr>
          <w:p w:rsidR="00F10DB1" w:rsidRPr="00DA20F5" w:rsidRDefault="00F10DB1" w:rsidP="00D36FB8"/>
        </w:tc>
        <w:tc>
          <w:tcPr>
            <w:tcW w:w="2086" w:type="pct"/>
          </w:tcPr>
          <w:p w:rsidR="00F10DB1" w:rsidRPr="00DA20F5" w:rsidRDefault="00F10DB1" w:rsidP="00D36FB8">
            <w:pPr>
              <w:jc w:val="center"/>
            </w:pPr>
            <w:r w:rsidRPr="00DA20F5">
              <w:t>2</w:t>
            </w:r>
          </w:p>
        </w:tc>
        <w:tc>
          <w:tcPr>
            <w:tcW w:w="1841" w:type="pct"/>
          </w:tcPr>
          <w:p w:rsidR="00F10DB1" w:rsidRPr="00DA20F5" w:rsidRDefault="00F10DB1" w:rsidP="00D36FB8">
            <w:pPr>
              <w:ind w:left="315"/>
            </w:pPr>
            <w:r w:rsidRPr="00DA20F5">
              <w:t>485,50</w:t>
            </w:r>
          </w:p>
        </w:tc>
      </w:tr>
      <w:tr w:rsidR="00665CD2" w:rsidRPr="00DA20F5" w:rsidTr="00665CD2">
        <w:trPr>
          <w:trHeight w:val="236"/>
          <w:jc w:val="center"/>
        </w:trPr>
        <w:tc>
          <w:tcPr>
            <w:tcW w:w="1073" w:type="pct"/>
            <w:vMerge w:val="restart"/>
            <w:vAlign w:val="center"/>
          </w:tcPr>
          <w:p w:rsidR="00F10DB1" w:rsidRPr="00DA20F5" w:rsidRDefault="00F10DB1" w:rsidP="00D36FB8">
            <w:r w:rsidRPr="00DA20F5">
              <w:t>9</w:t>
            </w:r>
          </w:p>
        </w:tc>
        <w:tc>
          <w:tcPr>
            <w:tcW w:w="2086" w:type="pct"/>
          </w:tcPr>
          <w:p w:rsidR="00F10DB1" w:rsidRPr="00DA20F5" w:rsidRDefault="00F10DB1" w:rsidP="00D36FB8">
            <w:pPr>
              <w:jc w:val="center"/>
            </w:pPr>
            <w:r w:rsidRPr="00DA20F5">
              <w:t>1</w:t>
            </w:r>
          </w:p>
        </w:tc>
        <w:tc>
          <w:tcPr>
            <w:tcW w:w="1841" w:type="pct"/>
          </w:tcPr>
          <w:p w:rsidR="00F10DB1" w:rsidRPr="00DA20F5" w:rsidRDefault="00F10DB1" w:rsidP="00D36FB8">
            <w:pPr>
              <w:ind w:left="315"/>
            </w:pPr>
            <w:r w:rsidRPr="00DA20F5">
              <w:t>508,50</w:t>
            </w:r>
          </w:p>
        </w:tc>
      </w:tr>
      <w:tr w:rsidR="00665CD2" w:rsidRPr="00DA20F5" w:rsidTr="00665CD2">
        <w:trPr>
          <w:trHeight w:val="236"/>
          <w:jc w:val="center"/>
        </w:trPr>
        <w:tc>
          <w:tcPr>
            <w:tcW w:w="1073" w:type="pct"/>
            <w:vMerge/>
            <w:vAlign w:val="center"/>
          </w:tcPr>
          <w:p w:rsidR="00F10DB1" w:rsidRPr="00DA20F5" w:rsidRDefault="00F10DB1" w:rsidP="00D36FB8"/>
        </w:tc>
        <w:tc>
          <w:tcPr>
            <w:tcW w:w="2086" w:type="pct"/>
          </w:tcPr>
          <w:p w:rsidR="00F10DB1" w:rsidRPr="00DA20F5" w:rsidRDefault="00F10DB1" w:rsidP="00D36FB8">
            <w:pPr>
              <w:jc w:val="center"/>
            </w:pPr>
            <w:r w:rsidRPr="00DA20F5">
              <w:t>2</w:t>
            </w:r>
          </w:p>
        </w:tc>
        <w:tc>
          <w:tcPr>
            <w:tcW w:w="1841" w:type="pct"/>
          </w:tcPr>
          <w:p w:rsidR="00F10DB1" w:rsidRPr="00DA20F5" w:rsidRDefault="00F10DB1" w:rsidP="00D36FB8">
            <w:pPr>
              <w:ind w:left="315"/>
            </w:pPr>
            <w:r w:rsidRPr="00DA20F5">
              <w:t>543,00</w:t>
            </w:r>
          </w:p>
        </w:tc>
      </w:tr>
      <w:tr w:rsidR="00665CD2" w:rsidRPr="00DA20F5" w:rsidTr="00665CD2">
        <w:trPr>
          <w:trHeight w:val="236"/>
          <w:jc w:val="center"/>
        </w:trPr>
        <w:tc>
          <w:tcPr>
            <w:tcW w:w="1073" w:type="pct"/>
            <w:vMerge w:val="restart"/>
            <w:vAlign w:val="center"/>
          </w:tcPr>
          <w:p w:rsidR="00F10DB1" w:rsidRPr="00DA20F5" w:rsidRDefault="00F10DB1" w:rsidP="00D36FB8">
            <w:r w:rsidRPr="00DA20F5">
              <w:t>10</w:t>
            </w:r>
          </w:p>
        </w:tc>
        <w:tc>
          <w:tcPr>
            <w:tcW w:w="2086" w:type="pct"/>
          </w:tcPr>
          <w:p w:rsidR="00F10DB1" w:rsidRPr="00DA20F5" w:rsidRDefault="00F10DB1" w:rsidP="00D36FB8">
            <w:pPr>
              <w:jc w:val="center"/>
            </w:pPr>
            <w:r w:rsidRPr="00DA20F5">
              <w:t>1</w:t>
            </w:r>
          </w:p>
        </w:tc>
        <w:tc>
          <w:tcPr>
            <w:tcW w:w="1841" w:type="pct"/>
          </w:tcPr>
          <w:p w:rsidR="00F10DB1" w:rsidRPr="00DA20F5" w:rsidRDefault="00F10DB1" w:rsidP="00D36FB8">
            <w:pPr>
              <w:ind w:left="315"/>
            </w:pPr>
            <w:r w:rsidRPr="00DA20F5">
              <w:t>555,00</w:t>
            </w:r>
          </w:p>
        </w:tc>
      </w:tr>
      <w:tr w:rsidR="00665CD2" w:rsidRPr="00DA20F5" w:rsidTr="00665CD2">
        <w:trPr>
          <w:trHeight w:val="236"/>
          <w:jc w:val="center"/>
        </w:trPr>
        <w:tc>
          <w:tcPr>
            <w:tcW w:w="1073" w:type="pct"/>
            <w:vMerge/>
            <w:vAlign w:val="center"/>
          </w:tcPr>
          <w:p w:rsidR="00F10DB1" w:rsidRPr="00DA20F5" w:rsidRDefault="00F10DB1" w:rsidP="00D36FB8"/>
        </w:tc>
        <w:tc>
          <w:tcPr>
            <w:tcW w:w="2086" w:type="pct"/>
          </w:tcPr>
          <w:p w:rsidR="00F10DB1" w:rsidRPr="00DA20F5" w:rsidRDefault="00F10DB1" w:rsidP="00D36FB8">
            <w:pPr>
              <w:jc w:val="center"/>
            </w:pPr>
            <w:r w:rsidRPr="00DA20F5">
              <w:t>2</w:t>
            </w:r>
          </w:p>
        </w:tc>
        <w:tc>
          <w:tcPr>
            <w:tcW w:w="1841" w:type="pct"/>
          </w:tcPr>
          <w:p w:rsidR="00F10DB1" w:rsidRPr="00DA20F5" w:rsidRDefault="00F10DB1" w:rsidP="00D36FB8">
            <w:pPr>
              <w:ind w:left="315"/>
            </w:pPr>
            <w:r w:rsidRPr="00DA20F5">
              <w:t>592,50</w:t>
            </w:r>
          </w:p>
        </w:tc>
      </w:tr>
      <w:tr w:rsidR="00665CD2" w:rsidRPr="00DA20F5" w:rsidTr="00665CD2">
        <w:trPr>
          <w:trHeight w:val="236"/>
          <w:jc w:val="center"/>
        </w:trPr>
        <w:tc>
          <w:tcPr>
            <w:tcW w:w="1073" w:type="pct"/>
            <w:vMerge w:val="restart"/>
            <w:vAlign w:val="center"/>
          </w:tcPr>
          <w:p w:rsidR="00F10DB1" w:rsidRPr="00DA20F5" w:rsidRDefault="00F10DB1" w:rsidP="00D36FB8">
            <w:r w:rsidRPr="00DA20F5">
              <w:t>11</w:t>
            </w:r>
          </w:p>
        </w:tc>
        <w:tc>
          <w:tcPr>
            <w:tcW w:w="2086" w:type="pct"/>
          </w:tcPr>
          <w:p w:rsidR="00F10DB1" w:rsidRPr="00DA20F5" w:rsidRDefault="00F10DB1" w:rsidP="00D36FB8">
            <w:pPr>
              <w:jc w:val="center"/>
            </w:pPr>
            <w:r w:rsidRPr="00DA20F5">
              <w:t>1</w:t>
            </w:r>
          </w:p>
        </w:tc>
        <w:tc>
          <w:tcPr>
            <w:tcW w:w="1841" w:type="pct"/>
          </w:tcPr>
          <w:p w:rsidR="00F10DB1" w:rsidRPr="00DA20F5" w:rsidRDefault="00F10DB1" w:rsidP="00D36FB8">
            <w:pPr>
              <w:ind w:left="315"/>
            </w:pPr>
            <w:r w:rsidRPr="00DA20F5">
              <w:t>622,00</w:t>
            </w:r>
          </w:p>
        </w:tc>
      </w:tr>
      <w:tr w:rsidR="00665CD2" w:rsidRPr="00DA20F5" w:rsidTr="00665CD2">
        <w:trPr>
          <w:trHeight w:val="236"/>
          <w:jc w:val="center"/>
        </w:trPr>
        <w:tc>
          <w:tcPr>
            <w:tcW w:w="1073" w:type="pct"/>
            <w:vMerge/>
            <w:vAlign w:val="center"/>
          </w:tcPr>
          <w:p w:rsidR="00F10DB1" w:rsidRPr="00DA20F5" w:rsidRDefault="00F10DB1" w:rsidP="00D36FB8"/>
        </w:tc>
        <w:tc>
          <w:tcPr>
            <w:tcW w:w="2086" w:type="pct"/>
          </w:tcPr>
          <w:p w:rsidR="00F10DB1" w:rsidRPr="00DA20F5" w:rsidRDefault="00F10DB1" w:rsidP="00D36FB8">
            <w:pPr>
              <w:jc w:val="center"/>
            </w:pPr>
            <w:r w:rsidRPr="00DA20F5">
              <w:t>2</w:t>
            </w:r>
          </w:p>
        </w:tc>
        <w:tc>
          <w:tcPr>
            <w:tcW w:w="1841" w:type="pct"/>
          </w:tcPr>
          <w:p w:rsidR="00F10DB1" w:rsidRPr="00DA20F5" w:rsidRDefault="00F10DB1" w:rsidP="00D36FB8">
            <w:pPr>
              <w:ind w:left="315"/>
            </w:pPr>
            <w:r w:rsidRPr="00DA20F5">
              <w:t>664,00</w:t>
            </w:r>
          </w:p>
        </w:tc>
      </w:tr>
      <w:tr w:rsidR="00665CD2" w:rsidRPr="00DA20F5" w:rsidTr="00665CD2">
        <w:trPr>
          <w:trHeight w:val="236"/>
          <w:jc w:val="center"/>
        </w:trPr>
        <w:tc>
          <w:tcPr>
            <w:tcW w:w="1073" w:type="pct"/>
            <w:vMerge w:val="restart"/>
            <w:vAlign w:val="center"/>
          </w:tcPr>
          <w:p w:rsidR="00F10DB1" w:rsidRPr="00DA20F5" w:rsidRDefault="00F10DB1" w:rsidP="00D36FB8">
            <w:r w:rsidRPr="00DA20F5">
              <w:t>12</w:t>
            </w:r>
          </w:p>
        </w:tc>
        <w:tc>
          <w:tcPr>
            <w:tcW w:w="2086" w:type="pct"/>
          </w:tcPr>
          <w:p w:rsidR="00F10DB1" w:rsidRPr="00DA20F5" w:rsidRDefault="00F10DB1" w:rsidP="00D36FB8">
            <w:pPr>
              <w:jc w:val="center"/>
            </w:pPr>
            <w:r w:rsidRPr="00DA20F5">
              <w:t>1</w:t>
            </w:r>
          </w:p>
        </w:tc>
        <w:tc>
          <w:tcPr>
            <w:tcW w:w="1841" w:type="pct"/>
          </w:tcPr>
          <w:p w:rsidR="00F10DB1" w:rsidRPr="00DA20F5" w:rsidRDefault="00F10DB1" w:rsidP="00D36FB8">
            <w:pPr>
              <w:ind w:left="315"/>
            </w:pPr>
            <w:r w:rsidRPr="00DA20F5">
              <w:t>697,00</w:t>
            </w:r>
          </w:p>
        </w:tc>
      </w:tr>
      <w:tr w:rsidR="00665CD2" w:rsidRPr="00DA20F5" w:rsidTr="00665CD2">
        <w:trPr>
          <w:trHeight w:val="236"/>
          <w:jc w:val="center"/>
        </w:trPr>
        <w:tc>
          <w:tcPr>
            <w:tcW w:w="1073" w:type="pct"/>
            <w:vMerge/>
            <w:vAlign w:val="center"/>
          </w:tcPr>
          <w:p w:rsidR="00F10DB1" w:rsidRPr="00DA20F5" w:rsidRDefault="00F10DB1" w:rsidP="00D36FB8"/>
        </w:tc>
        <w:tc>
          <w:tcPr>
            <w:tcW w:w="2086" w:type="pct"/>
          </w:tcPr>
          <w:p w:rsidR="00F10DB1" w:rsidRPr="00DA20F5" w:rsidRDefault="00F10DB1" w:rsidP="00D36FB8">
            <w:pPr>
              <w:jc w:val="center"/>
            </w:pPr>
            <w:r w:rsidRPr="00DA20F5">
              <w:t>2</w:t>
            </w:r>
          </w:p>
        </w:tc>
        <w:tc>
          <w:tcPr>
            <w:tcW w:w="1841" w:type="pct"/>
          </w:tcPr>
          <w:p w:rsidR="00F10DB1" w:rsidRPr="00DA20F5" w:rsidRDefault="00F10DB1" w:rsidP="00D36FB8">
            <w:pPr>
              <w:ind w:left="315"/>
            </w:pPr>
            <w:r w:rsidRPr="00DA20F5">
              <w:t>743,50</w:t>
            </w:r>
          </w:p>
        </w:tc>
      </w:tr>
    </w:tbl>
    <w:p w:rsidR="00F10DB1" w:rsidRPr="00DA20F5" w:rsidRDefault="00F10DB1" w:rsidP="00D36FB8">
      <w:pPr>
        <w:jc w:val="left"/>
        <w:rPr>
          <w:rFonts w:ascii="Times New Roman Bold" w:hAnsi="Times New Roman Bold"/>
          <w:b/>
          <w:color w:val="1F497D" w:themeColor="text2"/>
          <w:sz w:val="24"/>
          <w:szCs w:val="20"/>
          <w:lang w:eastAsia="cs-CZ"/>
        </w:rPr>
      </w:pPr>
      <w:r w:rsidRPr="00DA20F5">
        <w:rPr>
          <w:color w:val="1F497D" w:themeColor="text2"/>
        </w:rPr>
        <w:br w:type="page"/>
      </w:r>
    </w:p>
    <w:p w:rsidR="00F10DB1" w:rsidRPr="00DA20F5" w:rsidRDefault="00F10DB1" w:rsidP="000B4550">
      <w:pPr>
        <w:pStyle w:val="Nadpis6"/>
      </w:pPr>
      <w:bookmarkStart w:id="301" w:name="_Toc326216992"/>
      <w:r w:rsidRPr="00DA20F5">
        <w:lastRenderedPageBreak/>
        <w:t>Mzdy</w:t>
      </w:r>
      <w:bookmarkEnd w:id="301"/>
    </w:p>
    <w:p w:rsidR="00F10DB1" w:rsidRPr="00DA20F5" w:rsidRDefault="00F10DB1" w:rsidP="00D36FB8">
      <w:pPr>
        <w:ind w:firstLine="357"/>
      </w:pPr>
      <w:r w:rsidRPr="00DA20F5">
        <w:t xml:space="preserve">V roku 2011 dosiahla </w:t>
      </w:r>
      <w:r w:rsidRPr="00DA20F5">
        <w:rPr>
          <w:b/>
        </w:rPr>
        <w:t>priemerná nominálna mesačná mzda</w:t>
      </w:r>
      <w:r w:rsidRPr="00DA20F5">
        <w:t xml:space="preserve"> zamestnanca v hospodárstve SR (podľa štvrťročného štatistického výkazníctva; bez podnikateľských príjmov; údaje upravené o štatistický odhad neevidovaných miezd; indexy sú počítané z porovnateľných údajov) podľa údajov Štatistického úradu SR hodnotu 786 €, ktorá sa v porovnaní s predchádzajúcim rokom zvýšila o 2,2 %. Tempo rastu nominálnych miezd sa oproti roku 2010 spomalilo o 1,0 p. b. </w:t>
      </w:r>
      <w:r w:rsidRPr="00DA20F5">
        <w:rPr>
          <w:b/>
        </w:rPr>
        <w:t>Priemerná reálna mesačná mzda</w:t>
      </w:r>
      <w:r w:rsidRPr="00DA20F5">
        <w:t xml:space="preserve"> zamestnanca v hospodárstve SR medziročne klesla o 1,6 %. </w:t>
      </w:r>
    </w:p>
    <w:p w:rsidR="00F10DB1" w:rsidRPr="00DA20F5" w:rsidRDefault="00F10DB1" w:rsidP="00D36FB8">
      <w:pPr>
        <w:pStyle w:val="Nadpis7"/>
      </w:pPr>
      <w:bookmarkStart w:id="302" w:name="_Toc325438150"/>
      <w:bookmarkStart w:id="303" w:name="_Toc325440919"/>
      <w:bookmarkStart w:id="304" w:name="_Toc325626732"/>
      <w:bookmarkStart w:id="305" w:name="_Toc326216993"/>
      <w:r w:rsidRPr="00DA20F5">
        <w:t>Graf 2.17 Vývoj priemernej mesačnej mzdy od roku 1999</w:t>
      </w:r>
      <w:bookmarkEnd w:id="302"/>
      <w:bookmarkEnd w:id="303"/>
      <w:bookmarkEnd w:id="304"/>
      <w:bookmarkEnd w:id="305"/>
    </w:p>
    <w:p w:rsidR="00F10DB1" w:rsidRPr="00DA20F5" w:rsidRDefault="00F10DB1" w:rsidP="004B1E82">
      <w:pPr>
        <w:jc w:val="center"/>
        <w:rPr>
          <w:color w:val="1F497D" w:themeColor="text2"/>
        </w:rPr>
      </w:pPr>
      <w:r w:rsidRPr="00DA20F5">
        <w:rPr>
          <w:noProof/>
          <w:color w:val="1F497D" w:themeColor="text2"/>
        </w:rPr>
        <w:drawing>
          <wp:inline distT="0" distB="0" distL="0" distR="0" wp14:anchorId="38EB6298" wp14:editId="39322421">
            <wp:extent cx="5454595" cy="2711395"/>
            <wp:effectExtent l="0" t="0" r="0" b="0"/>
            <wp:docPr id="45"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10DB1" w:rsidRPr="00DA20F5" w:rsidRDefault="00F10DB1" w:rsidP="00D36FB8">
      <w:pPr>
        <w:pStyle w:val="zdroj"/>
      </w:pPr>
      <w:r w:rsidRPr="00DA20F5">
        <w:t>Zdroj: ŠÚ SR</w:t>
      </w:r>
    </w:p>
    <w:p w:rsidR="00F10DB1" w:rsidRPr="00DA20F5" w:rsidRDefault="00F10DB1" w:rsidP="00D36FB8">
      <w:pPr>
        <w:ind w:firstLine="357"/>
      </w:pPr>
      <w:r w:rsidRPr="00DA20F5">
        <w:t xml:space="preserve">Rovnako ako v predchádzajúcich rokoch, aj v roku 2011 v mzdovom vývoji pretrvávali výrazné regionálne rozdiely, keď v jednotlivých </w:t>
      </w:r>
      <w:r w:rsidRPr="00DA20F5">
        <w:rPr>
          <w:b/>
        </w:rPr>
        <w:t>krajoch</w:t>
      </w:r>
      <w:r w:rsidRPr="00DA20F5">
        <w:t xml:space="preserve"> sa priemerná nominálna mesačná mzda pohybovala v rozpätí od 608 € (Prešovský kraj) do 1 001 € (Bratislavský kraj) s rozdielom 393 €. V Prešovskom kraji priemerná nominálna mesačná mzda dosahovala 60,7 % priemernej nominálnej mesačnej mzdy Bratislavského kraja. Vyššia ako v priemere za celé hospodárstvo SR (786 €) bola len priemerná nominálna mesačná mzda v Bratislavskom kraji. Mzdová úrov</w:t>
      </w:r>
      <w:r w:rsidR="00E138B1" w:rsidRPr="00DA20F5">
        <w:t>eň v ostatných krajoch bola pod </w:t>
      </w:r>
      <w:r w:rsidRPr="00DA20F5">
        <w:t xml:space="preserve">priemerom SR. </w:t>
      </w:r>
    </w:p>
    <w:p w:rsidR="00F10DB1" w:rsidRPr="00DA20F5" w:rsidRDefault="00F10DB1" w:rsidP="00D36FB8">
      <w:pPr>
        <w:ind w:firstLine="357"/>
      </w:pPr>
      <w:r w:rsidRPr="00DA20F5">
        <w:t>Tempo rastu priemernej nominálnej mesačnej mzdy v roku 2011 bolo v porovnaní s rokom 2010 pomalšie takmer vo všetkých krajoch s výnimkou Trenčianskeho, Trnavského a Nitrianskeho kraja, v ktorých bol rast priemernej nominálnej mesačnej mzdy rýchlejší ako pred rokom. Rýchlejšie ako v priemere za SR rástla priemerná nominálna mesačná mzda takmer vo všetkých krajoch s výnimkou Bratislavského (1,0 %) a Košického kraja (1,4 %). Najvyšší rast dosiahol Trenčiansky kraj (4,6 %).</w:t>
      </w:r>
    </w:p>
    <w:p w:rsidR="00D547C6" w:rsidRPr="00DA20F5" w:rsidRDefault="00D547C6" w:rsidP="00D36FB8">
      <w:pPr>
        <w:jc w:val="left"/>
        <w:rPr>
          <w:b/>
        </w:rPr>
      </w:pPr>
      <w:r w:rsidRPr="00DA20F5">
        <w:br w:type="page"/>
      </w:r>
    </w:p>
    <w:p w:rsidR="00F10DB1" w:rsidRPr="00DA20F5" w:rsidRDefault="00F10DB1" w:rsidP="00D36FB8">
      <w:pPr>
        <w:pStyle w:val="Nadpis7"/>
      </w:pPr>
      <w:bookmarkStart w:id="306" w:name="_Toc325438151"/>
      <w:bookmarkStart w:id="307" w:name="_Toc325440920"/>
      <w:bookmarkStart w:id="308" w:name="_Toc325626733"/>
      <w:bookmarkStart w:id="309" w:name="_Toc326216994"/>
      <w:r w:rsidRPr="00DA20F5">
        <w:lastRenderedPageBreak/>
        <w:t>Graf 2.18 Rast priemernej nominálnej mesačnej mzdy v roku 2010 a 2011 podľa krajov (v %)</w:t>
      </w:r>
      <w:bookmarkEnd w:id="306"/>
      <w:bookmarkEnd w:id="307"/>
      <w:bookmarkEnd w:id="308"/>
      <w:bookmarkEnd w:id="309"/>
    </w:p>
    <w:p w:rsidR="00F10DB1" w:rsidRPr="00DA20F5" w:rsidRDefault="00F10DB1" w:rsidP="00D36FB8">
      <w:pPr>
        <w:jc w:val="center"/>
        <w:rPr>
          <w:color w:val="1F497D" w:themeColor="text2"/>
        </w:rPr>
      </w:pPr>
      <w:r w:rsidRPr="00DA20F5">
        <w:rPr>
          <w:noProof/>
          <w:color w:val="1F497D" w:themeColor="text2"/>
        </w:rPr>
        <w:drawing>
          <wp:inline distT="0" distB="0" distL="0" distR="0" wp14:anchorId="53A0E7B2" wp14:editId="5EE56C1B">
            <wp:extent cx="4993419" cy="3164619"/>
            <wp:effectExtent l="0" t="0" r="0" b="0"/>
            <wp:docPr id="46"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10DB1" w:rsidRPr="00DA20F5" w:rsidRDefault="00F10DB1" w:rsidP="00D36FB8">
      <w:pPr>
        <w:pStyle w:val="zdroj"/>
      </w:pPr>
      <w:r w:rsidRPr="00DA20F5">
        <w:t>Zdroj: ŠÚ SR</w:t>
      </w:r>
    </w:p>
    <w:p w:rsidR="00F10DB1" w:rsidRPr="00DA20F5" w:rsidRDefault="00D547C6" w:rsidP="00D36FB8">
      <w:r w:rsidRPr="00DA20F5">
        <w:rPr>
          <w:b/>
          <w:color w:val="1F497D" w:themeColor="text2"/>
        </w:rPr>
        <w:tab/>
      </w:r>
      <w:r w:rsidR="00F10DB1" w:rsidRPr="00DA20F5">
        <w:t>Podľa odvetví bola priemerná nominálna mesačná mzda vyššia ako celoslovenský priemer v informáciách a komunikácii; finančných a poisťovacích činnostiach; verejnej správe a obrane, povinnom sociálnom zabezpečení; odborných, vedeckých a technických činnostiach; činnostiach v oblasti nehnuteľností; administratívnych službách; priemysle a doprave a skladovaní. Najnižšiu priemernú nominálnu mesačnú mzdu mali zamestnanci v ubytovacích a stravovacích službách. Rozdiel medzi najlepšie a najhoršie priemerne plateným odvetvím tvoril 1 068 €.</w:t>
      </w:r>
    </w:p>
    <w:p w:rsidR="00F10DB1" w:rsidRPr="00DA20F5" w:rsidRDefault="00F10DB1" w:rsidP="00D36FB8">
      <w:pPr>
        <w:ind w:firstLine="357"/>
      </w:pPr>
      <w:r w:rsidRPr="00DA20F5">
        <w:t xml:space="preserve">V porovnaní s rokom 2010 vzrástla priemerná nominálna mesačná mzda v prevažnej časti odvetví. Najvyšší relatívny prírastok bol v informáciách a komunikácii (8,7 %) a finančných a poisťovacích činnostiach (8,4 %). Priemerná nominálna mesačná mzda medziročne klesla vo verejnej správe a obrane, povinnom sociálnom zabezpečení (o 1,0 %), odborných, vedeckých a technických činnostiach (o 0,6 %) a administratívnych službách (o 0,4 %). </w:t>
      </w:r>
    </w:p>
    <w:p w:rsidR="008D25A5" w:rsidRPr="00DA20F5" w:rsidRDefault="008D25A5" w:rsidP="00D36FB8">
      <w:pPr>
        <w:jc w:val="left"/>
      </w:pPr>
      <w:r w:rsidRPr="00DA20F5">
        <w:br w:type="page"/>
      </w:r>
    </w:p>
    <w:p w:rsidR="00F10DB1" w:rsidRPr="00DA20F5" w:rsidRDefault="00F10DB1" w:rsidP="00D36FB8">
      <w:pPr>
        <w:pStyle w:val="Nadpis7"/>
      </w:pPr>
      <w:bookmarkStart w:id="310" w:name="_Toc325438152"/>
      <w:bookmarkStart w:id="311" w:name="_Toc325440921"/>
      <w:bookmarkStart w:id="312" w:name="_Toc325626734"/>
      <w:bookmarkStart w:id="313" w:name="_Toc326216995"/>
      <w:r w:rsidRPr="00DA20F5">
        <w:lastRenderedPageBreak/>
        <w:t>Graf 2.19 Vývoj priemernej nominálnej mesačnej mzdy v roku 2010 a 2011 podľa odvetví (v %)</w:t>
      </w:r>
      <w:bookmarkEnd w:id="310"/>
      <w:bookmarkEnd w:id="311"/>
      <w:bookmarkEnd w:id="312"/>
      <w:bookmarkEnd w:id="313"/>
    </w:p>
    <w:p w:rsidR="00F10DB1" w:rsidRPr="00DA20F5" w:rsidRDefault="00F10DB1" w:rsidP="00D36FB8">
      <w:pPr>
        <w:ind w:left="-454"/>
        <w:jc w:val="center"/>
        <w:rPr>
          <w:color w:val="1F497D" w:themeColor="text2"/>
        </w:rPr>
      </w:pPr>
      <w:r w:rsidRPr="00DA20F5">
        <w:rPr>
          <w:noProof/>
          <w:color w:val="1F497D" w:themeColor="text2"/>
        </w:rPr>
        <w:drawing>
          <wp:inline distT="0" distB="0" distL="0" distR="0" wp14:anchorId="22713CD9" wp14:editId="6D382007">
            <wp:extent cx="6072997" cy="4002656"/>
            <wp:effectExtent l="0" t="0" r="0" b="0"/>
            <wp:docPr id="47" name="Graf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10DB1" w:rsidRPr="00DA20F5" w:rsidRDefault="00F10DB1" w:rsidP="00D36FB8">
      <w:pPr>
        <w:pStyle w:val="zdroj"/>
      </w:pPr>
      <w:r w:rsidRPr="00DA20F5">
        <w:t>Zdroj: ŠÚ SR</w:t>
      </w:r>
    </w:p>
    <w:p w:rsidR="00F10DB1" w:rsidRPr="00DA20F5" w:rsidRDefault="00F10DB1" w:rsidP="00D36FB8">
      <w:pPr>
        <w:ind w:firstLine="357"/>
      </w:pPr>
      <w:r w:rsidRPr="00DA20F5">
        <w:rPr>
          <w:b/>
        </w:rPr>
        <w:t xml:space="preserve">Podľa veľkosti podnikov </w:t>
      </w:r>
      <w:r w:rsidRPr="00DA20F5">
        <w:t>mali najvyššiu priemernú nominálnu mesačnú mzdu podniky s počtom zamestnancov 1 000 a viac. Priemernú nominálnu mesačnú mzdu vyššiu ako celoslovenský priemer dosiahli aj podniky s 50 až 249 zamestnancami, podniky s 250 až 499 zamestnan</w:t>
      </w:r>
      <w:r w:rsidR="00E138B1" w:rsidRPr="00DA20F5">
        <w:t>cami a podniky s 500 </w:t>
      </w:r>
      <w:r w:rsidRPr="00DA20F5">
        <w:t>až 999 zamestnancami. Najnižšiu priemernú nominálnu mesačnú mzdu dosahovali živnostníci. Najrýchlejšie rástli mzdy v podnikoch s 10 až 19 zamestnancami.</w:t>
      </w:r>
    </w:p>
    <w:p w:rsidR="00D547C6" w:rsidRPr="00DA20F5" w:rsidRDefault="00D547C6" w:rsidP="00D36FB8">
      <w:pPr>
        <w:ind w:firstLine="357"/>
      </w:pPr>
    </w:p>
    <w:p w:rsidR="00F10DB1" w:rsidRPr="00DA20F5" w:rsidRDefault="00F10DB1" w:rsidP="00D36FB8">
      <w:pPr>
        <w:pStyle w:val="Nadpis7"/>
      </w:pPr>
      <w:bookmarkStart w:id="314" w:name="_Toc325438153"/>
      <w:bookmarkStart w:id="315" w:name="_Toc325440922"/>
      <w:bookmarkStart w:id="316" w:name="_Toc325626735"/>
      <w:bookmarkStart w:id="317" w:name="_Toc326216996"/>
      <w:r w:rsidRPr="00DA20F5">
        <w:t>Tab. 2.17</w:t>
      </w:r>
      <w:r w:rsidR="00CF6056" w:rsidRPr="00DA20F5">
        <w:t xml:space="preserve"> </w:t>
      </w:r>
      <w:r w:rsidRPr="00DA20F5">
        <w:t>Priemerná nominálna mesačná mzda podľa veľkosti podnikov</w:t>
      </w:r>
      <w:bookmarkEnd w:id="314"/>
      <w:bookmarkEnd w:id="315"/>
      <w:bookmarkEnd w:id="316"/>
      <w:bookmarkEnd w:id="317"/>
    </w:p>
    <w:tbl>
      <w:tblPr>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2268"/>
        <w:gridCol w:w="901"/>
        <w:gridCol w:w="1439"/>
        <w:gridCol w:w="1263"/>
        <w:gridCol w:w="903"/>
        <w:gridCol w:w="1437"/>
        <w:gridCol w:w="1075"/>
      </w:tblGrid>
      <w:tr w:rsidR="00D547C6" w:rsidRPr="00DA20F5" w:rsidTr="00A05573">
        <w:trPr>
          <w:jc w:val="center"/>
        </w:trPr>
        <w:tc>
          <w:tcPr>
            <w:tcW w:w="1221" w:type="pct"/>
            <w:vMerge w:val="restar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Veľkostné skupiny podnikov</w:t>
            </w:r>
          </w:p>
        </w:tc>
        <w:tc>
          <w:tcPr>
            <w:tcW w:w="485" w:type="pct"/>
            <w:vMerge w:val="restar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2010</w:t>
            </w:r>
          </w:p>
          <w:p w:rsidR="00F10DB1" w:rsidRPr="00DA20F5" w:rsidRDefault="00F10DB1" w:rsidP="00D36FB8">
            <w:pPr>
              <w:jc w:val="center"/>
              <w:rPr>
                <w:b/>
                <w:color w:val="FFFFFF" w:themeColor="background1"/>
              </w:rPr>
            </w:pPr>
            <w:r w:rsidRPr="00DA20F5">
              <w:rPr>
                <w:b/>
                <w:color w:val="FFFFFF" w:themeColor="background1"/>
              </w:rPr>
              <w:t>(v €)</w:t>
            </w:r>
          </w:p>
        </w:tc>
        <w:tc>
          <w:tcPr>
            <w:tcW w:w="1455" w:type="pct"/>
            <w:gridSpan w:val="2"/>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Indexy 2010/2009</w:t>
            </w:r>
          </w:p>
        </w:tc>
        <w:tc>
          <w:tcPr>
            <w:tcW w:w="486" w:type="pct"/>
            <w:vMerge w:val="restar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2011</w:t>
            </w:r>
          </w:p>
          <w:p w:rsidR="00F10DB1" w:rsidRPr="00DA20F5" w:rsidRDefault="00F10DB1" w:rsidP="00D36FB8">
            <w:pPr>
              <w:jc w:val="center"/>
              <w:rPr>
                <w:b/>
                <w:color w:val="FFFFFF" w:themeColor="background1"/>
              </w:rPr>
            </w:pPr>
            <w:r w:rsidRPr="00DA20F5">
              <w:rPr>
                <w:b/>
                <w:color w:val="FFFFFF" w:themeColor="background1"/>
              </w:rPr>
              <w:t>(v €)</w:t>
            </w:r>
          </w:p>
        </w:tc>
        <w:tc>
          <w:tcPr>
            <w:tcW w:w="1353" w:type="pct"/>
            <w:gridSpan w:val="2"/>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Indexy 2011/2010</w:t>
            </w:r>
          </w:p>
        </w:tc>
      </w:tr>
      <w:tr w:rsidR="00D547C6" w:rsidRPr="00DA20F5" w:rsidTr="00A05573">
        <w:trPr>
          <w:jc w:val="center"/>
        </w:trPr>
        <w:tc>
          <w:tcPr>
            <w:tcW w:w="1221" w:type="pct"/>
            <w:vMerge/>
            <w:shd w:val="clear" w:color="auto" w:fill="4F81BD"/>
            <w:vAlign w:val="center"/>
          </w:tcPr>
          <w:p w:rsidR="00F10DB1" w:rsidRPr="00DA20F5" w:rsidRDefault="00F10DB1" w:rsidP="00D36FB8">
            <w:pPr>
              <w:jc w:val="center"/>
              <w:rPr>
                <w:b/>
                <w:color w:val="FFFFFF" w:themeColor="background1"/>
              </w:rPr>
            </w:pPr>
          </w:p>
        </w:tc>
        <w:tc>
          <w:tcPr>
            <w:tcW w:w="485" w:type="pct"/>
            <w:vMerge/>
            <w:shd w:val="clear" w:color="auto" w:fill="4F81BD"/>
            <w:vAlign w:val="center"/>
          </w:tcPr>
          <w:p w:rsidR="00F10DB1" w:rsidRPr="00DA20F5" w:rsidRDefault="00F10DB1" w:rsidP="00D36FB8">
            <w:pPr>
              <w:jc w:val="center"/>
              <w:rPr>
                <w:b/>
                <w:color w:val="FFFFFF" w:themeColor="background1"/>
              </w:rPr>
            </w:pPr>
          </w:p>
        </w:tc>
        <w:tc>
          <w:tcPr>
            <w:tcW w:w="775"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nominálna mzda</w:t>
            </w:r>
          </w:p>
        </w:tc>
        <w:tc>
          <w:tcPr>
            <w:tcW w:w="680"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reálna mzda</w:t>
            </w:r>
          </w:p>
        </w:tc>
        <w:tc>
          <w:tcPr>
            <w:tcW w:w="486" w:type="pct"/>
            <w:vMerge/>
            <w:shd w:val="clear" w:color="auto" w:fill="4F81BD"/>
            <w:vAlign w:val="center"/>
          </w:tcPr>
          <w:p w:rsidR="00F10DB1" w:rsidRPr="00DA20F5" w:rsidRDefault="00F10DB1" w:rsidP="00D36FB8">
            <w:pPr>
              <w:jc w:val="center"/>
              <w:rPr>
                <w:b/>
                <w:color w:val="FFFFFF" w:themeColor="background1"/>
              </w:rPr>
            </w:pPr>
          </w:p>
        </w:tc>
        <w:tc>
          <w:tcPr>
            <w:tcW w:w="774"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nominálna mzda</w:t>
            </w:r>
          </w:p>
        </w:tc>
        <w:tc>
          <w:tcPr>
            <w:tcW w:w="579" w:type="pct"/>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reálna mzda</w:t>
            </w:r>
          </w:p>
        </w:tc>
      </w:tr>
      <w:tr w:rsidR="00D547C6" w:rsidRPr="00DA20F5" w:rsidTr="00A05573">
        <w:trPr>
          <w:jc w:val="center"/>
        </w:trPr>
        <w:tc>
          <w:tcPr>
            <w:tcW w:w="1221" w:type="pct"/>
            <w:vAlign w:val="center"/>
          </w:tcPr>
          <w:p w:rsidR="00F10DB1" w:rsidRPr="00DA20F5" w:rsidRDefault="00F10DB1" w:rsidP="00D36FB8">
            <w:r w:rsidRPr="00DA20F5">
              <w:t>0 – 9</w:t>
            </w:r>
          </w:p>
        </w:tc>
        <w:tc>
          <w:tcPr>
            <w:tcW w:w="485" w:type="pct"/>
            <w:vAlign w:val="center"/>
          </w:tcPr>
          <w:p w:rsidR="00F10DB1" w:rsidRPr="00DA20F5" w:rsidRDefault="00F10DB1" w:rsidP="00D36FB8">
            <w:pPr>
              <w:ind w:right="170"/>
              <w:jc w:val="right"/>
            </w:pPr>
            <w:r w:rsidRPr="00DA20F5">
              <w:t>662</w:t>
            </w:r>
          </w:p>
        </w:tc>
        <w:tc>
          <w:tcPr>
            <w:tcW w:w="775" w:type="pct"/>
            <w:vAlign w:val="center"/>
          </w:tcPr>
          <w:p w:rsidR="00F10DB1" w:rsidRPr="00DA20F5" w:rsidRDefault="00F10DB1" w:rsidP="00D36FB8">
            <w:pPr>
              <w:ind w:right="340"/>
              <w:jc w:val="right"/>
            </w:pPr>
            <w:r w:rsidRPr="00DA20F5">
              <w:t>109,6</w:t>
            </w:r>
          </w:p>
        </w:tc>
        <w:tc>
          <w:tcPr>
            <w:tcW w:w="680" w:type="pct"/>
            <w:vAlign w:val="center"/>
          </w:tcPr>
          <w:p w:rsidR="00F10DB1" w:rsidRPr="00DA20F5" w:rsidRDefault="00F10DB1" w:rsidP="00D36FB8">
            <w:pPr>
              <w:ind w:right="284"/>
              <w:jc w:val="right"/>
            </w:pPr>
            <w:r w:rsidRPr="00DA20F5">
              <w:t>107,2</w:t>
            </w:r>
          </w:p>
        </w:tc>
        <w:tc>
          <w:tcPr>
            <w:tcW w:w="486" w:type="pct"/>
            <w:vAlign w:val="center"/>
          </w:tcPr>
          <w:p w:rsidR="00F10DB1" w:rsidRPr="00DA20F5" w:rsidRDefault="00F10DB1" w:rsidP="00D36FB8">
            <w:pPr>
              <w:ind w:right="170"/>
              <w:jc w:val="right"/>
            </w:pPr>
            <w:r w:rsidRPr="00DA20F5">
              <w:t>639</w:t>
            </w:r>
          </w:p>
        </w:tc>
        <w:tc>
          <w:tcPr>
            <w:tcW w:w="774" w:type="pct"/>
            <w:vAlign w:val="center"/>
          </w:tcPr>
          <w:p w:rsidR="00F10DB1" w:rsidRPr="00DA20F5" w:rsidRDefault="00F10DB1" w:rsidP="00D36FB8">
            <w:pPr>
              <w:ind w:right="340"/>
              <w:jc w:val="right"/>
            </w:pPr>
            <w:r w:rsidRPr="00DA20F5">
              <w:t>96,5</w:t>
            </w:r>
          </w:p>
        </w:tc>
        <w:tc>
          <w:tcPr>
            <w:tcW w:w="579" w:type="pct"/>
            <w:vAlign w:val="center"/>
          </w:tcPr>
          <w:p w:rsidR="00F10DB1" w:rsidRPr="00DA20F5" w:rsidRDefault="00F10DB1" w:rsidP="00D36FB8">
            <w:pPr>
              <w:ind w:right="227"/>
              <w:jc w:val="right"/>
            </w:pPr>
            <w:r w:rsidRPr="00DA20F5">
              <w:t>92,9</w:t>
            </w:r>
          </w:p>
        </w:tc>
      </w:tr>
      <w:tr w:rsidR="00D547C6" w:rsidRPr="00DA20F5" w:rsidTr="00A05573">
        <w:trPr>
          <w:jc w:val="center"/>
        </w:trPr>
        <w:tc>
          <w:tcPr>
            <w:tcW w:w="1221" w:type="pct"/>
            <w:vAlign w:val="center"/>
          </w:tcPr>
          <w:p w:rsidR="00F10DB1" w:rsidRPr="00DA20F5" w:rsidRDefault="00F10DB1" w:rsidP="00D36FB8">
            <w:r w:rsidRPr="00DA20F5">
              <w:t>10 – 19</w:t>
            </w:r>
          </w:p>
        </w:tc>
        <w:tc>
          <w:tcPr>
            <w:tcW w:w="485" w:type="pct"/>
            <w:vAlign w:val="center"/>
          </w:tcPr>
          <w:p w:rsidR="00F10DB1" w:rsidRPr="00DA20F5" w:rsidRDefault="00F10DB1" w:rsidP="00D36FB8">
            <w:pPr>
              <w:ind w:right="170"/>
              <w:jc w:val="right"/>
            </w:pPr>
            <w:r w:rsidRPr="00DA20F5">
              <w:t>697</w:t>
            </w:r>
          </w:p>
        </w:tc>
        <w:tc>
          <w:tcPr>
            <w:tcW w:w="775" w:type="pct"/>
            <w:vAlign w:val="center"/>
          </w:tcPr>
          <w:p w:rsidR="00F10DB1" w:rsidRPr="00DA20F5" w:rsidRDefault="00F10DB1" w:rsidP="00D36FB8">
            <w:pPr>
              <w:ind w:right="340"/>
              <w:jc w:val="right"/>
            </w:pPr>
            <w:r w:rsidRPr="00DA20F5">
              <w:t>100,3</w:t>
            </w:r>
          </w:p>
        </w:tc>
        <w:tc>
          <w:tcPr>
            <w:tcW w:w="680" w:type="pct"/>
            <w:vAlign w:val="center"/>
          </w:tcPr>
          <w:p w:rsidR="00F10DB1" w:rsidRPr="00DA20F5" w:rsidRDefault="00F10DB1" w:rsidP="00D36FB8">
            <w:pPr>
              <w:ind w:right="284"/>
              <w:jc w:val="right"/>
            </w:pPr>
            <w:r w:rsidRPr="00DA20F5">
              <w:t>98,1</w:t>
            </w:r>
          </w:p>
        </w:tc>
        <w:tc>
          <w:tcPr>
            <w:tcW w:w="486" w:type="pct"/>
            <w:vAlign w:val="center"/>
          </w:tcPr>
          <w:p w:rsidR="00F10DB1" w:rsidRPr="00DA20F5" w:rsidRDefault="00F10DB1" w:rsidP="00D36FB8">
            <w:pPr>
              <w:ind w:right="170"/>
              <w:jc w:val="right"/>
            </w:pPr>
            <w:r w:rsidRPr="00DA20F5">
              <w:t>749</w:t>
            </w:r>
          </w:p>
        </w:tc>
        <w:tc>
          <w:tcPr>
            <w:tcW w:w="774" w:type="pct"/>
            <w:vAlign w:val="center"/>
          </w:tcPr>
          <w:p w:rsidR="00F10DB1" w:rsidRPr="00DA20F5" w:rsidRDefault="00F10DB1" w:rsidP="00D36FB8">
            <w:pPr>
              <w:ind w:right="340"/>
              <w:jc w:val="right"/>
            </w:pPr>
            <w:r w:rsidRPr="00DA20F5">
              <w:t>107,5</w:t>
            </w:r>
          </w:p>
        </w:tc>
        <w:tc>
          <w:tcPr>
            <w:tcW w:w="579" w:type="pct"/>
            <w:vAlign w:val="center"/>
          </w:tcPr>
          <w:p w:rsidR="00F10DB1" w:rsidRPr="00DA20F5" w:rsidRDefault="00F10DB1" w:rsidP="00D36FB8">
            <w:pPr>
              <w:ind w:right="227"/>
              <w:jc w:val="right"/>
            </w:pPr>
            <w:r w:rsidRPr="00DA20F5">
              <w:t>103,5</w:t>
            </w:r>
          </w:p>
        </w:tc>
      </w:tr>
      <w:tr w:rsidR="00D547C6" w:rsidRPr="00DA20F5" w:rsidTr="00A05573">
        <w:trPr>
          <w:jc w:val="center"/>
        </w:trPr>
        <w:tc>
          <w:tcPr>
            <w:tcW w:w="1221" w:type="pct"/>
            <w:vAlign w:val="center"/>
          </w:tcPr>
          <w:p w:rsidR="00F10DB1" w:rsidRPr="00DA20F5" w:rsidRDefault="00F10DB1" w:rsidP="00D36FB8">
            <w:r w:rsidRPr="00DA20F5">
              <w:t>20 – 49</w:t>
            </w:r>
          </w:p>
        </w:tc>
        <w:tc>
          <w:tcPr>
            <w:tcW w:w="485" w:type="pct"/>
            <w:vAlign w:val="center"/>
          </w:tcPr>
          <w:p w:rsidR="00F10DB1" w:rsidRPr="00DA20F5" w:rsidRDefault="00F10DB1" w:rsidP="00D36FB8">
            <w:pPr>
              <w:ind w:right="170"/>
              <w:jc w:val="right"/>
            </w:pPr>
            <w:r w:rsidRPr="00DA20F5">
              <w:t>714</w:t>
            </w:r>
          </w:p>
        </w:tc>
        <w:tc>
          <w:tcPr>
            <w:tcW w:w="775" w:type="pct"/>
            <w:vAlign w:val="center"/>
          </w:tcPr>
          <w:p w:rsidR="00F10DB1" w:rsidRPr="00DA20F5" w:rsidRDefault="00F10DB1" w:rsidP="00D36FB8">
            <w:pPr>
              <w:ind w:right="340"/>
              <w:jc w:val="right"/>
            </w:pPr>
            <w:r w:rsidRPr="00DA20F5">
              <w:t>101,7</w:t>
            </w:r>
          </w:p>
        </w:tc>
        <w:tc>
          <w:tcPr>
            <w:tcW w:w="680" w:type="pct"/>
            <w:vAlign w:val="center"/>
          </w:tcPr>
          <w:p w:rsidR="00F10DB1" w:rsidRPr="00DA20F5" w:rsidRDefault="00F10DB1" w:rsidP="00D36FB8">
            <w:pPr>
              <w:ind w:right="284"/>
              <w:jc w:val="right"/>
            </w:pPr>
            <w:r w:rsidRPr="00DA20F5">
              <w:t>99,5</w:t>
            </w:r>
          </w:p>
        </w:tc>
        <w:tc>
          <w:tcPr>
            <w:tcW w:w="486" w:type="pct"/>
            <w:vAlign w:val="center"/>
          </w:tcPr>
          <w:p w:rsidR="00F10DB1" w:rsidRPr="00DA20F5" w:rsidRDefault="00F10DB1" w:rsidP="00D36FB8">
            <w:pPr>
              <w:ind w:right="170"/>
              <w:jc w:val="right"/>
            </w:pPr>
            <w:r w:rsidRPr="00DA20F5">
              <w:t>702</w:t>
            </w:r>
          </w:p>
        </w:tc>
        <w:tc>
          <w:tcPr>
            <w:tcW w:w="774" w:type="pct"/>
            <w:vAlign w:val="center"/>
          </w:tcPr>
          <w:p w:rsidR="00F10DB1" w:rsidRPr="00DA20F5" w:rsidRDefault="00F10DB1" w:rsidP="00D36FB8">
            <w:pPr>
              <w:ind w:right="340"/>
              <w:jc w:val="right"/>
            </w:pPr>
            <w:r w:rsidRPr="00DA20F5">
              <w:t>98,3</w:t>
            </w:r>
          </w:p>
        </w:tc>
        <w:tc>
          <w:tcPr>
            <w:tcW w:w="579" w:type="pct"/>
            <w:vAlign w:val="center"/>
          </w:tcPr>
          <w:p w:rsidR="00F10DB1" w:rsidRPr="00DA20F5" w:rsidRDefault="00F10DB1" w:rsidP="00D36FB8">
            <w:pPr>
              <w:ind w:right="227"/>
              <w:jc w:val="right"/>
            </w:pPr>
            <w:r w:rsidRPr="00DA20F5">
              <w:t>94,6</w:t>
            </w:r>
          </w:p>
        </w:tc>
      </w:tr>
      <w:tr w:rsidR="00D547C6" w:rsidRPr="00DA20F5" w:rsidTr="00A05573">
        <w:trPr>
          <w:jc w:val="center"/>
        </w:trPr>
        <w:tc>
          <w:tcPr>
            <w:tcW w:w="1221" w:type="pct"/>
            <w:vAlign w:val="center"/>
          </w:tcPr>
          <w:p w:rsidR="00F10DB1" w:rsidRPr="00DA20F5" w:rsidRDefault="00F10DB1" w:rsidP="00D36FB8">
            <w:r w:rsidRPr="00DA20F5">
              <w:t>50 – 249</w:t>
            </w:r>
          </w:p>
        </w:tc>
        <w:tc>
          <w:tcPr>
            <w:tcW w:w="485" w:type="pct"/>
            <w:vAlign w:val="center"/>
          </w:tcPr>
          <w:p w:rsidR="00F10DB1" w:rsidRPr="00DA20F5" w:rsidRDefault="00F10DB1" w:rsidP="00D36FB8">
            <w:pPr>
              <w:ind w:right="170"/>
              <w:jc w:val="right"/>
            </w:pPr>
            <w:r w:rsidRPr="00DA20F5">
              <w:t>795</w:t>
            </w:r>
          </w:p>
        </w:tc>
        <w:tc>
          <w:tcPr>
            <w:tcW w:w="775" w:type="pct"/>
            <w:vAlign w:val="center"/>
          </w:tcPr>
          <w:p w:rsidR="00F10DB1" w:rsidRPr="00DA20F5" w:rsidRDefault="00F10DB1" w:rsidP="00D36FB8">
            <w:pPr>
              <w:ind w:right="340"/>
              <w:jc w:val="right"/>
            </w:pPr>
            <w:r w:rsidRPr="00DA20F5">
              <w:t>104,7</w:t>
            </w:r>
          </w:p>
        </w:tc>
        <w:tc>
          <w:tcPr>
            <w:tcW w:w="680" w:type="pct"/>
            <w:vAlign w:val="center"/>
          </w:tcPr>
          <w:p w:rsidR="00F10DB1" w:rsidRPr="00DA20F5" w:rsidRDefault="00F10DB1" w:rsidP="00D36FB8">
            <w:pPr>
              <w:ind w:right="284"/>
              <w:jc w:val="right"/>
            </w:pPr>
            <w:r w:rsidRPr="00DA20F5">
              <w:t>102,5</w:t>
            </w:r>
          </w:p>
        </w:tc>
        <w:tc>
          <w:tcPr>
            <w:tcW w:w="486" w:type="pct"/>
            <w:vAlign w:val="center"/>
          </w:tcPr>
          <w:p w:rsidR="00F10DB1" w:rsidRPr="00DA20F5" w:rsidRDefault="00F10DB1" w:rsidP="00D36FB8">
            <w:pPr>
              <w:ind w:right="170"/>
              <w:jc w:val="right"/>
            </w:pPr>
            <w:r w:rsidRPr="00DA20F5">
              <w:t>804</w:t>
            </w:r>
          </w:p>
        </w:tc>
        <w:tc>
          <w:tcPr>
            <w:tcW w:w="774" w:type="pct"/>
            <w:vAlign w:val="center"/>
          </w:tcPr>
          <w:p w:rsidR="00F10DB1" w:rsidRPr="00DA20F5" w:rsidRDefault="00F10DB1" w:rsidP="00D36FB8">
            <w:pPr>
              <w:ind w:right="340"/>
              <w:jc w:val="right"/>
            </w:pPr>
            <w:r w:rsidRPr="00DA20F5">
              <w:t>101,1</w:t>
            </w:r>
          </w:p>
        </w:tc>
        <w:tc>
          <w:tcPr>
            <w:tcW w:w="579" w:type="pct"/>
            <w:vAlign w:val="center"/>
          </w:tcPr>
          <w:p w:rsidR="00F10DB1" w:rsidRPr="00DA20F5" w:rsidRDefault="00F10DB1" w:rsidP="00D36FB8">
            <w:pPr>
              <w:ind w:right="227"/>
              <w:jc w:val="right"/>
            </w:pPr>
            <w:r w:rsidRPr="00DA20F5">
              <w:t>97,3</w:t>
            </w:r>
          </w:p>
        </w:tc>
      </w:tr>
      <w:tr w:rsidR="00D547C6" w:rsidRPr="00DA20F5" w:rsidTr="00A05573">
        <w:trPr>
          <w:jc w:val="center"/>
        </w:trPr>
        <w:tc>
          <w:tcPr>
            <w:tcW w:w="1221" w:type="pct"/>
            <w:vAlign w:val="center"/>
          </w:tcPr>
          <w:p w:rsidR="00F10DB1" w:rsidRPr="00DA20F5" w:rsidRDefault="00F10DB1" w:rsidP="00D36FB8">
            <w:r w:rsidRPr="00DA20F5">
              <w:t>250 – 499</w:t>
            </w:r>
          </w:p>
        </w:tc>
        <w:tc>
          <w:tcPr>
            <w:tcW w:w="485" w:type="pct"/>
            <w:vAlign w:val="center"/>
          </w:tcPr>
          <w:p w:rsidR="00F10DB1" w:rsidRPr="00DA20F5" w:rsidRDefault="00F10DB1" w:rsidP="00D36FB8">
            <w:pPr>
              <w:ind w:right="170"/>
              <w:jc w:val="right"/>
            </w:pPr>
            <w:r w:rsidRPr="00DA20F5">
              <w:t>844</w:t>
            </w:r>
          </w:p>
        </w:tc>
        <w:tc>
          <w:tcPr>
            <w:tcW w:w="775" w:type="pct"/>
            <w:vAlign w:val="center"/>
          </w:tcPr>
          <w:p w:rsidR="00F10DB1" w:rsidRPr="00DA20F5" w:rsidRDefault="00F10DB1" w:rsidP="00D36FB8">
            <w:pPr>
              <w:ind w:right="340"/>
              <w:jc w:val="right"/>
            </w:pPr>
            <w:r w:rsidRPr="00DA20F5">
              <w:t>102,6</w:t>
            </w:r>
          </w:p>
        </w:tc>
        <w:tc>
          <w:tcPr>
            <w:tcW w:w="680" w:type="pct"/>
            <w:vAlign w:val="center"/>
          </w:tcPr>
          <w:p w:rsidR="00F10DB1" w:rsidRPr="00DA20F5" w:rsidRDefault="00F10DB1" w:rsidP="00D36FB8">
            <w:pPr>
              <w:ind w:right="284"/>
              <w:jc w:val="right"/>
            </w:pPr>
            <w:r w:rsidRPr="00DA20F5">
              <w:t>100,3</w:t>
            </w:r>
          </w:p>
        </w:tc>
        <w:tc>
          <w:tcPr>
            <w:tcW w:w="486" w:type="pct"/>
            <w:vAlign w:val="center"/>
          </w:tcPr>
          <w:p w:rsidR="00F10DB1" w:rsidRPr="00DA20F5" w:rsidRDefault="00F10DB1" w:rsidP="00D36FB8">
            <w:pPr>
              <w:ind w:right="170"/>
              <w:jc w:val="right"/>
            </w:pPr>
            <w:r w:rsidRPr="00DA20F5">
              <w:t>879</w:t>
            </w:r>
          </w:p>
        </w:tc>
        <w:tc>
          <w:tcPr>
            <w:tcW w:w="774" w:type="pct"/>
            <w:vAlign w:val="center"/>
          </w:tcPr>
          <w:p w:rsidR="00F10DB1" w:rsidRPr="00DA20F5" w:rsidRDefault="00F10DB1" w:rsidP="00D36FB8">
            <w:pPr>
              <w:ind w:right="340"/>
              <w:jc w:val="right"/>
            </w:pPr>
            <w:r w:rsidRPr="00DA20F5">
              <w:t>104,1</w:t>
            </w:r>
          </w:p>
        </w:tc>
        <w:tc>
          <w:tcPr>
            <w:tcW w:w="579" w:type="pct"/>
            <w:vAlign w:val="center"/>
          </w:tcPr>
          <w:p w:rsidR="00F10DB1" w:rsidRPr="00DA20F5" w:rsidRDefault="00F10DB1" w:rsidP="00D36FB8">
            <w:pPr>
              <w:ind w:right="227"/>
              <w:jc w:val="right"/>
            </w:pPr>
            <w:r w:rsidRPr="00DA20F5">
              <w:t>100,2</w:t>
            </w:r>
          </w:p>
        </w:tc>
      </w:tr>
      <w:tr w:rsidR="00D547C6" w:rsidRPr="00DA20F5" w:rsidTr="00A05573">
        <w:trPr>
          <w:jc w:val="center"/>
        </w:trPr>
        <w:tc>
          <w:tcPr>
            <w:tcW w:w="1221" w:type="pct"/>
            <w:vAlign w:val="center"/>
          </w:tcPr>
          <w:p w:rsidR="00F10DB1" w:rsidRPr="00DA20F5" w:rsidRDefault="00F10DB1" w:rsidP="00D36FB8">
            <w:r w:rsidRPr="00DA20F5">
              <w:t>500 – 999</w:t>
            </w:r>
          </w:p>
        </w:tc>
        <w:tc>
          <w:tcPr>
            <w:tcW w:w="485" w:type="pct"/>
            <w:vAlign w:val="center"/>
          </w:tcPr>
          <w:p w:rsidR="00F10DB1" w:rsidRPr="00DA20F5" w:rsidRDefault="00F10DB1" w:rsidP="00D36FB8">
            <w:pPr>
              <w:ind w:right="170"/>
              <w:jc w:val="right"/>
            </w:pPr>
            <w:r w:rsidRPr="00DA20F5">
              <w:t>871</w:t>
            </w:r>
          </w:p>
        </w:tc>
        <w:tc>
          <w:tcPr>
            <w:tcW w:w="775" w:type="pct"/>
            <w:vAlign w:val="center"/>
          </w:tcPr>
          <w:p w:rsidR="00F10DB1" w:rsidRPr="00DA20F5" w:rsidRDefault="00F10DB1" w:rsidP="00D36FB8">
            <w:pPr>
              <w:ind w:right="340"/>
              <w:jc w:val="right"/>
            </w:pPr>
            <w:r w:rsidRPr="00DA20F5">
              <w:t>108,7</w:t>
            </w:r>
          </w:p>
        </w:tc>
        <w:tc>
          <w:tcPr>
            <w:tcW w:w="680" w:type="pct"/>
            <w:vAlign w:val="center"/>
          </w:tcPr>
          <w:p w:rsidR="00F10DB1" w:rsidRPr="00DA20F5" w:rsidRDefault="00F10DB1" w:rsidP="00D36FB8">
            <w:pPr>
              <w:ind w:right="284"/>
              <w:jc w:val="right"/>
            </w:pPr>
            <w:r w:rsidRPr="00DA20F5">
              <w:t>106,4</w:t>
            </w:r>
          </w:p>
        </w:tc>
        <w:tc>
          <w:tcPr>
            <w:tcW w:w="486" w:type="pct"/>
            <w:vAlign w:val="center"/>
          </w:tcPr>
          <w:p w:rsidR="00F10DB1" w:rsidRPr="00DA20F5" w:rsidRDefault="00F10DB1" w:rsidP="00D36FB8">
            <w:pPr>
              <w:ind w:right="170"/>
              <w:jc w:val="right"/>
            </w:pPr>
            <w:r w:rsidRPr="00DA20F5">
              <w:t>925</w:t>
            </w:r>
          </w:p>
        </w:tc>
        <w:tc>
          <w:tcPr>
            <w:tcW w:w="774" w:type="pct"/>
            <w:vAlign w:val="center"/>
          </w:tcPr>
          <w:p w:rsidR="00F10DB1" w:rsidRPr="00DA20F5" w:rsidRDefault="00F10DB1" w:rsidP="00D36FB8">
            <w:pPr>
              <w:ind w:right="340"/>
              <w:jc w:val="right"/>
            </w:pPr>
            <w:r w:rsidRPr="00DA20F5">
              <w:t>106,2</w:t>
            </w:r>
          </w:p>
        </w:tc>
        <w:tc>
          <w:tcPr>
            <w:tcW w:w="579" w:type="pct"/>
            <w:vAlign w:val="center"/>
          </w:tcPr>
          <w:p w:rsidR="00F10DB1" w:rsidRPr="00DA20F5" w:rsidRDefault="00F10DB1" w:rsidP="00D36FB8">
            <w:pPr>
              <w:ind w:right="227"/>
              <w:jc w:val="right"/>
            </w:pPr>
            <w:r w:rsidRPr="00DA20F5">
              <w:t>102,2</w:t>
            </w:r>
          </w:p>
        </w:tc>
      </w:tr>
      <w:tr w:rsidR="00D547C6" w:rsidRPr="00DA20F5" w:rsidTr="00A05573">
        <w:trPr>
          <w:jc w:val="center"/>
        </w:trPr>
        <w:tc>
          <w:tcPr>
            <w:tcW w:w="1221" w:type="pct"/>
            <w:vAlign w:val="center"/>
          </w:tcPr>
          <w:p w:rsidR="00F10DB1" w:rsidRPr="00DA20F5" w:rsidRDefault="00F10DB1" w:rsidP="00D36FB8">
            <w:r w:rsidRPr="00DA20F5">
              <w:t>1 000 a viac</w:t>
            </w:r>
          </w:p>
        </w:tc>
        <w:tc>
          <w:tcPr>
            <w:tcW w:w="485" w:type="pct"/>
            <w:vAlign w:val="center"/>
          </w:tcPr>
          <w:p w:rsidR="00F10DB1" w:rsidRPr="00DA20F5" w:rsidRDefault="00F10DB1" w:rsidP="00D36FB8">
            <w:pPr>
              <w:ind w:right="170"/>
              <w:jc w:val="right"/>
            </w:pPr>
            <w:r w:rsidRPr="00DA20F5">
              <w:t>962</w:t>
            </w:r>
          </w:p>
        </w:tc>
        <w:tc>
          <w:tcPr>
            <w:tcW w:w="775" w:type="pct"/>
            <w:vAlign w:val="center"/>
          </w:tcPr>
          <w:p w:rsidR="00F10DB1" w:rsidRPr="00DA20F5" w:rsidRDefault="00F10DB1" w:rsidP="00D36FB8">
            <w:pPr>
              <w:ind w:right="340"/>
              <w:jc w:val="right"/>
            </w:pPr>
            <w:r w:rsidRPr="00DA20F5">
              <w:t>103,4</w:t>
            </w:r>
          </w:p>
        </w:tc>
        <w:tc>
          <w:tcPr>
            <w:tcW w:w="680" w:type="pct"/>
            <w:vAlign w:val="center"/>
          </w:tcPr>
          <w:p w:rsidR="00F10DB1" w:rsidRPr="00DA20F5" w:rsidRDefault="00F10DB1" w:rsidP="00D36FB8">
            <w:pPr>
              <w:ind w:right="284"/>
              <w:jc w:val="right"/>
            </w:pPr>
            <w:r w:rsidRPr="00DA20F5">
              <w:t>101,2</w:t>
            </w:r>
          </w:p>
        </w:tc>
        <w:tc>
          <w:tcPr>
            <w:tcW w:w="486" w:type="pct"/>
            <w:vAlign w:val="center"/>
          </w:tcPr>
          <w:p w:rsidR="00F10DB1" w:rsidRPr="00DA20F5" w:rsidRDefault="00F10DB1" w:rsidP="00D36FB8">
            <w:pPr>
              <w:ind w:right="170"/>
              <w:jc w:val="right"/>
            </w:pPr>
            <w:r w:rsidRPr="00DA20F5">
              <w:t>979</w:t>
            </w:r>
          </w:p>
        </w:tc>
        <w:tc>
          <w:tcPr>
            <w:tcW w:w="774" w:type="pct"/>
            <w:vAlign w:val="center"/>
          </w:tcPr>
          <w:p w:rsidR="00F10DB1" w:rsidRPr="00DA20F5" w:rsidRDefault="00F10DB1" w:rsidP="00D36FB8">
            <w:pPr>
              <w:ind w:right="340"/>
              <w:jc w:val="right"/>
            </w:pPr>
            <w:r w:rsidRPr="00DA20F5">
              <w:t>101,8</w:t>
            </w:r>
          </w:p>
        </w:tc>
        <w:tc>
          <w:tcPr>
            <w:tcW w:w="579" w:type="pct"/>
            <w:vAlign w:val="center"/>
          </w:tcPr>
          <w:p w:rsidR="00F10DB1" w:rsidRPr="00DA20F5" w:rsidRDefault="00F10DB1" w:rsidP="00D36FB8">
            <w:pPr>
              <w:ind w:right="227"/>
              <w:jc w:val="right"/>
            </w:pPr>
            <w:r w:rsidRPr="00DA20F5">
              <w:t>98,0</w:t>
            </w:r>
          </w:p>
        </w:tc>
      </w:tr>
      <w:tr w:rsidR="00D547C6" w:rsidRPr="00DA20F5" w:rsidTr="00A05573">
        <w:trPr>
          <w:jc w:val="center"/>
        </w:trPr>
        <w:tc>
          <w:tcPr>
            <w:tcW w:w="1221" w:type="pct"/>
            <w:vAlign w:val="center"/>
          </w:tcPr>
          <w:p w:rsidR="00F10DB1" w:rsidRPr="00DA20F5" w:rsidRDefault="00F10DB1" w:rsidP="00D36FB8">
            <w:r w:rsidRPr="00DA20F5">
              <w:t>Živnostníci (odhad)</w:t>
            </w:r>
          </w:p>
        </w:tc>
        <w:tc>
          <w:tcPr>
            <w:tcW w:w="485" w:type="pct"/>
            <w:vAlign w:val="center"/>
          </w:tcPr>
          <w:p w:rsidR="00F10DB1" w:rsidRPr="00DA20F5" w:rsidRDefault="00F10DB1" w:rsidP="00D36FB8">
            <w:pPr>
              <w:ind w:right="170"/>
              <w:jc w:val="right"/>
            </w:pPr>
            <w:r w:rsidRPr="00DA20F5">
              <w:t>577</w:t>
            </w:r>
          </w:p>
        </w:tc>
        <w:tc>
          <w:tcPr>
            <w:tcW w:w="775" w:type="pct"/>
            <w:vAlign w:val="center"/>
          </w:tcPr>
          <w:p w:rsidR="00F10DB1" w:rsidRPr="00DA20F5" w:rsidRDefault="00F10DB1" w:rsidP="00D36FB8">
            <w:pPr>
              <w:ind w:right="340"/>
              <w:jc w:val="right"/>
            </w:pPr>
            <w:r w:rsidRPr="00DA20F5">
              <w:t>101,6</w:t>
            </w:r>
          </w:p>
        </w:tc>
        <w:tc>
          <w:tcPr>
            <w:tcW w:w="680" w:type="pct"/>
            <w:vAlign w:val="center"/>
          </w:tcPr>
          <w:p w:rsidR="00F10DB1" w:rsidRPr="00DA20F5" w:rsidRDefault="00F10DB1" w:rsidP="00D36FB8">
            <w:pPr>
              <w:ind w:right="284"/>
              <w:jc w:val="right"/>
            </w:pPr>
            <w:r w:rsidRPr="00DA20F5">
              <w:t>99,4</w:t>
            </w:r>
          </w:p>
        </w:tc>
        <w:tc>
          <w:tcPr>
            <w:tcW w:w="486" w:type="pct"/>
            <w:vAlign w:val="center"/>
          </w:tcPr>
          <w:p w:rsidR="00F10DB1" w:rsidRPr="00DA20F5" w:rsidRDefault="00F10DB1" w:rsidP="00D36FB8">
            <w:pPr>
              <w:ind w:right="170"/>
              <w:jc w:val="right"/>
            </w:pPr>
            <w:r w:rsidRPr="00DA20F5">
              <w:t>594</w:t>
            </w:r>
          </w:p>
        </w:tc>
        <w:tc>
          <w:tcPr>
            <w:tcW w:w="774" w:type="pct"/>
            <w:vAlign w:val="center"/>
          </w:tcPr>
          <w:p w:rsidR="00F10DB1" w:rsidRPr="00DA20F5" w:rsidRDefault="00F10DB1" w:rsidP="00D36FB8">
            <w:pPr>
              <w:ind w:right="340"/>
              <w:jc w:val="right"/>
            </w:pPr>
            <w:r w:rsidRPr="00DA20F5">
              <w:t>102,9</w:t>
            </w:r>
          </w:p>
        </w:tc>
        <w:tc>
          <w:tcPr>
            <w:tcW w:w="579" w:type="pct"/>
            <w:vAlign w:val="center"/>
          </w:tcPr>
          <w:p w:rsidR="00F10DB1" w:rsidRPr="00DA20F5" w:rsidRDefault="00F10DB1" w:rsidP="00D36FB8">
            <w:pPr>
              <w:ind w:right="227"/>
              <w:jc w:val="right"/>
            </w:pPr>
            <w:r w:rsidRPr="00DA20F5">
              <w:t>99,0</w:t>
            </w:r>
          </w:p>
        </w:tc>
      </w:tr>
      <w:tr w:rsidR="00D547C6" w:rsidRPr="00DA20F5" w:rsidTr="00A05573">
        <w:trPr>
          <w:jc w:val="center"/>
        </w:trPr>
        <w:tc>
          <w:tcPr>
            <w:tcW w:w="1221" w:type="pct"/>
            <w:vAlign w:val="center"/>
          </w:tcPr>
          <w:p w:rsidR="00F10DB1" w:rsidRPr="00DA20F5" w:rsidRDefault="00F10DB1" w:rsidP="00D36FB8">
            <w:pPr>
              <w:rPr>
                <w:b/>
              </w:rPr>
            </w:pPr>
            <w:r w:rsidRPr="00DA20F5">
              <w:rPr>
                <w:b/>
              </w:rPr>
              <w:t>Spolu</w:t>
            </w:r>
          </w:p>
        </w:tc>
        <w:tc>
          <w:tcPr>
            <w:tcW w:w="485" w:type="pct"/>
            <w:vAlign w:val="center"/>
          </w:tcPr>
          <w:p w:rsidR="00F10DB1" w:rsidRPr="00DA20F5" w:rsidRDefault="00F10DB1" w:rsidP="00D36FB8">
            <w:pPr>
              <w:ind w:right="170"/>
              <w:jc w:val="right"/>
              <w:rPr>
                <w:b/>
              </w:rPr>
            </w:pPr>
            <w:r w:rsidRPr="00DA20F5">
              <w:rPr>
                <w:b/>
              </w:rPr>
              <w:t>769</w:t>
            </w:r>
          </w:p>
        </w:tc>
        <w:tc>
          <w:tcPr>
            <w:tcW w:w="775" w:type="pct"/>
            <w:vAlign w:val="center"/>
          </w:tcPr>
          <w:p w:rsidR="00F10DB1" w:rsidRPr="00DA20F5" w:rsidRDefault="00F10DB1" w:rsidP="00D36FB8">
            <w:pPr>
              <w:ind w:right="340"/>
              <w:jc w:val="right"/>
              <w:rPr>
                <w:b/>
              </w:rPr>
            </w:pPr>
            <w:r w:rsidRPr="00DA20F5">
              <w:rPr>
                <w:b/>
              </w:rPr>
              <w:t>103,2</w:t>
            </w:r>
          </w:p>
        </w:tc>
        <w:tc>
          <w:tcPr>
            <w:tcW w:w="680" w:type="pct"/>
            <w:vAlign w:val="center"/>
          </w:tcPr>
          <w:p w:rsidR="00F10DB1" w:rsidRPr="00DA20F5" w:rsidRDefault="00F10DB1" w:rsidP="00D36FB8">
            <w:pPr>
              <w:ind w:right="284"/>
              <w:jc w:val="right"/>
              <w:rPr>
                <w:b/>
              </w:rPr>
            </w:pPr>
            <w:r w:rsidRPr="00DA20F5">
              <w:rPr>
                <w:b/>
              </w:rPr>
              <w:t>102,2</w:t>
            </w:r>
          </w:p>
        </w:tc>
        <w:tc>
          <w:tcPr>
            <w:tcW w:w="486" w:type="pct"/>
            <w:vAlign w:val="center"/>
          </w:tcPr>
          <w:p w:rsidR="00F10DB1" w:rsidRPr="00DA20F5" w:rsidRDefault="00F10DB1" w:rsidP="00D36FB8">
            <w:pPr>
              <w:ind w:right="170"/>
              <w:jc w:val="right"/>
              <w:rPr>
                <w:b/>
              </w:rPr>
            </w:pPr>
            <w:r w:rsidRPr="00DA20F5">
              <w:rPr>
                <w:b/>
              </w:rPr>
              <w:t>786</w:t>
            </w:r>
          </w:p>
        </w:tc>
        <w:tc>
          <w:tcPr>
            <w:tcW w:w="774" w:type="pct"/>
            <w:vAlign w:val="center"/>
          </w:tcPr>
          <w:p w:rsidR="00F10DB1" w:rsidRPr="00DA20F5" w:rsidRDefault="00F10DB1" w:rsidP="00D36FB8">
            <w:pPr>
              <w:ind w:right="340"/>
              <w:jc w:val="right"/>
              <w:rPr>
                <w:b/>
              </w:rPr>
            </w:pPr>
            <w:r w:rsidRPr="00DA20F5">
              <w:rPr>
                <w:b/>
              </w:rPr>
              <w:t>102,2</w:t>
            </w:r>
          </w:p>
        </w:tc>
        <w:tc>
          <w:tcPr>
            <w:tcW w:w="579" w:type="pct"/>
            <w:vAlign w:val="center"/>
          </w:tcPr>
          <w:p w:rsidR="00F10DB1" w:rsidRPr="00DA20F5" w:rsidRDefault="00F10DB1" w:rsidP="00D36FB8">
            <w:pPr>
              <w:ind w:right="227"/>
              <w:jc w:val="right"/>
              <w:rPr>
                <w:b/>
              </w:rPr>
            </w:pPr>
            <w:r w:rsidRPr="00DA20F5">
              <w:rPr>
                <w:b/>
              </w:rPr>
              <w:t>98,4</w:t>
            </w:r>
          </w:p>
        </w:tc>
      </w:tr>
    </w:tbl>
    <w:p w:rsidR="00F10DB1" w:rsidRPr="00DA20F5" w:rsidRDefault="00F10DB1" w:rsidP="00D36FB8">
      <w:pPr>
        <w:pStyle w:val="zdroj"/>
        <w:ind w:firstLine="0"/>
      </w:pPr>
      <w:r w:rsidRPr="00DA20F5">
        <w:t>Zdroj: ŠÚ SR, Štatistická správa o základných vývojových tendenciách v hospodárstve SR v 4. štvrťroku 2011</w:t>
      </w:r>
    </w:p>
    <w:p w:rsidR="00F10DB1" w:rsidRPr="00DA20F5" w:rsidRDefault="00F10DB1" w:rsidP="00D36FB8">
      <w:pPr>
        <w:pStyle w:val="zdroj"/>
        <w:ind w:firstLine="0"/>
        <w:rPr>
          <w:color w:val="1F497D" w:themeColor="text2"/>
        </w:rPr>
      </w:pPr>
    </w:p>
    <w:p w:rsidR="00D547C6" w:rsidRPr="00DA20F5" w:rsidRDefault="00D547C6" w:rsidP="00D36FB8">
      <w:pPr>
        <w:jc w:val="left"/>
        <w:rPr>
          <w:b/>
          <w:color w:val="1F497D" w:themeColor="text2"/>
          <w:szCs w:val="22"/>
        </w:rPr>
      </w:pPr>
      <w:r w:rsidRPr="00DA20F5">
        <w:rPr>
          <w:color w:val="1F497D" w:themeColor="text2"/>
        </w:rPr>
        <w:br w:type="page"/>
      </w:r>
    </w:p>
    <w:p w:rsidR="00F10DB1" w:rsidRPr="00DA20F5" w:rsidRDefault="00F10DB1" w:rsidP="00DC1659">
      <w:pPr>
        <w:pStyle w:val="Nadpis41"/>
      </w:pPr>
      <w:r w:rsidRPr="00DA20F5">
        <w:lastRenderedPageBreak/>
        <w:t xml:space="preserve">Priemerná mesačná hrubá mzda v podnikateľskej a nepodnikateľskej sfére </w:t>
      </w:r>
    </w:p>
    <w:p w:rsidR="00F10DB1" w:rsidRPr="00DA20F5" w:rsidRDefault="00F10DB1" w:rsidP="00D36FB8">
      <w:r w:rsidRPr="00DA20F5">
        <w:t>Podľa výsledkov celoslovenského výberového zisťovania z Informačného systému o cene práce (ISCP) MPSVR SR bola v roku 2011 priemerná hrubá mesačná mzda v hospodárstve SR 846 €, z toho v podnikateľskej sfére 887 € a v nepodnikateľskej sfére 716 €.</w:t>
      </w:r>
    </w:p>
    <w:p w:rsidR="00F10DB1" w:rsidRPr="00DA20F5" w:rsidRDefault="00F10DB1" w:rsidP="00D36FB8">
      <w:pPr>
        <w:pStyle w:val="Normlnysozarkami12"/>
      </w:pPr>
      <w:r w:rsidRPr="00DA20F5">
        <w:rPr>
          <w:b/>
        </w:rPr>
        <w:t>Najnižšiu priemernú hrubú mesačnú mzdu</w:t>
      </w:r>
      <w:r w:rsidRPr="00DA20F5">
        <w:t xml:space="preserve"> v roku 2011 </w:t>
      </w:r>
      <w:r w:rsidRPr="00DA20F5">
        <w:rPr>
          <w:b/>
          <w:i/>
        </w:rPr>
        <w:t>podľa dosiahnutého</w:t>
      </w:r>
      <w:r w:rsidRPr="00DA20F5">
        <w:rPr>
          <w:b/>
        </w:rPr>
        <w:t xml:space="preserve"> </w:t>
      </w:r>
      <w:r w:rsidRPr="00DA20F5">
        <w:rPr>
          <w:b/>
          <w:i/>
        </w:rPr>
        <w:t>stupňa vzdelania</w:t>
      </w:r>
      <w:r w:rsidRPr="00DA20F5">
        <w:t xml:space="preserve"> mali zamestnanci so základným vzdelaním – 537 €. Mzda zamestnancov so základným vzdelaním dosiahla v podnikateľskej sfére hodnotu 576 € a v nepodnikateľskej sfére 405 €. </w:t>
      </w:r>
      <w:r w:rsidRPr="00DA20F5">
        <w:rPr>
          <w:b/>
          <w:i/>
        </w:rPr>
        <w:t>Z pohľadu hlavných tried zamestnaní</w:t>
      </w:r>
      <w:r w:rsidRPr="00DA20F5">
        <w:t xml:space="preserve"> mali najnižšiu priemernú hrubú mesačnú mzdu pomocní a nekvalifikovaní zamestnanci – 462 € (v podnikateľskej sfére 499 € a v nepodnikateľskej sfére 395 €). Pri triedení </w:t>
      </w:r>
      <w:r w:rsidRPr="00DA20F5">
        <w:rPr>
          <w:b/>
          <w:i/>
        </w:rPr>
        <w:t>podľa veku</w:t>
      </w:r>
      <w:r w:rsidRPr="00DA20F5">
        <w:t xml:space="preserve"> najnižšiu priemernú hrubú mesačnú mzdu mali zamestnanci do 20 rokov – 488 € (v podnikateľskej sfére 494 € a v nepodnikateľskej sfére 406 €). </w:t>
      </w:r>
      <w:r w:rsidRPr="00DA20F5">
        <w:rPr>
          <w:b/>
          <w:i/>
        </w:rPr>
        <w:t>Z hľadiska</w:t>
      </w:r>
      <w:r w:rsidRPr="00DA20F5">
        <w:t xml:space="preserve"> </w:t>
      </w:r>
      <w:r w:rsidRPr="00DA20F5">
        <w:rPr>
          <w:b/>
          <w:i/>
        </w:rPr>
        <w:t>druhu vlastníctva</w:t>
      </w:r>
      <w:r w:rsidRPr="00DA20F5">
        <w:rPr>
          <w:i/>
        </w:rPr>
        <w:t xml:space="preserve"> </w:t>
      </w:r>
      <w:r w:rsidRPr="00DA20F5">
        <w:t xml:space="preserve">mali najnižšiu priemernú hrubú mesačnú mzdu zamestnanci v podnikoch, ktoré sú vo vlastníctve územnej samosprávy – 657 € (v podnikateľskej sfére zamestnanci družstevných organizácií 661 € a v nepodnikateľskej sfére zamestnanci združení, politických strán a cirkví 626 €). </w:t>
      </w:r>
      <w:r w:rsidRPr="00DA20F5">
        <w:rPr>
          <w:b/>
        </w:rPr>
        <w:t>Z </w:t>
      </w:r>
      <w:r w:rsidRPr="00DA20F5">
        <w:rPr>
          <w:b/>
          <w:i/>
        </w:rPr>
        <w:t>regionálneho</w:t>
      </w:r>
      <w:r w:rsidRPr="00DA20F5">
        <w:rPr>
          <w:b/>
        </w:rPr>
        <w:t xml:space="preserve"> </w:t>
      </w:r>
      <w:r w:rsidRPr="00DA20F5">
        <w:rPr>
          <w:b/>
          <w:i/>
        </w:rPr>
        <w:t>hľadiska</w:t>
      </w:r>
      <w:r w:rsidRPr="00DA20F5">
        <w:t xml:space="preserve"> najnižšie priemerné mesačné hrubé mzdy poberali zamestnanci v Prešovskom kraji – 669 € (v podnikateľskej sfére v Prešovskom kraji 669 € a v nepodnikateľskej sfére v Prešovskom kraji 667 €)</w:t>
      </w:r>
      <w:r w:rsidR="00C01C24" w:rsidRPr="00DA20F5">
        <w:t>.</w:t>
      </w:r>
      <w:r w:rsidRPr="00DA20F5">
        <w:t xml:space="preserve"> </w:t>
      </w:r>
    </w:p>
    <w:p w:rsidR="00F10DB1" w:rsidRPr="00DA20F5" w:rsidRDefault="00F10DB1" w:rsidP="00D36FB8">
      <w:pPr>
        <w:pStyle w:val="Normlnysozarkami12"/>
      </w:pPr>
      <w:r w:rsidRPr="00DA20F5">
        <w:rPr>
          <w:b/>
        </w:rPr>
        <w:t>Najvyššiu priemernú hrubú mesačnú mzdu</w:t>
      </w:r>
      <w:r w:rsidRPr="00DA20F5">
        <w:t xml:space="preserve"> v roku 2011 </w:t>
      </w:r>
      <w:r w:rsidRPr="00DA20F5">
        <w:rPr>
          <w:b/>
          <w:i/>
        </w:rPr>
        <w:t>pri zohľadnení</w:t>
      </w:r>
      <w:r w:rsidRPr="00DA20F5">
        <w:t xml:space="preserve"> </w:t>
      </w:r>
      <w:r w:rsidRPr="00DA20F5">
        <w:rPr>
          <w:b/>
        </w:rPr>
        <w:t xml:space="preserve">dosiahnutého </w:t>
      </w:r>
      <w:r w:rsidRPr="00DA20F5">
        <w:rPr>
          <w:b/>
          <w:i/>
        </w:rPr>
        <w:t>stupňa vzdelania</w:t>
      </w:r>
      <w:r w:rsidRPr="00DA20F5">
        <w:t xml:space="preserve"> mali zamestnanci s vysokoškolským vzdelaním III. stupňa – 1 298 €, čo predstavovalo 153 % priemernej hrubej mesačnej mzdy v hospodárstve SR. Mzda zamestnancov s vysokoškolským vzdelaním III. stupňa dosiahla v podnikateľskej sfére hodnotu 2 216 € a v nepodnikateľskej sfére 1 123 €. </w:t>
      </w:r>
      <w:r w:rsidRPr="00DA20F5">
        <w:rPr>
          <w:b/>
          <w:i/>
        </w:rPr>
        <w:t>Podľa</w:t>
      </w:r>
      <w:r w:rsidRPr="00DA20F5">
        <w:rPr>
          <w:b/>
        </w:rPr>
        <w:t xml:space="preserve"> </w:t>
      </w:r>
      <w:r w:rsidRPr="00DA20F5">
        <w:rPr>
          <w:b/>
          <w:i/>
        </w:rPr>
        <w:t>hlavných tried zamestnaní</w:t>
      </w:r>
      <w:r w:rsidRPr="00DA20F5">
        <w:t xml:space="preserve"> dosiahli najvyššiu priemernú hrubú mesačnú mzdu zákonodarcovia, vedúci a riadiaci zamestnanci – 1 836 € (v podnikateľskej sfére 1 988 € a v nepodnikateľskej sfére 1 295 €). </w:t>
      </w:r>
      <w:r w:rsidRPr="00DA20F5">
        <w:rPr>
          <w:b/>
          <w:i/>
        </w:rPr>
        <w:t>Z hľadiska veku</w:t>
      </w:r>
      <w:r w:rsidRPr="00DA20F5">
        <w:t xml:space="preserve"> dosiahli najvyššiu priemernú hrubú mesačnú mzdu zamestnanci vo veku od 30 do 34 rokov – 930 € (v podnikateľskej sfére vo veku od 30 do 34 rokov 982 € a v nepodnikateľskej sfére vo veku 60 a viac rokov 759 €). Pri triedení </w:t>
      </w:r>
      <w:r w:rsidRPr="00DA20F5">
        <w:rPr>
          <w:b/>
          <w:i/>
        </w:rPr>
        <w:t>podľa druhu</w:t>
      </w:r>
      <w:r w:rsidRPr="00DA20F5">
        <w:rPr>
          <w:i/>
        </w:rPr>
        <w:t xml:space="preserve"> </w:t>
      </w:r>
      <w:r w:rsidRPr="00DA20F5">
        <w:rPr>
          <w:b/>
          <w:i/>
        </w:rPr>
        <w:t>vlastníctva</w:t>
      </w:r>
      <w:r w:rsidRPr="00DA20F5">
        <w:rPr>
          <w:b/>
        </w:rPr>
        <w:t xml:space="preserve"> </w:t>
      </w:r>
      <w:r w:rsidRPr="00DA20F5">
        <w:t xml:space="preserve">najvyššiu priemernú hrubú mesačnú mzdu mali zamestnanci spoločností s medzinárodným vlastníctvom s prevažujúcim verejným sektorom – 1 523 € (v podnikateľskej sfére 1 523 € u zamestnancov spoločností s medzinárodným vlastníctvom s prevažujúcim verejným sektorom a v nepodnikateľskej sfére u zamestnancov organizácií so štátnym vlastníctvom 838 €). </w:t>
      </w:r>
      <w:r w:rsidRPr="00DA20F5">
        <w:rPr>
          <w:b/>
          <w:i/>
        </w:rPr>
        <w:t>Z regionálneho</w:t>
      </w:r>
      <w:r w:rsidRPr="00DA20F5">
        <w:rPr>
          <w:b/>
        </w:rPr>
        <w:t xml:space="preserve"> </w:t>
      </w:r>
      <w:r w:rsidRPr="00DA20F5">
        <w:rPr>
          <w:b/>
          <w:i/>
        </w:rPr>
        <w:t>hľadiska</w:t>
      </w:r>
      <w:r w:rsidRPr="00DA20F5">
        <w:t xml:space="preserve"> najvyššie priemerné mesačné mzdy poberali zamestnanci v Bratislavskom kraji – 1 154 € (v podnikateľskej sfére 1 231 € a v nepodnikateľskej sfére 851 €) (príloh</w:t>
      </w:r>
      <w:r w:rsidR="00A35204" w:rsidRPr="00DA20F5">
        <w:t>a</w:t>
      </w:r>
      <w:r w:rsidRPr="00DA20F5">
        <w:t xml:space="preserve"> ku kapitole 2, tab. č. 8 až 11).</w:t>
      </w:r>
    </w:p>
    <w:p w:rsidR="00F10DB1" w:rsidRPr="00DA20F5" w:rsidRDefault="00F10DB1" w:rsidP="00D36FB8">
      <w:pPr>
        <w:pStyle w:val="Normlnysozarkami12"/>
      </w:pPr>
      <w:r w:rsidRPr="00DA20F5">
        <w:t xml:space="preserve">Z analýzy </w:t>
      </w:r>
      <w:r w:rsidRPr="00DA20F5">
        <w:rPr>
          <w:b/>
        </w:rPr>
        <w:t xml:space="preserve">podielu jednotlivých zložiek celkovej priemernej hrubej mesačnej mzdy </w:t>
      </w:r>
      <w:r w:rsidRPr="00DA20F5">
        <w:t>v roku 2011 (846 €) je zrejmé, že najvyšší podiel tvorila základná mzda (67 %). Ďalšou významnou zložkou priemernej hrubej mesačnej mzdy boli náhrady mzdy, ktoré predstavovali 12 % a tretiu najvyššiu zložku tvorili prémie a odmeny (11 %). Po odpočítaní poistného na zdravotné a sociálne poistenie a preddavkov na daň z príjmov fyzických osôb</w:t>
      </w:r>
      <w:r w:rsidR="00A64288" w:rsidRPr="00DA20F5">
        <w:t xml:space="preserve"> (FO)</w:t>
      </w:r>
      <w:r w:rsidRPr="00DA20F5">
        <w:t xml:space="preserve"> bola priemerná čistá mesačná mzda 660 €, a jej podiel z hrubej mzdy bol 78 % (v roku 2010 to bolo 650 €) (príloha ku kapitole 2, tab. č. 12).</w:t>
      </w:r>
    </w:p>
    <w:p w:rsidR="00F10DB1" w:rsidRPr="00DA20F5" w:rsidRDefault="00F10DB1" w:rsidP="00D36FB8">
      <w:pPr>
        <w:pStyle w:val="Normlnysozarkami12"/>
      </w:pPr>
      <w:r w:rsidRPr="00DA20F5">
        <w:rPr>
          <w:b/>
        </w:rPr>
        <w:t>Podľa rodového členenia</w:t>
      </w:r>
      <w:r w:rsidRPr="00DA20F5">
        <w:t xml:space="preserve"> údajov o odmeňovaní priemerná hrubá mesačná mzda v roku 2011 mužov bola 956 € (v podnikateľskej sfére 980 € a v nepodnikateľskej sfére 804 €) a žien 727 € (v podnikateľskej sfére 753 € a v nepodnikateľskej sfére 681 €). Priemerná hrubá mesačná mzda žien teda predstavovala 76,0 % priemernej hrubej mesačnej mzdy mužov, podiel je na rovnakej úrovni ako v roku 2010.</w:t>
      </w:r>
    </w:p>
    <w:p w:rsidR="00F10DB1" w:rsidRPr="00DA20F5" w:rsidRDefault="00F10DB1" w:rsidP="00D36FB8">
      <w:pPr>
        <w:pStyle w:val="Normlnysozarkami12"/>
      </w:pPr>
      <w:r w:rsidRPr="00DA20F5">
        <w:t xml:space="preserve">Zásadné rozdiely boli v príjmoch pri porovnaní podnikateľskej a nepodnikateľskej sféry vzhľadom na vzdelanie, a to tak u mužov, ako aj u žien. Pri obidvoch pohlaviach mzda u zamestnancov s vyšším vzdelaním rástla rýchlejšie v podnikateľskej sfére, pričom v podnikateľskej sfére boli pri všetkých úrovniach vzdelania mzdy vyššie. </w:t>
      </w:r>
    </w:p>
    <w:p w:rsidR="00F10DB1" w:rsidRPr="00DA20F5" w:rsidRDefault="00F10DB1" w:rsidP="00D36FB8">
      <w:pPr>
        <w:pStyle w:val="Normlnysozarkami12"/>
      </w:pPr>
      <w:r w:rsidRPr="00DA20F5">
        <w:rPr>
          <w:b/>
        </w:rPr>
        <w:t xml:space="preserve">Podľa stupňa dosiahnutého vzdelania </w:t>
      </w:r>
      <w:r w:rsidRPr="00DA20F5">
        <w:t>v roku 2011 dosahovali najvyššiu priemernú mesačnú mzdu ženy s vysokoškolským vzdelaním III. stupňa v podnikateľskej sfére (1 617 €) a v nepodnikateľskej sfére (1 082 €). Muži s vysokoškolským vzdelaním III. stupňa poberali najvyššiu priemernú mesačnú mzdu v podnikateľskej sfére (2 406 €) i v nepodnikateľskej sfére (1 151 €). Najnižšie priemerné mesačné mzdy poberali zamestnanci v podnikateľskej aj nepodnikateľskej sfére so základným vzdelaním. Najväčšie rozdiely podľa vzdelania medzi podnikateľskou</w:t>
      </w:r>
      <w:r w:rsidRPr="00DA20F5">
        <w:rPr>
          <w:color w:val="1F497D" w:themeColor="text2"/>
        </w:rPr>
        <w:t xml:space="preserve"> </w:t>
      </w:r>
      <w:r w:rsidRPr="00DA20F5">
        <w:lastRenderedPageBreak/>
        <w:t xml:space="preserve">a nepodnikateľskou sférou sú v mzdách mužov s vysokoškolskou kvalifikáciou III. stupňa, kde tento rozdiel predstavoval až 1 256 €. Rozdiel medzi zárobkami žien v tejto kategórii bol 535 €. </w:t>
      </w:r>
    </w:p>
    <w:p w:rsidR="00F10DB1" w:rsidRPr="00DA20F5" w:rsidRDefault="00F10DB1" w:rsidP="00D36FB8">
      <w:pPr>
        <w:pStyle w:val="Normlnysozarkami12"/>
      </w:pPr>
      <w:r w:rsidRPr="00DA20F5">
        <w:t xml:space="preserve">Z pohľadu </w:t>
      </w:r>
      <w:r w:rsidRPr="00DA20F5">
        <w:rPr>
          <w:b/>
        </w:rPr>
        <w:t>hlavných tried KZAM</w:t>
      </w:r>
      <w:r w:rsidRPr="00DA20F5">
        <w:t xml:space="preserve"> muži aj ženy zarábali v podnikateľskej aj nepodnikateľskej sfére v priemere najviac v triede KZAM 1 - zákonodarcovia, vedúci a riadiaci zamestnanci. Muži zarábali v priemere najmenej v triede KZAM 9 - pomocní a nekvalifikovaní zamestnanci (v podnikateľskej sfére 556 € a v nepodnikateľskej sfére 445 €). U žien boli v priemere najnižšie mzdy, rovnako ako u mužov, v triede KZAM 9 - pomocní a nekvalifikovaní zamestnanci (v podnikateľskej sfére 435 € a v nepodnikateľskej sfére 372 €) (príloha ku kapitole 2, tab. č. 9).</w:t>
      </w:r>
    </w:p>
    <w:p w:rsidR="00F10DB1" w:rsidRPr="00DA20F5" w:rsidRDefault="00F10DB1" w:rsidP="00D36FB8">
      <w:pPr>
        <w:pStyle w:val="Normlnysozarkami12"/>
      </w:pPr>
      <w:r w:rsidRPr="00DA20F5">
        <w:t xml:space="preserve">V súlade s vyššie uvedenými výsledkami porovnávania zárobkov zamestnancov v podnikateľskej a nepodnikateľskej sfére vychádza už dlhodobo priaznivejší výsledok v prospech podnikateľskej sféry. Takmer vo všetkých triedeniach sú platy v podnikateľskej sfére vyššie. Podľa hlavných tried KZAM sú výnimkou len muži v triede KZAM 5 - prevádzkoví zamestnanci v službách a obchode, čoho dôvodom je zamestnanie hasič, ktoré sa nachádza v nepodnikateľskej sfére. Najväčšie rozdiely v platoch u mužov aj u žien sú u vedúcich, riadiacich zamestnancov. Muži v podnikateľskej sfére zarábajú o 668 € viac a ženy o 458 € viac ako v nepodnikateľskej sfére. </w:t>
      </w:r>
    </w:p>
    <w:p w:rsidR="00F10DB1" w:rsidRPr="00DA20F5" w:rsidRDefault="00F10DB1" w:rsidP="00D36FB8">
      <w:pPr>
        <w:tabs>
          <w:tab w:val="left" w:pos="709"/>
          <w:tab w:val="left" w:pos="1276"/>
          <w:tab w:val="left" w:pos="8364"/>
        </w:tabs>
        <w:ind w:right="-1" w:firstLine="426"/>
        <w:rPr>
          <w:color w:val="1F497D" w:themeColor="text2"/>
        </w:rPr>
      </w:pPr>
      <w:r w:rsidRPr="00DA20F5">
        <w:t>Z celkového počtu zamestnancov (1 023 557) vo výberovom súbore Informačného systému o cene práce v roku 2011, bez ohľadu na dĺžku pracovného úväzku, poberalo 65,49 % zamestnancov nižšiu mzdu ako zistený celorepublikový priemer 846 €. Priemerná hrubá mesačná mzda týchto zamestnancov bola 556 €. Z počtu zamestnancov pracujúcich na plný pracovný úväzok (963 374) poberalo 63,73 % zamestnancov mzdu pod celorepublikovým priemerom a z počtu zamestnancov pracujúcich na kratší pracovný čas (60 647) ich bolo 93,60 %</w:t>
      </w:r>
      <w:r w:rsidR="00AC5AAB" w:rsidRPr="00DA20F5">
        <w:t xml:space="preserve"> </w:t>
      </w:r>
      <w:r w:rsidRPr="00DA20F5">
        <w:t>(príloh</w:t>
      </w:r>
      <w:r w:rsidR="00F24348" w:rsidRPr="00DA20F5">
        <w:t>a</w:t>
      </w:r>
      <w:r w:rsidR="00AC5AAB" w:rsidRPr="00DA20F5">
        <w:t xml:space="preserve"> </w:t>
      </w:r>
      <w:r w:rsidRPr="00DA20F5">
        <w:t>ku kapitole 2, tab. č. 13 až 18).</w:t>
      </w:r>
      <w:r w:rsidRPr="00DA20F5">
        <w:rPr>
          <w:rFonts w:ascii="Calibri" w:hAnsi="Calibri" w:cs="Calibri"/>
          <w:color w:val="1F497D" w:themeColor="text2"/>
        </w:rPr>
        <w:tab/>
      </w:r>
    </w:p>
    <w:p w:rsidR="00F10DB1" w:rsidRPr="00DA20F5" w:rsidRDefault="00F10DB1" w:rsidP="000B4550">
      <w:pPr>
        <w:pStyle w:val="Nadpis6"/>
      </w:pPr>
      <w:bookmarkStart w:id="318" w:name="_Toc326216997"/>
      <w:r w:rsidRPr="00DA20F5">
        <w:t>Úplné náklady práce v SR</w:t>
      </w:r>
      <w:bookmarkEnd w:id="318"/>
      <w:r w:rsidRPr="00DA20F5">
        <w:t xml:space="preserve"> </w:t>
      </w:r>
    </w:p>
    <w:p w:rsidR="00F10DB1" w:rsidRPr="00DA20F5" w:rsidRDefault="00F10DB1" w:rsidP="00D36FB8">
      <w:r w:rsidRPr="00DA20F5">
        <w:t xml:space="preserve">Podľa údajov Štatistického úradu SR (údaje sú v čase spracovania správy dostupné len za rok 2010) ročné </w:t>
      </w:r>
      <w:r w:rsidRPr="00DA20F5">
        <w:rPr>
          <w:b/>
          <w:bCs/>
        </w:rPr>
        <w:t>úplné náklady práce</w:t>
      </w:r>
      <w:r w:rsidRPr="00DA20F5">
        <w:t xml:space="preserve"> v roku 2010 medziročne vzrástli o 2,9 % na 13 482 € na zamestnanca. </w:t>
      </w:r>
    </w:p>
    <w:p w:rsidR="00F10DB1" w:rsidRPr="00DA20F5" w:rsidRDefault="00F10DB1" w:rsidP="000B4550">
      <w:pPr>
        <w:pStyle w:val="Normlnysozarkami12"/>
      </w:pPr>
      <w:r w:rsidRPr="00DA20F5">
        <w:t xml:space="preserve">Z celkových nákladov práce v roku 2010 tvoril súhrn priamych nákladov 73,12 % a nepriamych nákladov 27,07 %, od ktorých sa odpočítavajú subvencie prijaté zamestnávateľom vo forme dotácií </w:t>
      </w:r>
      <w:r w:rsidRPr="00DA20F5">
        <w:br/>
        <w:t xml:space="preserve">(- 0,19 %). </w:t>
      </w:r>
    </w:p>
    <w:p w:rsidR="00F10DB1" w:rsidRPr="00DA20F5" w:rsidRDefault="00F10DB1" w:rsidP="000B4550">
      <w:pPr>
        <w:pStyle w:val="Nadpis7"/>
        <w:spacing w:before="0"/>
      </w:pPr>
      <w:bookmarkStart w:id="319" w:name="_Toc325438155"/>
      <w:bookmarkStart w:id="320" w:name="_Toc325440924"/>
      <w:bookmarkStart w:id="321" w:name="_Toc325626737"/>
      <w:bookmarkStart w:id="322" w:name="_Toc326216998"/>
      <w:r w:rsidRPr="00DA20F5">
        <w:t>Tab. 2.18</w:t>
      </w:r>
      <w:r w:rsidR="00AC5AAB" w:rsidRPr="00DA20F5">
        <w:t xml:space="preserve"> </w:t>
      </w:r>
      <w:r w:rsidRPr="00DA20F5">
        <w:t>Dynamika ročných nákladov práce v SR na zamestnanca (v €)</w:t>
      </w:r>
      <w:bookmarkEnd w:id="319"/>
      <w:bookmarkEnd w:id="320"/>
      <w:bookmarkEnd w:id="321"/>
      <w:bookmarkEnd w:id="322"/>
    </w:p>
    <w:tbl>
      <w:tblPr>
        <w:tblW w:w="5043"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146"/>
        <w:gridCol w:w="940"/>
        <w:gridCol w:w="1021"/>
        <w:gridCol w:w="1053"/>
        <w:gridCol w:w="1053"/>
        <w:gridCol w:w="1053"/>
        <w:gridCol w:w="1053"/>
        <w:gridCol w:w="1047"/>
      </w:tblGrid>
      <w:tr w:rsidR="00D547C6" w:rsidRPr="00DA20F5" w:rsidTr="00A05573">
        <w:trPr>
          <w:jc w:val="center"/>
        </w:trPr>
        <w:tc>
          <w:tcPr>
            <w:tcW w:w="1146" w:type="pct"/>
            <w:shd w:val="clear" w:color="auto" w:fill="4F81BD"/>
          </w:tcPr>
          <w:p w:rsidR="00F10DB1" w:rsidRPr="00DA20F5" w:rsidRDefault="00F10DB1" w:rsidP="00D36FB8">
            <w:pPr>
              <w:jc w:val="center"/>
              <w:rPr>
                <w:b/>
                <w:color w:val="FFFFFF" w:themeColor="background1"/>
              </w:rPr>
            </w:pPr>
            <w:r w:rsidRPr="00DA20F5">
              <w:rPr>
                <w:b/>
                <w:color w:val="FFFFFF" w:themeColor="background1"/>
              </w:rPr>
              <w:t>Druh nákladov</w:t>
            </w:r>
          </w:p>
        </w:tc>
        <w:tc>
          <w:tcPr>
            <w:tcW w:w="502" w:type="pct"/>
            <w:shd w:val="clear" w:color="auto" w:fill="4F81BD"/>
          </w:tcPr>
          <w:p w:rsidR="00F10DB1" w:rsidRPr="00DA20F5" w:rsidRDefault="00F10DB1" w:rsidP="00D36FB8">
            <w:pPr>
              <w:jc w:val="center"/>
              <w:rPr>
                <w:b/>
                <w:color w:val="FFFFFF" w:themeColor="background1"/>
              </w:rPr>
            </w:pPr>
            <w:r w:rsidRPr="00DA20F5">
              <w:rPr>
                <w:b/>
                <w:color w:val="FFFFFF" w:themeColor="background1"/>
              </w:rPr>
              <w:t>2004</w:t>
            </w:r>
          </w:p>
        </w:tc>
        <w:tc>
          <w:tcPr>
            <w:tcW w:w="545" w:type="pct"/>
            <w:shd w:val="clear" w:color="auto" w:fill="4F81BD"/>
          </w:tcPr>
          <w:p w:rsidR="00F10DB1" w:rsidRPr="00DA20F5" w:rsidRDefault="00F10DB1" w:rsidP="00D36FB8">
            <w:pPr>
              <w:jc w:val="center"/>
              <w:rPr>
                <w:b/>
                <w:color w:val="FFFFFF" w:themeColor="background1"/>
              </w:rPr>
            </w:pPr>
            <w:r w:rsidRPr="00DA20F5">
              <w:rPr>
                <w:b/>
                <w:color w:val="FFFFFF" w:themeColor="background1"/>
              </w:rPr>
              <w:t>2005</w:t>
            </w:r>
          </w:p>
        </w:tc>
        <w:tc>
          <w:tcPr>
            <w:tcW w:w="562" w:type="pct"/>
            <w:shd w:val="clear" w:color="auto" w:fill="4F81BD"/>
          </w:tcPr>
          <w:p w:rsidR="00F10DB1" w:rsidRPr="00DA20F5" w:rsidRDefault="00F10DB1" w:rsidP="00D36FB8">
            <w:pPr>
              <w:jc w:val="center"/>
              <w:rPr>
                <w:b/>
                <w:color w:val="FFFFFF" w:themeColor="background1"/>
              </w:rPr>
            </w:pPr>
            <w:r w:rsidRPr="00DA20F5">
              <w:rPr>
                <w:b/>
                <w:color w:val="FFFFFF" w:themeColor="background1"/>
              </w:rPr>
              <w:t>2006</w:t>
            </w:r>
          </w:p>
        </w:tc>
        <w:tc>
          <w:tcPr>
            <w:tcW w:w="562" w:type="pct"/>
            <w:shd w:val="clear" w:color="auto" w:fill="4F81BD"/>
          </w:tcPr>
          <w:p w:rsidR="00F10DB1" w:rsidRPr="00DA20F5" w:rsidRDefault="00F10DB1" w:rsidP="00D36FB8">
            <w:pPr>
              <w:jc w:val="center"/>
              <w:rPr>
                <w:b/>
                <w:color w:val="FFFFFF" w:themeColor="background1"/>
              </w:rPr>
            </w:pPr>
            <w:r w:rsidRPr="00DA20F5">
              <w:rPr>
                <w:b/>
                <w:color w:val="FFFFFF" w:themeColor="background1"/>
              </w:rPr>
              <w:t>2007</w:t>
            </w:r>
          </w:p>
        </w:tc>
        <w:tc>
          <w:tcPr>
            <w:tcW w:w="562" w:type="pct"/>
            <w:shd w:val="clear" w:color="auto" w:fill="4F81BD"/>
          </w:tcPr>
          <w:p w:rsidR="00F10DB1" w:rsidRPr="00DA20F5" w:rsidRDefault="00F10DB1" w:rsidP="00D36FB8">
            <w:pPr>
              <w:jc w:val="center"/>
              <w:rPr>
                <w:b/>
                <w:color w:val="FFFFFF" w:themeColor="background1"/>
              </w:rPr>
            </w:pPr>
            <w:r w:rsidRPr="00DA20F5">
              <w:rPr>
                <w:b/>
                <w:color w:val="FFFFFF" w:themeColor="background1"/>
              </w:rPr>
              <w:t>2008</w:t>
            </w:r>
          </w:p>
        </w:tc>
        <w:tc>
          <w:tcPr>
            <w:tcW w:w="562" w:type="pct"/>
            <w:shd w:val="clear" w:color="auto" w:fill="4F81BD"/>
          </w:tcPr>
          <w:p w:rsidR="00F10DB1" w:rsidRPr="00DA20F5" w:rsidRDefault="00F10DB1" w:rsidP="00D36FB8">
            <w:pPr>
              <w:jc w:val="center"/>
              <w:rPr>
                <w:b/>
                <w:color w:val="FFFFFF" w:themeColor="background1"/>
              </w:rPr>
            </w:pPr>
            <w:r w:rsidRPr="00DA20F5">
              <w:rPr>
                <w:b/>
                <w:color w:val="FFFFFF" w:themeColor="background1"/>
              </w:rPr>
              <w:t>2009</w:t>
            </w:r>
          </w:p>
        </w:tc>
        <w:tc>
          <w:tcPr>
            <w:tcW w:w="562" w:type="pct"/>
            <w:shd w:val="clear" w:color="auto" w:fill="4F81BD"/>
          </w:tcPr>
          <w:p w:rsidR="00F10DB1" w:rsidRPr="00DA20F5" w:rsidRDefault="00F10DB1" w:rsidP="00D36FB8">
            <w:pPr>
              <w:jc w:val="center"/>
              <w:rPr>
                <w:b/>
                <w:color w:val="FFFFFF" w:themeColor="background1"/>
              </w:rPr>
            </w:pPr>
            <w:r w:rsidRPr="00DA20F5">
              <w:rPr>
                <w:b/>
                <w:color w:val="FFFFFF" w:themeColor="background1"/>
              </w:rPr>
              <w:t>2010</w:t>
            </w:r>
          </w:p>
        </w:tc>
      </w:tr>
      <w:tr w:rsidR="00D547C6" w:rsidRPr="00DA20F5" w:rsidTr="00A05573">
        <w:trPr>
          <w:jc w:val="center"/>
        </w:trPr>
        <w:tc>
          <w:tcPr>
            <w:tcW w:w="1146" w:type="pct"/>
          </w:tcPr>
          <w:p w:rsidR="00F10DB1" w:rsidRPr="00DA20F5" w:rsidRDefault="00F10DB1" w:rsidP="00D36FB8">
            <w:r w:rsidRPr="00DA20F5">
              <w:t>Náklady práce spolu</w:t>
            </w:r>
          </w:p>
          <w:p w:rsidR="00F10DB1" w:rsidRPr="00DA20F5" w:rsidRDefault="00F10DB1" w:rsidP="00D36FB8">
            <w:r w:rsidRPr="00DA20F5">
              <w:t>z toho náklady:</w:t>
            </w:r>
          </w:p>
        </w:tc>
        <w:tc>
          <w:tcPr>
            <w:tcW w:w="502" w:type="pct"/>
            <w:vAlign w:val="center"/>
          </w:tcPr>
          <w:p w:rsidR="00F10DB1" w:rsidRPr="00DA20F5" w:rsidRDefault="00F10DB1" w:rsidP="00D36FB8">
            <w:pPr>
              <w:ind w:right="57"/>
              <w:jc w:val="right"/>
            </w:pPr>
            <w:r w:rsidRPr="00DA20F5">
              <w:t>9 619,7</w:t>
            </w:r>
          </w:p>
        </w:tc>
        <w:tc>
          <w:tcPr>
            <w:tcW w:w="545" w:type="pct"/>
            <w:vAlign w:val="center"/>
          </w:tcPr>
          <w:p w:rsidR="00F10DB1" w:rsidRPr="00DA20F5" w:rsidRDefault="00F10DB1" w:rsidP="00D36FB8">
            <w:pPr>
              <w:jc w:val="right"/>
            </w:pPr>
            <w:r w:rsidRPr="00DA20F5">
              <w:t>10 175,4</w:t>
            </w:r>
          </w:p>
        </w:tc>
        <w:tc>
          <w:tcPr>
            <w:tcW w:w="562" w:type="pct"/>
            <w:vAlign w:val="center"/>
          </w:tcPr>
          <w:p w:rsidR="00F10DB1" w:rsidRPr="00DA20F5" w:rsidRDefault="00F10DB1" w:rsidP="00D36FB8">
            <w:pPr>
              <w:ind w:right="57"/>
              <w:jc w:val="right"/>
            </w:pPr>
            <w:r w:rsidRPr="00DA20F5">
              <w:t>10 899,0</w:t>
            </w:r>
          </w:p>
        </w:tc>
        <w:tc>
          <w:tcPr>
            <w:tcW w:w="562" w:type="pct"/>
            <w:vAlign w:val="center"/>
          </w:tcPr>
          <w:p w:rsidR="00F10DB1" w:rsidRPr="00DA20F5" w:rsidRDefault="00F10DB1" w:rsidP="00D36FB8">
            <w:pPr>
              <w:ind w:right="57"/>
              <w:jc w:val="right"/>
            </w:pPr>
            <w:r w:rsidRPr="00DA20F5">
              <w:t>11 867,9</w:t>
            </w:r>
          </w:p>
        </w:tc>
        <w:tc>
          <w:tcPr>
            <w:tcW w:w="562" w:type="pct"/>
            <w:vAlign w:val="center"/>
          </w:tcPr>
          <w:p w:rsidR="00F10DB1" w:rsidRPr="00DA20F5" w:rsidRDefault="00F10DB1" w:rsidP="00D36FB8">
            <w:pPr>
              <w:ind w:right="57"/>
              <w:jc w:val="right"/>
            </w:pPr>
            <w:r w:rsidRPr="00DA20F5">
              <w:t>12 812,7</w:t>
            </w:r>
          </w:p>
        </w:tc>
        <w:tc>
          <w:tcPr>
            <w:tcW w:w="562" w:type="pct"/>
            <w:vAlign w:val="center"/>
          </w:tcPr>
          <w:p w:rsidR="00F10DB1" w:rsidRPr="00DA20F5" w:rsidRDefault="00F10DB1" w:rsidP="00D36FB8">
            <w:pPr>
              <w:ind w:right="57"/>
              <w:jc w:val="right"/>
            </w:pPr>
            <w:r w:rsidRPr="00DA20F5">
              <w:t>13 104,6</w:t>
            </w:r>
          </w:p>
        </w:tc>
        <w:tc>
          <w:tcPr>
            <w:tcW w:w="562" w:type="pct"/>
            <w:vAlign w:val="center"/>
          </w:tcPr>
          <w:p w:rsidR="00F10DB1" w:rsidRPr="00DA20F5" w:rsidRDefault="00F10DB1" w:rsidP="00D36FB8">
            <w:pPr>
              <w:ind w:right="57"/>
              <w:jc w:val="right"/>
            </w:pPr>
            <w:r w:rsidRPr="00DA20F5">
              <w:t>13 482</w:t>
            </w:r>
          </w:p>
        </w:tc>
      </w:tr>
      <w:tr w:rsidR="00D547C6" w:rsidRPr="00DA20F5" w:rsidTr="00A05573">
        <w:trPr>
          <w:jc w:val="center"/>
        </w:trPr>
        <w:tc>
          <w:tcPr>
            <w:tcW w:w="1146" w:type="pct"/>
          </w:tcPr>
          <w:p w:rsidR="00F10DB1" w:rsidRPr="00DA20F5" w:rsidRDefault="00F10DB1" w:rsidP="00D36FB8">
            <w:r w:rsidRPr="00DA20F5">
              <w:t>- priame</w:t>
            </w:r>
          </w:p>
        </w:tc>
        <w:tc>
          <w:tcPr>
            <w:tcW w:w="502" w:type="pct"/>
            <w:vAlign w:val="center"/>
          </w:tcPr>
          <w:p w:rsidR="00F10DB1" w:rsidRPr="00DA20F5" w:rsidRDefault="00F10DB1" w:rsidP="00D36FB8">
            <w:pPr>
              <w:ind w:right="57"/>
              <w:jc w:val="right"/>
            </w:pPr>
            <w:r w:rsidRPr="00DA20F5">
              <w:t>6 897,2</w:t>
            </w:r>
          </w:p>
        </w:tc>
        <w:tc>
          <w:tcPr>
            <w:tcW w:w="545" w:type="pct"/>
            <w:vAlign w:val="center"/>
          </w:tcPr>
          <w:p w:rsidR="00F10DB1" w:rsidRPr="00DA20F5" w:rsidRDefault="00F10DB1" w:rsidP="00D36FB8">
            <w:pPr>
              <w:jc w:val="right"/>
            </w:pPr>
            <w:r w:rsidRPr="00DA20F5">
              <w:t>7 437,9</w:t>
            </w:r>
          </w:p>
        </w:tc>
        <w:tc>
          <w:tcPr>
            <w:tcW w:w="562" w:type="pct"/>
            <w:vAlign w:val="center"/>
          </w:tcPr>
          <w:p w:rsidR="00F10DB1" w:rsidRPr="00DA20F5" w:rsidRDefault="00F10DB1" w:rsidP="00D36FB8">
            <w:pPr>
              <w:ind w:right="57"/>
              <w:jc w:val="right"/>
            </w:pPr>
            <w:r w:rsidRPr="00DA20F5">
              <w:t>7 964,6</w:t>
            </w:r>
          </w:p>
        </w:tc>
        <w:tc>
          <w:tcPr>
            <w:tcW w:w="562" w:type="pct"/>
            <w:vAlign w:val="center"/>
          </w:tcPr>
          <w:p w:rsidR="00F10DB1" w:rsidRPr="00DA20F5" w:rsidRDefault="00F10DB1" w:rsidP="00D36FB8">
            <w:pPr>
              <w:ind w:right="57"/>
              <w:jc w:val="right"/>
            </w:pPr>
            <w:r w:rsidRPr="00DA20F5">
              <w:t>8 672,5</w:t>
            </w:r>
          </w:p>
        </w:tc>
        <w:tc>
          <w:tcPr>
            <w:tcW w:w="562" w:type="pct"/>
            <w:vAlign w:val="center"/>
          </w:tcPr>
          <w:p w:rsidR="00F10DB1" w:rsidRPr="00DA20F5" w:rsidRDefault="00F10DB1" w:rsidP="00D36FB8">
            <w:pPr>
              <w:ind w:right="57"/>
              <w:jc w:val="right"/>
            </w:pPr>
            <w:r w:rsidRPr="00DA20F5">
              <w:t>9 319,9</w:t>
            </w:r>
          </w:p>
        </w:tc>
        <w:tc>
          <w:tcPr>
            <w:tcW w:w="562" w:type="pct"/>
            <w:vAlign w:val="center"/>
          </w:tcPr>
          <w:p w:rsidR="00F10DB1" w:rsidRPr="00DA20F5" w:rsidRDefault="00F10DB1" w:rsidP="00D36FB8">
            <w:pPr>
              <w:ind w:right="57"/>
              <w:jc w:val="right"/>
            </w:pPr>
            <w:r w:rsidRPr="00DA20F5">
              <w:t>9 516,0</w:t>
            </w:r>
          </w:p>
        </w:tc>
        <w:tc>
          <w:tcPr>
            <w:tcW w:w="562" w:type="pct"/>
            <w:vAlign w:val="center"/>
          </w:tcPr>
          <w:p w:rsidR="00F10DB1" w:rsidRPr="00DA20F5" w:rsidRDefault="00F10DB1" w:rsidP="00D36FB8">
            <w:pPr>
              <w:ind w:right="57"/>
              <w:jc w:val="right"/>
            </w:pPr>
            <w:r w:rsidRPr="00DA20F5">
              <w:t>9 858</w:t>
            </w:r>
          </w:p>
        </w:tc>
      </w:tr>
      <w:tr w:rsidR="00D547C6" w:rsidRPr="00DA20F5" w:rsidTr="00A05573">
        <w:trPr>
          <w:trHeight w:val="314"/>
          <w:jc w:val="center"/>
        </w:trPr>
        <w:tc>
          <w:tcPr>
            <w:tcW w:w="1146" w:type="pct"/>
          </w:tcPr>
          <w:p w:rsidR="00F10DB1" w:rsidRPr="00DA20F5" w:rsidRDefault="00F10DB1" w:rsidP="00D36FB8">
            <w:r w:rsidRPr="00DA20F5">
              <w:t>- nepriame</w:t>
            </w:r>
          </w:p>
        </w:tc>
        <w:tc>
          <w:tcPr>
            <w:tcW w:w="502" w:type="pct"/>
            <w:vAlign w:val="center"/>
          </w:tcPr>
          <w:p w:rsidR="00F10DB1" w:rsidRPr="00DA20F5" w:rsidRDefault="00F10DB1" w:rsidP="00D36FB8">
            <w:pPr>
              <w:ind w:right="57"/>
              <w:jc w:val="right"/>
            </w:pPr>
            <w:r w:rsidRPr="00DA20F5">
              <w:t>2 724,0</w:t>
            </w:r>
          </w:p>
        </w:tc>
        <w:tc>
          <w:tcPr>
            <w:tcW w:w="545" w:type="pct"/>
            <w:vAlign w:val="center"/>
          </w:tcPr>
          <w:p w:rsidR="00F10DB1" w:rsidRPr="00DA20F5" w:rsidRDefault="00F10DB1" w:rsidP="00D36FB8">
            <w:pPr>
              <w:jc w:val="right"/>
            </w:pPr>
            <w:r w:rsidRPr="00DA20F5">
              <w:t>2 741,9</w:t>
            </w:r>
          </w:p>
        </w:tc>
        <w:tc>
          <w:tcPr>
            <w:tcW w:w="562" w:type="pct"/>
            <w:vAlign w:val="center"/>
          </w:tcPr>
          <w:p w:rsidR="00F10DB1" w:rsidRPr="00DA20F5" w:rsidRDefault="00F10DB1" w:rsidP="00D36FB8">
            <w:pPr>
              <w:ind w:right="57"/>
              <w:jc w:val="right"/>
            </w:pPr>
            <w:r w:rsidRPr="00DA20F5">
              <w:t>2 940,3</w:t>
            </w:r>
          </w:p>
        </w:tc>
        <w:tc>
          <w:tcPr>
            <w:tcW w:w="562" w:type="pct"/>
            <w:vAlign w:val="center"/>
          </w:tcPr>
          <w:p w:rsidR="00F10DB1" w:rsidRPr="00DA20F5" w:rsidRDefault="00F10DB1" w:rsidP="00D36FB8">
            <w:pPr>
              <w:ind w:right="57"/>
              <w:jc w:val="right"/>
            </w:pPr>
            <w:r w:rsidRPr="00DA20F5">
              <w:t>3 201,0</w:t>
            </w:r>
          </w:p>
        </w:tc>
        <w:tc>
          <w:tcPr>
            <w:tcW w:w="562" w:type="pct"/>
            <w:vAlign w:val="center"/>
          </w:tcPr>
          <w:p w:rsidR="00F10DB1" w:rsidRPr="00DA20F5" w:rsidRDefault="00F10DB1" w:rsidP="00D36FB8">
            <w:pPr>
              <w:ind w:right="57"/>
              <w:jc w:val="right"/>
            </w:pPr>
            <w:r w:rsidRPr="00DA20F5">
              <w:t>3 497,4</w:t>
            </w:r>
          </w:p>
        </w:tc>
        <w:tc>
          <w:tcPr>
            <w:tcW w:w="562" w:type="pct"/>
            <w:vAlign w:val="center"/>
          </w:tcPr>
          <w:p w:rsidR="00F10DB1" w:rsidRPr="00DA20F5" w:rsidRDefault="00F10DB1" w:rsidP="00D36FB8">
            <w:pPr>
              <w:ind w:right="57"/>
              <w:jc w:val="right"/>
            </w:pPr>
            <w:r w:rsidRPr="00DA20F5">
              <w:t>3 597,7</w:t>
            </w:r>
          </w:p>
        </w:tc>
        <w:tc>
          <w:tcPr>
            <w:tcW w:w="562" w:type="pct"/>
            <w:vAlign w:val="center"/>
          </w:tcPr>
          <w:p w:rsidR="00F10DB1" w:rsidRPr="00DA20F5" w:rsidRDefault="00F10DB1" w:rsidP="00D36FB8">
            <w:pPr>
              <w:ind w:right="57"/>
              <w:jc w:val="right"/>
            </w:pPr>
            <w:r w:rsidRPr="00DA20F5">
              <w:t>3 650</w:t>
            </w:r>
          </w:p>
        </w:tc>
      </w:tr>
    </w:tbl>
    <w:p w:rsidR="00F10DB1" w:rsidRPr="00DA20F5" w:rsidRDefault="00F10DB1" w:rsidP="00D36FB8">
      <w:pPr>
        <w:pStyle w:val="zdroj"/>
      </w:pPr>
      <w:r w:rsidRPr="00DA20F5">
        <w:t>Zdroj: ŠÚ SR, štatistické zisťovanie o úplných nákladoch práce</w:t>
      </w:r>
    </w:p>
    <w:p w:rsidR="00F10DB1" w:rsidRPr="00DA20F5" w:rsidRDefault="00F10DB1" w:rsidP="00D36FB8">
      <w:pPr>
        <w:ind w:firstLine="357"/>
      </w:pPr>
      <w:r w:rsidRPr="00DA20F5">
        <w:t>V roku 2010 zamestnávateľ vynaložil na svojho zamestnanca v priemere 1 124 € za mesiac, čo bolo o 31 € viac v porovnaní s predchádzajúcim rokom. Medziročné tempo rastu priemerných mesačných nákladov práce sa v roku 2010 v porovnaní s rokom 2009 zrýchlilo o 0,6 p.</w:t>
      </w:r>
      <w:r w:rsidR="007B624E" w:rsidRPr="00DA20F5">
        <w:t xml:space="preserve"> </w:t>
      </w:r>
      <w:r w:rsidRPr="00DA20F5">
        <w:t>b.</w:t>
      </w:r>
    </w:p>
    <w:p w:rsidR="00F10DB1" w:rsidRPr="00DA20F5" w:rsidRDefault="00F10DB1" w:rsidP="00D36FB8">
      <w:pPr>
        <w:pStyle w:val="Normlnysozarkami12"/>
      </w:pPr>
      <w:r w:rsidRPr="00DA20F5">
        <w:t xml:space="preserve">V skupine </w:t>
      </w:r>
      <w:r w:rsidRPr="00DA20F5">
        <w:rPr>
          <w:b/>
        </w:rPr>
        <w:t>priamych nákladových položiek</w:t>
      </w:r>
      <w:r w:rsidRPr="00DA20F5">
        <w:t xml:space="preserve"> v roku 2010 mali najväčšie zastúpenie mzdy, ktoré tvorili 63,96 % a náhrady mzdy 8,24 %, z čoho 6,54 % pripadalo na náhrady za dovolenku. V skupine priamych nákladov práce medziročne vzrástli mzdy o 4,5 %, z toho základné mzdy a platy o 5,2 % a prémie a odmeny o 6,5 %. Z 719 € vyplatených na mzdy pripadlo na základnú (tarifnú) mzdu a plat za prácu 560 €, prémie a odmeny 95 €, príplatky a doplatky 39 €. N</w:t>
      </w:r>
      <w:r w:rsidR="00E138B1" w:rsidRPr="00DA20F5">
        <w:t>áhrady mzdy poklesli o 2,8 % na </w:t>
      </w:r>
      <w:r w:rsidRPr="00DA20F5">
        <w:t>93 €, peňažné plnenia zo zisku po zdanení vzrástli o 7,6 % a náhra</w:t>
      </w:r>
      <w:r w:rsidR="00E138B1" w:rsidRPr="00DA20F5">
        <w:t>dy za pracovnú pohotovosť o 0,5 </w:t>
      </w:r>
      <w:r w:rsidRPr="00DA20F5">
        <w:t>%</w:t>
      </w:r>
    </w:p>
    <w:p w:rsidR="00F10DB1" w:rsidRPr="00DA20F5" w:rsidRDefault="00F10DB1" w:rsidP="00D36FB8">
      <w:pPr>
        <w:pStyle w:val="Normlnysozarkami12"/>
      </w:pPr>
      <w:r w:rsidRPr="00DA20F5">
        <w:t xml:space="preserve">Medziročný nárast povinných príspevkov na sociálne zabezpečenie o 4,4 % na úroveň 264 € a rast nepovinných príspevkov o 1,5% sa prejavil rastom nepriamych nákladov práce v roku 2010. Nepriame náklady dosiahli úroveň 304 €, pričom v porovnaní s predchádzajúcim rokom došlo k spomaleniu ich rastu o 1,4 p. b. Z ostatných nepriamych nákladových zložiek najvýznamnejšiu položku tvorili sociálne výhody, ktoré poklesli o 23,5 % (z 20 na 16 €), z toho príspevky na stravovanie o 29,6 %. Ostatné príspevky do sociálneho fondu poklesli o 13,9 % a sociálne dávky poskytované </w:t>
      </w:r>
      <w:r w:rsidRPr="00DA20F5">
        <w:lastRenderedPageBreak/>
        <w:t xml:space="preserve">zamestnávateľmi o 19,5 % na 11 €. Výraznejšie vzrástli náklady na mzdové vyrovnanie za dobu nemoci (o 35 %); naopak náklady na odstupné poklesli o 27,2 %. Náklady na školenie zamestnancov vzrástli o 7,3 % na 5 €. Ostatné nepriame náklady práce vzrástli o 19,6 %, z toho náklady na nábor zamestnancov o 26,3 %. </w:t>
      </w:r>
    </w:p>
    <w:p w:rsidR="00F10DB1" w:rsidRPr="00DA20F5" w:rsidRDefault="00F10DB1" w:rsidP="000B4550">
      <w:pPr>
        <w:pStyle w:val="Nadpis7"/>
        <w:spacing w:before="60"/>
      </w:pPr>
      <w:bookmarkStart w:id="323" w:name="_Toc325438156"/>
      <w:bookmarkStart w:id="324" w:name="_Toc325440925"/>
      <w:bookmarkStart w:id="325" w:name="_Toc325626738"/>
      <w:bookmarkStart w:id="326" w:name="_Toc326216999"/>
      <w:r w:rsidRPr="00DA20F5">
        <w:t>Tab. 2.19</w:t>
      </w:r>
      <w:r w:rsidR="00AC5AAB" w:rsidRPr="00DA20F5">
        <w:t xml:space="preserve"> </w:t>
      </w:r>
      <w:r w:rsidRPr="00DA20F5">
        <w:t>Štruktúra mesačných nákladov práce v SR za rok 2010</w:t>
      </w:r>
      <w:bookmarkEnd w:id="323"/>
      <w:bookmarkEnd w:id="324"/>
      <w:bookmarkEnd w:id="325"/>
      <w:bookmarkEnd w:id="326"/>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4038"/>
        <w:gridCol w:w="934"/>
        <w:gridCol w:w="992"/>
        <w:gridCol w:w="1248"/>
      </w:tblGrid>
      <w:tr w:rsidR="00D547C6" w:rsidRPr="00DA20F5" w:rsidTr="00A05573">
        <w:trPr>
          <w:trHeight w:val="496"/>
          <w:jc w:val="center"/>
        </w:trPr>
        <w:tc>
          <w:tcPr>
            <w:tcW w:w="4038"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Položky nákladov práce</w:t>
            </w:r>
          </w:p>
        </w:tc>
        <w:tc>
          <w:tcPr>
            <w:tcW w:w="853"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Podiel</w:t>
            </w:r>
          </w:p>
          <w:p w:rsidR="00F10DB1" w:rsidRPr="00DA20F5" w:rsidRDefault="00F10DB1" w:rsidP="00D36FB8">
            <w:pPr>
              <w:jc w:val="center"/>
              <w:rPr>
                <w:b/>
                <w:color w:val="FFFFFF" w:themeColor="background1"/>
              </w:rPr>
            </w:pPr>
            <w:r w:rsidRPr="00DA20F5">
              <w:rPr>
                <w:b/>
                <w:color w:val="FFFFFF" w:themeColor="background1"/>
              </w:rPr>
              <w:t>v %</w:t>
            </w:r>
          </w:p>
        </w:tc>
        <w:tc>
          <w:tcPr>
            <w:tcW w:w="992" w:type="dxa"/>
            <w:shd w:val="clear" w:color="auto" w:fill="4F81BD"/>
            <w:vAlign w:val="center"/>
          </w:tcPr>
          <w:p w:rsidR="00F10DB1" w:rsidRPr="00DA20F5" w:rsidRDefault="00E07D9B" w:rsidP="00D36FB8">
            <w:pPr>
              <w:jc w:val="center"/>
              <w:rPr>
                <w:b/>
                <w:color w:val="FFFFFF" w:themeColor="background1"/>
              </w:rPr>
            </w:pPr>
            <w:r w:rsidRPr="00DA20F5">
              <w:rPr>
                <w:b/>
                <w:color w:val="FFFFFF" w:themeColor="background1"/>
              </w:rPr>
              <w:t xml:space="preserve">v </w:t>
            </w:r>
            <w:r w:rsidR="00F10DB1" w:rsidRPr="00DA20F5">
              <w:rPr>
                <w:b/>
                <w:color w:val="FFFFFF" w:themeColor="background1"/>
              </w:rPr>
              <w:t>€</w:t>
            </w:r>
          </w:p>
        </w:tc>
        <w:tc>
          <w:tcPr>
            <w:tcW w:w="1248"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Index 2009/10</w:t>
            </w:r>
          </w:p>
        </w:tc>
      </w:tr>
      <w:tr w:rsidR="00D547C6" w:rsidRPr="00DA20F5" w:rsidTr="00A05573">
        <w:trPr>
          <w:trHeight w:val="527"/>
          <w:jc w:val="center"/>
        </w:trPr>
        <w:tc>
          <w:tcPr>
            <w:tcW w:w="4038" w:type="dxa"/>
            <w:vAlign w:val="center"/>
          </w:tcPr>
          <w:p w:rsidR="00F10DB1" w:rsidRPr="00DA20F5" w:rsidRDefault="00F10DB1" w:rsidP="00D36FB8">
            <w:pPr>
              <w:rPr>
                <w:b/>
              </w:rPr>
            </w:pPr>
            <w:r w:rsidRPr="00DA20F5">
              <w:rPr>
                <w:b/>
              </w:rPr>
              <w:t>1.-16. CELKOVÉ NÁKLADY PRÁCE</w:t>
            </w:r>
          </w:p>
        </w:tc>
        <w:tc>
          <w:tcPr>
            <w:tcW w:w="853" w:type="dxa"/>
            <w:vAlign w:val="center"/>
          </w:tcPr>
          <w:p w:rsidR="00F10DB1" w:rsidRPr="00DA20F5" w:rsidRDefault="00F10DB1" w:rsidP="00D36FB8">
            <w:pPr>
              <w:ind w:right="113"/>
              <w:jc w:val="right"/>
              <w:rPr>
                <w:b/>
              </w:rPr>
            </w:pPr>
            <w:r w:rsidRPr="00DA20F5">
              <w:rPr>
                <w:b/>
              </w:rPr>
              <w:t>100,00</w:t>
            </w:r>
          </w:p>
        </w:tc>
        <w:tc>
          <w:tcPr>
            <w:tcW w:w="992" w:type="dxa"/>
            <w:vAlign w:val="center"/>
          </w:tcPr>
          <w:p w:rsidR="00F10DB1" w:rsidRPr="00DA20F5" w:rsidRDefault="00F10DB1" w:rsidP="00D36FB8">
            <w:pPr>
              <w:ind w:right="113"/>
              <w:jc w:val="right"/>
              <w:rPr>
                <w:b/>
              </w:rPr>
            </w:pPr>
            <w:r w:rsidRPr="00DA20F5">
              <w:rPr>
                <w:b/>
              </w:rPr>
              <w:t>1 124</w:t>
            </w:r>
          </w:p>
        </w:tc>
        <w:tc>
          <w:tcPr>
            <w:tcW w:w="1248" w:type="dxa"/>
            <w:vAlign w:val="center"/>
          </w:tcPr>
          <w:p w:rsidR="00F10DB1" w:rsidRPr="00DA20F5" w:rsidRDefault="00F10DB1" w:rsidP="00D36FB8">
            <w:pPr>
              <w:ind w:right="212"/>
              <w:jc w:val="right"/>
              <w:rPr>
                <w:b/>
              </w:rPr>
            </w:pPr>
            <w:r w:rsidRPr="00DA20F5">
              <w:rPr>
                <w:b/>
              </w:rPr>
              <w:t>102,9</w:t>
            </w:r>
          </w:p>
        </w:tc>
      </w:tr>
      <w:tr w:rsidR="00D547C6" w:rsidRPr="00DA20F5" w:rsidTr="00A05573">
        <w:trPr>
          <w:trHeight w:val="441"/>
          <w:jc w:val="center"/>
        </w:trPr>
        <w:tc>
          <w:tcPr>
            <w:tcW w:w="4038" w:type="dxa"/>
            <w:vAlign w:val="center"/>
          </w:tcPr>
          <w:p w:rsidR="00F10DB1" w:rsidRPr="00DA20F5" w:rsidRDefault="00F10DB1" w:rsidP="00D36FB8">
            <w:r w:rsidRPr="00DA20F5">
              <w:t>1.-7. PRIAME NÁKLADY</w:t>
            </w:r>
          </w:p>
        </w:tc>
        <w:tc>
          <w:tcPr>
            <w:tcW w:w="853" w:type="dxa"/>
            <w:vAlign w:val="center"/>
          </w:tcPr>
          <w:p w:rsidR="00F10DB1" w:rsidRPr="00DA20F5" w:rsidRDefault="00F10DB1" w:rsidP="00D36FB8">
            <w:pPr>
              <w:ind w:right="113"/>
              <w:jc w:val="right"/>
            </w:pPr>
            <w:r w:rsidRPr="00DA20F5">
              <w:t>73,12</w:t>
            </w:r>
          </w:p>
        </w:tc>
        <w:tc>
          <w:tcPr>
            <w:tcW w:w="992" w:type="dxa"/>
            <w:vAlign w:val="center"/>
          </w:tcPr>
          <w:p w:rsidR="00F10DB1" w:rsidRPr="00DA20F5" w:rsidRDefault="00F10DB1" w:rsidP="00D36FB8">
            <w:pPr>
              <w:ind w:right="113"/>
              <w:jc w:val="right"/>
            </w:pPr>
            <w:r w:rsidRPr="00DA20F5">
              <w:t>821</w:t>
            </w:r>
          </w:p>
        </w:tc>
        <w:tc>
          <w:tcPr>
            <w:tcW w:w="1248" w:type="dxa"/>
            <w:vAlign w:val="center"/>
          </w:tcPr>
          <w:p w:rsidR="00F10DB1" w:rsidRPr="00DA20F5" w:rsidRDefault="00F10DB1" w:rsidP="00D36FB8">
            <w:pPr>
              <w:ind w:right="212"/>
              <w:jc w:val="right"/>
            </w:pPr>
            <w:r w:rsidRPr="00DA20F5">
              <w:t>103,6</w:t>
            </w:r>
          </w:p>
        </w:tc>
      </w:tr>
      <w:tr w:rsidR="00D547C6" w:rsidRPr="00DA20F5" w:rsidTr="00A05573">
        <w:trPr>
          <w:jc w:val="center"/>
        </w:trPr>
        <w:tc>
          <w:tcPr>
            <w:tcW w:w="4038" w:type="dxa"/>
            <w:vAlign w:val="center"/>
          </w:tcPr>
          <w:p w:rsidR="00F10DB1" w:rsidRPr="00DA20F5" w:rsidRDefault="00F10DB1" w:rsidP="00D36FB8">
            <w:r w:rsidRPr="00DA20F5">
              <w:t>1. Mzdy</w:t>
            </w:r>
          </w:p>
        </w:tc>
        <w:tc>
          <w:tcPr>
            <w:tcW w:w="853" w:type="dxa"/>
            <w:vAlign w:val="center"/>
          </w:tcPr>
          <w:p w:rsidR="00F10DB1" w:rsidRPr="00DA20F5" w:rsidRDefault="00F10DB1" w:rsidP="00D36FB8">
            <w:pPr>
              <w:ind w:right="113"/>
              <w:jc w:val="right"/>
            </w:pPr>
            <w:r w:rsidRPr="00DA20F5">
              <w:t>63,96</w:t>
            </w:r>
          </w:p>
        </w:tc>
        <w:tc>
          <w:tcPr>
            <w:tcW w:w="992" w:type="dxa"/>
            <w:vAlign w:val="center"/>
          </w:tcPr>
          <w:p w:rsidR="00F10DB1" w:rsidRPr="00DA20F5" w:rsidRDefault="00F10DB1" w:rsidP="00D36FB8">
            <w:pPr>
              <w:ind w:right="113"/>
              <w:jc w:val="right"/>
            </w:pPr>
            <w:r w:rsidRPr="00DA20F5">
              <w:t>719</w:t>
            </w:r>
          </w:p>
        </w:tc>
        <w:tc>
          <w:tcPr>
            <w:tcW w:w="1248" w:type="dxa"/>
            <w:vAlign w:val="center"/>
          </w:tcPr>
          <w:p w:rsidR="00F10DB1" w:rsidRPr="00DA20F5" w:rsidRDefault="00F10DB1" w:rsidP="00D36FB8">
            <w:pPr>
              <w:ind w:right="212"/>
              <w:jc w:val="right"/>
            </w:pPr>
            <w:r w:rsidRPr="00DA20F5">
              <w:t>104,5</w:t>
            </w:r>
          </w:p>
        </w:tc>
      </w:tr>
      <w:tr w:rsidR="00D547C6" w:rsidRPr="00DA20F5" w:rsidTr="00A05573">
        <w:trPr>
          <w:jc w:val="center"/>
        </w:trPr>
        <w:tc>
          <w:tcPr>
            <w:tcW w:w="4038" w:type="dxa"/>
            <w:vAlign w:val="center"/>
          </w:tcPr>
          <w:p w:rsidR="00F10DB1" w:rsidRPr="00DA20F5" w:rsidRDefault="00F10DB1" w:rsidP="00D36FB8">
            <w:r w:rsidRPr="00DA20F5">
              <w:t>2. Náhrady mzdy</w:t>
            </w:r>
          </w:p>
        </w:tc>
        <w:tc>
          <w:tcPr>
            <w:tcW w:w="853" w:type="dxa"/>
            <w:vAlign w:val="center"/>
          </w:tcPr>
          <w:p w:rsidR="00F10DB1" w:rsidRPr="00DA20F5" w:rsidRDefault="00F10DB1" w:rsidP="00D36FB8">
            <w:pPr>
              <w:ind w:right="113"/>
              <w:jc w:val="right"/>
            </w:pPr>
            <w:r w:rsidRPr="00DA20F5">
              <w:t>8,24</w:t>
            </w:r>
          </w:p>
        </w:tc>
        <w:tc>
          <w:tcPr>
            <w:tcW w:w="992" w:type="dxa"/>
            <w:vAlign w:val="center"/>
          </w:tcPr>
          <w:p w:rsidR="00F10DB1" w:rsidRPr="00DA20F5" w:rsidRDefault="00F10DB1" w:rsidP="00D36FB8">
            <w:pPr>
              <w:ind w:right="113"/>
              <w:jc w:val="right"/>
            </w:pPr>
            <w:r w:rsidRPr="00DA20F5">
              <w:t>93</w:t>
            </w:r>
          </w:p>
        </w:tc>
        <w:tc>
          <w:tcPr>
            <w:tcW w:w="1248" w:type="dxa"/>
            <w:vAlign w:val="center"/>
          </w:tcPr>
          <w:p w:rsidR="00F10DB1" w:rsidRPr="00DA20F5" w:rsidRDefault="00F10DB1" w:rsidP="00D36FB8">
            <w:pPr>
              <w:ind w:right="212"/>
              <w:jc w:val="right"/>
            </w:pPr>
            <w:r w:rsidRPr="00DA20F5">
              <w:t>97,2</w:t>
            </w:r>
          </w:p>
        </w:tc>
      </w:tr>
      <w:tr w:rsidR="00D547C6" w:rsidRPr="00DA20F5" w:rsidTr="00A05573">
        <w:trPr>
          <w:jc w:val="center"/>
        </w:trPr>
        <w:tc>
          <w:tcPr>
            <w:tcW w:w="4038" w:type="dxa"/>
            <w:vAlign w:val="center"/>
          </w:tcPr>
          <w:p w:rsidR="00F10DB1" w:rsidRPr="00DA20F5" w:rsidRDefault="00F10DB1" w:rsidP="00D36FB8">
            <w:r w:rsidRPr="00DA20F5">
              <w:t>3. Platby do programu sporenia</w:t>
            </w:r>
          </w:p>
        </w:tc>
        <w:tc>
          <w:tcPr>
            <w:tcW w:w="853" w:type="dxa"/>
            <w:vAlign w:val="center"/>
          </w:tcPr>
          <w:p w:rsidR="00F10DB1" w:rsidRPr="00DA20F5" w:rsidRDefault="00F10DB1" w:rsidP="00D36FB8">
            <w:pPr>
              <w:ind w:right="113"/>
              <w:jc w:val="right"/>
            </w:pPr>
            <w:r w:rsidRPr="00DA20F5">
              <w:t>0,02</w:t>
            </w:r>
          </w:p>
        </w:tc>
        <w:tc>
          <w:tcPr>
            <w:tcW w:w="992" w:type="dxa"/>
            <w:vAlign w:val="center"/>
          </w:tcPr>
          <w:p w:rsidR="00F10DB1" w:rsidRPr="00DA20F5" w:rsidRDefault="00F10DB1" w:rsidP="00D36FB8">
            <w:pPr>
              <w:ind w:right="113"/>
              <w:jc w:val="right"/>
            </w:pPr>
            <w:r w:rsidRPr="00DA20F5">
              <w:t>0</w:t>
            </w:r>
          </w:p>
        </w:tc>
        <w:tc>
          <w:tcPr>
            <w:tcW w:w="1248" w:type="dxa"/>
            <w:vAlign w:val="center"/>
          </w:tcPr>
          <w:p w:rsidR="00F10DB1" w:rsidRPr="00DA20F5" w:rsidRDefault="00F10DB1" w:rsidP="00D36FB8">
            <w:pPr>
              <w:ind w:right="212"/>
              <w:jc w:val="right"/>
            </w:pPr>
            <w:r w:rsidRPr="00DA20F5">
              <w:t>85,8</w:t>
            </w:r>
          </w:p>
        </w:tc>
      </w:tr>
      <w:tr w:rsidR="00D547C6" w:rsidRPr="00DA20F5" w:rsidTr="00A05573">
        <w:trPr>
          <w:jc w:val="center"/>
        </w:trPr>
        <w:tc>
          <w:tcPr>
            <w:tcW w:w="4038" w:type="dxa"/>
            <w:vAlign w:val="center"/>
          </w:tcPr>
          <w:p w:rsidR="00F10DB1" w:rsidRPr="00DA20F5" w:rsidRDefault="00F10DB1" w:rsidP="00D36FB8">
            <w:r w:rsidRPr="00DA20F5">
              <w:t>4. Náhrady za pracovnú pohotovosť</w:t>
            </w:r>
          </w:p>
        </w:tc>
        <w:tc>
          <w:tcPr>
            <w:tcW w:w="853" w:type="dxa"/>
            <w:vAlign w:val="center"/>
          </w:tcPr>
          <w:p w:rsidR="00F10DB1" w:rsidRPr="00DA20F5" w:rsidRDefault="00F10DB1" w:rsidP="00D36FB8">
            <w:pPr>
              <w:ind w:right="113"/>
              <w:jc w:val="right"/>
            </w:pPr>
            <w:r w:rsidRPr="00DA20F5">
              <w:t>0,24</w:t>
            </w:r>
          </w:p>
        </w:tc>
        <w:tc>
          <w:tcPr>
            <w:tcW w:w="992" w:type="dxa"/>
            <w:vAlign w:val="center"/>
          </w:tcPr>
          <w:p w:rsidR="00F10DB1" w:rsidRPr="00DA20F5" w:rsidRDefault="00F10DB1" w:rsidP="00D36FB8">
            <w:pPr>
              <w:ind w:right="113"/>
              <w:jc w:val="right"/>
            </w:pPr>
            <w:r w:rsidRPr="00DA20F5">
              <w:t>3</w:t>
            </w:r>
          </w:p>
        </w:tc>
        <w:tc>
          <w:tcPr>
            <w:tcW w:w="1248" w:type="dxa"/>
            <w:vAlign w:val="center"/>
          </w:tcPr>
          <w:p w:rsidR="00F10DB1" w:rsidRPr="00DA20F5" w:rsidRDefault="00F10DB1" w:rsidP="00D36FB8">
            <w:pPr>
              <w:ind w:right="212"/>
              <w:jc w:val="right"/>
            </w:pPr>
            <w:r w:rsidRPr="00DA20F5">
              <w:t>100,5</w:t>
            </w:r>
          </w:p>
        </w:tc>
      </w:tr>
      <w:tr w:rsidR="00D547C6" w:rsidRPr="00DA20F5" w:rsidTr="00A05573">
        <w:trPr>
          <w:jc w:val="center"/>
        </w:trPr>
        <w:tc>
          <w:tcPr>
            <w:tcW w:w="4038" w:type="dxa"/>
            <w:vAlign w:val="center"/>
          </w:tcPr>
          <w:p w:rsidR="00F10DB1" w:rsidRPr="00DA20F5" w:rsidRDefault="00F10DB1" w:rsidP="00D36FB8">
            <w:r w:rsidRPr="00DA20F5">
              <w:t>5. Peňažné plnenia zo zisku po zdanení</w:t>
            </w:r>
          </w:p>
        </w:tc>
        <w:tc>
          <w:tcPr>
            <w:tcW w:w="853" w:type="dxa"/>
            <w:vAlign w:val="center"/>
          </w:tcPr>
          <w:p w:rsidR="00F10DB1" w:rsidRPr="00DA20F5" w:rsidRDefault="00F10DB1" w:rsidP="00D36FB8">
            <w:pPr>
              <w:ind w:right="113"/>
              <w:jc w:val="right"/>
            </w:pPr>
            <w:r w:rsidRPr="00DA20F5">
              <w:t>0,39</w:t>
            </w:r>
          </w:p>
        </w:tc>
        <w:tc>
          <w:tcPr>
            <w:tcW w:w="992" w:type="dxa"/>
            <w:vAlign w:val="center"/>
          </w:tcPr>
          <w:p w:rsidR="00F10DB1" w:rsidRPr="00DA20F5" w:rsidRDefault="00F10DB1" w:rsidP="00D36FB8">
            <w:pPr>
              <w:ind w:right="113"/>
              <w:jc w:val="right"/>
            </w:pPr>
            <w:r w:rsidRPr="00DA20F5">
              <w:t>4</w:t>
            </w:r>
          </w:p>
        </w:tc>
        <w:tc>
          <w:tcPr>
            <w:tcW w:w="1248" w:type="dxa"/>
            <w:vAlign w:val="center"/>
          </w:tcPr>
          <w:p w:rsidR="00F10DB1" w:rsidRPr="00DA20F5" w:rsidRDefault="00F10DB1" w:rsidP="00D36FB8">
            <w:pPr>
              <w:ind w:right="212"/>
              <w:jc w:val="right"/>
            </w:pPr>
            <w:r w:rsidRPr="00DA20F5">
              <w:t>107,6</w:t>
            </w:r>
          </w:p>
        </w:tc>
      </w:tr>
      <w:tr w:rsidR="00D547C6" w:rsidRPr="00DA20F5" w:rsidTr="00A05573">
        <w:trPr>
          <w:jc w:val="center"/>
        </w:trPr>
        <w:tc>
          <w:tcPr>
            <w:tcW w:w="4038" w:type="dxa"/>
            <w:vAlign w:val="center"/>
          </w:tcPr>
          <w:p w:rsidR="00F10DB1" w:rsidRPr="00DA20F5" w:rsidRDefault="00F10DB1" w:rsidP="00D36FB8">
            <w:r w:rsidRPr="00DA20F5">
              <w:t>6. Ostatné priame náklady zamestnancom</w:t>
            </w:r>
          </w:p>
        </w:tc>
        <w:tc>
          <w:tcPr>
            <w:tcW w:w="853" w:type="dxa"/>
            <w:vAlign w:val="center"/>
          </w:tcPr>
          <w:p w:rsidR="00F10DB1" w:rsidRPr="00DA20F5" w:rsidRDefault="00F10DB1" w:rsidP="00D36FB8">
            <w:pPr>
              <w:ind w:right="113"/>
              <w:jc w:val="right"/>
            </w:pPr>
            <w:r w:rsidRPr="00DA20F5">
              <w:t>0,25</w:t>
            </w:r>
          </w:p>
        </w:tc>
        <w:tc>
          <w:tcPr>
            <w:tcW w:w="992" w:type="dxa"/>
            <w:vAlign w:val="center"/>
          </w:tcPr>
          <w:p w:rsidR="00F10DB1" w:rsidRPr="00DA20F5" w:rsidRDefault="00F10DB1" w:rsidP="00D36FB8">
            <w:pPr>
              <w:ind w:right="113"/>
              <w:jc w:val="right"/>
            </w:pPr>
            <w:r w:rsidRPr="00DA20F5">
              <w:t>3</w:t>
            </w:r>
          </w:p>
        </w:tc>
        <w:tc>
          <w:tcPr>
            <w:tcW w:w="1248" w:type="dxa"/>
            <w:vAlign w:val="center"/>
          </w:tcPr>
          <w:p w:rsidR="00F10DB1" w:rsidRPr="00DA20F5" w:rsidRDefault="00F10DB1" w:rsidP="00D36FB8">
            <w:pPr>
              <w:ind w:right="212"/>
              <w:jc w:val="right"/>
            </w:pPr>
            <w:r w:rsidRPr="00DA20F5">
              <w:t>106,2</w:t>
            </w:r>
          </w:p>
        </w:tc>
      </w:tr>
      <w:tr w:rsidR="00D547C6" w:rsidRPr="00DA20F5" w:rsidTr="00A05573">
        <w:trPr>
          <w:jc w:val="center"/>
        </w:trPr>
        <w:tc>
          <w:tcPr>
            <w:tcW w:w="4038" w:type="dxa"/>
            <w:vAlign w:val="center"/>
          </w:tcPr>
          <w:p w:rsidR="00F10DB1" w:rsidRPr="00DA20F5" w:rsidRDefault="00F10DB1" w:rsidP="00D36FB8">
            <w:r w:rsidRPr="00DA20F5">
              <w:t>7. Odmeny učňom</w:t>
            </w:r>
          </w:p>
        </w:tc>
        <w:tc>
          <w:tcPr>
            <w:tcW w:w="853" w:type="dxa"/>
            <w:vAlign w:val="center"/>
          </w:tcPr>
          <w:p w:rsidR="00F10DB1" w:rsidRPr="00DA20F5" w:rsidRDefault="00F10DB1" w:rsidP="00D36FB8">
            <w:pPr>
              <w:ind w:right="113"/>
              <w:jc w:val="right"/>
            </w:pPr>
            <w:r w:rsidRPr="00DA20F5">
              <w:t>0,01</w:t>
            </w:r>
          </w:p>
        </w:tc>
        <w:tc>
          <w:tcPr>
            <w:tcW w:w="992" w:type="dxa"/>
            <w:vAlign w:val="center"/>
          </w:tcPr>
          <w:p w:rsidR="00F10DB1" w:rsidRPr="00DA20F5" w:rsidRDefault="00F10DB1" w:rsidP="00D36FB8">
            <w:pPr>
              <w:ind w:right="113"/>
              <w:jc w:val="right"/>
            </w:pPr>
            <w:r w:rsidRPr="00DA20F5">
              <w:t>0</w:t>
            </w:r>
          </w:p>
        </w:tc>
        <w:tc>
          <w:tcPr>
            <w:tcW w:w="1248" w:type="dxa"/>
            <w:vAlign w:val="center"/>
          </w:tcPr>
          <w:p w:rsidR="00F10DB1" w:rsidRPr="00DA20F5" w:rsidRDefault="00F10DB1" w:rsidP="00D36FB8">
            <w:pPr>
              <w:ind w:right="212"/>
              <w:jc w:val="right"/>
            </w:pPr>
            <w:r w:rsidRPr="00DA20F5">
              <w:t>87,7</w:t>
            </w:r>
          </w:p>
        </w:tc>
      </w:tr>
      <w:tr w:rsidR="00D547C6" w:rsidRPr="00DA20F5" w:rsidTr="00A05573">
        <w:trPr>
          <w:trHeight w:val="471"/>
          <w:jc w:val="center"/>
        </w:trPr>
        <w:tc>
          <w:tcPr>
            <w:tcW w:w="4038" w:type="dxa"/>
            <w:vAlign w:val="center"/>
          </w:tcPr>
          <w:p w:rsidR="00F10DB1" w:rsidRPr="00DA20F5" w:rsidRDefault="00F10DB1" w:rsidP="00D36FB8">
            <w:r w:rsidRPr="00DA20F5">
              <w:t>8.-15. NEPRIAME NÁKLADY</w:t>
            </w:r>
          </w:p>
        </w:tc>
        <w:tc>
          <w:tcPr>
            <w:tcW w:w="853" w:type="dxa"/>
            <w:vAlign w:val="center"/>
          </w:tcPr>
          <w:p w:rsidR="00F10DB1" w:rsidRPr="00DA20F5" w:rsidRDefault="00F10DB1" w:rsidP="00D36FB8">
            <w:pPr>
              <w:ind w:right="113"/>
              <w:jc w:val="right"/>
            </w:pPr>
            <w:r w:rsidRPr="00DA20F5">
              <w:t>27,07</w:t>
            </w:r>
          </w:p>
        </w:tc>
        <w:tc>
          <w:tcPr>
            <w:tcW w:w="992" w:type="dxa"/>
            <w:vAlign w:val="center"/>
          </w:tcPr>
          <w:p w:rsidR="00F10DB1" w:rsidRPr="00DA20F5" w:rsidRDefault="00F10DB1" w:rsidP="00D36FB8">
            <w:pPr>
              <w:ind w:right="113"/>
              <w:jc w:val="right"/>
            </w:pPr>
            <w:r w:rsidRPr="00DA20F5">
              <w:t>304</w:t>
            </w:r>
          </w:p>
        </w:tc>
        <w:tc>
          <w:tcPr>
            <w:tcW w:w="1248" w:type="dxa"/>
            <w:vAlign w:val="center"/>
          </w:tcPr>
          <w:p w:rsidR="00F10DB1" w:rsidRPr="00DA20F5" w:rsidRDefault="00F10DB1" w:rsidP="00D36FB8">
            <w:pPr>
              <w:ind w:right="212"/>
              <w:jc w:val="right"/>
            </w:pPr>
            <w:r w:rsidRPr="00DA20F5">
              <w:t>101,5</w:t>
            </w:r>
          </w:p>
        </w:tc>
      </w:tr>
      <w:tr w:rsidR="00D547C6" w:rsidRPr="00DA20F5" w:rsidTr="00A05573">
        <w:trPr>
          <w:jc w:val="center"/>
        </w:trPr>
        <w:tc>
          <w:tcPr>
            <w:tcW w:w="4038" w:type="dxa"/>
            <w:vAlign w:val="center"/>
          </w:tcPr>
          <w:p w:rsidR="00F10DB1" w:rsidRPr="00DA20F5" w:rsidRDefault="00F10DB1" w:rsidP="00D36FB8">
            <w:r w:rsidRPr="00DA20F5">
              <w:t>8. Povinné príspevky na sociálne poistenie</w:t>
            </w:r>
          </w:p>
        </w:tc>
        <w:tc>
          <w:tcPr>
            <w:tcW w:w="853" w:type="dxa"/>
            <w:vAlign w:val="center"/>
          </w:tcPr>
          <w:p w:rsidR="00F10DB1" w:rsidRPr="00DA20F5" w:rsidRDefault="00F10DB1" w:rsidP="00D36FB8">
            <w:pPr>
              <w:ind w:right="113"/>
              <w:jc w:val="right"/>
            </w:pPr>
            <w:r w:rsidRPr="00DA20F5">
              <w:t>23,46</w:t>
            </w:r>
          </w:p>
        </w:tc>
        <w:tc>
          <w:tcPr>
            <w:tcW w:w="992" w:type="dxa"/>
            <w:vAlign w:val="center"/>
          </w:tcPr>
          <w:p w:rsidR="00F10DB1" w:rsidRPr="00DA20F5" w:rsidRDefault="00F10DB1" w:rsidP="00D36FB8">
            <w:pPr>
              <w:ind w:right="113"/>
              <w:jc w:val="right"/>
            </w:pPr>
            <w:r w:rsidRPr="00DA20F5">
              <w:t>264</w:t>
            </w:r>
          </w:p>
        </w:tc>
        <w:tc>
          <w:tcPr>
            <w:tcW w:w="1248" w:type="dxa"/>
            <w:vAlign w:val="center"/>
          </w:tcPr>
          <w:p w:rsidR="00F10DB1" w:rsidRPr="00DA20F5" w:rsidRDefault="00F10DB1" w:rsidP="00D36FB8">
            <w:pPr>
              <w:ind w:right="212"/>
              <w:jc w:val="right"/>
            </w:pPr>
            <w:r w:rsidRPr="00DA20F5">
              <w:t>104,4</w:t>
            </w:r>
          </w:p>
        </w:tc>
      </w:tr>
      <w:tr w:rsidR="00D547C6" w:rsidRPr="00DA20F5" w:rsidTr="00A05573">
        <w:trPr>
          <w:jc w:val="center"/>
        </w:trPr>
        <w:tc>
          <w:tcPr>
            <w:tcW w:w="4038" w:type="dxa"/>
            <w:vAlign w:val="center"/>
          </w:tcPr>
          <w:p w:rsidR="00F10DB1" w:rsidRPr="00DA20F5" w:rsidRDefault="00F10DB1" w:rsidP="00D36FB8">
            <w:r w:rsidRPr="00DA20F5">
              <w:t>9. Nepovinné príspevky na sociálne poistenie</w:t>
            </w:r>
          </w:p>
        </w:tc>
        <w:tc>
          <w:tcPr>
            <w:tcW w:w="853" w:type="dxa"/>
            <w:vAlign w:val="center"/>
          </w:tcPr>
          <w:p w:rsidR="00F10DB1" w:rsidRPr="00DA20F5" w:rsidRDefault="00F10DB1" w:rsidP="00D36FB8">
            <w:pPr>
              <w:ind w:right="113"/>
              <w:jc w:val="right"/>
            </w:pPr>
            <w:r w:rsidRPr="00DA20F5">
              <w:t>0,55</w:t>
            </w:r>
          </w:p>
        </w:tc>
        <w:tc>
          <w:tcPr>
            <w:tcW w:w="992" w:type="dxa"/>
            <w:vAlign w:val="center"/>
          </w:tcPr>
          <w:p w:rsidR="00F10DB1" w:rsidRPr="00DA20F5" w:rsidRDefault="00F10DB1" w:rsidP="00D36FB8">
            <w:pPr>
              <w:ind w:right="113"/>
              <w:jc w:val="right"/>
            </w:pPr>
            <w:r w:rsidRPr="00DA20F5">
              <w:t>6</w:t>
            </w:r>
          </w:p>
        </w:tc>
        <w:tc>
          <w:tcPr>
            <w:tcW w:w="1248" w:type="dxa"/>
            <w:vAlign w:val="center"/>
          </w:tcPr>
          <w:p w:rsidR="00F10DB1" w:rsidRPr="00DA20F5" w:rsidRDefault="00F10DB1" w:rsidP="00D36FB8">
            <w:pPr>
              <w:ind w:right="212"/>
              <w:jc w:val="right"/>
            </w:pPr>
            <w:r w:rsidRPr="00DA20F5">
              <w:t>101,5</w:t>
            </w:r>
          </w:p>
        </w:tc>
      </w:tr>
      <w:tr w:rsidR="00D547C6" w:rsidRPr="00DA20F5" w:rsidTr="00A05573">
        <w:trPr>
          <w:jc w:val="center"/>
        </w:trPr>
        <w:tc>
          <w:tcPr>
            <w:tcW w:w="4038" w:type="dxa"/>
            <w:vAlign w:val="center"/>
          </w:tcPr>
          <w:p w:rsidR="00F10DB1" w:rsidRPr="00DA20F5" w:rsidRDefault="00F10DB1" w:rsidP="00D36FB8">
            <w:r w:rsidRPr="00DA20F5">
              <w:t>10. Sociálne dávky</w:t>
            </w:r>
          </w:p>
        </w:tc>
        <w:tc>
          <w:tcPr>
            <w:tcW w:w="853" w:type="dxa"/>
            <w:vAlign w:val="center"/>
          </w:tcPr>
          <w:p w:rsidR="00F10DB1" w:rsidRPr="00DA20F5" w:rsidRDefault="00F10DB1" w:rsidP="00D36FB8">
            <w:pPr>
              <w:ind w:right="113"/>
              <w:jc w:val="right"/>
            </w:pPr>
            <w:r w:rsidRPr="00DA20F5">
              <w:t>0,99</w:t>
            </w:r>
          </w:p>
        </w:tc>
        <w:tc>
          <w:tcPr>
            <w:tcW w:w="992" w:type="dxa"/>
            <w:vAlign w:val="center"/>
          </w:tcPr>
          <w:p w:rsidR="00F10DB1" w:rsidRPr="00DA20F5" w:rsidRDefault="00F10DB1" w:rsidP="00D36FB8">
            <w:pPr>
              <w:ind w:right="113"/>
              <w:jc w:val="right"/>
            </w:pPr>
            <w:r w:rsidRPr="00DA20F5">
              <w:t>11</w:t>
            </w:r>
          </w:p>
        </w:tc>
        <w:tc>
          <w:tcPr>
            <w:tcW w:w="1248" w:type="dxa"/>
            <w:vAlign w:val="center"/>
          </w:tcPr>
          <w:p w:rsidR="00F10DB1" w:rsidRPr="00DA20F5" w:rsidRDefault="00F10DB1" w:rsidP="00D36FB8">
            <w:pPr>
              <w:ind w:right="212"/>
              <w:jc w:val="right"/>
            </w:pPr>
            <w:r w:rsidRPr="00DA20F5">
              <w:t>80,5</w:t>
            </w:r>
          </w:p>
        </w:tc>
      </w:tr>
      <w:tr w:rsidR="00D547C6" w:rsidRPr="00DA20F5" w:rsidTr="00A05573">
        <w:trPr>
          <w:jc w:val="center"/>
        </w:trPr>
        <w:tc>
          <w:tcPr>
            <w:tcW w:w="4038" w:type="dxa"/>
            <w:vAlign w:val="center"/>
          </w:tcPr>
          <w:p w:rsidR="00F10DB1" w:rsidRPr="00DA20F5" w:rsidRDefault="00F10DB1" w:rsidP="00D36FB8">
            <w:r w:rsidRPr="00DA20F5">
              <w:t>11. Príspevky na sociálne poistenie učňov</w:t>
            </w:r>
          </w:p>
        </w:tc>
        <w:tc>
          <w:tcPr>
            <w:tcW w:w="853" w:type="dxa"/>
            <w:vAlign w:val="center"/>
          </w:tcPr>
          <w:p w:rsidR="00F10DB1" w:rsidRPr="00DA20F5" w:rsidRDefault="00F10DB1" w:rsidP="00D36FB8">
            <w:pPr>
              <w:ind w:right="113"/>
              <w:jc w:val="right"/>
            </w:pPr>
            <w:r w:rsidRPr="00DA20F5">
              <w:t>0,00</w:t>
            </w:r>
          </w:p>
        </w:tc>
        <w:tc>
          <w:tcPr>
            <w:tcW w:w="992" w:type="dxa"/>
            <w:vAlign w:val="center"/>
          </w:tcPr>
          <w:p w:rsidR="00F10DB1" w:rsidRPr="00DA20F5" w:rsidRDefault="00F10DB1" w:rsidP="00D36FB8">
            <w:pPr>
              <w:ind w:right="113"/>
              <w:jc w:val="right"/>
            </w:pPr>
            <w:r w:rsidRPr="00DA20F5">
              <w:t>0</w:t>
            </w:r>
          </w:p>
        </w:tc>
        <w:tc>
          <w:tcPr>
            <w:tcW w:w="1248" w:type="dxa"/>
            <w:vAlign w:val="center"/>
          </w:tcPr>
          <w:p w:rsidR="00F10DB1" w:rsidRPr="00DA20F5" w:rsidRDefault="00F10DB1" w:rsidP="00D36FB8">
            <w:pPr>
              <w:ind w:right="212"/>
              <w:jc w:val="right"/>
            </w:pPr>
            <w:r w:rsidRPr="00DA20F5">
              <w:t>235,5</w:t>
            </w:r>
          </w:p>
        </w:tc>
      </w:tr>
      <w:tr w:rsidR="00D547C6" w:rsidRPr="00DA20F5" w:rsidTr="00A05573">
        <w:trPr>
          <w:jc w:val="center"/>
        </w:trPr>
        <w:tc>
          <w:tcPr>
            <w:tcW w:w="4038" w:type="dxa"/>
            <w:vAlign w:val="center"/>
          </w:tcPr>
          <w:p w:rsidR="00F10DB1" w:rsidRPr="00DA20F5" w:rsidRDefault="00F10DB1" w:rsidP="00D36FB8">
            <w:r w:rsidRPr="00DA20F5">
              <w:t>12. Sociálne výhody</w:t>
            </w:r>
          </w:p>
        </w:tc>
        <w:tc>
          <w:tcPr>
            <w:tcW w:w="853" w:type="dxa"/>
            <w:vAlign w:val="center"/>
          </w:tcPr>
          <w:p w:rsidR="00F10DB1" w:rsidRPr="00DA20F5" w:rsidRDefault="00F10DB1" w:rsidP="00D36FB8">
            <w:pPr>
              <w:ind w:right="113"/>
              <w:jc w:val="right"/>
            </w:pPr>
            <w:r w:rsidRPr="00DA20F5">
              <w:t>1,39</w:t>
            </w:r>
          </w:p>
        </w:tc>
        <w:tc>
          <w:tcPr>
            <w:tcW w:w="992" w:type="dxa"/>
            <w:vAlign w:val="center"/>
          </w:tcPr>
          <w:p w:rsidR="00F10DB1" w:rsidRPr="00DA20F5" w:rsidRDefault="00F10DB1" w:rsidP="00D36FB8">
            <w:pPr>
              <w:ind w:right="113"/>
              <w:jc w:val="right"/>
            </w:pPr>
            <w:r w:rsidRPr="00DA20F5">
              <w:t>16</w:t>
            </w:r>
          </w:p>
        </w:tc>
        <w:tc>
          <w:tcPr>
            <w:tcW w:w="1248" w:type="dxa"/>
            <w:vAlign w:val="center"/>
          </w:tcPr>
          <w:p w:rsidR="00F10DB1" w:rsidRPr="00DA20F5" w:rsidRDefault="00F10DB1" w:rsidP="00D36FB8">
            <w:pPr>
              <w:ind w:right="212"/>
              <w:jc w:val="right"/>
            </w:pPr>
            <w:r w:rsidRPr="00DA20F5">
              <w:t>76,5</w:t>
            </w:r>
          </w:p>
        </w:tc>
      </w:tr>
      <w:tr w:rsidR="00D547C6" w:rsidRPr="00DA20F5" w:rsidTr="00A05573">
        <w:trPr>
          <w:jc w:val="center"/>
        </w:trPr>
        <w:tc>
          <w:tcPr>
            <w:tcW w:w="4038" w:type="dxa"/>
            <w:vAlign w:val="center"/>
          </w:tcPr>
          <w:p w:rsidR="00F10DB1" w:rsidRPr="00DA20F5" w:rsidRDefault="00F10DB1" w:rsidP="00D36FB8">
            <w:r w:rsidRPr="00DA20F5">
              <w:t>13. Náklady na školenie zamestnancov</w:t>
            </w:r>
          </w:p>
        </w:tc>
        <w:tc>
          <w:tcPr>
            <w:tcW w:w="853" w:type="dxa"/>
            <w:vAlign w:val="center"/>
          </w:tcPr>
          <w:p w:rsidR="00F10DB1" w:rsidRPr="00DA20F5" w:rsidRDefault="00F10DB1" w:rsidP="00D36FB8">
            <w:pPr>
              <w:ind w:right="113"/>
              <w:jc w:val="right"/>
            </w:pPr>
            <w:r w:rsidRPr="00DA20F5">
              <w:t>0,44</w:t>
            </w:r>
          </w:p>
        </w:tc>
        <w:tc>
          <w:tcPr>
            <w:tcW w:w="992" w:type="dxa"/>
            <w:vAlign w:val="center"/>
          </w:tcPr>
          <w:p w:rsidR="00F10DB1" w:rsidRPr="00DA20F5" w:rsidRDefault="00F10DB1" w:rsidP="00D36FB8">
            <w:pPr>
              <w:ind w:right="113"/>
              <w:jc w:val="right"/>
            </w:pPr>
            <w:r w:rsidRPr="00DA20F5">
              <w:t>5</w:t>
            </w:r>
          </w:p>
        </w:tc>
        <w:tc>
          <w:tcPr>
            <w:tcW w:w="1248" w:type="dxa"/>
            <w:vAlign w:val="center"/>
          </w:tcPr>
          <w:p w:rsidR="00F10DB1" w:rsidRPr="00DA20F5" w:rsidRDefault="00F10DB1" w:rsidP="00D36FB8">
            <w:pPr>
              <w:ind w:right="212"/>
              <w:jc w:val="right"/>
            </w:pPr>
            <w:r w:rsidRPr="00DA20F5">
              <w:t>107,3</w:t>
            </w:r>
          </w:p>
        </w:tc>
      </w:tr>
      <w:tr w:rsidR="00D547C6" w:rsidRPr="00DA20F5" w:rsidTr="00A05573">
        <w:trPr>
          <w:jc w:val="center"/>
        </w:trPr>
        <w:tc>
          <w:tcPr>
            <w:tcW w:w="4038" w:type="dxa"/>
            <w:vAlign w:val="center"/>
          </w:tcPr>
          <w:p w:rsidR="00F10DB1" w:rsidRPr="00DA20F5" w:rsidRDefault="00F10DB1" w:rsidP="00D36FB8">
            <w:r w:rsidRPr="00DA20F5">
              <w:t>14. Poplatky a sankcie súvisiace so mzdami</w:t>
            </w:r>
          </w:p>
        </w:tc>
        <w:tc>
          <w:tcPr>
            <w:tcW w:w="853" w:type="dxa"/>
            <w:vAlign w:val="center"/>
          </w:tcPr>
          <w:p w:rsidR="00F10DB1" w:rsidRPr="00DA20F5" w:rsidRDefault="00F10DB1" w:rsidP="00D36FB8">
            <w:pPr>
              <w:ind w:right="113"/>
              <w:jc w:val="right"/>
            </w:pPr>
            <w:r w:rsidRPr="00DA20F5">
              <w:t>0,01</w:t>
            </w:r>
          </w:p>
        </w:tc>
        <w:tc>
          <w:tcPr>
            <w:tcW w:w="992" w:type="dxa"/>
            <w:vAlign w:val="center"/>
          </w:tcPr>
          <w:p w:rsidR="00F10DB1" w:rsidRPr="00DA20F5" w:rsidRDefault="00F10DB1" w:rsidP="00D36FB8">
            <w:pPr>
              <w:ind w:right="113"/>
              <w:jc w:val="right"/>
            </w:pPr>
            <w:r w:rsidRPr="00DA20F5">
              <w:t>0</w:t>
            </w:r>
          </w:p>
        </w:tc>
        <w:tc>
          <w:tcPr>
            <w:tcW w:w="1248" w:type="dxa"/>
            <w:vAlign w:val="center"/>
          </w:tcPr>
          <w:p w:rsidR="00F10DB1" w:rsidRPr="00DA20F5" w:rsidRDefault="00F10DB1" w:rsidP="00D36FB8">
            <w:pPr>
              <w:ind w:right="212"/>
              <w:jc w:val="right"/>
            </w:pPr>
            <w:r w:rsidRPr="00DA20F5">
              <w:t>98,6</w:t>
            </w:r>
          </w:p>
        </w:tc>
      </w:tr>
      <w:tr w:rsidR="00D547C6" w:rsidRPr="00DA20F5" w:rsidTr="00A05573">
        <w:trPr>
          <w:jc w:val="center"/>
        </w:trPr>
        <w:tc>
          <w:tcPr>
            <w:tcW w:w="4038" w:type="dxa"/>
            <w:vAlign w:val="center"/>
          </w:tcPr>
          <w:p w:rsidR="00F10DB1" w:rsidRPr="00DA20F5" w:rsidRDefault="00F10DB1" w:rsidP="00D36FB8">
            <w:r w:rsidRPr="00DA20F5">
              <w:t>15. Ostatné nepriame náklady práce</w:t>
            </w:r>
          </w:p>
        </w:tc>
        <w:tc>
          <w:tcPr>
            <w:tcW w:w="853" w:type="dxa"/>
            <w:vAlign w:val="center"/>
          </w:tcPr>
          <w:p w:rsidR="00F10DB1" w:rsidRPr="00DA20F5" w:rsidRDefault="00F10DB1" w:rsidP="00D36FB8">
            <w:pPr>
              <w:ind w:right="113"/>
              <w:jc w:val="right"/>
            </w:pPr>
            <w:r w:rsidRPr="00DA20F5">
              <w:t>0,22</w:t>
            </w:r>
          </w:p>
        </w:tc>
        <w:tc>
          <w:tcPr>
            <w:tcW w:w="992" w:type="dxa"/>
            <w:vAlign w:val="center"/>
          </w:tcPr>
          <w:p w:rsidR="00F10DB1" w:rsidRPr="00DA20F5" w:rsidRDefault="00F10DB1" w:rsidP="00D36FB8">
            <w:pPr>
              <w:ind w:right="113"/>
              <w:jc w:val="right"/>
            </w:pPr>
            <w:r w:rsidRPr="00DA20F5">
              <w:t>2</w:t>
            </w:r>
          </w:p>
        </w:tc>
        <w:tc>
          <w:tcPr>
            <w:tcW w:w="1248" w:type="dxa"/>
            <w:vAlign w:val="center"/>
          </w:tcPr>
          <w:p w:rsidR="00F10DB1" w:rsidRPr="00DA20F5" w:rsidRDefault="00F10DB1" w:rsidP="00D36FB8">
            <w:pPr>
              <w:ind w:right="212"/>
              <w:jc w:val="right"/>
            </w:pPr>
            <w:r w:rsidRPr="00DA20F5">
              <w:t>119,6</w:t>
            </w:r>
          </w:p>
        </w:tc>
      </w:tr>
      <w:tr w:rsidR="00D547C6" w:rsidRPr="00DA20F5" w:rsidTr="00A05573">
        <w:trPr>
          <w:trHeight w:val="80"/>
          <w:jc w:val="center"/>
        </w:trPr>
        <w:tc>
          <w:tcPr>
            <w:tcW w:w="4038" w:type="dxa"/>
            <w:vAlign w:val="center"/>
          </w:tcPr>
          <w:p w:rsidR="00F10DB1" w:rsidRPr="00DA20F5" w:rsidRDefault="00F10DB1" w:rsidP="00D36FB8">
            <w:r w:rsidRPr="00DA20F5">
              <w:t>16. SUBVENCIE</w:t>
            </w:r>
          </w:p>
        </w:tc>
        <w:tc>
          <w:tcPr>
            <w:tcW w:w="853" w:type="dxa"/>
            <w:vAlign w:val="center"/>
          </w:tcPr>
          <w:p w:rsidR="00F10DB1" w:rsidRPr="00DA20F5" w:rsidRDefault="00F10DB1" w:rsidP="00D36FB8">
            <w:pPr>
              <w:ind w:right="113"/>
              <w:jc w:val="right"/>
            </w:pPr>
            <w:r w:rsidRPr="00DA20F5">
              <w:t>- 0,19</w:t>
            </w:r>
          </w:p>
        </w:tc>
        <w:tc>
          <w:tcPr>
            <w:tcW w:w="992" w:type="dxa"/>
            <w:vAlign w:val="center"/>
          </w:tcPr>
          <w:p w:rsidR="00F10DB1" w:rsidRPr="00DA20F5" w:rsidRDefault="00F10DB1" w:rsidP="00D36FB8">
            <w:pPr>
              <w:ind w:right="113"/>
              <w:jc w:val="right"/>
            </w:pPr>
            <w:r w:rsidRPr="00DA20F5">
              <w:t>-2</w:t>
            </w:r>
          </w:p>
        </w:tc>
        <w:tc>
          <w:tcPr>
            <w:tcW w:w="1248" w:type="dxa"/>
            <w:vAlign w:val="center"/>
          </w:tcPr>
          <w:p w:rsidR="00F10DB1" w:rsidRPr="00DA20F5" w:rsidRDefault="00F10DB1" w:rsidP="00D36FB8">
            <w:pPr>
              <w:ind w:right="212"/>
              <w:jc w:val="right"/>
            </w:pPr>
            <w:r w:rsidRPr="00DA20F5">
              <w:t>282,2</w:t>
            </w:r>
          </w:p>
        </w:tc>
      </w:tr>
    </w:tbl>
    <w:p w:rsidR="00F10DB1" w:rsidRPr="00DA20F5" w:rsidRDefault="00F10DB1" w:rsidP="00D36FB8">
      <w:pPr>
        <w:pStyle w:val="zdroj"/>
      </w:pPr>
      <w:r w:rsidRPr="00DA20F5">
        <w:t>Zdroj: ŠÚ SR, štatistické zisťovanie o úplných nákladoch práce</w:t>
      </w:r>
    </w:p>
    <w:p w:rsidR="00F10DB1" w:rsidRPr="00DA20F5" w:rsidRDefault="00F10DB1" w:rsidP="00D36FB8">
      <w:pPr>
        <w:ind w:firstLine="426"/>
      </w:pPr>
      <w:r w:rsidRPr="00DA20F5">
        <w:t xml:space="preserve">Dlhodobý trend rastúcej diferenciácie v nákladoch práce </w:t>
      </w:r>
      <w:r w:rsidRPr="00DA20F5">
        <w:rPr>
          <w:b/>
        </w:rPr>
        <w:t>podľa odvetví</w:t>
      </w:r>
      <w:r w:rsidRPr="00DA20F5">
        <w:t xml:space="preserve"> pokračoval aj v roku 2010. Najvýraznejší medziročný rast nákladov práce bol zaznamenaný v informačných a komunikačných činnostiach a vo veľkoobchode a maloobchode (o 4,5 %), v priemyselnej výrobe (o 3,9 %) a v stavebníctve (o 3,7 %). Pokles nákladov práce v porovnaní s predchádzajúcim rokom nastal v odvetviach ťažba a dobývanie (o 2 %), v umení , zábave a rekreácii (o 1,6 %), v dodávke vody, čistení a odvode odpadových vôd, odpadoch (o 0,7 %), verejnej správe a obrane; povinnom sociálnom zabezpečení (o 0,4 %) a v činnostiach v oblasti nehnuteľností (o 0,3 %). Z hľadiska dynamiky vývoja mesačných nákladov práce sa oproti predchádzajúcemu roku ich rast zrýchlil v poľnohospodárstve, lesníctve, rybolove, ďalej v priemyse</w:t>
      </w:r>
      <w:r w:rsidR="00E138B1" w:rsidRPr="00DA20F5">
        <w:t>lnej výrobe, v stavebníctve, vo </w:t>
      </w:r>
      <w:r w:rsidRPr="00DA20F5">
        <w:t xml:space="preserve">veľkoobchode a maloobchode, v doprave a skladovaní, v ubytovacích a stravovacích službách, vo finančných a poisťovacích činnostiach; v odborných, vedeckých a technických činnostiach a v ostatných činnostiach. V ostatných ekonomických činnostiach nastalo spomalenie rastu mesačných nákladov práce. </w:t>
      </w:r>
    </w:p>
    <w:p w:rsidR="00F10DB1" w:rsidRPr="00DA20F5" w:rsidRDefault="00F10DB1" w:rsidP="00D36FB8">
      <w:pPr>
        <w:pStyle w:val="Normlnysozarkami12"/>
      </w:pPr>
      <w:r w:rsidRPr="00DA20F5">
        <w:t xml:space="preserve">Takmer tretina odvetví vynakladala nadpriemerné výdavky na pracovnú silu. Dominovali finančné a poisťovacie činnosti s 2 075 €, ďalej nasledovala ekonomická činnosť informácie a komunikácie (1 993 €), dodávka elektriny, plynu, pary a studeného vzduchu (1 829 €), odborné, vedecké a technické činnosti (1 539 €), ťažba a dobývanie (1 255 €), dodávka vody, čistenie a odvod odpadových vôd, odpady (1 178 €) a verejná správa a obrana; povinné sociálne zabezpečenie (1 176 €). </w:t>
      </w:r>
    </w:p>
    <w:p w:rsidR="00F10DB1" w:rsidRPr="00DA20F5" w:rsidRDefault="00F10DB1" w:rsidP="00D36FB8">
      <w:pPr>
        <w:pStyle w:val="Normlnysozarkami12"/>
      </w:pPr>
      <w:r w:rsidRPr="00DA20F5">
        <w:t xml:space="preserve">Ostatné odvetvia dosahovali aj napriek celkovému miernemu zrýchleniu rastu mesačných nákladov práce naďalej podpriemerné hodnoty. Špecifickým je priemyselná výroba (1 103 €), ktorá je </w:t>
      </w:r>
      <w:r w:rsidRPr="00DA20F5">
        <w:lastRenderedPageBreak/>
        <w:t>charakteristická vysokým stupňom vnútornej diferenciácie nákladov práce vyplývajúcej z odlišnej</w:t>
      </w:r>
      <w:r w:rsidRPr="00DA20F5">
        <w:rPr>
          <w:color w:val="1F497D" w:themeColor="text2"/>
        </w:rPr>
        <w:t xml:space="preserve"> </w:t>
      </w:r>
      <w:r w:rsidRPr="00DA20F5">
        <w:t>finančnej situácie jednotlivých ekonomických činností. Výroba koksu a rafinovaných ropných produktov, kde výdavky na prácu (2 683 €) prevyšovali celoslovenský priemer takmer 2,5-násobne, boli v kontraste s výrobou odevov, kože a kožených výrobkov, ktoré naopak dosahovali iba 57 resp. 69 %</w:t>
      </w:r>
      <w:r w:rsidR="00D547C6" w:rsidRPr="00DA20F5">
        <w:t xml:space="preserve"> priemeru</w:t>
      </w:r>
      <w:r w:rsidRPr="00DA20F5">
        <w:t>. Veľké rozpätie hodnôt bolo aj v ekonomickej činnosti doprava a skladovanie, kde výdavky na zamestnanca v leteckej doprave (1 702 €) boli 1,6-nás</w:t>
      </w:r>
      <w:r w:rsidR="00E138B1" w:rsidRPr="00DA20F5">
        <w:t>obné v porovnaní s priemerom za </w:t>
      </w:r>
      <w:r w:rsidRPr="00DA20F5">
        <w:t>túto ekonomickú činnosť (1 047 €). Tradične najnižšie finančné prostriedky na vlastného zamestnanca boli vynaložené v ubytovacích a stravovacích službách (648 €), ďalej administratívnych a podporných službách (822 €), v ostatných činnostiach (862 €) a v</w:t>
      </w:r>
      <w:r w:rsidR="00E138B1" w:rsidRPr="00DA20F5">
        <w:t xml:space="preserve"> poľnohospodárstve, lesníctve a </w:t>
      </w:r>
      <w:r w:rsidRPr="00DA20F5">
        <w:t>rybolove (896 €) (príloha ku kapitole 2, tab. č 19).</w:t>
      </w:r>
    </w:p>
    <w:p w:rsidR="00F10DB1" w:rsidRPr="00DA20F5" w:rsidRDefault="00F10DB1" w:rsidP="00D36FB8">
      <w:pPr>
        <w:pStyle w:val="Normlnysozarkami12"/>
      </w:pPr>
      <w:r w:rsidRPr="00DA20F5">
        <w:t xml:space="preserve">Z hľadiska </w:t>
      </w:r>
      <w:r w:rsidRPr="00DA20F5">
        <w:rPr>
          <w:b/>
        </w:rPr>
        <w:t>veľkostí organizácií</w:t>
      </w:r>
      <w:r w:rsidRPr="00DA20F5">
        <w:t xml:space="preserve"> vynaložili najviac prostriedkov na zamestnanca subjekty s 1 000 a viac zamestnancami (1 313 €). Nadpriemernú úroveň dosiahli organizácie s 500 – 999 zamestnancami (1 231 €) a organizácie s 250 – 499 zamestnancami (1 173 €). Najnižšie výdavky na prácu boli v malých podnikoch od 1– 9 zamestnancov (1 002 €) a v organizáciách, ktoré zamestnávajú 20 – 49 osôb (1 016 €). </w:t>
      </w:r>
    </w:p>
    <w:p w:rsidR="00F10DB1" w:rsidRPr="00DA20F5" w:rsidRDefault="00F10DB1" w:rsidP="00D36FB8">
      <w:pPr>
        <w:pStyle w:val="Normlnysozarkami12"/>
      </w:pPr>
      <w:r w:rsidRPr="00DA20F5">
        <w:rPr>
          <w:b/>
        </w:rPr>
        <w:t>Regionálna diferenciácia</w:t>
      </w:r>
      <w:r w:rsidRPr="00DA20F5">
        <w:t xml:space="preserve"> v nákladoch práce medziročne vzrástla o 10,6 %. Mesačné náklady práce sa v jednotlivých regiónoch pohybovali v intervale od 862 € (v Prešovskom kraji) do 1 475 € (v Bratislavskom kraji), pričom nadpriemernú úroveň dosiahol len Bratislavský kraj. V porovnaní s rokom 2010 vzrástli mesačné náklady práce takmer vo všetkých regiónoch. Výnimkou bol len Trnavský kraj, ktorý ako jediný nedosiahol úroveň predchádzajúceho roku a mesačné náklady práce v tomto kraji medziročne poklesli o 0,2 %. Z pohľadu dynamiky nákladov práce sa oproti predchádzajúcemu roku ich rast zrýchlil v Bratislavskom, Nitrianskom, Žilinskom, Prešovskom a Košickom kraji. V ostatných krajoch nastalo spomalenie rastu mesačných nákladov práce. </w:t>
      </w:r>
    </w:p>
    <w:p w:rsidR="00F10DB1" w:rsidRPr="00DA20F5" w:rsidRDefault="00F10DB1" w:rsidP="00E138B1">
      <w:pPr>
        <w:pStyle w:val="Nadpis7"/>
        <w:spacing w:before="120"/>
        <w:rPr>
          <w:sz w:val="4"/>
          <w:szCs w:val="4"/>
        </w:rPr>
      </w:pPr>
      <w:bookmarkStart w:id="327" w:name="_Toc325438157"/>
      <w:bookmarkStart w:id="328" w:name="_Toc325440926"/>
      <w:bookmarkStart w:id="329" w:name="_Toc325626739"/>
      <w:bookmarkStart w:id="330" w:name="_Toc326217000"/>
      <w:r w:rsidRPr="00DA20F5">
        <w:t>Tab. 2.20</w:t>
      </w:r>
      <w:r w:rsidR="00AC5AAB" w:rsidRPr="00DA20F5">
        <w:t xml:space="preserve"> </w:t>
      </w:r>
      <w:r w:rsidRPr="00DA20F5">
        <w:t>Mesačné náklady práce na zamestnanca v roku 2010 podľa krajov (v €)</w:t>
      </w:r>
      <w:bookmarkEnd w:id="327"/>
      <w:bookmarkEnd w:id="328"/>
      <w:bookmarkEnd w:id="329"/>
      <w:bookmarkEnd w:id="330"/>
    </w:p>
    <w:tbl>
      <w:tblPr>
        <w:tblW w:w="9449" w:type="dxa"/>
        <w:jc w:val="center"/>
        <w:tblInd w:w="36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3060"/>
        <w:gridCol w:w="1038"/>
        <w:gridCol w:w="904"/>
        <w:gridCol w:w="770"/>
        <w:gridCol w:w="709"/>
        <w:gridCol w:w="709"/>
        <w:gridCol w:w="709"/>
        <w:gridCol w:w="708"/>
        <w:gridCol w:w="842"/>
      </w:tblGrid>
      <w:tr w:rsidR="001C2144" w:rsidRPr="00DA20F5" w:rsidTr="00A05573">
        <w:trPr>
          <w:trHeight w:val="285"/>
          <w:jc w:val="center"/>
        </w:trPr>
        <w:tc>
          <w:tcPr>
            <w:tcW w:w="3060" w:type="dxa"/>
            <w:shd w:val="clear" w:color="auto" w:fill="4F81BD"/>
            <w:noWrap/>
            <w:vAlign w:val="center"/>
          </w:tcPr>
          <w:p w:rsidR="00F10DB1" w:rsidRPr="00DA20F5" w:rsidRDefault="00F10DB1" w:rsidP="00D36FB8">
            <w:pPr>
              <w:jc w:val="center"/>
              <w:rPr>
                <w:b/>
                <w:color w:val="FFFFFF" w:themeColor="background1"/>
              </w:rPr>
            </w:pPr>
            <w:r w:rsidRPr="00DA20F5">
              <w:rPr>
                <w:b/>
                <w:color w:val="FFFFFF" w:themeColor="background1"/>
              </w:rPr>
              <w:t>Položky nákladov práce</w:t>
            </w:r>
          </w:p>
        </w:tc>
        <w:tc>
          <w:tcPr>
            <w:tcW w:w="1038"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BA</w:t>
            </w:r>
          </w:p>
        </w:tc>
        <w:tc>
          <w:tcPr>
            <w:tcW w:w="904"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TT</w:t>
            </w:r>
          </w:p>
        </w:tc>
        <w:tc>
          <w:tcPr>
            <w:tcW w:w="770"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TN</w:t>
            </w:r>
          </w:p>
        </w:tc>
        <w:tc>
          <w:tcPr>
            <w:tcW w:w="709"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NR</w:t>
            </w:r>
          </w:p>
        </w:tc>
        <w:tc>
          <w:tcPr>
            <w:tcW w:w="709"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ZA</w:t>
            </w:r>
          </w:p>
        </w:tc>
        <w:tc>
          <w:tcPr>
            <w:tcW w:w="709"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BB</w:t>
            </w:r>
          </w:p>
        </w:tc>
        <w:tc>
          <w:tcPr>
            <w:tcW w:w="708"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PO</w:t>
            </w:r>
          </w:p>
        </w:tc>
        <w:tc>
          <w:tcPr>
            <w:tcW w:w="842" w:type="dxa"/>
            <w:shd w:val="clear" w:color="auto" w:fill="4F81BD"/>
            <w:vAlign w:val="center"/>
          </w:tcPr>
          <w:p w:rsidR="00F10DB1" w:rsidRPr="00DA20F5" w:rsidRDefault="00F10DB1" w:rsidP="00D36FB8">
            <w:pPr>
              <w:jc w:val="center"/>
              <w:rPr>
                <w:b/>
                <w:color w:val="FFFFFF" w:themeColor="background1"/>
              </w:rPr>
            </w:pPr>
            <w:r w:rsidRPr="00DA20F5">
              <w:rPr>
                <w:b/>
                <w:color w:val="FFFFFF" w:themeColor="background1"/>
              </w:rPr>
              <w:t>KE</w:t>
            </w:r>
          </w:p>
        </w:tc>
      </w:tr>
      <w:tr w:rsidR="001C2144" w:rsidRPr="00DA20F5" w:rsidTr="00A05573">
        <w:trPr>
          <w:trHeight w:val="285"/>
          <w:jc w:val="center"/>
        </w:trPr>
        <w:tc>
          <w:tcPr>
            <w:tcW w:w="3060" w:type="dxa"/>
            <w:noWrap/>
            <w:vAlign w:val="center"/>
          </w:tcPr>
          <w:p w:rsidR="00F10DB1" w:rsidRPr="00DA20F5" w:rsidRDefault="00F10DB1" w:rsidP="00D36FB8">
            <w:pPr>
              <w:rPr>
                <w:sz w:val="20"/>
                <w:szCs w:val="20"/>
              </w:rPr>
            </w:pPr>
            <w:r w:rsidRPr="00DA20F5">
              <w:rPr>
                <w:sz w:val="20"/>
                <w:szCs w:val="20"/>
              </w:rPr>
              <w:t>1.-16. CELKOVÉ NÁKLADY PRÁCE</w:t>
            </w:r>
          </w:p>
        </w:tc>
        <w:tc>
          <w:tcPr>
            <w:tcW w:w="1038" w:type="dxa"/>
            <w:noWrap/>
            <w:vAlign w:val="center"/>
          </w:tcPr>
          <w:p w:rsidR="00F10DB1" w:rsidRPr="00DA20F5" w:rsidRDefault="00F10DB1" w:rsidP="00D36FB8">
            <w:pPr>
              <w:ind w:right="113"/>
              <w:jc w:val="right"/>
              <w:rPr>
                <w:sz w:val="20"/>
                <w:szCs w:val="20"/>
              </w:rPr>
            </w:pPr>
            <w:r w:rsidRPr="00DA20F5">
              <w:rPr>
                <w:sz w:val="20"/>
                <w:szCs w:val="20"/>
              </w:rPr>
              <w:t>1 475</w:t>
            </w:r>
          </w:p>
        </w:tc>
        <w:tc>
          <w:tcPr>
            <w:tcW w:w="904" w:type="dxa"/>
            <w:noWrap/>
            <w:vAlign w:val="center"/>
          </w:tcPr>
          <w:p w:rsidR="00F10DB1" w:rsidRPr="00DA20F5" w:rsidRDefault="00F10DB1" w:rsidP="00D36FB8">
            <w:pPr>
              <w:ind w:right="113"/>
              <w:jc w:val="right"/>
              <w:rPr>
                <w:sz w:val="20"/>
                <w:szCs w:val="20"/>
              </w:rPr>
            </w:pPr>
            <w:r w:rsidRPr="00DA20F5">
              <w:rPr>
                <w:sz w:val="20"/>
                <w:szCs w:val="20"/>
              </w:rPr>
              <w:t>1 061</w:t>
            </w:r>
          </w:p>
        </w:tc>
        <w:tc>
          <w:tcPr>
            <w:tcW w:w="770" w:type="dxa"/>
            <w:noWrap/>
            <w:vAlign w:val="center"/>
          </w:tcPr>
          <w:p w:rsidR="00F10DB1" w:rsidRPr="00DA20F5" w:rsidRDefault="00F10DB1" w:rsidP="00D36FB8">
            <w:pPr>
              <w:ind w:right="113"/>
              <w:jc w:val="right"/>
              <w:rPr>
                <w:sz w:val="20"/>
                <w:szCs w:val="20"/>
              </w:rPr>
            </w:pPr>
            <w:r w:rsidRPr="00DA20F5">
              <w:rPr>
                <w:sz w:val="20"/>
                <w:szCs w:val="20"/>
              </w:rPr>
              <w:t>986</w:t>
            </w:r>
          </w:p>
        </w:tc>
        <w:tc>
          <w:tcPr>
            <w:tcW w:w="709" w:type="dxa"/>
            <w:noWrap/>
            <w:vAlign w:val="center"/>
          </w:tcPr>
          <w:p w:rsidR="00F10DB1" w:rsidRPr="00DA20F5" w:rsidRDefault="00F10DB1" w:rsidP="00D36FB8">
            <w:pPr>
              <w:ind w:right="113"/>
              <w:jc w:val="right"/>
              <w:rPr>
                <w:sz w:val="20"/>
                <w:szCs w:val="20"/>
              </w:rPr>
            </w:pPr>
            <w:r w:rsidRPr="00DA20F5">
              <w:rPr>
                <w:sz w:val="20"/>
                <w:szCs w:val="20"/>
              </w:rPr>
              <w:t>970</w:t>
            </w:r>
          </w:p>
        </w:tc>
        <w:tc>
          <w:tcPr>
            <w:tcW w:w="709" w:type="dxa"/>
            <w:noWrap/>
            <w:vAlign w:val="center"/>
          </w:tcPr>
          <w:p w:rsidR="00F10DB1" w:rsidRPr="00DA20F5" w:rsidRDefault="00F10DB1" w:rsidP="00D36FB8">
            <w:pPr>
              <w:ind w:right="113"/>
              <w:jc w:val="right"/>
              <w:rPr>
                <w:sz w:val="20"/>
                <w:szCs w:val="20"/>
              </w:rPr>
            </w:pPr>
            <w:r w:rsidRPr="00DA20F5">
              <w:rPr>
                <w:sz w:val="20"/>
                <w:szCs w:val="20"/>
              </w:rPr>
              <w:t>1 020</w:t>
            </w:r>
          </w:p>
        </w:tc>
        <w:tc>
          <w:tcPr>
            <w:tcW w:w="709" w:type="dxa"/>
            <w:noWrap/>
            <w:vAlign w:val="center"/>
          </w:tcPr>
          <w:p w:rsidR="00F10DB1" w:rsidRPr="00DA20F5" w:rsidRDefault="00F10DB1" w:rsidP="00D36FB8">
            <w:pPr>
              <w:ind w:right="113"/>
              <w:jc w:val="right"/>
              <w:rPr>
                <w:sz w:val="20"/>
                <w:szCs w:val="20"/>
              </w:rPr>
            </w:pPr>
            <w:r w:rsidRPr="00DA20F5">
              <w:rPr>
                <w:sz w:val="20"/>
                <w:szCs w:val="20"/>
              </w:rPr>
              <w:t>965</w:t>
            </w:r>
          </w:p>
        </w:tc>
        <w:tc>
          <w:tcPr>
            <w:tcW w:w="708" w:type="dxa"/>
            <w:noWrap/>
            <w:vAlign w:val="center"/>
          </w:tcPr>
          <w:p w:rsidR="00F10DB1" w:rsidRPr="00DA20F5" w:rsidRDefault="00F10DB1" w:rsidP="00D36FB8">
            <w:pPr>
              <w:ind w:right="113"/>
              <w:jc w:val="right"/>
              <w:rPr>
                <w:sz w:val="20"/>
                <w:szCs w:val="20"/>
              </w:rPr>
            </w:pPr>
            <w:r w:rsidRPr="00DA20F5">
              <w:rPr>
                <w:sz w:val="20"/>
                <w:szCs w:val="20"/>
              </w:rPr>
              <w:t>862</w:t>
            </w:r>
          </w:p>
        </w:tc>
        <w:tc>
          <w:tcPr>
            <w:tcW w:w="842" w:type="dxa"/>
            <w:noWrap/>
            <w:vAlign w:val="center"/>
          </w:tcPr>
          <w:p w:rsidR="00F10DB1" w:rsidRPr="00DA20F5" w:rsidRDefault="00F10DB1" w:rsidP="00D36FB8">
            <w:pPr>
              <w:ind w:right="113"/>
              <w:jc w:val="right"/>
              <w:rPr>
                <w:sz w:val="20"/>
                <w:szCs w:val="20"/>
              </w:rPr>
            </w:pPr>
            <w:r w:rsidRPr="00DA20F5">
              <w:rPr>
                <w:sz w:val="20"/>
                <w:szCs w:val="20"/>
              </w:rPr>
              <w:t>1 075</w:t>
            </w:r>
          </w:p>
        </w:tc>
      </w:tr>
      <w:tr w:rsidR="001C2144" w:rsidRPr="00DA20F5" w:rsidTr="00A05573">
        <w:trPr>
          <w:trHeight w:val="285"/>
          <w:jc w:val="center"/>
        </w:trPr>
        <w:tc>
          <w:tcPr>
            <w:tcW w:w="3060" w:type="dxa"/>
            <w:noWrap/>
            <w:vAlign w:val="center"/>
          </w:tcPr>
          <w:p w:rsidR="00F10DB1" w:rsidRPr="00DA20F5" w:rsidRDefault="00F10DB1" w:rsidP="00D36FB8">
            <w:pPr>
              <w:rPr>
                <w:sz w:val="20"/>
                <w:szCs w:val="20"/>
              </w:rPr>
            </w:pPr>
            <w:r w:rsidRPr="00DA20F5">
              <w:rPr>
                <w:sz w:val="20"/>
                <w:szCs w:val="20"/>
              </w:rPr>
              <w:t>1.-7. PRIAME NÁKLADY</w:t>
            </w:r>
          </w:p>
        </w:tc>
        <w:tc>
          <w:tcPr>
            <w:tcW w:w="1038" w:type="dxa"/>
            <w:noWrap/>
            <w:vAlign w:val="center"/>
          </w:tcPr>
          <w:p w:rsidR="00F10DB1" w:rsidRPr="00DA20F5" w:rsidRDefault="00F10DB1" w:rsidP="00D36FB8">
            <w:pPr>
              <w:ind w:right="113"/>
              <w:jc w:val="right"/>
              <w:rPr>
                <w:sz w:val="20"/>
                <w:szCs w:val="20"/>
              </w:rPr>
            </w:pPr>
            <w:r w:rsidRPr="00DA20F5">
              <w:rPr>
                <w:sz w:val="20"/>
                <w:szCs w:val="20"/>
              </w:rPr>
              <w:t>1 089</w:t>
            </w:r>
          </w:p>
        </w:tc>
        <w:tc>
          <w:tcPr>
            <w:tcW w:w="904" w:type="dxa"/>
            <w:noWrap/>
            <w:vAlign w:val="center"/>
          </w:tcPr>
          <w:p w:rsidR="00F10DB1" w:rsidRPr="00DA20F5" w:rsidRDefault="00F10DB1" w:rsidP="00D36FB8">
            <w:pPr>
              <w:ind w:right="113"/>
              <w:jc w:val="right"/>
              <w:rPr>
                <w:sz w:val="20"/>
                <w:szCs w:val="20"/>
              </w:rPr>
            </w:pPr>
            <w:r w:rsidRPr="00DA20F5">
              <w:rPr>
                <w:sz w:val="20"/>
                <w:szCs w:val="20"/>
              </w:rPr>
              <w:t>773</w:t>
            </w:r>
          </w:p>
        </w:tc>
        <w:tc>
          <w:tcPr>
            <w:tcW w:w="770" w:type="dxa"/>
            <w:noWrap/>
            <w:vAlign w:val="center"/>
          </w:tcPr>
          <w:p w:rsidR="00F10DB1" w:rsidRPr="00DA20F5" w:rsidRDefault="00F10DB1" w:rsidP="00D36FB8">
            <w:pPr>
              <w:ind w:right="113"/>
              <w:jc w:val="right"/>
              <w:rPr>
                <w:sz w:val="20"/>
                <w:szCs w:val="20"/>
              </w:rPr>
            </w:pPr>
            <w:r w:rsidRPr="00DA20F5">
              <w:rPr>
                <w:sz w:val="20"/>
                <w:szCs w:val="20"/>
              </w:rPr>
              <w:t>716</w:t>
            </w:r>
          </w:p>
        </w:tc>
        <w:tc>
          <w:tcPr>
            <w:tcW w:w="709" w:type="dxa"/>
            <w:noWrap/>
            <w:vAlign w:val="center"/>
          </w:tcPr>
          <w:p w:rsidR="00F10DB1" w:rsidRPr="00DA20F5" w:rsidRDefault="00F10DB1" w:rsidP="00D36FB8">
            <w:pPr>
              <w:ind w:right="113"/>
              <w:jc w:val="right"/>
              <w:rPr>
                <w:sz w:val="20"/>
                <w:szCs w:val="20"/>
              </w:rPr>
            </w:pPr>
            <w:r w:rsidRPr="00DA20F5">
              <w:rPr>
                <w:sz w:val="20"/>
                <w:szCs w:val="20"/>
              </w:rPr>
              <w:t>708</w:t>
            </w:r>
          </w:p>
        </w:tc>
        <w:tc>
          <w:tcPr>
            <w:tcW w:w="709" w:type="dxa"/>
            <w:noWrap/>
            <w:vAlign w:val="center"/>
          </w:tcPr>
          <w:p w:rsidR="00F10DB1" w:rsidRPr="00DA20F5" w:rsidRDefault="00F10DB1" w:rsidP="00D36FB8">
            <w:pPr>
              <w:ind w:right="113"/>
              <w:jc w:val="right"/>
              <w:rPr>
                <w:sz w:val="20"/>
                <w:szCs w:val="20"/>
              </w:rPr>
            </w:pPr>
            <w:r w:rsidRPr="00DA20F5">
              <w:rPr>
                <w:sz w:val="20"/>
                <w:szCs w:val="20"/>
              </w:rPr>
              <w:t>742</w:t>
            </w:r>
          </w:p>
        </w:tc>
        <w:tc>
          <w:tcPr>
            <w:tcW w:w="709" w:type="dxa"/>
            <w:noWrap/>
            <w:vAlign w:val="center"/>
          </w:tcPr>
          <w:p w:rsidR="00F10DB1" w:rsidRPr="00DA20F5" w:rsidRDefault="00F10DB1" w:rsidP="00D36FB8">
            <w:pPr>
              <w:ind w:right="113"/>
              <w:jc w:val="right"/>
              <w:rPr>
                <w:sz w:val="20"/>
                <w:szCs w:val="20"/>
              </w:rPr>
            </w:pPr>
            <w:r w:rsidRPr="00DA20F5">
              <w:rPr>
                <w:sz w:val="20"/>
                <w:szCs w:val="20"/>
              </w:rPr>
              <w:t>697</w:t>
            </w:r>
          </w:p>
        </w:tc>
        <w:tc>
          <w:tcPr>
            <w:tcW w:w="708" w:type="dxa"/>
            <w:noWrap/>
            <w:vAlign w:val="center"/>
          </w:tcPr>
          <w:p w:rsidR="00F10DB1" w:rsidRPr="00DA20F5" w:rsidRDefault="00F10DB1" w:rsidP="00D36FB8">
            <w:pPr>
              <w:ind w:right="113"/>
              <w:jc w:val="right"/>
              <w:rPr>
                <w:sz w:val="20"/>
                <w:szCs w:val="20"/>
              </w:rPr>
            </w:pPr>
            <w:r w:rsidRPr="00DA20F5">
              <w:rPr>
                <w:sz w:val="20"/>
                <w:szCs w:val="20"/>
              </w:rPr>
              <w:t>628</w:t>
            </w:r>
          </w:p>
        </w:tc>
        <w:tc>
          <w:tcPr>
            <w:tcW w:w="842" w:type="dxa"/>
            <w:noWrap/>
            <w:vAlign w:val="center"/>
          </w:tcPr>
          <w:p w:rsidR="00F10DB1" w:rsidRPr="00DA20F5" w:rsidRDefault="00F10DB1" w:rsidP="00D36FB8">
            <w:pPr>
              <w:ind w:right="113"/>
              <w:jc w:val="right"/>
              <w:rPr>
                <w:sz w:val="20"/>
                <w:szCs w:val="20"/>
              </w:rPr>
            </w:pPr>
            <w:r w:rsidRPr="00DA20F5">
              <w:rPr>
                <w:sz w:val="20"/>
                <w:szCs w:val="20"/>
              </w:rPr>
              <w:t>783</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1. Mzdy</w:t>
            </w:r>
          </w:p>
        </w:tc>
        <w:tc>
          <w:tcPr>
            <w:tcW w:w="1038" w:type="dxa"/>
            <w:noWrap/>
            <w:vAlign w:val="center"/>
          </w:tcPr>
          <w:p w:rsidR="00F10DB1" w:rsidRPr="00DA20F5" w:rsidRDefault="00F10DB1" w:rsidP="00D36FB8">
            <w:pPr>
              <w:ind w:right="113"/>
              <w:jc w:val="right"/>
              <w:rPr>
                <w:sz w:val="20"/>
                <w:szCs w:val="20"/>
              </w:rPr>
            </w:pPr>
            <w:r w:rsidRPr="00DA20F5">
              <w:rPr>
                <w:sz w:val="20"/>
                <w:szCs w:val="20"/>
              </w:rPr>
              <w:t>958</w:t>
            </w:r>
          </w:p>
        </w:tc>
        <w:tc>
          <w:tcPr>
            <w:tcW w:w="904" w:type="dxa"/>
            <w:noWrap/>
            <w:vAlign w:val="center"/>
          </w:tcPr>
          <w:p w:rsidR="00F10DB1" w:rsidRPr="00DA20F5" w:rsidRDefault="00F10DB1" w:rsidP="00D36FB8">
            <w:pPr>
              <w:ind w:right="113"/>
              <w:jc w:val="right"/>
              <w:rPr>
                <w:sz w:val="20"/>
                <w:szCs w:val="20"/>
              </w:rPr>
            </w:pPr>
            <w:r w:rsidRPr="00DA20F5">
              <w:rPr>
                <w:sz w:val="20"/>
                <w:szCs w:val="20"/>
              </w:rPr>
              <w:t>677</w:t>
            </w:r>
          </w:p>
        </w:tc>
        <w:tc>
          <w:tcPr>
            <w:tcW w:w="770" w:type="dxa"/>
            <w:noWrap/>
            <w:vAlign w:val="center"/>
          </w:tcPr>
          <w:p w:rsidR="00F10DB1" w:rsidRPr="00DA20F5" w:rsidRDefault="00F10DB1" w:rsidP="00D36FB8">
            <w:pPr>
              <w:ind w:right="113"/>
              <w:jc w:val="right"/>
              <w:rPr>
                <w:sz w:val="20"/>
                <w:szCs w:val="20"/>
              </w:rPr>
            </w:pPr>
            <w:r w:rsidRPr="00DA20F5">
              <w:rPr>
                <w:sz w:val="20"/>
                <w:szCs w:val="20"/>
              </w:rPr>
              <w:t>625</w:t>
            </w:r>
          </w:p>
        </w:tc>
        <w:tc>
          <w:tcPr>
            <w:tcW w:w="709" w:type="dxa"/>
            <w:noWrap/>
            <w:vAlign w:val="center"/>
          </w:tcPr>
          <w:p w:rsidR="00F10DB1" w:rsidRPr="00DA20F5" w:rsidRDefault="00F10DB1" w:rsidP="00D36FB8">
            <w:pPr>
              <w:ind w:right="113"/>
              <w:jc w:val="right"/>
              <w:rPr>
                <w:sz w:val="20"/>
                <w:szCs w:val="20"/>
              </w:rPr>
            </w:pPr>
            <w:r w:rsidRPr="00DA20F5">
              <w:rPr>
                <w:sz w:val="20"/>
                <w:szCs w:val="20"/>
              </w:rPr>
              <w:t>623</w:t>
            </w:r>
          </w:p>
        </w:tc>
        <w:tc>
          <w:tcPr>
            <w:tcW w:w="709" w:type="dxa"/>
            <w:noWrap/>
            <w:vAlign w:val="center"/>
          </w:tcPr>
          <w:p w:rsidR="00F10DB1" w:rsidRPr="00DA20F5" w:rsidRDefault="00F10DB1" w:rsidP="00D36FB8">
            <w:pPr>
              <w:ind w:right="113"/>
              <w:jc w:val="right"/>
              <w:rPr>
                <w:sz w:val="20"/>
                <w:szCs w:val="20"/>
              </w:rPr>
            </w:pPr>
            <w:r w:rsidRPr="00DA20F5">
              <w:rPr>
                <w:sz w:val="20"/>
                <w:szCs w:val="20"/>
              </w:rPr>
              <w:t>647</w:t>
            </w:r>
          </w:p>
        </w:tc>
        <w:tc>
          <w:tcPr>
            <w:tcW w:w="709" w:type="dxa"/>
            <w:noWrap/>
            <w:vAlign w:val="center"/>
          </w:tcPr>
          <w:p w:rsidR="00F10DB1" w:rsidRPr="00DA20F5" w:rsidRDefault="00F10DB1" w:rsidP="00D36FB8">
            <w:pPr>
              <w:ind w:right="113"/>
              <w:jc w:val="right"/>
              <w:rPr>
                <w:sz w:val="20"/>
                <w:szCs w:val="20"/>
              </w:rPr>
            </w:pPr>
            <w:r w:rsidRPr="00DA20F5">
              <w:rPr>
                <w:sz w:val="20"/>
                <w:szCs w:val="20"/>
              </w:rPr>
              <w:t>607</w:t>
            </w:r>
          </w:p>
        </w:tc>
        <w:tc>
          <w:tcPr>
            <w:tcW w:w="708" w:type="dxa"/>
            <w:noWrap/>
            <w:vAlign w:val="center"/>
          </w:tcPr>
          <w:p w:rsidR="00F10DB1" w:rsidRPr="00DA20F5" w:rsidRDefault="00F10DB1" w:rsidP="00D36FB8">
            <w:pPr>
              <w:ind w:right="113"/>
              <w:jc w:val="right"/>
              <w:rPr>
                <w:sz w:val="20"/>
                <w:szCs w:val="20"/>
              </w:rPr>
            </w:pPr>
            <w:r w:rsidRPr="00DA20F5">
              <w:rPr>
                <w:sz w:val="20"/>
                <w:szCs w:val="20"/>
              </w:rPr>
              <w:t>540</w:t>
            </w:r>
          </w:p>
        </w:tc>
        <w:tc>
          <w:tcPr>
            <w:tcW w:w="842" w:type="dxa"/>
            <w:noWrap/>
            <w:vAlign w:val="center"/>
          </w:tcPr>
          <w:p w:rsidR="00F10DB1" w:rsidRPr="00DA20F5" w:rsidRDefault="00F10DB1" w:rsidP="00D36FB8">
            <w:pPr>
              <w:ind w:right="113"/>
              <w:jc w:val="right"/>
              <w:rPr>
                <w:sz w:val="20"/>
                <w:szCs w:val="20"/>
              </w:rPr>
            </w:pPr>
            <w:r w:rsidRPr="00DA20F5">
              <w:rPr>
                <w:sz w:val="20"/>
                <w:szCs w:val="20"/>
              </w:rPr>
              <w:t>682</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2. Náhrady mzdy</w:t>
            </w:r>
          </w:p>
        </w:tc>
        <w:tc>
          <w:tcPr>
            <w:tcW w:w="1038" w:type="dxa"/>
            <w:noWrap/>
            <w:vAlign w:val="center"/>
          </w:tcPr>
          <w:p w:rsidR="00F10DB1" w:rsidRPr="00DA20F5" w:rsidRDefault="00F10DB1" w:rsidP="00D36FB8">
            <w:pPr>
              <w:ind w:right="113"/>
              <w:jc w:val="right"/>
              <w:rPr>
                <w:sz w:val="20"/>
                <w:szCs w:val="20"/>
              </w:rPr>
            </w:pPr>
            <w:r w:rsidRPr="00DA20F5">
              <w:rPr>
                <w:sz w:val="20"/>
                <w:szCs w:val="20"/>
              </w:rPr>
              <w:t>115</w:t>
            </w:r>
          </w:p>
        </w:tc>
        <w:tc>
          <w:tcPr>
            <w:tcW w:w="904" w:type="dxa"/>
            <w:noWrap/>
            <w:vAlign w:val="center"/>
          </w:tcPr>
          <w:p w:rsidR="00F10DB1" w:rsidRPr="00DA20F5" w:rsidRDefault="00F10DB1" w:rsidP="00D36FB8">
            <w:pPr>
              <w:ind w:right="113"/>
              <w:jc w:val="right"/>
              <w:rPr>
                <w:sz w:val="20"/>
                <w:szCs w:val="20"/>
              </w:rPr>
            </w:pPr>
            <w:r w:rsidRPr="00DA20F5">
              <w:rPr>
                <w:sz w:val="20"/>
                <w:szCs w:val="20"/>
              </w:rPr>
              <w:t>87</w:t>
            </w:r>
          </w:p>
        </w:tc>
        <w:tc>
          <w:tcPr>
            <w:tcW w:w="770" w:type="dxa"/>
            <w:noWrap/>
            <w:vAlign w:val="center"/>
          </w:tcPr>
          <w:p w:rsidR="00F10DB1" w:rsidRPr="00DA20F5" w:rsidRDefault="00F10DB1" w:rsidP="00D36FB8">
            <w:pPr>
              <w:ind w:right="113"/>
              <w:jc w:val="right"/>
              <w:rPr>
                <w:sz w:val="20"/>
                <w:szCs w:val="20"/>
              </w:rPr>
            </w:pPr>
            <w:r w:rsidRPr="00DA20F5">
              <w:rPr>
                <w:sz w:val="20"/>
                <w:szCs w:val="20"/>
              </w:rPr>
              <w:t>85</w:t>
            </w:r>
          </w:p>
        </w:tc>
        <w:tc>
          <w:tcPr>
            <w:tcW w:w="709" w:type="dxa"/>
            <w:noWrap/>
            <w:vAlign w:val="center"/>
          </w:tcPr>
          <w:p w:rsidR="00F10DB1" w:rsidRPr="00DA20F5" w:rsidRDefault="00F10DB1" w:rsidP="00D36FB8">
            <w:pPr>
              <w:ind w:right="113"/>
              <w:jc w:val="right"/>
              <w:rPr>
                <w:sz w:val="20"/>
                <w:szCs w:val="20"/>
              </w:rPr>
            </w:pPr>
            <w:r w:rsidRPr="00DA20F5">
              <w:rPr>
                <w:sz w:val="20"/>
                <w:szCs w:val="20"/>
              </w:rPr>
              <w:t>80</w:t>
            </w:r>
          </w:p>
        </w:tc>
        <w:tc>
          <w:tcPr>
            <w:tcW w:w="709" w:type="dxa"/>
            <w:noWrap/>
            <w:vAlign w:val="center"/>
          </w:tcPr>
          <w:p w:rsidR="00F10DB1" w:rsidRPr="00DA20F5" w:rsidRDefault="00F10DB1" w:rsidP="00D36FB8">
            <w:pPr>
              <w:ind w:right="113"/>
              <w:jc w:val="right"/>
              <w:rPr>
                <w:sz w:val="20"/>
                <w:szCs w:val="20"/>
              </w:rPr>
            </w:pPr>
            <w:r w:rsidRPr="00DA20F5">
              <w:rPr>
                <w:sz w:val="20"/>
                <w:szCs w:val="20"/>
              </w:rPr>
              <w:t>87</w:t>
            </w:r>
          </w:p>
        </w:tc>
        <w:tc>
          <w:tcPr>
            <w:tcW w:w="709" w:type="dxa"/>
            <w:noWrap/>
            <w:vAlign w:val="center"/>
          </w:tcPr>
          <w:p w:rsidR="00F10DB1" w:rsidRPr="00DA20F5" w:rsidRDefault="00F10DB1" w:rsidP="00D36FB8">
            <w:pPr>
              <w:ind w:right="113"/>
              <w:jc w:val="right"/>
              <w:rPr>
                <w:sz w:val="20"/>
                <w:szCs w:val="20"/>
              </w:rPr>
            </w:pPr>
            <w:r w:rsidRPr="00DA20F5">
              <w:rPr>
                <w:sz w:val="20"/>
                <w:szCs w:val="20"/>
              </w:rPr>
              <w:t>52</w:t>
            </w:r>
          </w:p>
        </w:tc>
        <w:tc>
          <w:tcPr>
            <w:tcW w:w="708" w:type="dxa"/>
            <w:noWrap/>
            <w:vAlign w:val="center"/>
          </w:tcPr>
          <w:p w:rsidR="00F10DB1" w:rsidRPr="00DA20F5" w:rsidRDefault="00F10DB1" w:rsidP="00D36FB8">
            <w:pPr>
              <w:ind w:right="113"/>
              <w:jc w:val="right"/>
              <w:rPr>
                <w:sz w:val="20"/>
                <w:szCs w:val="20"/>
              </w:rPr>
            </w:pPr>
            <w:r w:rsidRPr="00DA20F5">
              <w:rPr>
                <w:sz w:val="20"/>
                <w:szCs w:val="20"/>
              </w:rPr>
              <w:t>76</w:t>
            </w:r>
          </w:p>
        </w:tc>
        <w:tc>
          <w:tcPr>
            <w:tcW w:w="842" w:type="dxa"/>
            <w:noWrap/>
            <w:vAlign w:val="center"/>
          </w:tcPr>
          <w:p w:rsidR="00F10DB1" w:rsidRPr="00DA20F5" w:rsidRDefault="00F10DB1" w:rsidP="00D36FB8">
            <w:pPr>
              <w:ind w:right="113"/>
              <w:jc w:val="right"/>
              <w:rPr>
                <w:sz w:val="20"/>
                <w:szCs w:val="20"/>
              </w:rPr>
            </w:pPr>
            <w:r w:rsidRPr="00DA20F5">
              <w:rPr>
                <w:sz w:val="20"/>
                <w:szCs w:val="20"/>
              </w:rPr>
              <w:t>92</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3. Platby do programu sporenia</w:t>
            </w:r>
          </w:p>
        </w:tc>
        <w:tc>
          <w:tcPr>
            <w:tcW w:w="1038" w:type="dxa"/>
            <w:noWrap/>
            <w:vAlign w:val="center"/>
          </w:tcPr>
          <w:p w:rsidR="00F10DB1" w:rsidRPr="00DA20F5" w:rsidRDefault="00F10DB1" w:rsidP="00D36FB8">
            <w:pPr>
              <w:ind w:right="113"/>
              <w:jc w:val="right"/>
              <w:rPr>
                <w:sz w:val="20"/>
                <w:szCs w:val="20"/>
              </w:rPr>
            </w:pPr>
            <w:r w:rsidRPr="00DA20F5">
              <w:rPr>
                <w:sz w:val="20"/>
                <w:szCs w:val="20"/>
              </w:rPr>
              <w:t>1</w:t>
            </w:r>
          </w:p>
        </w:tc>
        <w:tc>
          <w:tcPr>
            <w:tcW w:w="904" w:type="dxa"/>
            <w:noWrap/>
            <w:vAlign w:val="center"/>
          </w:tcPr>
          <w:p w:rsidR="00F10DB1" w:rsidRPr="00DA20F5" w:rsidRDefault="00F10DB1" w:rsidP="00D36FB8">
            <w:pPr>
              <w:ind w:right="113"/>
              <w:jc w:val="right"/>
              <w:rPr>
                <w:sz w:val="20"/>
                <w:szCs w:val="20"/>
              </w:rPr>
            </w:pPr>
            <w:r w:rsidRPr="00DA20F5">
              <w:rPr>
                <w:sz w:val="20"/>
                <w:szCs w:val="20"/>
              </w:rPr>
              <w:t>0</w:t>
            </w:r>
          </w:p>
        </w:tc>
        <w:tc>
          <w:tcPr>
            <w:tcW w:w="770" w:type="dxa"/>
            <w:noWrap/>
            <w:vAlign w:val="center"/>
          </w:tcPr>
          <w:p w:rsidR="00F10DB1" w:rsidRPr="00DA20F5" w:rsidRDefault="00F10DB1" w:rsidP="00D36FB8">
            <w:pPr>
              <w:ind w:right="113"/>
              <w:jc w:val="right"/>
              <w:rPr>
                <w:sz w:val="20"/>
                <w:szCs w:val="20"/>
              </w:rPr>
            </w:pPr>
            <w:r w:rsidRPr="00DA20F5">
              <w:rPr>
                <w:sz w:val="20"/>
                <w:szCs w:val="20"/>
              </w:rPr>
              <w:t>0</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8" w:type="dxa"/>
            <w:noWrap/>
            <w:vAlign w:val="center"/>
          </w:tcPr>
          <w:p w:rsidR="00F10DB1" w:rsidRPr="00DA20F5" w:rsidRDefault="00F10DB1" w:rsidP="00D36FB8">
            <w:pPr>
              <w:ind w:right="113"/>
              <w:jc w:val="right"/>
              <w:rPr>
                <w:sz w:val="20"/>
                <w:szCs w:val="20"/>
              </w:rPr>
            </w:pPr>
            <w:r w:rsidRPr="00DA20F5">
              <w:rPr>
                <w:sz w:val="20"/>
                <w:szCs w:val="20"/>
              </w:rPr>
              <w:t>0</w:t>
            </w:r>
          </w:p>
        </w:tc>
        <w:tc>
          <w:tcPr>
            <w:tcW w:w="842" w:type="dxa"/>
            <w:noWrap/>
            <w:vAlign w:val="center"/>
          </w:tcPr>
          <w:p w:rsidR="00F10DB1" w:rsidRPr="00DA20F5" w:rsidRDefault="00F10DB1" w:rsidP="00D36FB8">
            <w:pPr>
              <w:ind w:right="113"/>
              <w:jc w:val="right"/>
              <w:rPr>
                <w:sz w:val="20"/>
                <w:szCs w:val="20"/>
              </w:rPr>
            </w:pPr>
            <w:r w:rsidRPr="00DA20F5">
              <w:rPr>
                <w:sz w:val="20"/>
                <w:szCs w:val="20"/>
              </w:rPr>
              <w:t>0</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4. Náhrady za pracovnú pohotovosť</w:t>
            </w:r>
          </w:p>
        </w:tc>
        <w:tc>
          <w:tcPr>
            <w:tcW w:w="1038" w:type="dxa"/>
            <w:noWrap/>
            <w:vAlign w:val="center"/>
          </w:tcPr>
          <w:p w:rsidR="00F10DB1" w:rsidRPr="00DA20F5" w:rsidRDefault="00F10DB1" w:rsidP="00D36FB8">
            <w:pPr>
              <w:ind w:right="113"/>
              <w:jc w:val="right"/>
              <w:rPr>
                <w:sz w:val="20"/>
                <w:szCs w:val="20"/>
              </w:rPr>
            </w:pPr>
            <w:r w:rsidRPr="00DA20F5">
              <w:rPr>
                <w:sz w:val="20"/>
                <w:szCs w:val="20"/>
              </w:rPr>
              <w:t>3</w:t>
            </w:r>
          </w:p>
        </w:tc>
        <w:tc>
          <w:tcPr>
            <w:tcW w:w="904" w:type="dxa"/>
            <w:noWrap/>
            <w:vAlign w:val="center"/>
          </w:tcPr>
          <w:p w:rsidR="00F10DB1" w:rsidRPr="00DA20F5" w:rsidRDefault="00F10DB1" w:rsidP="00D36FB8">
            <w:pPr>
              <w:ind w:right="113"/>
              <w:jc w:val="right"/>
              <w:rPr>
                <w:sz w:val="20"/>
                <w:szCs w:val="20"/>
              </w:rPr>
            </w:pPr>
            <w:r w:rsidRPr="00DA20F5">
              <w:rPr>
                <w:sz w:val="20"/>
                <w:szCs w:val="20"/>
              </w:rPr>
              <w:t>2</w:t>
            </w:r>
          </w:p>
        </w:tc>
        <w:tc>
          <w:tcPr>
            <w:tcW w:w="770" w:type="dxa"/>
            <w:noWrap/>
            <w:vAlign w:val="center"/>
          </w:tcPr>
          <w:p w:rsidR="00F10DB1" w:rsidRPr="00DA20F5" w:rsidRDefault="00F10DB1" w:rsidP="00D36FB8">
            <w:pPr>
              <w:ind w:right="113"/>
              <w:jc w:val="right"/>
              <w:rPr>
                <w:sz w:val="20"/>
                <w:szCs w:val="20"/>
              </w:rPr>
            </w:pPr>
            <w:r w:rsidRPr="00DA20F5">
              <w:rPr>
                <w:sz w:val="20"/>
                <w:szCs w:val="20"/>
              </w:rPr>
              <w:t>2</w:t>
            </w:r>
          </w:p>
        </w:tc>
        <w:tc>
          <w:tcPr>
            <w:tcW w:w="709" w:type="dxa"/>
            <w:noWrap/>
            <w:vAlign w:val="center"/>
          </w:tcPr>
          <w:p w:rsidR="00F10DB1" w:rsidRPr="00DA20F5" w:rsidRDefault="00F10DB1" w:rsidP="00D36FB8">
            <w:pPr>
              <w:ind w:right="113"/>
              <w:jc w:val="right"/>
              <w:rPr>
                <w:sz w:val="20"/>
                <w:szCs w:val="20"/>
              </w:rPr>
            </w:pPr>
            <w:r w:rsidRPr="00DA20F5">
              <w:rPr>
                <w:sz w:val="20"/>
                <w:szCs w:val="20"/>
              </w:rPr>
              <w:t>2</w:t>
            </w:r>
          </w:p>
        </w:tc>
        <w:tc>
          <w:tcPr>
            <w:tcW w:w="709" w:type="dxa"/>
            <w:noWrap/>
            <w:vAlign w:val="center"/>
          </w:tcPr>
          <w:p w:rsidR="00F10DB1" w:rsidRPr="00DA20F5" w:rsidRDefault="00F10DB1" w:rsidP="00D36FB8">
            <w:pPr>
              <w:ind w:right="113"/>
              <w:jc w:val="right"/>
              <w:rPr>
                <w:sz w:val="20"/>
                <w:szCs w:val="20"/>
              </w:rPr>
            </w:pPr>
            <w:r w:rsidRPr="00DA20F5">
              <w:rPr>
                <w:sz w:val="20"/>
                <w:szCs w:val="20"/>
              </w:rPr>
              <w:t>2</w:t>
            </w:r>
          </w:p>
        </w:tc>
        <w:tc>
          <w:tcPr>
            <w:tcW w:w="709" w:type="dxa"/>
            <w:noWrap/>
            <w:vAlign w:val="center"/>
          </w:tcPr>
          <w:p w:rsidR="00F10DB1" w:rsidRPr="00DA20F5" w:rsidRDefault="00F10DB1" w:rsidP="00D36FB8">
            <w:pPr>
              <w:ind w:right="113"/>
              <w:jc w:val="right"/>
              <w:rPr>
                <w:sz w:val="20"/>
                <w:szCs w:val="20"/>
              </w:rPr>
            </w:pPr>
            <w:r w:rsidRPr="00DA20F5">
              <w:rPr>
                <w:sz w:val="20"/>
                <w:szCs w:val="20"/>
              </w:rPr>
              <w:t>4</w:t>
            </w:r>
          </w:p>
        </w:tc>
        <w:tc>
          <w:tcPr>
            <w:tcW w:w="708" w:type="dxa"/>
            <w:noWrap/>
            <w:vAlign w:val="center"/>
          </w:tcPr>
          <w:p w:rsidR="00F10DB1" w:rsidRPr="00DA20F5" w:rsidRDefault="00F10DB1" w:rsidP="00D36FB8">
            <w:pPr>
              <w:ind w:right="113"/>
              <w:jc w:val="right"/>
              <w:rPr>
                <w:sz w:val="20"/>
                <w:szCs w:val="20"/>
              </w:rPr>
            </w:pPr>
            <w:r w:rsidRPr="00DA20F5">
              <w:rPr>
                <w:sz w:val="20"/>
                <w:szCs w:val="20"/>
              </w:rPr>
              <w:t>2</w:t>
            </w:r>
          </w:p>
        </w:tc>
        <w:tc>
          <w:tcPr>
            <w:tcW w:w="842" w:type="dxa"/>
            <w:noWrap/>
            <w:vAlign w:val="center"/>
          </w:tcPr>
          <w:p w:rsidR="00F10DB1" w:rsidRPr="00DA20F5" w:rsidRDefault="00F10DB1" w:rsidP="00D36FB8">
            <w:pPr>
              <w:ind w:right="113"/>
              <w:jc w:val="right"/>
              <w:rPr>
                <w:sz w:val="20"/>
                <w:szCs w:val="20"/>
              </w:rPr>
            </w:pPr>
            <w:r w:rsidRPr="00DA20F5">
              <w:rPr>
                <w:sz w:val="20"/>
                <w:szCs w:val="20"/>
              </w:rPr>
              <w:t>4</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5. Peňažné plnenia zo zisku po zdanení</w:t>
            </w:r>
          </w:p>
        </w:tc>
        <w:tc>
          <w:tcPr>
            <w:tcW w:w="1038" w:type="dxa"/>
            <w:noWrap/>
            <w:vAlign w:val="center"/>
          </w:tcPr>
          <w:p w:rsidR="00F10DB1" w:rsidRPr="00DA20F5" w:rsidRDefault="00F10DB1" w:rsidP="00D36FB8">
            <w:pPr>
              <w:ind w:right="113"/>
              <w:jc w:val="right"/>
              <w:rPr>
                <w:sz w:val="20"/>
                <w:szCs w:val="20"/>
              </w:rPr>
            </w:pPr>
            <w:r w:rsidRPr="00DA20F5">
              <w:rPr>
                <w:sz w:val="20"/>
                <w:szCs w:val="20"/>
              </w:rPr>
              <w:t>6</w:t>
            </w:r>
          </w:p>
        </w:tc>
        <w:tc>
          <w:tcPr>
            <w:tcW w:w="904" w:type="dxa"/>
            <w:noWrap/>
            <w:vAlign w:val="center"/>
          </w:tcPr>
          <w:p w:rsidR="00F10DB1" w:rsidRPr="00DA20F5" w:rsidRDefault="00F10DB1" w:rsidP="00D36FB8">
            <w:pPr>
              <w:ind w:right="113"/>
              <w:jc w:val="right"/>
              <w:rPr>
                <w:sz w:val="20"/>
                <w:szCs w:val="20"/>
              </w:rPr>
            </w:pPr>
            <w:r w:rsidRPr="00DA20F5">
              <w:rPr>
                <w:sz w:val="20"/>
                <w:szCs w:val="20"/>
              </w:rPr>
              <w:t>5</w:t>
            </w:r>
          </w:p>
        </w:tc>
        <w:tc>
          <w:tcPr>
            <w:tcW w:w="770" w:type="dxa"/>
            <w:noWrap/>
            <w:vAlign w:val="center"/>
          </w:tcPr>
          <w:p w:rsidR="00F10DB1" w:rsidRPr="00DA20F5" w:rsidRDefault="00F10DB1" w:rsidP="00D36FB8">
            <w:pPr>
              <w:ind w:right="113"/>
              <w:jc w:val="right"/>
              <w:rPr>
                <w:sz w:val="20"/>
                <w:szCs w:val="20"/>
              </w:rPr>
            </w:pPr>
            <w:r w:rsidRPr="00DA20F5">
              <w:rPr>
                <w:sz w:val="20"/>
                <w:szCs w:val="20"/>
              </w:rPr>
              <w:t>2</w:t>
            </w:r>
          </w:p>
        </w:tc>
        <w:tc>
          <w:tcPr>
            <w:tcW w:w="709" w:type="dxa"/>
            <w:noWrap/>
            <w:vAlign w:val="center"/>
          </w:tcPr>
          <w:p w:rsidR="00F10DB1" w:rsidRPr="00DA20F5" w:rsidRDefault="00F10DB1" w:rsidP="00D36FB8">
            <w:pPr>
              <w:ind w:right="113"/>
              <w:jc w:val="right"/>
              <w:rPr>
                <w:sz w:val="20"/>
                <w:szCs w:val="20"/>
              </w:rPr>
            </w:pPr>
            <w:r w:rsidRPr="00DA20F5">
              <w:rPr>
                <w:sz w:val="20"/>
                <w:szCs w:val="20"/>
              </w:rPr>
              <w:t>2</w:t>
            </w:r>
          </w:p>
        </w:tc>
        <w:tc>
          <w:tcPr>
            <w:tcW w:w="709" w:type="dxa"/>
            <w:noWrap/>
            <w:vAlign w:val="center"/>
          </w:tcPr>
          <w:p w:rsidR="00F10DB1" w:rsidRPr="00DA20F5" w:rsidRDefault="00F10DB1" w:rsidP="00D36FB8">
            <w:pPr>
              <w:ind w:right="113"/>
              <w:jc w:val="right"/>
              <w:rPr>
                <w:sz w:val="20"/>
                <w:szCs w:val="20"/>
              </w:rPr>
            </w:pPr>
            <w:r w:rsidRPr="00DA20F5">
              <w:rPr>
                <w:sz w:val="20"/>
                <w:szCs w:val="20"/>
              </w:rPr>
              <w:t>3</w:t>
            </w:r>
          </w:p>
        </w:tc>
        <w:tc>
          <w:tcPr>
            <w:tcW w:w="709" w:type="dxa"/>
            <w:noWrap/>
            <w:vAlign w:val="center"/>
          </w:tcPr>
          <w:p w:rsidR="00F10DB1" w:rsidRPr="00DA20F5" w:rsidRDefault="00F10DB1" w:rsidP="00D36FB8">
            <w:pPr>
              <w:ind w:right="113"/>
              <w:jc w:val="right"/>
              <w:rPr>
                <w:sz w:val="20"/>
                <w:szCs w:val="20"/>
              </w:rPr>
            </w:pPr>
            <w:r w:rsidRPr="00DA20F5">
              <w:rPr>
                <w:sz w:val="20"/>
                <w:szCs w:val="20"/>
              </w:rPr>
              <w:t>3</w:t>
            </w:r>
          </w:p>
        </w:tc>
        <w:tc>
          <w:tcPr>
            <w:tcW w:w="708" w:type="dxa"/>
            <w:noWrap/>
            <w:vAlign w:val="center"/>
          </w:tcPr>
          <w:p w:rsidR="00F10DB1" w:rsidRPr="00DA20F5" w:rsidRDefault="00F10DB1" w:rsidP="00D36FB8">
            <w:pPr>
              <w:ind w:right="113"/>
              <w:jc w:val="right"/>
              <w:rPr>
                <w:sz w:val="20"/>
                <w:szCs w:val="20"/>
              </w:rPr>
            </w:pPr>
            <w:r w:rsidRPr="00DA20F5">
              <w:rPr>
                <w:sz w:val="20"/>
                <w:szCs w:val="20"/>
              </w:rPr>
              <w:t>9</w:t>
            </w:r>
          </w:p>
        </w:tc>
        <w:tc>
          <w:tcPr>
            <w:tcW w:w="842" w:type="dxa"/>
            <w:noWrap/>
            <w:vAlign w:val="center"/>
          </w:tcPr>
          <w:p w:rsidR="00F10DB1" w:rsidRPr="00DA20F5" w:rsidRDefault="00F10DB1" w:rsidP="00D36FB8">
            <w:pPr>
              <w:ind w:right="113"/>
              <w:jc w:val="right"/>
              <w:rPr>
                <w:sz w:val="20"/>
                <w:szCs w:val="20"/>
              </w:rPr>
            </w:pPr>
            <w:r w:rsidRPr="00DA20F5">
              <w:rPr>
                <w:sz w:val="20"/>
                <w:szCs w:val="20"/>
              </w:rPr>
              <w:t>3</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6. Ostatné priame náklady zamestnancom</w:t>
            </w:r>
          </w:p>
        </w:tc>
        <w:tc>
          <w:tcPr>
            <w:tcW w:w="1038" w:type="dxa"/>
            <w:noWrap/>
            <w:vAlign w:val="center"/>
          </w:tcPr>
          <w:p w:rsidR="00F10DB1" w:rsidRPr="00DA20F5" w:rsidRDefault="00F10DB1" w:rsidP="00D36FB8">
            <w:pPr>
              <w:ind w:right="113"/>
              <w:jc w:val="right"/>
              <w:rPr>
                <w:sz w:val="20"/>
                <w:szCs w:val="20"/>
              </w:rPr>
            </w:pPr>
            <w:r w:rsidRPr="00DA20F5">
              <w:rPr>
                <w:sz w:val="20"/>
                <w:szCs w:val="20"/>
              </w:rPr>
              <w:t>7</w:t>
            </w:r>
          </w:p>
        </w:tc>
        <w:tc>
          <w:tcPr>
            <w:tcW w:w="904" w:type="dxa"/>
            <w:noWrap/>
            <w:vAlign w:val="center"/>
          </w:tcPr>
          <w:p w:rsidR="00F10DB1" w:rsidRPr="00DA20F5" w:rsidRDefault="00F10DB1" w:rsidP="00D36FB8">
            <w:pPr>
              <w:ind w:right="113"/>
              <w:jc w:val="right"/>
              <w:rPr>
                <w:sz w:val="20"/>
                <w:szCs w:val="20"/>
              </w:rPr>
            </w:pPr>
            <w:r w:rsidRPr="00DA20F5">
              <w:rPr>
                <w:sz w:val="20"/>
                <w:szCs w:val="20"/>
              </w:rPr>
              <w:t>2</w:t>
            </w:r>
          </w:p>
        </w:tc>
        <w:tc>
          <w:tcPr>
            <w:tcW w:w="770" w:type="dxa"/>
            <w:noWrap/>
            <w:vAlign w:val="center"/>
          </w:tcPr>
          <w:p w:rsidR="00F10DB1" w:rsidRPr="00DA20F5" w:rsidRDefault="00F10DB1" w:rsidP="00D36FB8">
            <w:pPr>
              <w:ind w:right="113"/>
              <w:jc w:val="right"/>
              <w:rPr>
                <w:sz w:val="20"/>
                <w:szCs w:val="20"/>
              </w:rPr>
            </w:pPr>
            <w:r w:rsidRPr="00DA20F5">
              <w:rPr>
                <w:sz w:val="20"/>
                <w:szCs w:val="20"/>
              </w:rPr>
              <w:t>1</w:t>
            </w:r>
          </w:p>
        </w:tc>
        <w:tc>
          <w:tcPr>
            <w:tcW w:w="709" w:type="dxa"/>
            <w:noWrap/>
            <w:vAlign w:val="center"/>
          </w:tcPr>
          <w:p w:rsidR="00F10DB1" w:rsidRPr="00DA20F5" w:rsidRDefault="00F10DB1" w:rsidP="00D36FB8">
            <w:pPr>
              <w:ind w:right="113"/>
              <w:jc w:val="right"/>
              <w:rPr>
                <w:sz w:val="20"/>
                <w:szCs w:val="20"/>
              </w:rPr>
            </w:pPr>
            <w:r w:rsidRPr="00DA20F5">
              <w:rPr>
                <w:sz w:val="20"/>
                <w:szCs w:val="20"/>
              </w:rPr>
              <w:t>1</w:t>
            </w:r>
          </w:p>
        </w:tc>
        <w:tc>
          <w:tcPr>
            <w:tcW w:w="709" w:type="dxa"/>
            <w:noWrap/>
            <w:vAlign w:val="center"/>
          </w:tcPr>
          <w:p w:rsidR="00F10DB1" w:rsidRPr="00DA20F5" w:rsidRDefault="00F10DB1" w:rsidP="00D36FB8">
            <w:pPr>
              <w:ind w:right="113"/>
              <w:jc w:val="right"/>
              <w:rPr>
                <w:sz w:val="20"/>
                <w:szCs w:val="20"/>
              </w:rPr>
            </w:pPr>
            <w:r w:rsidRPr="00DA20F5">
              <w:rPr>
                <w:sz w:val="20"/>
                <w:szCs w:val="20"/>
              </w:rPr>
              <w:t>3</w:t>
            </w:r>
          </w:p>
        </w:tc>
        <w:tc>
          <w:tcPr>
            <w:tcW w:w="709" w:type="dxa"/>
            <w:noWrap/>
            <w:vAlign w:val="center"/>
          </w:tcPr>
          <w:p w:rsidR="00F10DB1" w:rsidRPr="00DA20F5" w:rsidRDefault="00F10DB1" w:rsidP="00D36FB8">
            <w:pPr>
              <w:ind w:right="113"/>
              <w:jc w:val="right"/>
              <w:rPr>
                <w:sz w:val="20"/>
                <w:szCs w:val="20"/>
              </w:rPr>
            </w:pPr>
            <w:r w:rsidRPr="00DA20F5">
              <w:rPr>
                <w:sz w:val="20"/>
                <w:szCs w:val="20"/>
              </w:rPr>
              <w:t>1</w:t>
            </w:r>
          </w:p>
        </w:tc>
        <w:tc>
          <w:tcPr>
            <w:tcW w:w="708" w:type="dxa"/>
            <w:noWrap/>
            <w:vAlign w:val="center"/>
          </w:tcPr>
          <w:p w:rsidR="00F10DB1" w:rsidRPr="00DA20F5" w:rsidRDefault="00F10DB1" w:rsidP="00D36FB8">
            <w:pPr>
              <w:ind w:right="113"/>
              <w:jc w:val="right"/>
              <w:rPr>
                <w:sz w:val="20"/>
                <w:szCs w:val="20"/>
              </w:rPr>
            </w:pPr>
            <w:r w:rsidRPr="00DA20F5">
              <w:rPr>
                <w:sz w:val="20"/>
                <w:szCs w:val="20"/>
              </w:rPr>
              <w:t>1</w:t>
            </w:r>
          </w:p>
        </w:tc>
        <w:tc>
          <w:tcPr>
            <w:tcW w:w="842" w:type="dxa"/>
            <w:noWrap/>
            <w:vAlign w:val="center"/>
          </w:tcPr>
          <w:p w:rsidR="00F10DB1" w:rsidRPr="00DA20F5" w:rsidRDefault="00F10DB1" w:rsidP="00D36FB8">
            <w:pPr>
              <w:ind w:right="113"/>
              <w:jc w:val="right"/>
              <w:rPr>
                <w:sz w:val="20"/>
                <w:szCs w:val="20"/>
              </w:rPr>
            </w:pPr>
            <w:r w:rsidRPr="00DA20F5">
              <w:rPr>
                <w:sz w:val="20"/>
                <w:szCs w:val="20"/>
              </w:rPr>
              <w:t>0</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7. Odmeny učňom</w:t>
            </w:r>
          </w:p>
        </w:tc>
        <w:tc>
          <w:tcPr>
            <w:tcW w:w="1038" w:type="dxa"/>
            <w:noWrap/>
            <w:vAlign w:val="center"/>
          </w:tcPr>
          <w:p w:rsidR="00F10DB1" w:rsidRPr="00DA20F5" w:rsidRDefault="00F10DB1" w:rsidP="00D36FB8">
            <w:pPr>
              <w:ind w:right="113"/>
              <w:jc w:val="right"/>
              <w:rPr>
                <w:sz w:val="20"/>
                <w:szCs w:val="20"/>
              </w:rPr>
            </w:pPr>
            <w:r w:rsidRPr="00DA20F5">
              <w:rPr>
                <w:sz w:val="20"/>
                <w:szCs w:val="20"/>
              </w:rPr>
              <w:t>0</w:t>
            </w:r>
          </w:p>
        </w:tc>
        <w:tc>
          <w:tcPr>
            <w:tcW w:w="904" w:type="dxa"/>
            <w:noWrap/>
            <w:vAlign w:val="center"/>
          </w:tcPr>
          <w:p w:rsidR="00F10DB1" w:rsidRPr="00DA20F5" w:rsidRDefault="00F10DB1" w:rsidP="00D36FB8">
            <w:pPr>
              <w:ind w:right="113"/>
              <w:jc w:val="right"/>
              <w:rPr>
                <w:sz w:val="20"/>
                <w:szCs w:val="20"/>
              </w:rPr>
            </w:pPr>
            <w:r w:rsidRPr="00DA20F5">
              <w:rPr>
                <w:sz w:val="20"/>
                <w:szCs w:val="20"/>
              </w:rPr>
              <w:t>0</w:t>
            </w:r>
          </w:p>
        </w:tc>
        <w:tc>
          <w:tcPr>
            <w:tcW w:w="770" w:type="dxa"/>
            <w:noWrap/>
            <w:vAlign w:val="center"/>
          </w:tcPr>
          <w:p w:rsidR="00F10DB1" w:rsidRPr="00DA20F5" w:rsidRDefault="00F10DB1" w:rsidP="00D36FB8">
            <w:pPr>
              <w:ind w:right="113"/>
              <w:jc w:val="right"/>
              <w:rPr>
                <w:sz w:val="20"/>
                <w:szCs w:val="20"/>
              </w:rPr>
            </w:pPr>
            <w:r w:rsidRPr="00DA20F5">
              <w:rPr>
                <w:sz w:val="20"/>
                <w:szCs w:val="20"/>
              </w:rPr>
              <w:t>1</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8" w:type="dxa"/>
            <w:noWrap/>
            <w:vAlign w:val="center"/>
          </w:tcPr>
          <w:p w:rsidR="00F10DB1" w:rsidRPr="00DA20F5" w:rsidRDefault="00F10DB1" w:rsidP="00D36FB8">
            <w:pPr>
              <w:ind w:right="113"/>
              <w:jc w:val="right"/>
              <w:rPr>
                <w:sz w:val="20"/>
                <w:szCs w:val="20"/>
              </w:rPr>
            </w:pPr>
            <w:r w:rsidRPr="00DA20F5">
              <w:rPr>
                <w:sz w:val="20"/>
                <w:szCs w:val="20"/>
              </w:rPr>
              <w:t>0</w:t>
            </w:r>
          </w:p>
        </w:tc>
        <w:tc>
          <w:tcPr>
            <w:tcW w:w="842" w:type="dxa"/>
            <w:noWrap/>
            <w:vAlign w:val="center"/>
          </w:tcPr>
          <w:p w:rsidR="00F10DB1" w:rsidRPr="00DA20F5" w:rsidRDefault="00F10DB1" w:rsidP="00D36FB8">
            <w:pPr>
              <w:ind w:right="113"/>
              <w:jc w:val="right"/>
              <w:rPr>
                <w:sz w:val="20"/>
                <w:szCs w:val="20"/>
              </w:rPr>
            </w:pPr>
            <w:r w:rsidRPr="00DA20F5">
              <w:rPr>
                <w:sz w:val="20"/>
                <w:szCs w:val="20"/>
              </w:rPr>
              <w:t>0</w:t>
            </w:r>
          </w:p>
        </w:tc>
      </w:tr>
      <w:tr w:rsidR="001C2144" w:rsidRPr="00DA20F5" w:rsidTr="00A05573">
        <w:trPr>
          <w:trHeight w:val="285"/>
          <w:jc w:val="center"/>
        </w:trPr>
        <w:tc>
          <w:tcPr>
            <w:tcW w:w="3060" w:type="dxa"/>
            <w:noWrap/>
            <w:vAlign w:val="center"/>
          </w:tcPr>
          <w:p w:rsidR="00F10DB1" w:rsidRPr="00DA20F5" w:rsidRDefault="00F10DB1" w:rsidP="00D36FB8">
            <w:pPr>
              <w:rPr>
                <w:sz w:val="20"/>
                <w:szCs w:val="20"/>
              </w:rPr>
            </w:pPr>
            <w:r w:rsidRPr="00DA20F5">
              <w:rPr>
                <w:sz w:val="20"/>
                <w:szCs w:val="20"/>
              </w:rPr>
              <w:t>8.-15. NEPRIAME NÁKLADY</w:t>
            </w:r>
          </w:p>
        </w:tc>
        <w:tc>
          <w:tcPr>
            <w:tcW w:w="1038" w:type="dxa"/>
            <w:noWrap/>
            <w:vAlign w:val="center"/>
          </w:tcPr>
          <w:p w:rsidR="00F10DB1" w:rsidRPr="00DA20F5" w:rsidRDefault="00F10DB1" w:rsidP="00D36FB8">
            <w:pPr>
              <w:ind w:right="113"/>
              <w:jc w:val="right"/>
              <w:rPr>
                <w:sz w:val="20"/>
                <w:szCs w:val="20"/>
              </w:rPr>
            </w:pPr>
            <w:r w:rsidRPr="00DA20F5">
              <w:rPr>
                <w:sz w:val="20"/>
                <w:szCs w:val="20"/>
              </w:rPr>
              <w:t>391</w:t>
            </w:r>
          </w:p>
        </w:tc>
        <w:tc>
          <w:tcPr>
            <w:tcW w:w="904" w:type="dxa"/>
            <w:noWrap/>
            <w:vAlign w:val="center"/>
          </w:tcPr>
          <w:p w:rsidR="00F10DB1" w:rsidRPr="00DA20F5" w:rsidRDefault="00F10DB1" w:rsidP="00D36FB8">
            <w:pPr>
              <w:ind w:right="113"/>
              <w:jc w:val="right"/>
              <w:rPr>
                <w:sz w:val="20"/>
                <w:szCs w:val="20"/>
              </w:rPr>
            </w:pPr>
            <w:r w:rsidRPr="00DA20F5">
              <w:rPr>
                <w:sz w:val="20"/>
                <w:szCs w:val="20"/>
              </w:rPr>
              <w:t>288</w:t>
            </w:r>
          </w:p>
        </w:tc>
        <w:tc>
          <w:tcPr>
            <w:tcW w:w="770" w:type="dxa"/>
            <w:noWrap/>
            <w:vAlign w:val="center"/>
          </w:tcPr>
          <w:p w:rsidR="00F10DB1" w:rsidRPr="00DA20F5" w:rsidRDefault="00F10DB1" w:rsidP="00D36FB8">
            <w:pPr>
              <w:ind w:right="113"/>
              <w:jc w:val="right"/>
              <w:rPr>
                <w:sz w:val="20"/>
                <w:szCs w:val="20"/>
              </w:rPr>
            </w:pPr>
            <w:r w:rsidRPr="00DA20F5">
              <w:rPr>
                <w:sz w:val="20"/>
                <w:szCs w:val="20"/>
              </w:rPr>
              <w:t>272</w:t>
            </w:r>
          </w:p>
        </w:tc>
        <w:tc>
          <w:tcPr>
            <w:tcW w:w="709" w:type="dxa"/>
            <w:noWrap/>
            <w:vAlign w:val="center"/>
          </w:tcPr>
          <w:p w:rsidR="00F10DB1" w:rsidRPr="00DA20F5" w:rsidRDefault="00F10DB1" w:rsidP="00D36FB8">
            <w:pPr>
              <w:ind w:right="113"/>
              <w:jc w:val="right"/>
              <w:rPr>
                <w:sz w:val="20"/>
                <w:szCs w:val="20"/>
              </w:rPr>
            </w:pPr>
            <w:r w:rsidRPr="00DA20F5">
              <w:rPr>
                <w:sz w:val="20"/>
                <w:szCs w:val="20"/>
              </w:rPr>
              <w:t>262</w:t>
            </w:r>
          </w:p>
        </w:tc>
        <w:tc>
          <w:tcPr>
            <w:tcW w:w="709" w:type="dxa"/>
            <w:noWrap/>
            <w:vAlign w:val="center"/>
          </w:tcPr>
          <w:p w:rsidR="00F10DB1" w:rsidRPr="00DA20F5" w:rsidRDefault="00F10DB1" w:rsidP="00D36FB8">
            <w:pPr>
              <w:ind w:right="113"/>
              <w:jc w:val="right"/>
              <w:rPr>
                <w:sz w:val="20"/>
                <w:szCs w:val="20"/>
              </w:rPr>
            </w:pPr>
            <w:r w:rsidRPr="00DA20F5">
              <w:rPr>
                <w:sz w:val="20"/>
                <w:szCs w:val="20"/>
              </w:rPr>
              <w:t>278</w:t>
            </w:r>
          </w:p>
        </w:tc>
        <w:tc>
          <w:tcPr>
            <w:tcW w:w="709" w:type="dxa"/>
            <w:noWrap/>
            <w:vAlign w:val="center"/>
          </w:tcPr>
          <w:p w:rsidR="00F10DB1" w:rsidRPr="00DA20F5" w:rsidRDefault="00F10DB1" w:rsidP="00D36FB8">
            <w:pPr>
              <w:ind w:right="113"/>
              <w:jc w:val="right"/>
              <w:rPr>
                <w:sz w:val="20"/>
                <w:szCs w:val="20"/>
              </w:rPr>
            </w:pPr>
            <w:r w:rsidRPr="00DA20F5">
              <w:rPr>
                <w:sz w:val="20"/>
                <w:szCs w:val="20"/>
              </w:rPr>
              <w:t>270</w:t>
            </w:r>
          </w:p>
        </w:tc>
        <w:tc>
          <w:tcPr>
            <w:tcW w:w="708" w:type="dxa"/>
            <w:noWrap/>
            <w:vAlign w:val="center"/>
          </w:tcPr>
          <w:p w:rsidR="00F10DB1" w:rsidRPr="00DA20F5" w:rsidRDefault="00F10DB1" w:rsidP="00D36FB8">
            <w:pPr>
              <w:ind w:right="113"/>
              <w:jc w:val="right"/>
              <w:rPr>
                <w:sz w:val="20"/>
                <w:szCs w:val="20"/>
              </w:rPr>
            </w:pPr>
            <w:r w:rsidRPr="00DA20F5">
              <w:rPr>
                <w:sz w:val="20"/>
                <w:szCs w:val="20"/>
              </w:rPr>
              <w:t>235</w:t>
            </w:r>
          </w:p>
        </w:tc>
        <w:tc>
          <w:tcPr>
            <w:tcW w:w="842" w:type="dxa"/>
            <w:noWrap/>
            <w:vAlign w:val="center"/>
          </w:tcPr>
          <w:p w:rsidR="00F10DB1" w:rsidRPr="00DA20F5" w:rsidRDefault="00F10DB1" w:rsidP="00D36FB8">
            <w:pPr>
              <w:ind w:right="113"/>
              <w:jc w:val="right"/>
              <w:rPr>
                <w:sz w:val="20"/>
                <w:szCs w:val="20"/>
              </w:rPr>
            </w:pPr>
            <w:r w:rsidRPr="00DA20F5">
              <w:rPr>
                <w:sz w:val="20"/>
                <w:szCs w:val="20"/>
              </w:rPr>
              <w:t>296</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8. Povinné príspevky na sociálne poistenie</w:t>
            </w:r>
          </w:p>
        </w:tc>
        <w:tc>
          <w:tcPr>
            <w:tcW w:w="1038" w:type="dxa"/>
            <w:noWrap/>
            <w:vAlign w:val="center"/>
          </w:tcPr>
          <w:p w:rsidR="00F10DB1" w:rsidRPr="00DA20F5" w:rsidRDefault="00F10DB1" w:rsidP="00D36FB8">
            <w:pPr>
              <w:ind w:right="113"/>
              <w:jc w:val="right"/>
              <w:rPr>
                <w:sz w:val="20"/>
                <w:szCs w:val="20"/>
              </w:rPr>
            </w:pPr>
            <w:r w:rsidRPr="00DA20F5">
              <w:rPr>
                <w:sz w:val="20"/>
                <w:szCs w:val="20"/>
              </w:rPr>
              <w:t>333</w:t>
            </w:r>
          </w:p>
        </w:tc>
        <w:tc>
          <w:tcPr>
            <w:tcW w:w="904" w:type="dxa"/>
            <w:noWrap/>
            <w:vAlign w:val="center"/>
          </w:tcPr>
          <w:p w:rsidR="00F10DB1" w:rsidRPr="00DA20F5" w:rsidRDefault="00F10DB1" w:rsidP="00D36FB8">
            <w:pPr>
              <w:ind w:right="113"/>
              <w:jc w:val="right"/>
              <w:rPr>
                <w:sz w:val="20"/>
                <w:szCs w:val="20"/>
              </w:rPr>
            </w:pPr>
            <w:r w:rsidRPr="00DA20F5">
              <w:rPr>
                <w:sz w:val="20"/>
                <w:szCs w:val="20"/>
              </w:rPr>
              <w:t>254</w:t>
            </w:r>
          </w:p>
        </w:tc>
        <w:tc>
          <w:tcPr>
            <w:tcW w:w="770" w:type="dxa"/>
            <w:noWrap/>
            <w:vAlign w:val="center"/>
          </w:tcPr>
          <w:p w:rsidR="00F10DB1" w:rsidRPr="00DA20F5" w:rsidRDefault="00F10DB1" w:rsidP="00D36FB8">
            <w:pPr>
              <w:ind w:right="113"/>
              <w:jc w:val="right"/>
              <w:rPr>
                <w:sz w:val="20"/>
                <w:szCs w:val="20"/>
              </w:rPr>
            </w:pPr>
            <w:r w:rsidRPr="00DA20F5">
              <w:rPr>
                <w:sz w:val="20"/>
                <w:szCs w:val="20"/>
              </w:rPr>
              <w:t>238</w:t>
            </w:r>
          </w:p>
        </w:tc>
        <w:tc>
          <w:tcPr>
            <w:tcW w:w="709" w:type="dxa"/>
            <w:noWrap/>
            <w:vAlign w:val="center"/>
          </w:tcPr>
          <w:p w:rsidR="00F10DB1" w:rsidRPr="00DA20F5" w:rsidRDefault="00F10DB1" w:rsidP="00D36FB8">
            <w:pPr>
              <w:ind w:right="113"/>
              <w:jc w:val="right"/>
              <w:rPr>
                <w:sz w:val="20"/>
                <w:szCs w:val="20"/>
              </w:rPr>
            </w:pPr>
            <w:r w:rsidRPr="00DA20F5">
              <w:rPr>
                <w:sz w:val="20"/>
                <w:szCs w:val="20"/>
              </w:rPr>
              <w:t>231</w:t>
            </w:r>
          </w:p>
        </w:tc>
        <w:tc>
          <w:tcPr>
            <w:tcW w:w="709" w:type="dxa"/>
            <w:noWrap/>
            <w:vAlign w:val="center"/>
          </w:tcPr>
          <w:p w:rsidR="00F10DB1" w:rsidRPr="00DA20F5" w:rsidRDefault="00F10DB1" w:rsidP="00D36FB8">
            <w:pPr>
              <w:ind w:right="113"/>
              <w:jc w:val="right"/>
              <w:rPr>
                <w:sz w:val="20"/>
                <w:szCs w:val="20"/>
              </w:rPr>
            </w:pPr>
            <w:r w:rsidRPr="00DA20F5">
              <w:rPr>
                <w:sz w:val="20"/>
                <w:szCs w:val="20"/>
              </w:rPr>
              <w:t>246</w:t>
            </w:r>
          </w:p>
        </w:tc>
        <w:tc>
          <w:tcPr>
            <w:tcW w:w="709" w:type="dxa"/>
            <w:noWrap/>
            <w:vAlign w:val="center"/>
          </w:tcPr>
          <w:p w:rsidR="00F10DB1" w:rsidRPr="00DA20F5" w:rsidRDefault="00F10DB1" w:rsidP="00D36FB8">
            <w:pPr>
              <w:ind w:right="113"/>
              <w:jc w:val="right"/>
              <w:rPr>
                <w:sz w:val="20"/>
                <w:szCs w:val="20"/>
              </w:rPr>
            </w:pPr>
            <w:r w:rsidRPr="00DA20F5">
              <w:rPr>
                <w:sz w:val="20"/>
                <w:szCs w:val="20"/>
              </w:rPr>
              <w:t>231</w:t>
            </w:r>
          </w:p>
        </w:tc>
        <w:tc>
          <w:tcPr>
            <w:tcW w:w="708" w:type="dxa"/>
            <w:noWrap/>
            <w:vAlign w:val="center"/>
          </w:tcPr>
          <w:p w:rsidR="00F10DB1" w:rsidRPr="00DA20F5" w:rsidRDefault="00F10DB1" w:rsidP="00D36FB8">
            <w:pPr>
              <w:ind w:right="113"/>
              <w:jc w:val="right"/>
              <w:rPr>
                <w:sz w:val="20"/>
                <w:szCs w:val="20"/>
              </w:rPr>
            </w:pPr>
            <w:r w:rsidRPr="00DA20F5">
              <w:rPr>
                <w:sz w:val="20"/>
                <w:szCs w:val="20"/>
              </w:rPr>
              <w:t>205</w:t>
            </w:r>
          </w:p>
        </w:tc>
        <w:tc>
          <w:tcPr>
            <w:tcW w:w="842" w:type="dxa"/>
            <w:noWrap/>
            <w:vAlign w:val="center"/>
          </w:tcPr>
          <w:p w:rsidR="00F10DB1" w:rsidRPr="00DA20F5" w:rsidRDefault="00F10DB1" w:rsidP="00D36FB8">
            <w:pPr>
              <w:ind w:right="113"/>
              <w:jc w:val="right"/>
              <w:rPr>
                <w:sz w:val="20"/>
                <w:szCs w:val="20"/>
              </w:rPr>
            </w:pPr>
            <w:r w:rsidRPr="00DA20F5">
              <w:rPr>
                <w:sz w:val="20"/>
                <w:szCs w:val="20"/>
              </w:rPr>
              <w:t>257</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9. Nepovinné príspevky na sociálne poistenie</w:t>
            </w:r>
          </w:p>
        </w:tc>
        <w:tc>
          <w:tcPr>
            <w:tcW w:w="1038" w:type="dxa"/>
            <w:noWrap/>
            <w:vAlign w:val="center"/>
          </w:tcPr>
          <w:p w:rsidR="00F10DB1" w:rsidRPr="00DA20F5" w:rsidRDefault="00F10DB1" w:rsidP="00D36FB8">
            <w:pPr>
              <w:ind w:right="113"/>
              <w:jc w:val="right"/>
              <w:rPr>
                <w:sz w:val="20"/>
                <w:szCs w:val="20"/>
              </w:rPr>
            </w:pPr>
            <w:r w:rsidRPr="00DA20F5">
              <w:rPr>
                <w:sz w:val="20"/>
                <w:szCs w:val="20"/>
              </w:rPr>
              <w:t>9</w:t>
            </w:r>
          </w:p>
        </w:tc>
        <w:tc>
          <w:tcPr>
            <w:tcW w:w="904" w:type="dxa"/>
            <w:noWrap/>
            <w:vAlign w:val="center"/>
          </w:tcPr>
          <w:p w:rsidR="00F10DB1" w:rsidRPr="00DA20F5" w:rsidRDefault="00F10DB1" w:rsidP="00D36FB8">
            <w:pPr>
              <w:ind w:right="113"/>
              <w:jc w:val="right"/>
              <w:rPr>
                <w:sz w:val="20"/>
                <w:szCs w:val="20"/>
              </w:rPr>
            </w:pPr>
            <w:r w:rsidRPr="00DA20F5">
              <w:rPr>
                <w:sz w:val="20"/>
                <w:szCs w:val="20"/>
              </w:rPr>
              <w:t>6</w:t>
            </w:r>
          </w:p>
        </w:tc>
        <w:tc>
          <w:tcPr>
            <w:tcW w:w="770" w:type="dxa"/>
            <w:noWrap/>
            <w:vAlign w:val="center"/>
          </w:tcPr>
          <w:p w:rsidR="00F10DB1" w:rsidRPr="00DA20F5" w:rsidRDefault="00F10DB1" w:rsidP="00D36FB8">
            <w:pPr>
              <w:ind w:right="113"/>
              <w:jc w:val="right"/>
              <w:rPr>
                <w:sz w:val="20"/>
                <w:szCs w:val="20"/>
              </w:rPr>
            </w:pPr>
            <w:r w:rsidRPr="00DA20F5">
              <w:rPr>
                <w:sz w:val="20"/>
                <w:szCs w:val="20"/>
              </w:rPr>
              <w:t>5</w:t>
            </w:r>
          </w:p>
        </w:tc>
        <w:tc>
          <w:tcPr>
            <w:tcW w:w="709" w:type="dxa"/>
            <w:noWrap/>
            <w:vAlign w:val="center"/>
          </w:tcPr>
          <w:p w:rsidR="00F10DB1" w:rsidRPr="00DA20F5" w:rsidRDefault="00F10DB1" w:rsidP="00D36FB8">
            <w:pPr>
              <w:ind w:right="113"/>
              <w:jc w:val="right"/>
              <w:rPr>
                <w:sz w:val="20"/>
                <w:szCs w:val="20"/>
              </w:rPr>
            </w:pPr>
            <w:r w:rsidRPr="00DA20F5">
              <w:rPr>
                <w:sz w:val="20"/>
                <w:szCs w:val="20"/>
              </w:rPr>
              <w:t>4</w:t>
            </w:r>
          </w:p>
        </w:tc>
        <w:tc>
          <w:tcPr>
            <w:tcW w:w="709" w:type="dxa"/>
            <w:noWrap/>
            <w:vAlign w:val="center"/>
          </w:tcPr>
          <w:p w:rsidR="00F10DB1" w:rsidRPr="00DA20F5" w:rsidRDefault="00F10DB1" w:rsidP="00D36FB8">
            <w:pPr>
              <w:ind w:right="113"/>
              <w:jc w:val="right"/>
              <w:rPr>
                <w:sz w:val="20"/>
                <w:szCs w:val="20"/>
              </w:rPr>
            </w:pPr>
            <w:r w:rsidRPr="00DA20F5">
              <w:rPr>
                <w:sz w:val="20"/>
                <w:szCs w:val="20"/>
              </w:rPr>
              <w:t>6</w:t>
            </w:r>
          </w:p>
        </w:tc>
        <w:tc>
          <w:tcPr>
            <w:tcW w:w="709" w:type="dxa"/>
            <w:noWrap/>
            <w:vAlign w:val="center"/>
          </w:tcPr>
          <w:p w:rsidR="00F10DB1" w:rsidRPr="00DA20F5" w:rsidRDefault="00F10DB1" w:rsidP="00D36FB8">
            <w:pPr>
              <w:ind w:right="113"/>
              <w:jc w:val="right"/>
              <w:rPr>
                <w:sz w:val="20"/>
                <w:szCs w:val="20"/>
              </w:rPr>
            </w:pPr>
            <w:r w:rsidRPr="00DA20F5">
              <w:rPr>
                <w:sz w:val="20"/>
                <w:szCs w:val="20"/>
              </w:rPr>
              <w:t>5</w:t>
            </w:r>
          </w:p>
        </w:tc>
        <w:tc>
          <w:tcPr>
            <w:tcW w:w="708" w:type="dxa"/>
            <w:noWrap/>
            <w:vAlign w:val="center"/>
          </w:tcPr>
          <w:p w:rsidR="00F10DB1" w:rsidRPr="00DA20F5" w:rsidRDefault="00F10DB1" w:rsidP="00D36FB8">
            <w:pPr>
              <w:ind w:right="113"/>
              <w:jc w:val="right"/>
              <w:rPr>
                <w:sz w:val="20"/>
                <w:szCs w:val="20"/>
              </w:rPr>
            </w:pPr>
            <w:r w:rsidRPr="00DA20F5">
              <w:rPr>
                <w:sz w:val="20"/>
                <w:szCs w:val="20"/>
              </w:rPr>
              <w:t>4</w:t>
            </w:r>
          </w:p>
        </w:tc>
        <w:tc>
          <w:tcPr>
            <w:tcW w:w="842" w:type="dxa"/>
            <w:noWrap/>
            <w:vAlign w:val="center"/>
          </w:tcPr>
          <w:p w:rsidR="00F10DB1" w:rsidRPr="00DA20F5" w:rsidRDefault="00F10DB1" w:rsidP="00D36FB8">
            <w:pPr>
              <w:ind w:right="113"/>
              <w:jc w:val="right"/>
              <w:rPr>
                <w:sz w:val="20"/>
                <w:szCs w:val="20"/>
              </w:rPr>
            </w:pPr>
            <w:r w:rsidRPr="00DA20F5">
              <w:rPr>
                <w:sz w:val="20"/>
                <w:szCs w:val="20"/>
              </w:rPr>
              <w:t>7</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10. Sociálne dávky</w:t>
            </w:r>
          </w:p>
        </w:tc>
        <w:tc>
          <w:tcPr>
            <w:tcW w:w="1038" w:type="dxa"/>
            <w:noWrap/>
            <w:vAlign w:val="center"/>
          </w:tcPr>
          <w:p w:rsidR="00F10DB1" w:rsidRPr="00DA20F5" w:rsidRDefault="00F10DB1" w:rsidP="00D36FB8">
            <w:pPr>
              <w:ind w:right="113"/>
              <w:jc w:val="right"/>
              <w:rPr>
                <w:sz w:val="20"/>
                <w:szCs w:val="20"/>
              </w:rPr>
            </w:pPr>
            <w:r w:rsidRPr="00DA20F5">
              <w:rPr>
                <w:sz w:val="20"/>
                <w:szCs w:val="20"/>
              </w:rPr>
              <w:t>14</w:t>
            </w:r>
          </w:p>
        </w:tc>
        <w:tc>
          <w:tcPr>
            <w:tcW w:w="904" w:type="dxa"/>
            <w:noWrap/>
            <w:vAlign w:val="center"/>
          </w:tcPr>
          <w:p w:rsidR="00F10DB1" w:rsidRPr="00DA20F5" w:rsidRDefault="00F10DB1" w:rsidP="00D36FB8">
            <w:pPr>
              <w:ind w:right="113"/>
              <w:jc w:val="right"/>
              <w:rPr>
                <w:sz w:val="20"/>
                <w:szCs w:val="20"/>
              </w:rPr>
            </w:pPr>
            <w:r w:rsidRPr="00DA20F5">
              <w:rPr>
                <w:sz w:val="20"/>
                <w:szCs w:val="20"/>
              </w:rPr>
              <w:t>9</w:t>
            </w:r>
          </w:p>
        </w:tc>
        <w:tc>
          <w:tcPr>
            <w:tcW w:w="770" w:type="dxa"/>
            <w:noWrap/>
            <w:vAlign w:val="center"/>
          </w:tcPr>
          <w:p w:rsidR="00F10DB1" w:rsidRPr="00DA20F5" w:rsidRDefault="00F10DB1" w:rsidP="00D36FB8">
            <w:pPr>
              <w:ind w:right="113"/>
              <w:jc w:val="right"/>
              <w:rPr>
                <w:sz w:val="20"/>
                <w:szCs w:val="20"/>
              </w:rPr>
            </w:pPr>
            <w:r w:rsidRPr="00DA20F5">
              <w:rPr>
                <w:sz w:val="20"/>
                <w:szCs w:val="20"/>
              </w:rPr>
              <w:t>12</w:t>
            </w:r>
          </w:p>
        </w:tc>
        <w:tc>
          <w:tcPr>
            <w:tcW w:w="709" w:type="dxa"/>
            <w:noWrap/>
            <w:vAlign w:val="center"/>
          </w:tcPr>
          <w:p w:rsidR="00F10DB1" w:rsidRPr="00DA20F5" w:rsidRDefault="00F10DB1" w:rsidP="00D36FB8">
            <w:pPr>
              <w:ind w:right="113"/>
              <w:jc w:val="right"/>
              <w:rPr>
                <w:sz w:val="20"/>
                <w:szCs w:val="20"/>
              </w:rPr>
            </w:pPr>
            <w:r w:rsidRPr="00DA20F5">
              <w:rPr>
                <w:sz w:val="20"/>
                <w:szCs w:val="20"/>
              </w:rPr>
              <w:t>11</w:t>
            </w:r>
          </w:p>
        </w:tc>
        <w:tc>
          <w:tcPr>
            <w:tcW w:w="709" w:type="dxa"/>
            <w:noWrap/>
            <w:vAlign w:val="center"/>
          </w:tcPr>
          <w:p w:rsidR="00F10DB1" w:rsidRPr="00DA20F5" w:rsidRDefault="00F10DB1" w:rsidP="00D36FB8">
            <w:pPr>
              <w:ind w:right="113"/>
              <w:jc w:val="right"/>
              <w:rPr>
                <w:sz w:val="20"/>
                <w:szCs w:val="20"/>
              </w:rPr>
            </w:pPr>
            <w:r w:rsidRPr="00DA20F5">
              <w:rPr>
                <w:sz w:val="20"/>
                <w:szCs w:val="20"/>
              </w:rPr>
              <w:t>9</w:t>
            </w:r>
          </w:p>
        </w:tc>
        <w:tc>
          <w:tcPr>
            <w:tcW w:w="709" w:type="dxa"/>
            <w:noWrap/>
            <w:vAlign w:val="center"/>
          </w:tcPr>
          <w:p w:rsidR="00F10DB1" w:rsidRPr="00DA20F5" w:rsidRDefault="00F10DB1" w:rsidP="00D36FB8">
            <w:pPr>
              <w:ind w:right="113"/>
              <w:jc w:val="right"/>
              <w:rPr>
                <w:sz w:val="20"/>
                <w:szCs w:val="20"/>
              </w:rPr>
            </w:pPr>
            <w:r w:rsidRPr="00DA20F5">
              <w:rPr>
                <w:sz w:val="20"/>
                <w:szCs w:val="20"/>
              </w:rPr>
              <w:t>9</w:t>
            </w:r>
          </w:p>
        </w:tc>
        <w:tc>
          <w:tcPr>
            <w:tcW w:w="708" w:type="dxa"/>
            <w:noWrap/>
            <w:vAlign w:val="center"/>
          </w:tcPr>
          <w:p w:rsidR="00F10DB1" w:rsidRPr="00DA20F5" w:rsidRDefault="00F10DB1" w:rsidP="00D36FB8">
            <w:pPr>
              <w:ind w:right="113"/>
              <w:jc w:val="right"/>
              <w:rPr>
                <w:sz w:val="20"/>
                <w:szCs w:val="20"/>
              </w:rPr>
            </w:pPr>
            <w:r w:rsidRPr="00DA20F5">
              <w:rPr>
                <w:sz w:val="20"/>
                <w:szCs w:val="20"/>
              </w:rPr>
              <w:t>10</w:t>
            </w:r>
          </w:p>
        </w:tc>
        <w:tc>
          <w:tcPr>
            <w:tcW w:w="842" w:type="dxa"/>
            <w:noWrap/>
            <w:vAlign w:val="center"/>
          </w:tcPr>
          <w:p w:rsidR="00F10DB1" w:rsidRPr="00DA20F5" w:rsidRDefault="00F10DB1" w:rsidP="00D36FB8">
            <w:pPr>
              <w:ind w:right="113"/>
              <w:jc w:val="right"/>
              <w:rPr>
                <w:sz w:val="20"/>
                <w:szCs w:val="20"/>
              </w:rPr>
            </w:pPr>
            <w:r w:rsidRPr="00DA20F5">
              <w:rPr>
                <w:sz w:val="20"/>
                <w:szCs w:val="20"/>
              </w:rPr>
              <w:t>9</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11. Príspevky na sociálne poistenie učňov</w:t>
            </w:r>
          </w:p>
        </w:tc>
        <w:tc>
          <w:tcPr>
            <w:tcW w:w="1038" w:type="dxa"/>
            <w:noWrap/>
            <w:vAlign w:val="center"/>
          </w:tcPr>
          <w:p w:rsidR="00F10DB1" w:rsidRPr="00DA20F5" w:rsidRDefault="00F10DB1" w:rsidP="00D36FB8">
            <w:pPr>
              <w:ind w:right="113"/>
              <w:jc w:val="right"/>
              <w:rPr>
                <w:sz w:val="20"/>
                <w:szCs w:val="20"/>
              </w:rPr>
            </w:pPr>
            <w:r w:rsidRPr="00DA20F5">
              <w:rPr>
                <w:sz w:val="20"/>
                <w:szCs w:val="20"/>
              </w:rPr>
              <w:t>0</w:t>
            </w:r>
          </w:p>
        </w:tc>
        <w:tc>
          <w:tcPr>
            <w:tcW w:w="904" w:type="dxa"/>
            <w:noWrap/>
            <w:vAlign w:val="center"/>
          </w:tcPr>
          <w:p w:rsidR="00F10DB1" w:rsidRPr="00DA20F5" w:rsidRDefault="00F10DB1" w:rsidP="00D36FB8">
            <w:pPr>
              <w:ind w:right="113"/>
              <w:jc w:val="right"/>
              <w:rPr>
                <w:sz w:val="20"/>
                <w:szCs w:val="20"/>
              </w:rPr>
            </w:pPr>
            <w:r w:rsidRPr="00DA20F5">
              <w:rPr>
                <w:sz w:val="20"/>
                <w:szCs w:val="20"/>
              </w:rPr>
              <w:t>0</w:t>
            </w:r>
          </w:p>
        </w:tc>
        <w:tc>
          <w:tcPr>
            <w:tcW w:w="770" w:type="dxa"/>
            <w:noWrap/>
            <w:vAlign w:val="center"/>
          </w:tcPr>
          <w:p w:rsidR="00F10DB1" w:rsidRPr="00DA20F5" w:rsidRDefault="00F10DB1" w:rsidP="00D36FB8">
            <w:pPr>
              <w:ind w:right="113"/>
              <w:jc w:val="right"/>
              <w:rPr>
                <w:sz w:val="20"/>
                <w:szCs w:val="20"/>
              </w:rPr>
            </w:pPr>
            <w:r w:rsidRPr="00DA20F5">
              <w:rPr>
                <w:sz w:val="20"/>
                <w:szCs w:val="20"/>
              </w:rPr>
              <w:t>-</w:t>
            </w:r>
          </w:p>
        </w:tc>
        <w:tc>
          <w:tcPr>
            <w:tcW w:w="709" w:type="dxa"/>
            <w:noWrap/>
            <w:vAlign w:val="center"/>
          </w:tcPr>
          <w:p w:rsidR="00F10DB1" w:rsidRPr="00DA20F5" w:rsidRDefault="00F10DB1" w:rsidP="00D36FB8">
            <w:pPr>
              <w:ind w:right="113"/>
              <w:jc w:val="right"/>
              <w:rPr>
                <w:sz w:val="20"/>
                <w:szCs w:val="20"/>
              </w:rPr>
            </w:pPr>
            <w:r w:rsidRPr="00DA20F5">
              <w:rPr>
                <w:sz w:val="20"/>
                <w:szCs w:val="20"/>
              </w:rPr>
              <w:t>-</w:t>
            </w:r>
          </w:p>
        </w:tc>
        <w:tc>
          <w:tcPr>
            <w:tcW w:w="709" w:type="dxa"/>
            <w:noWrap/>
            <w:vAlign w:val="center"/>
          </w:tcPr>
          <w:p w:rsidR="00F10DB1" w:rsidRPr="00DA20F5" w:rsidRDefault="00F10DB1" w:rsidP="00D36FB8">
            <w:pPr>
              <w:ind w:right="113"/>
              <w:jc w:val="right"/>
              <w:rPr>
                <w:sz w:val="20"/>
                <w:szCs w:val="20"/>
              </w:rPr>
            </w:pPr>
            <w:r w:rsidRPr="00DA20F5">
              <w:rPr>
                <w:sz w:val="20"/>
                <w:szCs w:val="20"/>
              </w:rPr>
              <w:t>-</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8" w:type="dxa"/>
            <w:noWrap/>
            <w:vAlign w:val="center"/>
          </w:tcPr>
          <w:p w:rsidR="00F10DB1" w:rsidRPr="00DA20F5" w:rsidRDefault="00F10DB1" w:rsidP="00D36FB8">
            <w:pPr>
              <w:ind w:right="113"/>
              <w:jc w:val="right"/>
              <w:rPr>
                <w:sz w:val="20"/>
                <w:szCs w:val="20"/>
              </w:rPr>
            </w:pPr>
            <w:r w:rsidRPr="00DA20F5">
              <w:rPr>
                <w:sz w:val="20"/>
                <w:szCs w:val="20"/>
              </w:rPr>
              <w:t>-</w:t>
            </w:r>
          </w:p>
        </w:tc>
        <w:tc>
          <w:tcPr>
            <w:tcW w:w="842" w:type="dxa"/>
            <w:noWrap/>
            <w:vAlign w:val="center"/>
          </w:tcPr>
          <w:p w:rsidR="00F10DB1" w:rsidRPr="00DA20F5" w:rsidRDefault="00F10DB1" w:rsidP="00D36FB8">
            <w:pPr>
              <w:ind w:right="113"/>
              <w:jc w:val="right"/>
              <w:rPr>
                <w:sz w:val="20"/>
                <w:szCs w:val="20"/>
              </w:rPr>
            </w:pPr>
            <w:r w:rsidRPr="00DA20F5">
              <w:rPr>
                <w:sz w:val="20"/>
                <w:szCs w:val="20"/>
              </w:rPr>
              <w:t>-</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12. Sociálne výhody</w:t>
            </w:r>
          </w:p>
        </w:tc>
        <w:tc>
          <w:tcPr>
            <w:tcW w:w="1038" w:type="dxa"/>
            <w:noWrap/>
            <w:vAlign w:val="center"/>
          </w:tcPr>
          <w:p w:rsidR="00F10DB1" w:rsidRPr="00DA20F5" w:rsidRDefault="00F10DB1" w:rsidP="00D36FB8">
            <w:pPr>
              <w:ind w:right="113"/>
              <w:jc w:val="right"/>
              <w:rPr>
                <w:sz w:val="20"/>
                <w:szCs w:val="20"/>
              </w:rPr>
            </w:pPr>
            <w:r w:rsidRPr="00DA20F5">
              <w:rPr>
                <w:sz w:val="20"/>
                <w:szCs w:val="20"/>
              </w:rPr>
              <w:t>23</w:t>
            </w:r>
          </w:p>
        </w:tc>
        <w:tc>
          <w:tcPr>
            <w:tcW w:w="904" w:type="dxa"/>
            <w:noWrap/>
            <w:vAlign w:val="center"/>
          </w:tcPr>
          <w:p w:rsidR="00F10DB1" w:rsidRPr="00DA20F5" w:rsidRDefault="00F10DB1" w:rsidP="00D36FB8">
            <w:pPr>
              <w:ind w:right="113"/>
              <w:jc w:val="right"/>
              <w:rPr>
                <w:sz w:val="20"/>
                <w:szCs w:val="20"/>
              </w:rPr>
            </w:pPr>
            <w:r w:rsidRPr="00DA20F5">
              <w:rPr>
                <w:sz w:val="20"/>
                <w:szCs w:val="20"/>
              </w:rPr>
              <w:t>13</w:t>
            </w:r>
          </w:p>
        </w:tc>
        <w:tc>
          <w:tcPr>
            <w:tcW w:w="770" w:type="dxa"/>
            <w:noWrap/>
            <w:vAlign w:val="center"/>
          </w:tcPr>
          <w:p w:rsidR="00F10DB1" w:rsidRPr="00DA20F5" w:rsidRDefault="00F10DB1" w:rsidP="00D36FB8">
            <w:pPr>
              <w:ind w:right="113"/>
              <w:jc w:val="right"/>
              <w:rPr>
                <w:sz w:val="20"/>
                <w:szCs w:val="20"/>
              </w:rPr>
            </w:pPr>
            <w:r w:rsidRPr="00DA20F5">
              <w:rPr>
                <w:sz w:val="20"/>
                <w:szCs w:val="20"/>
              </w:rPr>
              <w:t>12</w:t>
            </w:r>
          </w:p>
        </w:tc>
        <w:tc>
          <w:tcPr>
            <w:tcW w:w="709" w:type="dxa"/>
            <w:noWrap/>
            <w:vAlign w:val="center"/>
          </w:tcPr>
          <w:p w:rsidR="00F10DB1" w:rsidRPr="00DA20F5" w:rsidRDefault="00F10DB1" w:rsidP="00D36FB8">
            <w:pPr>
              <w:ind w:right="113"/>
              <w:jc w:val="right"/>
              <w:rPr>
                <w:sz w:val="20"/>
                <w:szCs w:val="20"/>
              </w:rPr>
            </w:pPr>
            <w:r w:rsidRPr="00DA20F5">
              <w:rPr>
                <w:sz w:val="20"/>
                <w:szCs w:val="20"/>
              </w:rPr>
              <w:t>11</w:t>
            </w:r>
          </w:p>
        </w:tc>
        <w:tc>
          <w:tcPr>
            <w:tcW w:w="709" w:type="dxa"/>
            <w:noWrap/>
            <w:vAlign w:val="center"/>
          </w:tcPr>
          <w:p w:rsidR="00F10DB1" w:rsidRPr="00DA20F5" w:rsidRDefault="00F10DB1" w:rsidP="00D36FB8">
            <w:pPr>
              <w:ind w:right="113"/>
              <w:jc w:val="right"/>
              <w:rPr>
                <w:sz w:val="20"/>
                <w:szCs w:val="20"/>
              </w:rPr>
            </w:pPr>
            <w:r w:rsidRPr="00DA20F5">
              <w:rPr>
                <w:sz w:val="20"/>
                <w:szCs w:val="20"/>
              </w:rPr>
              <w:t>12</w:t>
            </w:r>
          </w:p>
        </w:tc>
        <w:tc>
          <w:tcPr>
            <w:tcW w:w="709" w:type="dxa"/>
            <w:noWrap/>
            <w:vAlign w:val="center"/>
          </w:tcPr>
          <w:p w:rsidR="00F10DB1" w:rsidRPr="00DA20F5" w:rsidRDefault="00F10DB1" w:rsidP="00D36FB8">
            <w:pPr>
              <w:ind w:right="113"/>
              <w:jc w:val="right"/>
              <w:rPr>
                <w:sz w:val="20"/>
                <w:szCs w:val="20"/>
              </w:rPr>
            </w:pPr>
            <w:r w:rsidRPr="00DA20F5">
              <w:rPr>
                <w:sz w:val="20"/>
                <w:szCs w:val="20"/>
              </w:rPr>
              <w:t>17</w:t>
            </w:r>
          </w:p>
        </w:tc>
        <w:tc>
          <w:tcPr>
            <w:tcW w:w="708" w:type="dxa"/>
            <w:noWrap/>
            <w:vAlign w:val="center"/>
          </w:tcPr>
          <w:p w:rsidR="00F10DB1" w:rsidRPr="00DA20F5" w:rsidRDefault="00F10DB1" w:rsidP="00D36FB8">
            <w:pPr>
              <w:ind w:right="113"/>
              <w:jc w:val="right"/>
              <w:rPr>
                <w:sz w:val="20"/>
                <w:szCs w:val="20"/>
              </w:rPr>
            </w:pPr>
            <w:r w:rsidRPr="00DA20F5">
              <w:rPr>
                <w:sz w:val="20"/>
                <w:szCs w:val="20"/>
              </w:rPr>
              <w:t>13</w:t>
            </w:r>
          </w:p>
        </w:tc>
        <w:tc>
          <w:tcPr>
            <w:tcW w:w="842" w:type="dxa"/>
            <w:noWrap/>
            <w:vAlign w:val="center"/>
          </w:tcPr>
          <w:p w:rsidR="00F10DB1" w:rsidRPr="00DA20F5" w:rsidRDefault="00F10DB1" w:rsidP="00D36FB8">
            <w:pPr>
              <w:ind w:right="113"/>
              <w:jc w:val="right"/>
              <w:rPr>
                <w:sz w:val="20"/>
                <w:szCs w:val="20"/>
              </w:rPr>
            </w:pPr>
            <w:r w:rsidRPr="00DA20F5">
              <w:rPr>
                <w:sz w:val="20"/>
                <w:szCs w:val="20"/>
              </w:rPr>
              <w:t>13</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13. Náklady na školenie zamestnancov</w:t>
            </w:r>
          </w:p>
        </w:tc>
        <w:tc>
          <w:tcPr>
            <w:tcW w:w="1038" w:type="dxa"/>
            <w:noWrap/>
            <w:vAlign w:val="center"/>
          </w:tcPr>
          <w:p w:rsidR="00F10DB1" w:rsidRPr="00DA20F5" w:rsidRDefault="00F10DB1" w:rsidP="00D36FB8">
            <w:pPr>
              <w:ind w:right="113"/>
              <w:jc w:val="right"/>
              <w:rPr>
                <w:sz w:val="20"/>
                <w:szCs w:val="20"/>
              </w:rPr>
            </w:pPr>
            <w:r w:rsidRPr="00DA20F5">
              <w:rPr>
                <w:sz w:val="20"/>
                <w:szCs w:val="20"/>
              </w:rPr>
              <w:t>8</w:t>
            </w:r>
          </w:p>
        </w:tc>
        <w:tc>
          <w:tcPr>
            <w:tcW w:w="904" w:type="dxa"/>
            <w:noWrap/>
            <w:vAlign w:val="center"/>
          </w:tcPr>
          <w:p w:rsidR="00F10DB1" w:rsidRPr="00DA20F5" w:rsidRDefault="00F10DB1" w:rsidP="00D36FB8">
            <w:pPr>
              <w:ind w:right="113"/>
              <w:jc w:val="right"/>
              <w:rPr>
                <w:sz w:val="20"/>
                <w:szCs w:val="20"/>
              </w:rPr>
            </w:pPr>
            <w:r w:rsidRPr="00DA20F5">
              <w:rPr>
                <w:sz w:val="20"/>
                <w:szCs w:val="20"/>
              </w:rPr>
              <w:t>4</w:t>
            </w:r>
          </w:p>
        </w:tc>
        <w:tc>
          <w:tcPr>
            <w:tcW w:w="770" w:type="dxa"/>
            <w:noWrap/>
            <w:vAlign w:val="center"/>
          </w:tcPr>
          <w:p w:rsidR="00F10DB1" w:rsidRPr="00DA20F5" w:rsidRDefault="00F10DB1" w:rsidP="00D36FB8">
            <w:pPr>
              <w:ind w:right="113"/>
              <w:jc w:val="right"/>
              <w:rPr>
                <w:sz w:val="20"/>
                <w:szCs w:val="20"/>
              </w:rPr>
            </w:pPr>
            <w:r w:rsidRPr="00DA20F5">
              <w:rPr>
                <w:sz w:val="20"/>
                <w:szCs w:val="20"/>
              </w:rPr>
              <w:t>4</w:t>
            </w:r>
          </w:p>
        </w:tc>
        <w:tc>
          <w:tcPr>
            <w:tcW w:w="709" w:type="dxa"/>
            <w:noWrap/>
            <w:vAlign w:val="center"/>
          </w:tcPr>
          <w:p w:rsidR="00F10DB1" w:rsidRPr="00DA20F5" w:rsidRDefault="00F10DB1" w:rsidP="00D36FB8">
            <w:pPr>
              <w:ind w:right="113"/>
              <w:jc w:val="right"/>
              <w:rPr>
                <w:sz w:val="20"/>
                <w:szCs w:val="20"/>
              </w:rPr>
            </w:pPr>
            <w:r w:rsidRPr="00DA20F5">
              <w:rPr>
                <w:sz w:val="20"/>
                <w:szCs w:val="20"/>
              </w:rPr>
              <w:t>3</w:t>
            </w:r>
          </w:p>
        </w:tc>
        <w:tc>
          <w:tcPr>
            <w:tcW w:w="709" w:type="dxa"/>
            <w:noWrap/>
            <w:vAlign w:val="center"/>
          </w:tcPr>
          <w:p w:rsidR="00F10DB1" w:rsidRPr="00DA20F5" w:rsidRDefault="00F10DB1" w:rsidP="00D36FB8">
            <w:pPr>
              <w:ind w:right="113"/>
              <w:jc w:val="right"/>
              <w:rPr>
                <w:sz w:val="20"/>
                <w:szCs w:val="20"/>
              </w:rPr>
            </w:pPr>
            <w:r w:rsidRPr="00DA20F5">
              <w:rPr>
                <w:sz w:val="20"/>
                <w:szCs w:val="20"/>
              </w:rPr>
              <w:t>4</w:t>
            </w:r>
          </w:p>
        </w:tc>
        <w:tc>
          <w:tcPr>
            <w:tcW w:w="709" w:type="dxa"/>
            <w:noWrap/>
            <w:vAlign w:val="center"/>
          </w:tcPr>
          <w:p w:rsidR="00F10DB1" w:rsidRPr="00DA20F5" w:rsidRDefault="00F10DB1" w:rsidP="00D36FB8">
            <w:pPr>
              <w:ind w:right="113"/>
              <w:jc w:val="right"/>
              <w:rPr>
                <w:sz w:val="20"/>
                <w:szCs w:val="20"/>
              </w:rPr>
            </w:pPr>
            <w:r w:rsidRPr="00DA20F5">
              <w:rPr>
                <w:sz w:val="20"/>
                <w:szCs w:val="20"/>
              </w:rPr>
              <w:t>7</w:t>
            </w:r>
          </w:p>
        </w:tc>
        <w:tc>
          <w:tcPr>
            <w:tcW w:w="708" w:type="dxa"/>
            <w:noWrap/>
            <w:vAlign w:val="center"/>
          </w:tcPr>
          <w:p w:rsidR="00F10DB1" w:rsidRPr="00DA20F5" w:rsidRDefault="00F10DB1" w:rsidP="00D36FB8">
            <w:pPr>
              <w:ind w:right="113"/>
              <w:jc w:val="right"/>
              <w:rPr>
                <w:sz w:val="20"/>
                <w:szCs w:val="20"/>
              </w:rPr>
            </w:pPr>
            <w:r w:rsidRPr="00DA20F5">
              <w:rPr>
                <w:sz w:val="20"/>
                <w:szCs w:val="20"/>
              </w:rPr>
              <w:t>3</w:t>
            </w:r>
          </w:p>
        </w:tc>
        <w:tc>
          <w:tcPr>
            <w:tcW w:w="842" w:type="dxa"/>
            <w:noWrap/>
            <w:vAlign w:val="center"/>
          </w:tcPr>
          <w:p w:rsidR="00F10DB1" w:rsidRPr="00DA20F5" w:rsidRDefault="00F10DB1" w:rsidP="00D36FB8">
            <w:pPr>
              <w:ind w:right="113"/>
              <w:jc w:val="right"/>
              <w:rPr>
                <w:sz w:val="20"/>
                <w:szCs w:val="20"/>
              </w:rPr>
            </w:pPr>
            <w:r w:rsidRPr="00DA20F5">
              <w:rPr>
                <w:sz w:val="20"/>
                <w:szCs w:val="20"/>
              </w:rPr>
              <w:t>4</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14. Poplatky a sankcie súvisiace so mzdami</w:t>
            </w:r>
          </w:p>
        </w:tc>
        <w:tc>
          <w:tcPr>
            <w:tcW w:w="1038" w:type="dxa"/>
            <w:noWrap/>
            <w:vAlign w:val="center"/>
          </w:tcPr>
          <w:p w:rsidR="00F10DB1" w:rsidRPr="00DA20F5" w:rsidRDefault="00F10DB1" w:rsidP="00D36FB8">
            <w:pPr>
              <w:ind w:right="113"/>
              <w:jc w:val="right"/>
              <w:rPr>
                <w:sz w:val="20"/>
                <w:szCs w:val="20"/>
              </w:rPr>
            </w:pPr>
            <w:r w:rsidRPr="00DA20F5">
              <w:rPr>
                <w:sz w:val="20"/>
                <w:szCs w:val="20"/>
              </w:rPr>
              <w:t>0</w:t>
            </w:r>
          </w:p>
        </w:tc>
        <w:tc>
          <w:tcPr>
            <w:tcW w:w="904" w:type="dxa"/>
            <w:noWrap/>
            <w:vAlign w:val="center"/>
          </w:tcPr>
          <w:p w:rsidR="00F10DB1" w:rsidRPr="00DA20F5" w:rsidRDefault="00F10DB1" w:rsidP="00D36FB8">
            <w:pPr>
              <w:ind w:right="113"/>
              <w:jc w:val="right"/>
              <w:rPr>
                <w:sz w:val="20"/>
                <w:szCs w:val="20"/>
              </w:rPr>
            </w:pPr>
            <w:r w:rsidRPr="00DA20F5">
              <w:rPr>
                <w:sz w:val="20"/>
                <w:szCs w:val="20"/>
              </w:rPr>
              <w:t>0</w:t>
            </w:r>
          </w:p>
        </w:tc>
        <w:tc>
          <w:tcPr>
            <w:tcW w:w="770" w:type="dxa"/>
            <w:noWrap/>
            <w:vAlign w:val="center"/>
          </w:tcPr>
          <w:p w:rsidR="00F10DB1" w:rsidRPr="00DA20F5" w:rsidRDefault="00F10DB1" w:rsidP="00D36FB8">
            <w:pPr>
              <w:ind w:right="113"/>
              <w:jc w:val="right"/>
              <w:rPr>
                <w:sz w:val="20"/>
                <w:szCs w:val="20"/>
              </w:rPr>
            </w:pPr>
            <w:r w:rsidRPr="00DA20F5">
              <w:rPr>
                <w:sz w:val="20"/>
                <w:szCs w:val="20"/>
              </w:rPr>
              <w:t>0</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8" w:type="dxa"/>
            <w:noWrap/>
            <w:vAlign w:val="center"/>
          </w:tcPr>
          <w:p w:rsidR="00F10DB1" w:rsidRPr="00DA20F5" w:rsidRDefault="00F10DB1" w:rsidP="00D36FB8">
            <w:pPr>
              <w:ind w:right="113"/>
              <w:jc w:val="right"/>
              <w:rPr>
                <w:sz w:val="20"/>
                <w:szCs w:val="20"/>
              </w:rPr>
            </w:pPr>
            <w:r w:rsidRPr="00DA20F5">
              <w:rPr>
                <w:sz w:val="20"/>
                <w:szCs w:val="20"/>
              </w:rPr>
              <w:t>0</w:t>
            </w:r>
          </w:p>
        </w:tc>
        <w:tc>
          <w:tcPr>
            <w:tcW w:w="842" w:type="dxa"/>
            <w:noWrap/>
            <w:vAlign w:val="center"/>
          </w:tcPr>
          <w:p w:rsidR="00F10DB1" w:rsidRPr="00DA20F5" w:rsidRDefault="00F10DB1" w:rsidP="00D36FB8">
            <w:pPr>
              <w:ind w:right="113"/>
              <w:jc w:val="right"/>
              <w:rPr>
                <w:sz w:val="20"/>
                <w:szCs w:val="20"/>
              </w:rPr>
            </w:pPr>
            <w:r w:rsidRPr="00DA20F5">
              <w:rPr>
                <w:sz w:val="20"/>
                <w:szCs w:val="20"/>
              </w:rPr>
              <w:t>0</w:t>
            </w:r>
          </w:p>
        </w:tc>
      </w:tr>
      <w:tr w:rsidR="001C2144" w:rsidRPr="00DA20F5" w:rsidTr="00A05573">
        <w:trPr>
          <w:trHeight w:val="300"/>
          <w:jc w:val="center"/>
        </w:trPr>
        <w:tc>
          <w:tcPr>
            <w:tcW w:w="3060" w:type="dxa"/>
            <w:noWrap/>
            <w:vAlign w:val="center"/>
          </w:tcPr>
          <w:p w:rsidR="00F10DB1" w:rsidRPr="00DA20F5" w:rsidRDefault="00F10DB1" w:rsidP="00D36FB8">
            <w:pPr>
              <w:rPr>
                <w:sz w:val="20"/>
                <w:szCs w:val="20"/>
              </w:rPr>
            </w:pPr>
            <w:r w:rsidRPr="00DA20F5">
              <w:rPr>
                <w:sz w:val="20"/>
                <w:szCs w:val="20"/>
              </w:rPr>
              <w:t>15. Ostatné nepriame náklady práce</w:t>
            </w:r>
          </w:p>
        </w:tc>
        <w:tc>
          <w:tcPr>
            <w:tcW w:w="1038" w:type="dxa"/>
            <w:noWrap/>
            <w:vAlign w:val="center"/>
          </w:tcPr>
          <w:p w:rsidR="00F10DB1" w:rsidRPr="00DA20F5" w:rsidRDefault="00F10DB1" w:rsidP="00D36FB8">
            <w:pPr>
              <w:ind w:right="113"/>
              <w:jc w:val="right"/>
              <w:rPr>
                <w:sz w:val="20"/>
                <w:szCs w:val="20"/>
              </w:rPr>
            </w:pPr>
            <w:r w:rsidRPr="00DA20F5">
              <w:rPr>
                <w:sz w:val="20"/>
                <w:szCs w:val="20"/>
              </w:rPr>
              <w:t>3</w:t>
            </w:r>
          </w:p>
        </w:tc>
        <w:tc>
          <w:tcPr>
            <w:tcW w:w="904" w:type="dxa"/>
            <w:noWrap/>
            <w:vAlign w:val="center"/>
          </w:tcPr>
          <w:p w:rsidR="00F10DB1" w:rsidRPr="00DA20F5" w:rsidRDefault="00F10DB1" w:rsidP="00D36FB8">
            <w:pPr>
              <w:ind w:right="113"/>
              <w:jc w:val="right"/>
              <w:rPr>
                <w:sz w:val="20"/>
                <w:szCs w:val="20"/>
              </w:rPr>
            </w:pPr>
            <w:r w:rsidRPr="00DA20F5">
              <w:rPr>
                <w:sz w:val="20"/>
                <w:szCs w:val="20"/>
              </w:rPr>
              <w:t>2</w:t>
            </w:r>
          </w:p>
        </w:tc>
        <w:tc>
          <w:tcPr>
            <w:tcW w:w="770" w:type="dxa"/>
            <w:noWrap/>
            <w:vAlign w:val="center"/>
          </w:tcPr>
          <w:p w:rsidR="00F10DB1" w:rsidRPr="00DA20F5" w:rsidRDefault="00F10DB1" w:rsidP="00D36FB8">
            <w:pPr>
              <w:ind w:right="113"/>
              <w:jc w:val="right"/>
              <w:rPr>
                <w:sz w:val="20"/>
                <w:szCs w:val="20"/>
              </w:rPr>
            </w:pPr>
            <w:r w:rsidRPr="00DA20F5">
              <w:rPr>
                <w:sz w:val="20"/>
                <w:szCs w:val="20"/>
              </w:rPr>
              <w:t>2</w:t>
            </w:r>
          </w:p>
        </w:tc>
        <w:tc>
          <w:tcPr>
            <w:tcW w:w="709" w:type="dxa"/>
            <w:noWrap/>
            <w:vAlign w:val="center"/>
          </w:tcPr>
          <w:p w:rsidR="00F10DB1" w:rsidRPr="00DA20F5" w:rsidRDefault="00F10DB1" w:rsidP="00D36FB8">
            <w:pPr>
              <w:ind w:right="113"/>
              <w:jc w:val="right"/>
              <w:rPr>
                <w:sz w:val="20"/>
                <w:szCs w:val="20"/>
              </w:rPr>
            </w:pPr>
            <w:r w:rsidRPr="00DA20F5">
              <w:rPr>
                <w:sz w:val="20"/>
                <w:szCs w:val="20"/>
              </w:rPr>
              <w:t>2</w:t>
            </w:r>
          </w:p>
        </w:tc>
        <w:tc>
          <w:tcPr>
            <w:tcW w:w="709" w:type="dxa"/>
            <w:noWrap/>
            <w:vAlign w:val="center"/>
          </w:tcPr>
          <w:p w:rsidR="00F10DB1" w:rsidRPr="00DA20F5" w:rsidRDefault="00F10DB1" w:rsidP="00D36FB8">
            <w:pPr>
              <w:ind w:right="113"/>
              <w:jc w:val="right"/>
              <w:rPr>
                <w:sz w:val="20"/>
                <w:szCs w:val="20"/>
              </w:rPr>
            </w:pPr>
            <w:r w:rsidRPr="00DA20F5">
              <w:rPr>
                <w:sz w:val="20"/>
                <w:szCs w:val="20"/>
              </w:rPr>
              <w:t>2</w:t>
            </w:r>
          </w:p>
        </w:tc>
        <w:tc>
          <w:tcPr>
            <w:tcW w:w="709" w:type="dxa"/>
            <w:noWrap/>
            <w:vAlign w:val="center"/>
          </w:tcPr>
          <w:p w:rsidR="00F10DB1" w:rsidRPr="00DA20F5" w:rsidRDefault="00F10DB1" w:rsidP="00D36FB8">
            <w:pPr>
              <w:ind w:right="113"/>
              <w:jc w:val="right"/>
              <w:rPr>
                <w:sz w:val="20"/>
                <w:szCs w:val="20"/>
              </w:rPr>
            </w:pPr>
            <w:r w:rsidRPr="00DA20F5">
              <w:rPr>
                <w:sz w:val="20"/>
                <w:szCs w:val="20"/>
              </w:rPr>
              <w:t>1</w:t>
            </w:r>
          </w:p>
        </w:tc>
        <w:tc>
          <w:tcPr>
            <w:tcW w:w="708" w:type="dxa"/>
            <w:noWrap/>
            <w:vAlign w:val="center"/>
          </w:tcPr>
          <w:p w:rsidR="00F10DB1" w:rsidRPr="00DA20F5" w:rsidRDefault="00F10DB1" w:rsidP="00D36FB8">
            <w:pPr>
              <w:ind w:right="113"/>
              <w:jc w:val="right"/>
              <w:rPr>
                <w:sz w:val="20"/>
                <w:szCs w:val="20"/>
              </w:rPr>
            </w:pPr>
            <w:r w:rsidRPr="00DA20F5">
              <w:rPr>
                <w:sz w:val="20"/>
                <w:szCs w:val="20"/>
              </w:rPr>
              <w:t>1</w:t>
            </w:r>
          </w:p>
        </w:tc>
        <w:tc>
          <w:tcPr>
            <w:tcW w:w="842" w:type="dxa"/>
            <w:noWrap/>
            <w:vAlign w:val="center"/>
          </w:tcPr>
          <w:p w:rsidR="00F10DB1" w:rsidRPr="00DA20F5" w:rsidRDefault="00F10DB1" w:rsidP="00D36FB8">
            <w:pPr>
              <w:ind w:right="113"/>
              <w:jc w:val="right"/>
              <w:rPr>
                <w:sz w:val="20"/>
                <w:szCs w:val="20"/>
              </w:rPr>
            </w:pPr>
            <w:r w:rsidRPr="00DA20F5">
              <w:rPr>
                <w:sz w:val="20"/>
                <w:szCs w:val="20"/>
              </w:rPr>
              <w:t>6</w:t>
            </w:r>
          </w:p>
        </w:tc>
      </w:tr>
      <w:tr w:rsidR="001C2144" w:rsidRPr="00DA20F5" w:rsidTr="00A05573">
        <w:trPr>
          <w:trHeight w:val="285"/>
          <w:jc w:val="center"/>
        </w:trPr>
        <w:tc>
          <w:tcPr>
            <w:tcW w:w="3060" w:type="dxa"/>
            <w:noWrap/>
            <w:vAlign w:val="center"/>
          </w:tcPr>
          <w:p w:rsidR="00F10DB1" w:rsidRPr="00DA20F5" w:rsidRDefault="00F10DB1" w:rsidP="00D36FB8">
            <w:pPr>
              <w:rPr>
                <w:sz w:val="20"/>
                <w:szCs w:val="20"/>
              </w:rPr>
            </w:pPr>
            <w:r w:rsidRPr="00DA20F5">
              <w:rPr>
                <w:sz w:val="20"/>
                <w:szCs w:val="20"/>
              </w:rPr>
              <w:t>16. SUBVENCIE</w:t>
            </w:r>
          </w:p>
        </w:tc>
        <w:tc>
          <w:tcPr>
            <w:tcW w:w="1038" w:type="dxa"/>
            <w:noWrap/>
            <w:vAlign w:val="center"/>
          </w:tcPr>
          <w:p w:rsidR="00F10DB1" w:rsidRPr="00DA20F5" w:rsidRDefault="00F10DB1" w:rsidP="00D36FB8">
            <w:pPr>
              <w:ind w:right="113"/>
              <w:jc w:val="right"/>
              <w:rPr>
                <w:sz w:val="20"/>
                <w:szCs w:val="20"/>
              </w:rPr>
            </w:pPr>
            <w:r w:rsidRPr="00DA20F5">
              <w:rPr>
                <w:sz w:val="20"/>
                <w:szCs w:val="20"/>
              </w:rPr>
              <w:t>-4</w:t>
            </w:r>
          </w:p>
        </w:tc>
        <w:tc>
          <w:tcPr>
            <w:tcW w:w="904" w:type="dxa"/>
            <w:noWrap/>
            <w:vAlign w:val="center"/>
          </w:tcPr>
          <w:p w:rsidR="00F10DB1" w:rsidRPr="00DA20F5" w:rsidRDefault="00F10DB1" w:rsidP="00D36FB8">
            <w:pPr>
              <w:ind w:right="113"/>
              <w:jc w:val="right"/>
              <w:rPr>
                <w:sz w:val="20"/>
                <w:szCs w:val="20"/>
              </w:rPr>
            </w:pPr>
            <w:r w:rsidRPr="00DA20F5">
              <w:rPr>
                <w:sz w:val="20"/>
                <w:szCs w:val="20"/>
              </w:rPr>
              <w:t>0</w:t>
            </w:r>
          </w:p>
        </w:tc>
        <w:tc>
          <w:tcPr>
            <w:tcW w:w="770" w:type="dxa"/>
            <w:noWrap/>
            <w:vAlign w:val="center"/>
          </w:tcPr>
          <w:p w:rsidR="00F10DB1" w:rsidRPr="00DA20F5" w:rsidRDefault="00F10DB1" w:rsidP="00D36FB8">
            <w:pPr>
              <w:ind w:right="113"/>
              <w:jc w:val="right"/>
              <w:rPr>
                <w:sz w:val="20"/>
                <w:szCs w:val="20"/>
              </w:rPr>
            </w:pPr>
            <w:r w:rsidRPr="00DA20F5">
              <w:rPr>
                <w:sz w:val="20"/>
                <w:szCs w:val="20"/>
              </w:rPr>
              <w:t>-2</w:t>
            </w:r>
          </w:p>
        </w:tc>
        <w:tc>
          <w:tcPr>
            <w:tcW w:w="709" w:type="dxa"/>
            <w:noWrap/>
            <w:vAlign w:val="center"/>
          </w:tcPr>
          <w:p w:rsidR="00F10DB1" w:rsidRPr="00DA20F5" w:rsidRDefault="00F10DB1" w:rsidP="00D36FB8">
            <w:pPr>
              <w:ind w:right="113"/>
              <w:jc w:val="right"/>
              <w:rPr>
                <w:sz w:val="20"/>
                <w:szCs w:val="20"/>
              </w:rPr>
            </w:pPr>
            <w:r w:rsidRPr="00DA20F5">
              <w:rPr>
                <w:sz w:val="20"/>
                <w:szCs w:val="20"/>
              </w:rPr>
              <w:t>0</w:t>
            </w:r>
          </w:p>
        </w:tc>
        <w:tc>
          <w:tcPr>
            <w:tcW w:w="709" w:type="dxa"/>
            <w:noWrap/>
            <w:vAlign w:val="center"/>
          </w:tcPr>
          <w:p w:rsidR="00F10DB1" w:rsidRPr="00DA20F5" w:rsidRDefault="00F10DB1" w:rsidP="00D36FB8">
            <w:pPr>
              <w:ind w:right="113"/>
              <w:jc w:val="right"/>
              <w:rPr>
                <w:sz w:val="20"/>
                <w:szCs w:val="20"/>
              </w:rPr>
            </w:pPr>
            <w:r w:rsidRPr="00DA20F5">
              <w:rPr>
                <w:sz w:val="20"/>
                <w:szCs w:val="20"/>
              </w:rPr>
              <w:t>-1</w:t>
            </w:r>
          </w:p>
        </w:tc>
        <w:tc>
          <w:tcPr>
            <w:tcW w:w="709" w:type="dxa"/>
            <w:noWrap/>
            <w:vAlign w:val="center"/>
          </w:tcPr>
          <w:p w:rsidR="00F10DB1" w:rsidRPr="00DA20F5" w:rsidRDefault="00F10DB1" w:rsidP="00D36FB8">
            <w:pPr>
              <w:ind w:right="113"/>
              <w:jc w:val="right"/>
              <w:rPr>
                <w:sz w:val="20"/>
                <w:szCs w:val="20"/>
              </w:rPr>
            </w:pPr>
            <w:r w:rsidRPr="00DA20F5">
              <w:rPr>
                <w:sz w:val="20"/>
                <w:szCs w:val="20"/>
              </w:rPr>
              <w:t>-3</w:t>
            </w:r>
          </w:p>
        </w:tc>
        <w:tc>
          <w:tcPr>
            <w:tcW w:w="708" w:type="dxa"/>
            <w:noWrap/>
            <w:vAlign w:val="center"/>
          </w:tcPr>
          <w:p w:rsidR="00F10DB1" w:rsidRPr="00DA20F5" w:rsidRDefault="00F10DB1" w:rsidP="00D36FB8">
            <w:pPr>
              <w:ind w:right="113"/>
              <w:jc w:val="right"/>
              <w:rPr>
                <w:sz w:val="20"/>
                <w:szCs w:val="20"/>
              </w:rPr>
            </w:pPr>
            <w:r w:rsidRPr="00DA20F5">
              <w:rPr>
                <w:sz w:val="20"/>
                <w:szCs w:val="20"/>
              </w:rPr>
              <w:t>-1</w:t>
            </w:r>
          </w:p>
        </w:tc>
        <w:tc>
          <w:tcPr>
            <w:tcW w:w="842" w:type="dxa"/>
            <w:noWrap/>
            <w:vAlign w:val="center"/>
          </w:tcPr>
          <w:p w:rsidR="00F10DB1" w:rsidRPr="00DA20F5" w:rsidRDefault="00F10DB1" w:rsidP="00D36FB8">
            <w:pPr>
              <w:ind w:right="113"/>
              <w:jc w:val="right"/>
              <w:rPr>
                <w:sz w:val="20"/>
                <w:szCs w:val="20"/>
              </w:rPr>
            </w:pPr>
            <w:r w:rsidRPr="00DA20F5">
              <w:rPr>
                <w:sz w:val="20"/>
                <w:szCs w:val="20"/>
              </w:rPr>
              <w:t>-3</w:t>
            </w:r>
          </w:p>
        </w:tc>
      </w:tr>
    </w:tbl>
    <w:p w:rsidR="00F10DB1" w:rsidRPr="00DA20F5" w:rsidRDefault="00F10DB1" w:rsidP="000B4550">
      <w:pPr>
        <w:pStyle w:val="zdroj"/>
        <w:spacing w:before="0"/>
      </w:pPr>
      <w:r w:rsidRPr="00DA20F5">
        <w:t>Zdroj: ŠÚ SR, štatistické zisťovanie o úplných nákladoch práce</w:t>
      </w:r>
    </w:p>
    <w:p w:rsidR="00F10DB1" w:rsidRPr="00DA20F5" w:rsidRDefault="00F10DB1" w:rsidP="000B4550">
      <w:pPr>
        <w:pStyle w:val="Nadpis6"/>
      </w:pPr>
      <w:bookmarkStart w:id="331" w:name="_Toc326217001"/>
      <w:r w:rsidRPr="00DA20F5">
        <w:lastRenderedPageBreak/>
        <w:t>Kolektívne vyjednávanie</w:t>
      </w:r>
      <w:bookmarkEnd w:id="331"/>
    </w:p>
    <w:p w:rsidR="00F10DB1" w:rsidRPr="00DA20F5" w:rsidRDefault="00F10DB1" w:rsidP="00D36FB8">
      <w:pPr>
        <w:pStyle w:val="Normlnysozarkami12"/>
        <w:rPr>
          <w:b/>
        </w:rPr>
      </w:pPr>
      <w:r w:rsidRPr="00DA20F5">
        <w:rPr>
          <w:b/>
        </w:rPr>
        <w:t>Ukladanie kolektívnych zmlúv vyššieho stupňa na MPSVR SR a ich extenzia</w:t>
      </w:r>
    </w:p>
    <w:p w:rsidR="00F10DB1" w:rsidRPr="00DA20F5" w:rsidRDefault="00F10DB1" w:rsidP="00D36FB8">
      <w:pPr>
        <w:pStyle w:val="Normlnysozarkami12"/>
        <w:rPr>
          <w:b/>
        </w:rPr>
      </w:pPr>
    </w:p>
    <w:p w:rsidR="00F10DB1" w:rsidRPr="00DA20F5" w:rsidRDefault="00F10DB1" w:rsidP="00D36FB8">
      <w:pPr>
        <w:pStyle w:val="Normlnysozarkami12"/>
      </w:pPr>
      <w:r w:rsidRPr="00DA20F5">
        <w:t>K zmenám v kolektívnom vyjednávaní došlo najmä z dôvodu prijatia novely zákona č. 2/1991 Zb. o kolektívnom vyjednávaní v znení neskorších predpisov (ďalej len „zákon o kolektívnom vyjednávaní“), ktorá bola vykonaná zákonom č. 557/2010 Z. z. a nadobudla účinnosť 31. decembra 2010. Táto novela zákona o kolektívnom vyjednávaní sa týkala výslovne rozširovania záväznosti kolektívnych zmlúv vyššieho stupňa (ďalej len „KZVS“). Novelou sa upravilo rozšírenie záväznosti KZVS tak, že návrh na rozšírenie záväznosti KZVS môžu podať zmluvné strany KZVS Ministerstvu práce, sociálnych vecí a rodiny SR len spoločne a zároveň zamestnávateľ, na ktorého by bol podaný spoločný písomný návrh zmluvných strán na</w:t>
      </w:r>
      <w:r w:rsidR="00AC5AAB" w:rsidRPr="00DA20F5">
        <w:t xml:space="preserve"> </w:t>
      </w:r>
      <w:r w:rsidRPr="00DA20F5">
        <w:t xml:space="preserve">rozšírenie záväznosti KZVS sa má možnosť rozhodnúť, či dá súhlas s extenziou alebo nie. V prípade, že zamestnávateľ s extenziou nesúhlasí, ministerstvo nemôže extenziu vykonať. Na základe tejto zmeny v zákone o kolektívnom vyjednávaní nedošlo v roku 2011 k rozšíreniu žiadnej KZVS. V súvislosti s rozširovaním záväznosti KZVS možno konštatovať, že ministerstvu v roku 2011 nebol doručený žiadny spoločný písomný návrh zmluvných strán KZVS so žiadosťou o extenziu. </w:t>
      </w:r>
    </w:p>
    <w:p w:rsidR="00F10DB1" w:rsidRPr="00DA20F5" w:rsidRDefault="00F10DB1" w:rsidP="00D36FB8">
      <w:pPr>
        <w:pStyle w:val="Normlnysozarkami12"/>
      </w:pPr>
      <w:r w:rsidRPr="00DA20F5">
        <w:t>V roku 2011 bolo na MPSVR SR uložených 19 KZVS a 8 dodatkov ku KZVS. V porovnaní s predchádzajúcim rokom došlo k značnému zvýšeniu celkového počtu uzatvorených KZVS, ako aj dodatkov ku KZVS. Táto situácia je ovplyvnená najmä tým, že zmluvné strany uzatvárajú KZVS na kratšie obdobia. V roku 2011 bola väčšina KZVS a ich dodatkov uzatvorená na jeden rok, pričom v predchádzajúcich rokoch sa KZVS uzatvárali na obdobie 2- 3 rokov,</w:t>
      </w:r>
      <w:r w:rsidR="00AC5AAB" w:rsidRPr="00DA20F5">
        <w:t xml:space="preserve"> </w:t>
      </w:r>
      <w:r w:rsidRPr="00DA20F5">
        <w:t xml:space="preserve">z uvedeného dôvodu nebolo potrebné každý rok uzatvárať KZVS. </w:t>
      </w:r>
    </w:p>
    <w:p w:rsidR="00F10DB1" w:rsidRPr="00DA20F5" w:rsidRDefault="00F10DB1" w:rsidP="00D36FB8">
      <w:pPr>
        <w:pStyle w:val="Normlnysozarkami12"/>
      </w:pPr>
      <w:r w:rsidRPr="00DA20F5">
        <w:t>MPSVR SR evidovalo v roku 2011 celkovo 15 sporov o uzavretie kolektívnych zmlúv alebo dodatkov ku kolektívnym zmluvám, čo je v porovnaní s predchádzajúcim rokom menej o 1 spor. Všetky spory boli riešené v konaní pred sprostredkovateľom. Z c</w:t>
      </w:r>
      <w:r w:rsidR="00E138B1" w:rsidRPr="00DA20F5">
        <w:t>elkového počtu 16 sporov bolo 6 </w:t>
      </w:r>
      <w:r w:rsidRPr="00DA20F5">
        <w:t>sporov vyriešených úspešne - kolektívna zmluva bola uzatvorená a 9 sporov bolo neúspešných. V konaní pred rozhodcom nebol riešený žiadny spor. MPSVR SR neevidovalo v roku 2011 žiadny spor o plnenie záväzkov z kolektívnej zmluvy.</w:t>
      </w:r>
    </w:p>
    <w:p w:rsidR="00F10DB1" w:rsidRPr="00DA20F5" w:rsidRDefault="00F10DB1" w:rsidP="00D36FB8">
      <w:pPr>
        <w:pStyle w:val="Normlnysozarkami12"/>
        <w:rPr>
          <w:color w:val="1F497D" w:themeColor="text2"/>
        </w:rPr>
      </w:pPr>
    </w:p>
    <w:p w:rsidR="00F10DB1" w:rsidRPr="00DA20F5" w:rsidRDefault="00F10DB1" w:rsidP="000B4550">
      <w:pPr>
        <w:pStyle w:val="Nadpis6"/>
      </w:pPr>
      <w:bookmarkStart w:id="332" w:name="_Toc326217002"/>
      <w:r w:rsidRPr="00DA20F5">
        <w:t>Bezpečnosť a ochrana zdravia pri práci</w:t>
      </w:r>
      <w:bookmarkEnd w:id="332"/>
    </w:p>
    <w:p w:rsidR="00F10DB1" w:rsidRPr="00DA20F5" w:rsidRDefault="00F10DB1" w:rsidP="00D36FB8">
      <w:pPr>
        <w:pStyle w:val="Normlnysozarkami12"/>
        <w:rPr>
          <w:b/>
        </w:rPr>
      </w:pPr>
      <w:r w:rsidRPr="00DA20F5">
        <w:rPr>
          <w:b/>
        </w:rPr>
        <w:t>Pracovné úrazy</w:t>
      </w:r>
    </w:p>
    <w:p w:rsidR="00F10DB1" w:rsidRPr="00DA20F5" w:rsidRDefault="00F10DB1" w:rsidP="00D36FB8">
      <w:pPr>
        <w:pStyle w:val="Normlnysozarkami12"/>
        <w:rPr>
          <w:b/>
        </w:rPr>
      </w:pPr>
    </w:p>
    <w:p w:rsidR="00F10DB1" w:rsidRPr="00DA20F5" w:rsidRDefault="00F10DB1" w:rsidP="00D36FB8">
      <w:pPr>
        <w:pStyle w:val="Normlnysozarkami12"/>
      </w:pPr>
      <w:r w:rsidRPr="00DA20F5">
        <w:tab/>
        <w:t>V organizáciách patriacich do pôsobnosti orgánov inšpekcie práce došlo v roku 2011 v Slovenskej republike k 40 závažným pracovným úrazom s následkom smrti. Oproti roku 2010 počet smrteľných pracovných úrazov klesol o 8 prípadov. Zo štatistiky sledovaných údajov vyplýva, že väčšina smrteľných pracovných úrazov (77,50 %) sa kumulovala vo dvoch hlavných zdrojových skupinách, ktorými sú dopravné prostriedky (19 prípadov – 47,50 %) a pracovné, prípadne cestné dopravné priestory ako zdroje pádov osôb (12 prípadov – 30,00 %).</w:t>
      </w:r>
    </w:p>
    <w:p w:rsidR="00F10DB1" w:rsidRPr="00DA20F5" w:rsidRDefault="00F10DB1" w:rsidP="00D36FB8">
      <w:pPr>
        <w:pStyle w:val="Normlnysozarkami12"/>
      </w:pPr>
      <w:r w:rsidRPr="00DA20F5">
        <w:t>V hodnotenom roku bolo zaevidovaných 133 závažných prac</w:t>
      </w:r>
      <w:r w:rsidR="00E138B1" w:rsidRPr="00DA20F5">
        <w:t>ovných úrazov s ťažkou újmou na </w:t>
      </w:r>
      <w:r w:rsidRPr="00DA20F5">
        <w:t>zdraví a 1 686 s pracovnou neschopnosťou najmenej 42 dní. Ich najčastejším zdrojom boli pracovné, prípadne cestné dopravné priestory ako zdroje pádov osôb (726 krát), predmety a bremená pri ich manipulácii, pri páde a pôsobením ostrými hranami a pod. (383 krát) a stroje (232 krát). Príčinou ich vzniku boli hlavne (1 205 krát) nedostatočné osobné predpoklady na výkon práce v čase úrazu (rôzne indispozície, nepozornosť a pod.) a bežné riziko práce.</w:t>
      </w:r>
    </w:p>
    <w:p w:rsidR="00F10DB1" w:rsidRPr="00DA20F5" w:rsidRDefault="00F10DB1" w:rsidP="00D36FB8">
      <w:pPr>
        <w:pStyle w:val="Normlnysozarkami12"/>
      </w:pPr>
      <w:r w:rsidRPr="00DA20F5">
        <w:t xml:space="preserve"> Z členenia závažných pracovných úrazov podľa druhu prevažujúcej ekonomickej činnosti zamestnávateľských subjektov vyplýva, že najvyšší podiel smrteľných pracovných úrazov sa v roku 2011 koncentroval v priemyselnej výrobe (10 úrazov – 25 % z celkového počtu smrteľných úrazov) a v doprave a skladovaní (8 úrazov – 20 %). Pri závažných praco</w:t>
      </w:r>
      <w:r w:rsidR="00E138B1" w:rsidRPr="00DA20F5">
        <w:t>vných úrazoch s ťažkou újmou na </w:t>
      </w:r>
      <w:r w:rsidRPr="00DA20F5">
        <w:t xml:space="preserve">zdraví a s pracovnou neschopnosťou najmenej 42 dní bolo najviac registrovaných v priemyselnej výrobe (689 prípadov – 37,88 %), v doprave a skladovaní (208 prípadov – 11,43 %) a vo veľkoobchode a maloobchode (208 prípadov – 11,43 %). Oproti roku 2010 počet týchto závažných pracovných úrazov klesol o 193 prípadov (pokles o 9,59 %). </w:t>
      </w:r>
    </w:p>
    <w:p w:rsidR="00F10DB1" w:rsidRPr="00DA20F5" w:rsidRDefault="00F10DB1" w:rsidP="00D36FB8">
      <w:pPr>
        <w:pStyle w:val="Normlnysozarkami12"/>
      </w:pPr>
      <w:r w:rsidRPr="00DA20F5">
        <w:lastRenderedPageBreak/>
        <w:t>V informačnom systéme inšpekcie práce za rok 2011 je evidovaných spolu 6 921 registrovaných pracovných úrazov, čo je oproti roku 2010 o 191 prípadov menej (pokles o 2,69 %).</w:t>
      </w:r>
    </w:p>
    <w:p w:rsidR="00F10DB1" w:rsidRPr="00DA20F5" w:rsidRDefault="00F10DB1" w:rsidP="00D36FB8">
      <w:pPr>
        <w:pStyle w:val="Normlnysozarkami12"/>
      </w:pPr>
    </w:p>
    <w:p w:rsidR="00F10DB1" w:rsidRPr="00DA20F5" w:rsidRDefault="00F10DB1" w:rsidP="00D36FB8">
      <w:pPr>
        <w:pStyle w:val="Normlnysozarkami12"/>
        <w:rPr>
          <w:b/>
        </w:rPr>
      </w:pPr>
      <w:r w:rsidRPr="00DA20F5">
        <w:rPr>
          <w:b/>
        </w:rPr>
        <w:t>Rizikové práce</w:t>
      </w:r>
    </w:p>
    <w:p w:rsidR="00F10DB1" w:rsidRPr="00DA20F5" w:rsidRDefault="00F10DB1" w:rsidP="00D36FB8">
      <w:pPr>
        <w:pStyle w:val="Normlnysozarkami12"/>
        <w:rPr>
          <w:b/>
        </w:rPr>
      </w:pPr>
    </w:p>
    <w:p w:rsidR="00F10DB1" w:rsidRPr="00DA20F5" w:rsidRDefault="00F10DB1" w:rsidP="00D36FB8">
      <w:pPr>
        <w:pStyle w:val="Normlnysozarkami12"/>
      </w:pPr>
      <w:r w:rsidRPr="00DA20F5">
        <w:t>V roku 2011 ďalej pokračoval trend znižovania počtu zamestnancov vykonávajúcich rizikové práce. Tento pokles bol ovplyvnený súčasnou hospodárskou situáciou a zmenami v pracovnoprávnych vzťahoch, ktoré viedli k znižovaniu počtov kmeňových zamestnancov a ich nahrádzaniu samostatne zárobkovo činnými osobami alebo agentúrnymi zamestnancami. Rizikové práce v roku 2011 vykonávalo 93 242 zamestnancov (z toho 21 057 žien). Výrazný p</w:t>
      </w:r>
      <w:r w:rsidR="00E138B1" w:rsidRPr="00DA20F5">
        <w:t>okles oproti roku 2010 (o 9 809 </w:t>
      </w:r>
      <w:r w:rsidRPr="00DA20F5">
        <w:t xml:space="preserve">zamestnancov) bol spôsobený aj prechodom na nový program evidencie rizík. </w:t>
      </w:r>
    </w:p>
    <w:p w:rsidR="00F10DB1" w:rsidRPr="00DA20F5" w:rsidRDefault="00F10DB1" w:rsidP="00D36FB8">
      <w:pPr>
        <w:pStyle w:val="Normlnysozarkami12"/>
      </w:pPr>
      <w:r w:rsidRPr="00DA20F5">
        <w:t xml:space="preserve">Najčastejšie sa vyskytujúcim škodlivým faktorom pracovného prostredia v roku 2011 bol hluk. Nadmernému hluku bolo vystavených 78 970 zamestnancov, tzn. 84,6 % zo všetkých zamestnancov vykonávajúcich rizikové práce, čo oproti roku 2010 predstavovalo pokles o 7 357 zamestnancov. Chemickým látkam bolo exponovaných 24 588 zamestnancov (26,4 %), ionizujúcemu žiareniu </w:t>
      </w:r>
      <w:r w:rsidR="00E138B1" w:rsidRPr="00DA20F5">
        <w:t>5 678 </w:t>
      </w:r>
      <w:r w:rsidRPr="00DA20F5">
        <w:t>zamestnancov (6,1 %), vibráciám 4 526 zamestnancov</w:t>
      </w:r>
      <w:r w:rsidR="00E138B1" w:rsidRPr="00DA20F5">
        <w:t xml:space="preserve"> (4,9 %), fyzickej záťaži 4 125 </w:t>
      </w:r>
      <w:r w:rsidRPr="00DA20F5">
        <w:t>zamestnancov (4,4 %) a záťaži teplom a chladom 3 535 zamestnancov (3,8 %). Najviac zamestnancov vystavených riziku bolo v priemyselnej výrobe (64 655 zamestnancov, z to</w:t>
      </w:r>
      <w:r w:rsidR="00E138B1" w:rsidRPr="00DA20F5">
        <w:t>ho 12 093 </w:t>
      </w:r>
      <w:r w:rsidRPr="00DA20F5">
        <w:t>žien) a v oblasti zdravotníctva a sociálnej pomoci (8 485</w:t>
      </w:r>
      <w:r w:rsidR="00AC5AAB" w:rsidRPr="00DA20F5">
        <w:t xml:space="preserve"> </w:t>
      </w:r>
      <w:r w:rsidRPr="00DA20F5">
        <w:t>zamestnancov, z toho 6 804 žien). Najvyšší podiel rizikovej práce žien (80,1 % z celkového počtu zamestnancov vykonávajúcich rizikové práce v danom ekonomickom odvetví) bol podobne, ako v minulých rokoch, v zdravotníctve.</w:t>
      </w:r>
    </w:p>
    <w:p w:rsidR="00F10DB1" w:rsidRPr="00DA20F5" w:rsidRDefault="00F10DB1" w:rsidP="00D36FB8">
      <w:pPr>
        <w:pStyle w:val="Normlnysozarkami12"/>
      </w:pPr>
    </w:p>
    <w:p w:rsidR="00F10DB1" w:rsidRPr="00DA20F5" w:rsidRDefault="00F10DB1" w:rsidP="00D36FB8">
      <w:pPr>
        <w:pStyle w:val="Normlnysozarkami12"/>
        <w:rPr>
          <w:b/>
        </w:rPr>
      </w:pPr>
      <w:r w:rsidRPr="00DA20F5">
        <w:rPr>
          <w:b/>
        </w:rPr>
        <w:t xml:space="preserve">Choroby z povolania </w:t>
      </w:r>
    </w:p>
    <w:p w:rsidR="00F10DB1" w:rsidRPr="00DA20F5" w:rsidRDefault="00F10DB1" w:rsidP="00D36FB8">
      <w:pPr>
        <w:pStyle w:val="Normlnysozarkami12"/>
        <w:rPr>
          <w:b/>
        </w:rPr>
      </w:pPr>
    </w:p>
    <w:p w:rsidR="00F10DB1" w:rsidRPr="00DA20F5" w:rsidRDefault="00F10DB1" w:rsidP="00D36FB8">
      <w:pPr>
        <w:pStyle w:val="Normlnysozarkami12"/>
      </w:pPr>
      <w:r w:rsidRPr="00DA20F5">
        <w:t>V roku 2011 bolo v Slovenskej republike hlásených 373 prípadov chorôb z povolania. V porovnaní s rokom 2010 (436 hlásených chorôb z povolania)</w:t>
      </w:r>
      <w:r w:rsidR="00E138B1" w:rsidRPr="00DA20F5">
        <w:t xml:space="preserve"> došlo k poklesu ich počtu o 63 </w:t>
      </w:r>
      <w:r w:rsidRPr="00DA20F5">
        <w:t>prípadov, č</w:t>
      </w:r>
      <w:r w:rsidR="001C2144" w:rsidRPr="00DA20F5">
        <w:t>ím b</w:t>
      </w:r>
      <w:r w:rsidRPr="00DA20F5">
        <w:t>o</w:t>
      </w:r>
      <w:r w:rsidR="001C2144" w:rsidRPr="00DA20F5">
        <w:t>l dosiahnutý</w:t>
      </w:r>
      <w:r w:rsidRPr="00DA20F5">
        <w:t xml:space="preserve"> najnižší počet za ostatných 15 rokov. </w:t>
      </w:r>
    </w:p>
    <w:p w:rsidR="00F10DB1" w:rsidRPr="00DA20F5" w:rsidRDefault="00F10DB1" w:rsidP="00D36FB8">
      <w:pPr>
        <w:pStyle w:val="Normlnysozarkami12"/>
      </w:pPr>
      <w:r w:rsidRPr="00DA20F5">
        <w:t>Najväčší podiel na chorobách z povolania v roku 2011 mala choroba kostí, kĺbov, šliach a nervov končatín z dlhodobého, nadmerného a jednostranného zaťaženia horných končatín s celkovým počtom 162 hlásení, čo predstavuje 43,4 % z celkového počtu hlásených profesionálnych ochorení.</w:t>
      </w:r>
      <w:r w:rsidR="00AC5AAB" w:rsidRPr="00DA20F5">
        <w:t xml:space="preserve"> </w:t>
      </w:r>
    </w:p>
    <w:p w:rsidR="00F10DB1" w:rsidRPr="00DA20F5" w:rsidRDefault="00F10DB1" w:rsidP="00D36FB8">
      <w:pPr>
        <w:pStyle w:val="Normlnysozarkami12"/>
      </w:pPr>
      <w:r w:rsidRPr="00DA20F5">
        <w:t>Druhou najčastejšou chorobou z povolania boli infekčné choroby a parazitárne choroby vrátane chorôb prenosných zo zvierat na ľudí s celkovým počtom 50 hlásených chorôb z povolania, z ktorých podobne ako v r. 2009 a 2010 najčastejšie boli hlásené infekčné a parazitárne choroby (76 %).</w:t>
      </w:r>
      <w:r w:rsidR="00AC5AAB" w:rsidRPr="00DA20F5">
        <w:t xml:space="preserve"> </w:t>
      </w:r>
      <w:r w:rsidRPr="00DA20F5">
        <w:t>Ďalšou najčastejšie sa vyskytujúcou chorobou z povolania, s celkovým počtom 45 hlásení, bola porucha sluchu z hluku, ktorá tvorila 12 % z hlásených chorôb z povolania. Ochorenie kostí, kĺbov, svalov, ciev a nervov končatín spôsobené pri práci s vibrujúcimi nástrojmi predstavovalo 40 hlásených chorôb (10,7 % z celkového počtu chorôb z povolania).</w:t>
      </w:r>
    </w:p>
    <w:p w:rsidR="00A05573" w:rsidRPr="00DA20F5" w:rsidRDefault="00A05573" w:rsidP="00D36FB8">
      <w:pPr>
        <w:pStyle w:val="Nadpis1"/>
        <w:sectPr w:rsidR="00A05573" w:rsidRPr="00DA20F5" w:rsidSect="00570ECB">
          <w:headerReference w:type="even" r:id="rId40"/>
          <w:headerReference w:type="default" r:id="rId41"/>
          <w:pgSz w:w="11906" w:h="16838"/>
          <w:pgMar w:top="1418" w:right="1418" w:bottom="1418" w:left="1418" w:header="709" w:footer="709" w:gutter="0"/>
          <w:cols w:space="708"/>
          <w:docGrid w:linePitch="360"/>
        </w:sectPr>
      </w:pPr>
    </w:p>
    <w:p w:rsidR="00826B8F" w:rsidRPr="00DA20F5" w:rsidRDefault="00826B8F" w:rsidP="00D36FB8">
      <w:pPr>
        <w:pStyle w:val="Nadpis1"/>
      </w:pPr>
      <w:bookmarkStart w:id="333" w:name="_Toc326217003"/>
      <w:r w:rsidRPr="00DA20F5">
        <w:lastRenderedPageBreak/>
        <w:t>SOCIÁLNA OCHRANA</w:t>
      </w:r>
      <w:bookmarkEnd w:id="333"/>
    </w:p>
    <w:p w:rsidR="00826B8F" w:rsidRPr="00DA20F5" w:rsidRDefault="00826B8F" w:rsidP="00D36FB8">
      <w:r w:rsidRPr="00DA20F5">
        <w:t>Sociálnu ochranu na Slovensku zabezpečuje systém sociálneho z</w:t>
      </w:r>
      <w:r w:rsidR="00E138B1" w:rsidRPr="00DA20F5">
        <w:t>abezpečenia, ktorý pozostáva zo </w:t>
      </w:r>
      <w:r w:rsidRPr="00DA20F5">
        <w:t>sociálneho poistenia, štátnej sociálnej podpory a sociálnej pomoci.</w:t>
      </w:r>
    </w:p>
    <w:p w:rsidR="00826B8F" w:rsidRPr="00DA20F5" w:rsidRDefault="00826B8F" w:rsidP="00D36FB8">
      <w:pPr>
        <w:pStyle w:val="nadpis2"/>
      </w:pPr>
      <w:bookmarkStart w:id="334" w:name="_Toc326217004"/>
      <w:r w:rsidRPr="00DA20F5">
        <w:t>Sociálne poistenie</w:t>
      </w:r>
      <w:bookmarkEnd w:id="334"/>
    </w:p>
    <w:p w:rsidR="00826B8F" w:rsidRPr="00DA20F5" w:rsidRDefault="00826B8F" w:rsidP="00D36FB8">
      <w:pPr>
        <w:ind w:firstLine="426"/>
        <w:rPr>
          <w:szCs w:val="22"/>
        </w:rPr>
      </w:pPr>
      <w:r w:rsidRPr="00DA20F5">
        <w:rPr>
          <w:szCs w:val="22"/>
        </w:rPr>
        <w:t>Sociálne poistenie zabezpečuje ochranu ekonomicky aktívneho obyvateľstva v prípade straty alebo zníženia príjmu zo zárobkovej činnosti v dôsledku dočasnej pracovnej neschopnosti, potreby ošetrovania alebo opatrovania, tehotenstva alebo materstva, v prípade staroby alebo úmrtia, v prípade poklesu schopnosti vykonávať zárobkovú činnosť v dôsledku dlhodobo nepriaznivého zdravotného stavu, v prípade poškodenia zdravia alebo úmrtia v dôsledku pracovného úrazu, služobného úrazu alebo choroby z povolania, v prípade platobnej neschopnosti zamestnávateľa na uspokojenie nárokov zamestnanca a na úhradu príspevkov na starobné dôchodkové sporenie, a v prípade straty príjmu z činnosti zamestnanca v dôsledku straty zamestnania a na zabezpečenie príjmu v nezamestnanosti.</w:t>
      </w:r>
    </w:p>
    <w:p w:rsidR="00826B8F" w:rsidRPr="00DA20F5" w:rsidRDefault="00826B8F" w:rsidP="00D36FB8">
      <w:pPr>
        <w:ind w:firstLine="426"/>
        <w:rPr>
          <w:szCs w:val="22"/>
        </w:rPr>
      </w:pPr>
      <w:r w:rsidRPr="00DA20F5">
        <w:rPr>
          <w:szCs w:val="22"/>
        </w:rPr>
        <w:t xml:space="preserve">Systém sociálneho poistenia sa podľa zákona č. 461/2003 Z. z. o sociálnom poistení v znení neskorších predpisov (ďalej len „zákon o sociálnom poistení“) člení na nemocenské poistenie, dôchodkové poistenie, úrazové poistenie, garančné poistenie a poistenie v nezamestnanosti. </w:t>
      </w:r>
    </w:p>
    <w:p w:rsidR="00826B8F" w:rsidRPr="00DA20F5" w:rsidRDefault="00826B8F" w:rsidP="00D36FB8">
      <w:pPr>
        <w:ind w:firstLine="426"/>
        <w:rPr>
          <w:szCs w:val="22"/>
        </w:rPr>
      </w:pPr>
      <w:r w:rsidRPr="00DA20F5">
        <w:rPr>
          <w:szCs w:val="22"/>
        </w:rPr>
        <w:t xml:space="preserve">Rok 2011 priniesol viaceré opatrenia, ktoré umožnili zabezpečiť poistencom pri vzniku zákonom ustanovených sociálnych udalostí vyšší príjem, resp. spravodlivejšie nastavenie podmienok nároku, čo posilnilo ich sociálnu ochranu. </w:t>
      </w:r>
    </w:p>
    <w:p w:rsidR="00826B8F" w:rsidRPr="00DA20F5" w:rsidRDefault="00826B8F" w:rsidP="00D36FB8">
      <w:pPr>
        <w:rPr>
          <w:szCs w:val="22"/>
        </w:rPr>
      </w:pPr>
      <w:r w:rsidRPr="00DA20F5">
        <w:rPr>
          <w:szCs w:val="22"/>
        </w:rPr>
        <w:t xml:space="preserve">V sledovanom období v oblasti sociálneho poistenia nadobudli účinnosť nasledovné opatrenia: </w:t>
      </w:r>
    </w:p>
    <w:p w:rsidR="00826B8F" w:rsidRPr="00DA20F5" w:rsidRDefault="00826B8F" w:rsidP="000B4550">
      <w:pPr>
        <w:numPr>
          <w:ilvl w:val="0"/>
          <w:numId w:val="18"/>
        </w:numPr>
        <w:overflowPunct w:val="0"/>
        <w:autoSpaceDE w:val="0"/>
        <w:autoSpaceDN w:val="0"/>
        <w:adjustRightInd w:val="0"/>
        <w:ind w:left="284" w:hanging="141"/>
        <w:textAlignment w:val="baseline"/>
        <w:rPr>
          <w:szCs w:val="22"/>
        </w:rPr>
      </w:pPr>
      <w:r w:rsidRPr="00DA20F5">
        <w:rPr>
          <w:szCs w:val="22"/>
        </w:rPr>
        <w:t>Opatrenie MPSVR SR č. 497/2010 Z. z., ktorým sa ustanovu</w:t>
      </w:r>
      <w:r w:rsidR="00E138B1" w:rsidRPr="00DA20F5">
        <w:rPr>
          <w:szCs w:val="22"/>
        </w:rPr>
        <w:t>je výška dôchodkovej hodnoty na </w:t>
      </w:r>
      <w:r w:rsidRPr="00DA20F5">
        <w:rPr>
          <w:szCs w:val="22"/>
        </w:rPr>
        <w:t xml:space="preserve">rok 2011. Dôchodková hodnota sa v roku 2011 zvýšila na 9,5756 </w:t>
      </w:r>
      <w:r w:rsidR="00F7214D" w:rsidRPr="00DA20F5">
        <w:rPr>
          <w:szCs w:val="22"/>
        </w:rPr>
        <w:t>€</w:t>
      </w:r>
      <w:r w:rsidRPr="00DA20F5">
        <w:rPr>
          <w:szCs w:val="22"/>
        </w:rPr>
        <w:t xml:space="preserve"> z 9,2246 </w:t>
      </w:r>
      <w:r w:rsidR="00F7214D" w:rsidRPr="00DA20F5">
        <w:rPr>
          <w:szCs w:val="22"/>
        </w:rPr>
        <w:t>€</w:t>
      </w:r>
      <w:r w:rsidRPr="00DA20F5">
        <w:rPr>
          <w:szCs w:val="22"/>
        </w:rPr>
        <w:t xml:space="preserve"> v roku 2010. Výška aktuálnej dôchodkovej hodnoty sa používa pri určení sumy dôchodku.</w:t>
      </w:r>
    </w:p>
    <w:p w:rsidR="00826B8F" w:rsidRPr="00DA20F5" w:rsidRDefault="00826B8F" w:rsidP="000B4550">
      <w:pPr>
        <w:numPr>
          <w:ilvl w:val="0"/>
          <w:numId w:val="18"/>
        </w:numPr>
        <w:overflowPunct w:val="0"/>
        <w:autoSpaceDE w:val="0"/>
        <w:autoSpaceDN w:val="0"/>
        <w:adjustRightInd w:val="0"/>
        <w:ind w:left="284" w:hanging="141"/>
        <w:textAlignment w:val="baseline"/>
        <w:rPr>
          <w:szCs w:val="22"/>
        </w:rPr>
      </w:pPr>
      <w:r w:rsidRPr="00DA20F5">
        <w:rPr>
          <w:szCs w:val="22"/>
        </w:rPr>
        <w:t xml:space="preserve">Opatrenie MPSVR SR č. 404/2010 Z. z., ktorým sa ustanovuje percento zvýšenia dôchodkovej dávky v roku 2011. Od 1. januára 2011 sa dôchodkové dávky zvýšili o 1,8 %. O vyššie uvedené percento sa zvýšili aj úrazové dávky. </w:t>
      </w:r>
    </w:p>
    <w:p w:rsidR="00826B8F" w:rsidRPr="00DA20F5" w:rsidRDefault="00826B8F" w:rsidP="000B4550">
      <w:pPr>
        <w:numPr>
          <w:ilvl w:val="0"/>
          <w:numId w:val="18"/>
        </w:numPr>
        <w:overflowPunct w:val="0"/>
        <w:autoSpaceDE w:val="0"/>
        <w:autoSpaceDN w:val="0"/>
        <w:adjustRightInd w:val="0"/>
        <w:ind w:left="284" w:hanging="141"/>
        <w:textAlignment w:val="baseline"/>
        <w:rPr>
          <w:szCs w:val="22"/>
        </w:rPr>
      </w:pPr>
      <w:r w:rsidRPr="00DA20F5">
        <w:rPr>
          <w:szCs w:val="22"/>
        </w:rPr>
        <w:t xml:space="preserve">Opatrenie MPSVR SR č. 131/2011 Z. z., ktorým sa ustanovuje suma všeobecného vymeriavacieho základu na kalendárny rok 2010, ktoré nadobudlo účinnosť 30. apríla 2011. Suma všeobecného vymeriavacieho základu za kalendárny rok 2010 bola 9 228 €. </w:t>
      </w:r>
    </w:p>
    <w:p w:rsidR="007640EE" w:rsidRPr="00DA20F5" w:rsidRDefault="007640EE" w:rsidP="000B4550">
      <w:pPr>
        <w:numPr>
          <w:ilvl w:val="0"/>
          <w:numId w:val="18"/>
        </w:numPr>
        <w:overflowPunct w:val="0"/>
        <w:autoSpaceDE w:val="0"/>
        <w:autoSpaceDN w:val="0"/>
        <w:adjustRightInd w:val="0"/>
        <w:ind w:left="284" w:hanging="141"/>
        <w:textAlignment w:val="baseline"/>
      </w:pPr>
      <w:r w:rsidRPr="00DA20F5">
        <w:rPr>
          <w:szCs w:val="22"/>
        </w:rPr>
        <w:t>1. augusta 2011 nadobudol účinnosť zákon č. 242/2011 Z. z., k</w:t>
      </w:r>
      <w:r w:rsidR="00E138B1" w:rsidRPr="00DA20F5">
        <w:rPr>
          <w:szCs w:val="22"/>
        </w:rPr>
        <w:t>torým sa mení a dopĺňa zákon č. </w:t>
      </w:r>
      <w:r w:rsidRPr="00DA20F5">
        <w:rPr>
          <w:szCs w:val="22"/>
        </w:rPr>
        <w:t>592/2006 Z. z. o poskytovaní vianočného príspevku niektorým poberateľom dôchodku a o doplnení niektorých zákonov v znení neskorších predpisov. Pevne stanovil hranicu sumy dôchodkovej dávky na nárok na vianočný príspevok (</w:t>
      </w:r>
      <w:r w:rsidR="00E138B1" w:rsidRPr="00DA20F5">
        <w:t>60 % priemernej mesačnej mzdy v </w:t>
      </w:r>
      <w:r w:rsidRPr="00DA20F5">
        <w:t xml:space="preserve">hospodárstve Slovenskej republiky) a naviazal sumy vianočného príspevku na životné minimum: </w:t>
      </w:r>
    </w:p>
    <w:p w:rsidR="007640EE" w:rsidRPr="00DA20F5" w:rsidRDefault="007640EE" w:rsidP="000B4550">
      <w:pPr>
        <w:pStyle w:val="Odsekzoznamu"/>
        <w:numPr>
          <w:ilvl w:val="0"/>
          <w:numId w:val="21"/>
        </w:numPr>
        <w:ind w:left="567" w:hanging="1"/>
      </w:pPr>
      <w:r w:rsidRPr="00DA20F5">
        <w:t xml:space="preserve">ak je suma dôchodku alebo úhrn súm dôchodkov poberateľa dôchodku najviac v sume životného minima pre jednu plnoletú fyzickú osobu, výška vianočného príspevku je 66,39 </w:t>
      </w:r>
      <w:r w:rsidR="00AF20A2" w:rsidRPr="00DA20F5">
        <w:t>€</w:t>
      </w:r>
    </w:p>
    <w:p w:rsidR="007640EE" w:rsidRPr="00DA20F5" w:rsidRDefault="007640EE" w:rsidP="000B4550">
      <w:pPr>
        <w:pStyle w:val="Odsekzoznamu"/>
        <w:numPr>
          <w:ilvl w:val="0"/>
          <w:numId w:val="21"/>
        </w:numPr>
        <w:ind w:left="567" w:hanging="1"/>
        <w:rPr>
          <w:rStyle w:val="new"/>
        </w:rPr>
      </w:pPr>
      <w:r w:rsidRPr="00DA20F5">
        <w:t>ak je suma dôchodku alebo úhrn súm dôchodkov poberateľa dôchodku vyššia ako suma životného minima pre jednu plnoletú fyzickú osobu, výška vianočného príspevku sa vypočíta podľa vzorca VP = 66,39 – 0,10* (D – ŽM), kde VP je suma vianočného príspevku, D je suma dôchodku alebo úhrn súm dôchodkov a ŽM je suma životného minima pre jednu plnoletú fyzickú osobu. Celkový počet dôchodcov, ktorým bol vyplatený vianočný príspevok v roku 2011 bol 1 143 758 dôchodcov.</w:t>
      </w:r>
    </w:p>
    <w:p w:rsidR="00826B8F" w:rsidRPr="00DA20F5" w:rsidRDefault="00826B8F" w:rsidP="00D36FB8">
      <w:pPr>
        <w:ind w:firstLine="426"/>
        <w:rPr>
          <w:szCs w:val="22"/>
        </w:rPr>
      </w:pPr>
      <w:r w:rsidRPr="00DA20F5">
        <w:rPr>
          <w:szCs w:val="22"/>
        </w:rPr>
        <w:t>Zákon o sociálnom poistení prešiel v roku 2011 niekoľkými zmenami. V roku 2011 nadobudli účinnosť niektoré body zákona č. 572/2009 Z. z. (osemnásty bod, dvadsiaty druhý bod, dvadsiaty siedmy bod až tridsiaty prvý bod a § 293bn v štyridsiatom bode v čl. I),</w:t>
      </w:r>
      <w:r w:rsidR="00E138B1" w:rsidRPr="00DA20F5">
        <w:rPr>
          <w:szCs w:val="22"/>
        </w:rPr>
        <w:t xml:space="preserve"> zákon č. 543/2010 Z. z., zákon </w:t>
      </w:r>
      <w:r w:rsidRPr="00DA20F5">
        <w:rPr>
          <w:szCs w:val="22"/>
        </w:rPr>
        <w:t>č. 125/2011 Z. z., zákon č. 223/2011 Z. z., zákon č. 250/2011 Z. z. a zákon č. 334/2011 Z. z.</w:t>
      </w:r>
    </w:p>
    <w:p w:rsidR="00826B8F" w:rsidRPr="00DA20F5" w:rsidRDefault="00826B8F" w:rsidP="00D36FB8">
      <w:pPr>
        <w:ind w:firstLine="426"/>
        <w:rPr>
          <w:bCs/>
          <w:szCs w:val="22"/>
        </w:rPr>
      </w:pPr>
      <w:r w:rsidRPr="00DA20F5">
        <w:rPr>
          <w:szCs w:val="22"/>
        </w:rPr>
        <w:t xml:space="preserve">Zákonom č. 572/2009 Z. z., </w:t>
      </w:r>
      <w:r w:rsidRPr="00DA20F5">
        <w:rPr>
          <w:bCs/>
          <w:szCs w:val="22"/>
        </w:rPr>
        <w:t>ktorým sa mení a dopĺňa zákon č. 461/2003 Z. z. o sociálnom poistení v znení neskorších predpisov a o zmene a doplnení niektorých zákonov sa s účinnosťou od</w:t>
      </w:r>
      <w:r w:rsidR="00E138B1" w:rsidRPr="00DA20F5">
        <w:rPr>
          <w:bCs/>
          <w:szCs w:val="22"/>
        </w:rPr>
        <w:t> </w:t>
      </w:r>
      <w:r w:rsidRPr="00DA20F5">
        <w:rPr>
          <w:bCs/>
          <w:szCs w:val="22"/>
        </w:rPr>
        <w:t xml:space="preserve">1. januára 2011 odstránila povinnosť samostatne zárobkovo činnej osoby (ďalej len „SZČO“) predkladať príslušnej pobočke Sociálnej poisťovne výpis z daňového priznania, výpis z opravného daňového priznania za predchádzajúci kalendárny rok, ako ani dodatočné daňové priznanie. Zároveň sa ustanovila povinnosť </w:t>
      </w:r>
      <w:r w:rsidRPr="00DA20F5">
        <w:rPr>
          <w:rStyle w:val="new"/>
          <w:szCs w:val="22"/>
        </w:rPr>
        <w:t xml:space="preserve">Daňového riaditeľstva Slovenskej republiky oznámiť Sociálnej poisťovni </w:t>
      </w:r>
      <w:r w:rsidRPr="00DA20F5">
        <w:rPr>
          <w:rStyle w:val="new"/>
          <w:szCs w:val="22"/>
        </w:rPr>
        <w:lastRenderedPageBreak/>
        <w:t xml:space="preserve">údaje o jednotlivých obdobiach výkonu zárobkovej činnosti SZČO prvýkrát v roku 2011 za rok 2010. </w:t>
      </w:r>
      <w:r w:rsidRPr="00DA20F5">
        <w:rPr>
          <w:bCs/>
          <w:szCs w:val="22"/>
        </w:rPr>
        <w:t xml:space="preserve">Toto opatrenie značne prispelo k zníženiu administratívnej záťaže SZČO. </w:t>
      </w:r>
    </w:p>
    <w:p w:rsidR="00826B8F" w:rsidRPr="00DA20F5" w:rsidRDefault="00826B8F" w:rsidP="00D36FB8">
      <w:pPr>
        <w:ind w:firstLine="426"/>
        <w:rPr>
          <w:bCs/>
          <w:szCs w:val="22"/>
        </w:rPr>
      </w:pPr>
      <w:r w:rsidRPr="00DA20F5">
        <w:rPr>
          <w:bCs/>
          <w:szCs w:val="22"/>
        </w:rPr>
        <w:t xml:space="preserve">Zákonom č. 543/2010 Z. z., ktorým sa mení a dopĺňa zákon č. 461/2003 Z. z. o sociálnom poistení v znení neskorších predpisov a o zmene a doplnení niektorých zákonov došlo k zásadným zmenám zákona o sociálnom poistení. </w:t>
      </w:r>
    </w:p>
    <w:p w:rsidR="00826B8F" w:rsidRPr="00DA20F5" w:rsidRDefault="00826B8F" w:rsidP="00D36FB8">
      <w:pPr>
        <w:ind w:firstLine="426"/>
        <w:rPr>
          <w:szCs w:val="22"/>
        </w:rPr>
      </w:pPr>
      <w:r w:rsidRPr="00DA20F5">
        <w:rPr>
          <w:szCs w:val="22"/>
        </w:rPr>
        <w:t>V súlade s cieľom zjednotenia výberu daní a odvodov sa novo definovali základné pojmy (zárobková činnosť, zamestnanec, SZČO, zamestnávateľ, vymeriavací základ). Súčasne sa aj novo definoval osobný rozsah sociálneho poistenia a vznik a zánik sociálneho poistenia tak, aby tieto základné pojmy a zásady boli kompatibilné s príslušnými daňovými predpismi.</w:t>
      </w:r>
    </w:p>
    <w:p w:rsidR="00826B8F" w:rsidRPr="00DA20F5" w:rsidRDefault="00826B8F" w:rsidP="00D36FB8">
      <w:pPr>
        <w:ind w:firstLine="426"/>
        <w:rPr>
          <w:szCs w:val="22"/>
        </w:rPr>
      </w:pPr>
      <w:r w:rsidRPr="00DA20F5">
        <w:rPr>
          <w:szCs w:val="22"/>
        </w:rPr>
        <w:t>Upustilo sa od taxatívneho uvedenia fyzických osôb, ktoré patria do okruhu zamestnancov a SZČO. Fyzické osoby, ktoré sú povinné odvádzať daň z príjmu podľa § 5 ods. 1 písm. a) až h), ods. 2 a 3 zákona</w:t>
      </w:r>
      <w:r w:rsidRPr="00DA20F5">
        <w:rPr>
          <w:b/>
          <w:szCs w:val="22"/>
        </w:rPr>
        <w:t xml:space="preserve"> </w:t>
      </w:r>
      <w:r w:rsidRPr="00DA20F5">
        <w:rPr>
          <w:szCs w:val="22"/>
        </w:rPr>
        <w:t>č. 595/2003 Z. z. o dani z príjmov v znení neskorších predpisov zo zárobkovej činnosti, z ktorej majú príjem zdaňovaný ako príjem zo závislej činnosti, boli zahrnuté do okruhu zamestnancov podľa zákona o sociálnom poistení a sú povinné platiť poistné na sociálne poistenie. Okruh SZČO sa rozšíril na všetky fyzické osoby, ktoré sú povinné odvádzať daň z príjmu podľa § 6 ods. 1 a 2 zákona č. 595/2003 Z. z. o dani z príjmov v znení neskorších predpisov zo zárobkovej činnosti, z ktorej majú príjem zdaňovaný ako príjem z podnikania, alebo inej samostatnej zárobkovej činnosti.</w:t>
      </w:r>
    </w:p>
    <w:p w:rsidR="00826B8F" w:rsidRPr="00DA20F5" w:rsidRDefault="00826B8F" w:rsidP="00D36FB8">
      <w:pPr>
        <w:pStyle w:val="Zarkazkladnhotextu"/>
        <w:tabs>
          <w:tab w:val="clear" w:pos="360"/>
        </w:tabs>
        <w:ind w:left="0" w:firstLine="426"/>
        <w:rPr>
          <w:b w:val="0"/>
          <w:sz w:val="22"/>
          <w:szCs w:val="22"/>
          <w:lang w:val="sk-SK"/>
        </w:rPr>
      </w:pPr>
      <w:r w:rsidRPr="00DA20F5">
        <w:rPr>
          <w:b w:val="0"/>
          <w:sz w:val="22"/>
          <w:szCs w:val="22"/>
          <w:lang w:val="sk-SK"/>
        </w:rPr>
        <w:t>V súvislosti so zmenami podmienok nároku na predčasný starobný dôchodok a jeho výplatu sa vylúčila možnosť dobrovoľného nemocenského poistenia a dobrovoľného dôchodkového poistenia pre poberateľov tohto dôchodku a upravil sa zánik dobrovoľného nemocenského poistenia a dobrovoľného dôchodkového poistenia dňom priznania predčasného starobného dôchodku. Z okruhu osôb, ktoré mali možnosť sa dobrovoľne nemocensky poistiť sa vylúčili okrem toho aj osoby, ktorým bol priznaný starobný dôchodok a invalidný dôchodok z dôvodu poklesu schopnosti vykonávať zárobkovú činnosť o viac ako 70%.</w:t>
      </w:r>
    </w:p>
    <w:p w:rsidR="00826B8F" w:rsidRPr="00DA20F5" w:rsidRDefault="00826B8F" w:rsidP="00D36FB8">
      <w:pPr>
        <w:pStyle w:val="Zarkazkladnhotextu"/>
        <w:tabs>
          <w:tab w:val="clear" w:pos="360"/>
        </w:tabs>
        <w:ind w:left="0" w:firstLine="426"/>
        <w:rPr>
          <w:b w:val="0"/>
          <w:sz w:val="22"/>
          <w:szCs w:val="22"/>
          <w:lang w:val="sk-SK"/>
        </w:rPr>
      </w:pPr>
      <w:r w:rsidRPr="00DA20F5">
        <w:rPr>
          <w:b w:val="0"/>
          <w:sz w:val="22"/>
          <w:szCs w:val="22"/>
          <w:lang w:val="sk-SK"/>
        </w:rPr>
        <w:t>Z osobného rozsahu poistenia v nezamestnanosti sa vylúčili aj fyzické osoby, ktoré majú priznaný invalidný dôchodok a dovŕšili dôchodkový vek z dôvodu, aby nemuseli platiť poistné na poistenie v nezamestnanosti, keďže tieto osoby nezaevidujú na úrade práce ako uchádzačov o zamestnanie, a preto im nevznikne nárok na dávku v nezamestnanosti.</w:t>
      </w:r>
    </w:p>
    <w:p w:rsidR="00826B8F" w:rsidRPr="00DA20F5" w:rsidRDefault="00826B8F" w:rsidP="00D36FB8">
      <w:pPr>
        <w:pStyle w:val="Zarkazkladnhotextu"/>
        <w:tabs>
          <w:tab w:val="clear" w:pos="360"/>
        </w:tabs>
        <w:ind w:left="0" w:firstLine="426"/>
        <w:rPr>
          <w:b w:val="0"/>
          <w:sz w:val="22"/>
          <w:szCs w:val="22"/>
          <w:lang w:val="sk-SK"/>
        </w:rPr>
      </w:pPr>
      <w:r w:rsidRPr="00DA20F5">
        <w:rPr>
          <w:b w:val="0"/>
          <w:sz w:val="22"/>
          <w:szCs w:val="22"/>
          <w:lang w:val="sk-SK"/>
        </w:rPr>
        <w:t>Vznik povinného nemocenského poistenia, povinného dôchodkového poistenia a povinného poistenia v nezamestnanosti sa v nadväznosti na novú definíciu zamestnanca a zosúladenie okruhu poistencov s okruhom platiteľov dane z príjmov zo závislej činnosti naviazal na vznik a zánik právneho vzťahu zakladajúceho právo na príjem zo závislej činnosti, ktorý podlieha dani z príjmov. Zánik povinného nemocenského poistenia a povinného dôchodkovéh</w:t>
      </w:r>
      <w:r w:rsidR="00E138B1" w:rsidRPr="00DA20F5">
        <w:rPr>
          <w:b w:val="0"/>
          <w:sz w:val="22"/>
          <w:szCs w:val="22"/>
          <w:lang w:val="sk-SK"/>
        </w:rPr>
        <w:t>o poistenia SZČO sa naviazal na </w:t>
      </w:r>
      <w:r w:rsidRPr="00DA20F5">
        <w:rPr>
          <w:b w:val="0"/>
          <w:sz w:val="22"/>
          <w:szCs w:val="22"/>
          <w:lang w:val="sk-SK"/>
        </w:rPr>
        <w:t>stratu oprávnenia vykonávať, resp. prevádzkovať podnikanie alebo samostatnú zárobkovú činnosť. Povinné nemocenské poistenie a povinné dôchodkové poistenie SZČO zaniká odo dňa, od ktorého už nie je oprávnená na výkon alebo prevádzkovanie svojej činnosti. Pri opätovnom začatí výkonu činnosti SZČO jej povinné nemocenské poistenia a povinné dôchodkové poistenie vznikne odo dňa opätovného výkonu samostatnej zárobkovej činnosti po jej sk</w:t>
      </w:r>
      <w:r w:rsidR="00E138B1" w:rsidRPr="00DA20F5">
        <w:rPr>
          <w:b w:val="0"/>
          <w:sz w:val="22"/>
          <w:szCs w:val="22"/>
          <w:lang w:val="sk-SK"/>
        </w:rPr>
        <w:t>ončení alebo prerušení, a to za </w:t>
      </w:r>
      <w:r w:rsidRPr="00DA20F5">
        <w:rPr>
          <w:b w:val="0"/>
          <w:sz w:val="22"/>
          <w:szCs w:val="22"/>
          <w:lang w:val="sk-SK"/>
        </w:rPr>
        <w:t>predpokladu splnenia podmienky minimálneho príjmu za kalendárny rok, ktorý podmieňuje vznik povinného nemocenského poistenia a povinného dôchodkového poistenia.</w:t>
      </w:r>
    </w:p>
    <w:p w:rsidR="00826B8F" w:rsidRPr="00DA20F5" w:rsidRDefault="00826B8F" w:rsidP="00D36FB8">
      <w:pPr>
        <w:pStyle w:val="Zarkazkladnhotextu"/>
        <w:tabs>
          <w:tab w:val="clear" w:pos="360"/>
        </w:tabs>
        <w:ind w:left="0" w:firstLine="426"/>
        <w:rPr>
          <w:b w:val="0"/>
          <w:sz w:val="22"/>
          <w:szCs w:val="22"/>
          <w:lang w:val="sk-SK"/>
        </w:rPr>
      </w:pPr>
      <w:r w:rsidRPr="00DA20F5">
        <w:rPr>
          <w:b w:val="0"/>
          <w:sz w:val="22"/>
          <w:szCs w:val="22"/>
          <w:lang w:val="sk-SK"/>
        </w:rPr>
        <w:t>S cieľom redukovať špekulatívne poberanie nemocenských dávok a v záujme efektívneho a účelného vynakladania finančných prostriedkov na tieto dávky sa skrátila ochranná lehota z pôvodných 42 dní na 7 dní.</w:t>
      </w:r>
    </w:p>
    <w:p w:rsidR="00826B8F" w:rsidRPr="00DA20F5" w:rsidRDefault="00826B8F" w:rsidP="00D36FB8">
      <w:pPr>
        <w:ind w:firstLine="426"/>
        <w:rPr>
          <w:szCs w:val="22"/>
        </w:rPr>
      </w:pPr>
      <w:r w:rsidRPr="00DA20F5">
        <w:rPr>
          <w:szCs w:val="22"/>
        </w:rPr>
        <w:t xml:space="preserve">Sprísnili sa všeobecné podmienky nároku na nemocenské dávky zamestnanca vylúčením možnosti vzniku nároku na nemocenskú dávku počas trvania nároku na výplatu nemocenskej dávky vyplácanej po zániku nemocenského poistenia. Nárok na nemocenskú dávku v období, v ktorom trvá dôvod na jej poskytnutie, sa podmienil stratou nároku na príjem zdaňovaný podľa zákona č. 595/2003 Z. z. o dani z príjmov v znení neskorších predpisov (ďalej len „zákon o dani z príjmov“), ktorý je vymeriavacím základom na platenie poistného na nemocenské poistenie. </w:t>
      </w:r>
    </w:p>
    <w:p w:rsidR="00826B8F" w:rsidRPr="00DA20F5" w:rsidRDefault="00826B8F" w:rsidP="00D36FB8">
      <w:pPr>
        <w:ind w:firstLine="426"/>
        <w:rPr>
          <w:szCs w:val="22"/>
        </w:rPr>
      </w:pPr>
      <w:r w:rsidRPr="00DA20F5">
        <w:rPr>
          <w:szCs w:val="22"/>
        </w:rPr>
        <w:t xml:space="preserve">Sprísnili sa podmienky nároku na ošetrovné dobrovoľne nemocensky poistených osôb ustanovením minimálneho obdobia tohto poistenia na 270 dní, obdobne, ako je to pri nemocenskom. </w:t>
      </w:r>
    </w:p>
    <w:p w:rsidR="00826B8F" w:rsidRPr="00DA20F5" w:rsidRDefault="00826B8F" w:rsidP="00D36FB8">
      <w:pPr>
        <w:ind w:firstLine="426"/>
        <w:rPr>
          <w:szCs w:val="22"/>
        </w:rPr>
      </w:pPr>
      <w:r w:rsidRPr="00DA20F5">
        <w:rPr>
          <w:szCs w:val="22"/>
        </w:rPr>
        <w:t xml:space="preserve">V nadväznosti na skúsenosti získané z aplikačnej praxe sa spresnili podmienky nároku na výplatu ošetrovného tak, že sa ošetrovné vyplatí za to isté obdobie ošetrovania jednej alebo viacerých fyzických osôb alebo starostlivosti o jedno alebo viacero detí len raz a v tom istom prípade len </w:t>
      </w:r>
      <w:r w:rsidRPr="00DA20F5">
        <w:rPr>
          <w:szCs w:val="22"/>
        </w:rPr>
        <w:lastRenderedPageBreak/>
        <w:t>jednému poistencovi. Vzhľadom na to, že účelom nemocenských dávok je náhrada uchádzajúceho príjmu, pri ošetrovaní alebo starostlivosti viacerých osôb nie je odôvodená duplicitná výplata ošetrovného.</w:t>
      </w:r>
    </w:p>
    <w:p w:rsidR="00826B8F" w:rsidRPr="00DA20F5" w:rsidRDefault="00826B8F" w:rsidP="00D36FB8">
      <w:pPr>
        <w:ind w:firstLine="426"/>
        <w:rPr>
          <w:szCs w:val="22"/>
        </w:rPr>
      </w:pPr>
      <w:r w:rsidRPr="00DA20F5">
        <w:rPr>
          <w:szCs w:val="22"/>
        </w:rPr>
        <w:t xml:space="preserve">Predĺžilo sa obdobie poskytovania materského mamičkám - poistenkyniam z pôvodných 28 týždňov na 34 týždňov a z pôvodných 37 týždňov na 43 týždňov v prípade, ak porodila zároveň dve alebo viac detí a aspoň o dve z nich sa stará. Obdobie poskytovania materského v prípade osamelej mamičky zostalo 37 týždňov. Taktiež sa predĺžilo obdobie poberania materského iným poistencom (t. j. otec dieťaťa, manžel matky, resp. manželka otca, alebo iná osoba, ktorá sa o dieťa stará na základe rozhodnutia príslušného orgánu) z pôvodných 22 týždňov na 28 týždňov a z pôvodných 31 týždňov na 37 týždňov, ak sa zároveň stará o dve alebo viac detí, ktoré prevzal do starostlivosti. V prípade osamelého poistenca zostalo zachované </w:t>
      </w:r>
      <w:r w:rsidR="00E138B1" w:rsidRPr="00DA20F5">
        <w:rPr>
          <w:szCs w:val="22"/>
        </w:rPr>
        <w:t>obdobie poberania materského 31 </w:t>
      </w:r>
      <w:r w:rsidRPr="00DA20F5">
        <w:rPr>
          <w:szCs w:val="22"/>
        </w:rPr>
        <w:t xml:space="preserve">týždňov. Súčasne sa predĺžilo obdobie, v rámci ktorého má iný poistenec nárok na materské, a to z pôvodného obdobia do dovŕšenia ôsmich mesiacov veku dieťaťa až na obdobie do dovŕšenia troch rokov veku dieťaťa. </w:t>
      </w:r>
    </w:p>
    <w:p w:rsidR="00826B8F" w:rsidRPr="00DA20F5" w:rsidRDefault="00826B8F" w:rsidP="00D36FB8">
      <w:pPr>
        <w:ind w:firstLine="426"/>
        <w:rPr>
          <w:szCs w:val="22"/>
        </w:rPr>
      </w:pPr>
      <w:r w:rsidRPr="00DA20F5">
        <w:rPr>
          <w:szCs w:val="22"/>
        </w:rPr>
        <w:t>Zvýšila sa výška materského z pôvodných 55 % denného vymeriavacieho základu, resp. pravdepodobného denného vymeriavacieho základu na 60 % denného vymeriavacieho základu, resp. pravdepodobného denného vymeriavacieho základu.</w:t>
      </w:r>
    </w:p>
    <w:p w:rsidR="00826B8F" w:rsidRPr="00DA20F5" w:rsidRDefault="00826B8F" w:rsidP="00D36FB8">
      <w:pPr>
        <w:ind w:firstLine="426"/>
        <w:rPr>
          <w:szCs w:val="22"/>
        </w:rPr>
      </w:pPr>
      <w:r w:rsidRPr="00DA20F5">
        <w:rPr>
          <w:szCs w:val="22"/>
        </w:rPr>
        <w:t xml:space="preserve">Zmenilo sa určovanie rozhodujúceho obdobia zamestnanca podľa toho, či jeho nemocenské poistenie trvalo aspoň 90 dní. Ak nemocenské poistenie zamestnanca trvalo nepretržite celý predchádzajúci kalendárny rok, rozhodujúcim obdobím na určenie denného vymeriavacieho základu je predchádzajúci kalendárny rok. Ak mu vzniklo nemocenské poistenie v predchádzajúcom roku a má aspoň 90 dní nepretržitého nemocenského poistenia, je rozhodujúcim obdobím obdobie odo dňa vzniku tohto poistenia do konca predchádzajúceho roka. Ak mu vzniklo nemocenské poistenie v tomto roku a má aspoň 90 dní nepretržitého nemocenského poistenia, je rozhodujúcim obdobím obdobie odo dňa vzniku tohto poistenia do konca mesiaca predchádzajúceho dňu vzniku sociálnej udalosti. </w:t>
      </w:r>
      <w:r w:rsidR="00E138B1" w:rsidRPr="00DA20F5">
        <w:rPr>
          <w:snapToGrid w:val="0"/>
          <w:szCs w:val="22"/>
        </w:rPr>
        <w:t>Ak </w:t>
      </w:r>
      <w:r w:rsidRPr="00DA20F5">
        <w:rPr>
          <w:snapToGrid w:val="0"/>
          <w:szCs w:val="22"/>
        </w:rPr>
        <w:t>nemocenské poistenie zamestnanca pred vznikom dôvodu na poskytnutie nemocenskej dávky trvalo menej ako 90 dní od vzniku tohto nemocenského poistenia, rozhodujúcim obdobím je kalendárny rok predchádzajúci kalendárnemu roku, v ktorom vznikol dôvod na poskytnutie nemocenskej dávky okrem obdobia nemocenského poistenia dosiahnutého u zamestnávateľa, u ktorého vznikol dôvod na poskytnutie nemocenskej dávky.</w:t>
      </w:r>
    </w:p>
    <w:p w:rsidR="00826B8F" w:rsidRPr="00DA20F5" w:rsidRDefault="00826B8F" w:rsidP="00D36FB8">
      <w:pPr>
        <w:ind w:firstLine="426"/>
        <w:rPr>
          <w:szCs w:val="22"/>
        </w:rPr>
      </w:pPr>
      <w:r w:rsidRPr="00DA20F5">
        <w:rPr>
          <w:szCs w:val="22"/>
        </w:rPr>
        <w:t>Zmenila sa tiež úprava pravdepodobného denného vymeriavacieho základu na určenie výšky nemocenských dávok. Vo všeobecnosti je pravdepodobným denným vymeriavacím základom jedna tridsatina 44,2 % jednej dvanástiny všeobecného vymeriavacieho základu za kalendárny rok, ktorý dva roky predchádza kalendárnemu roku, v ktorom vznikol dôvodu na poskytnutie nemocenskej dávky (t. j. jedna tridsatina 44,2 % priemernej mesačnej mzdy v hospodárstve Slovenskej republiky spred dvoch rokov). Výnimkou je len p</w:t>
      </w:r>
      <w:r w:rsidRPr="00DA20F5">
        <w:rPr>
          <w:rFonts w:eastAsia="PalatinoLinotype-Roman"/>
          <w:szCs w:val="22"/>
        </w:rPr>
        <w:t>ravdepodobný denný vymeriavací základ poistenca, ktorý mal prerušené povinné nemocenské poistenie z dôvodu čerpania rodičovskej dovolenky alebo z dôvodu nároku na rodičovský príspevok, ktorého pravdepodobným denným vymeriavacím základom je jedna tridsatina vymeriavacieho základu, z ktorého by sa platilo poi</w:t>
      </w:r>
      <w:r w:rsidR="00E138B1" w:rsidRPr="00DA20F5">
        <w:rPr>
          <w:rFonts w:eastAsia="PalatinoLinotype-Roman"/>
          <w:szCs w:val="22"/>
        </w:rPr>
        <w:t>stné na nemocenské poistenie za </w:t>
      </w:r>
      <w:r w:rsidRPr="00DA20F5">
        <w:rPr>
          <w:rFonts w:eastAsia="PalatinoLinotype-Roman"/>
          <w:szCs w:val="22"/>
        </w:rPr>
        <w:t>kalendárny mesiac, v ktorom vznikol dôvod na poskytnutie nemocenskej dávky.</w:t>
      </w:r>
    </w:p>
    <w:p w:rsidR="00826B8F" w:rsidRPr="00DA20F5" w:rsidRDefault="00826B8F" w:rsidP="00D36FB8">
      <w:pPr>
        <w:ind w:firstLine="426"/>
        <w:rPr>
          <w:szCs w:val="22"/>
        </w:rPr>
      </w:pPr>
      <w:r w:rsidRPr="00DA20F5">
        <w:rPr>
          <w:szCs w:val="22"/>
        </w:rPr>
        <w:t>Z obdobia dôchodkového poistenia sa vylúčili tak obdobia, za kt</w:t>
      </w:r>
      <w:r w:rsidR="00E138B1" w:rsidRPr="00DA20F5">
        <w:rPr>
          <w:szCs w:val="22"/>
        </w:rPr>
        <w:t>oré nebolo zaplatené poistné na </w:t>
      </w:r>
      <w:r w:rsidRPr="00DA20F5">
        <w:rPr>
          <w:szCs w:val="22"/>
        </w:rPr>
        <w:t>dôchodkové poistenie, ak si povinnosti zamestnávateľa, a teda aj pla</w:t>
      </w:r>
      <w:r w:rsidR="00E138B1" w:rsidRPr="00DA20F5">
        <w:rPr>
          <w:szCs w:val="22"/>
        </w:rPr>
        <w:t>titeľa dane, plnil poistenec za </w:t>
      </w:r>
      <w:r w:rsidRPr="00DA20F5">
        <w:rPr>
          <w:szCs w:val="22"/>
        </w:rPr>
        <w:t>seba sám, ako aj obdobia, kedy zamestnanec s nepravidelným príjmom nemal vymeriavací základ na platenie poistného na dôchodkové poistenie.</w:t>
      </w:r>
    </w:p>
    <w:p w:rsidR="00826B8F" w:rsidRPr="00DA20F5" w:rsidRDefault="00826B8F" w:rsidP="00D36FB8">
      <w:pPr>
        <w:ind w:firstLine="426"/>
        <w:rPr>
          <w:szCs w:val="22"/>
        </w:rPr>
      </w:pPr>
      <w:r w:rsidRPr="00DA20F5">
        <w:rPr>
          <w:szCs w:val="22"/>
        </w:rPr>
        <w:t>V záujme udržania odôvodnenej miery solidarity v systéme dôchodkového poistenia sa zachováva redukcia a zvýšenie priemerného osobného mzdového bo</w:t>
      </w:r>
      <w:r w:rsidR="00E138B1" w:rsidRPr="00DA20F5">
        <w:rPr>
          <w:szCs w:val="22"/>
        </w:rPr>
        <w:t>du na účely výpočtu dôchodku na </w:t>
      </w:r>
      <w:r w:rsidRPr="00DA20F5">
        <w:rPr>
          <w:szCs w:val="22"/>
        </w:rPr>
        <w:t>úrovni hodnôt platných v roku 2011 aj v nasledujúcich rokoch.</w:t>
      </w:r>
    </w:p>
    <w:p w:rsidR="00826B8F" w:rsidRPr="00DA20F5" w:rsidRDefault="00826B8F" w:rsidP="00D36FB8">
      <w:pPr>
        <w:ind w:firstLine="426"/>
        <w:rPr>
          <w:szCs w:val="22"/>
        </w:rPr>
      </w:pPr>
      <w:r w:rsidRPr="00DA20F5">
        <w:rPr>
          <w:szCs w:val="22"/>
        </w:rPr>
        <w:t>Výplata predčasného starobného dôchodku sa podmienila nevykonávaním zárobkovej činnosti, ktorá zakladá povinné dôchodkové poistenie.</w:t>
      </w:r>
    </w:p>
    <w:p w:rsidR="00826B8F" w:rsidRPr="00DA20F5" w:rsidRDefault="00826B8F" w:rsidP="00D36FB8">
      <w:pPr>
        <w:ind w:firstLine="426"/>
        <w:rPr>
          <w:snapToGrid w:val="0"/>
          <w:szCs w:val="22"/>
        </w:rPr>
      </w:pPr>
      <w:r w:rsidRPr="00DA20F5">
        <w:rPr>
          <w:szCs w:val="22"/>
        </w:rPr>
        <w:t>Vzhľadom na skutočnosť, že rozhodujúce obdobie na určenie súm úrazových dávok je naviazané na rozhodujúce obdobie na určenie súm dávok nemocenského poistenia bolo potrebné osobitne vymedziť pri úrazovom poistení rozhodujúce obdobie zamestnanca, ktorý utrpel pracovný úraz alebo mu vznikla choroba z povolania v období kratšom ako 90 dní od vzniku nemocenského poistenia tak, že rozhodujúcim obdobím takéhoto zamestnanca je</w:t>
      </w:r>
      <w:r w:rsidRPr="00DA20F5">
        <w:rPr>
          <w:i/>
          <w:snapToGrid w:val="0"/>
          <w:szCs w:val="22"/>
        </w:rPr>
        <w:t xml:space="preserve"> </w:t>
      </w:r>
      <w:r w:rsidRPr="00DA20F5">
        <w:rPr>
          <w:snapToGrid w:val="0"/>
          <w:szCs w:val="22"/>
        </w:rPr>
        <w:t xml:space="preserve">obdobie od vzniku nemocenského poistenia do dňa </w:t>
      </w:r>
      <w:r w:rsidRPr="00DA20F5">
        <w:rPr>
          <w:snapToGrid w:val="0"/>
          <w:szCs w:val="22"/>
        </w:rPr>
        <w:lastRenderedPageBreak/>
        <w:t>predchádzajúceho dňu, v ktorom utrpel pracovný úraz alebo od ktorého bola zistená choroba z povolania.</w:t>
      </w:r>
    </w:p>
    <w:p w:rsidR="00826B8F" w:rsidRPr="00DA20F5" w:rsidRDefault="00826B8F" w:rsidP="00D36FB8">
      <w:pPr>
        <w:ind w:firstLine="426"/>
        <w:rPr>
          <w:snapToGrid w:val="0"/>
          <w:szCs w:val="22"/>
        </w:rPr>
      </w:pPr>
      <w:r w:rsidRPr="00DA20F5">
        <w:rPr>
          <w:snapToGrid w:val="0"/>
          <w:szCs w:val="22"/>
        </w:rPr>
        <w:t xml:space="preserve">Sadzba poistného na úrazové poistenie zostala aj v roku </w:t>
      </w:r>
      <w:r w:rsidRPr="00DA20F5">
        <w:rPr>
          <w:szCs w:val="22"/>
        </w:rPr>
        <w:t>2011 vo výške 0,8 % z vymeriavacieho základu.</w:t>
      </w:r>
    </w:p>
    <w:p w:rsidR="00826B8F" w:rsidRPr="00DA20F5" w:rsidRDefault="00826B8F" w:rsidP="00D36FB8">
      <w:pPr>
        <w:ind w:firstLine="426"/>
        <w:rPr>
          <w:szCs w:val="22"/>
        </w:rPr>
      </w:pPr>
      <w:r w:rsidRPr="00DA20F5">
        <w:rPr>
          <w:snapToGrid w:val="0"/>
          <w:szCs w:val="22"/>
        </w:rPr>
        <w:t>Za účelom zabránenia toho, aby osoby po rodičovskej dovolenke, ktoré zostali nezamestnané, nemali nárok na dávku v nezamestnanosti len z dôvodu, že nezískali potrebný počet rokov poistenia v nezamestnanosti, pretože počas rodičovskej dovolenky sa im prerušuje povinné poistenie v nezamestnanosti, sa doplnila úprava rozhodujúceho obdobia na zistenie denného vymeriavacieho základu na určenie výšky dávky v nezamestnanosti. Vo všeobecnosti je r</w:t>
      </w:r>
      <w:r w:rsidR="00E138B1" w:rsidRPr="00DA20F5">
        <w:rPr>
          <w:szCs w:val="22"/>
        </w:rPr>
        <w:t>ozhodujúce obdobie na </w:t>
      </w:r>
      <w:r w:rsidRPr="00DA20F5">
        <w:rPr>
          <w:szCs w:val="22"/>
        </w:rPr>
        <w:t>zistenie denného vymeriavacieho základu obdobie dvoch rokov predchádzajúcich dňu, v ktorom vznikol nárok na dávku v nezamestnanosti. Ak</w:t>
      </w:r>
      <w:r w:rsidRPr="00DA20F5">
        <w:rPr>
          <w:snapToGrid w:val="0"/>
          <w:szCs w:val="22"/>
        </w:rPr>
        <w:t xml:space="preserve"> v tomto rozhodujúcom období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pravdepodobný denný vymeriavací základ (</w:t>
      </w:r>
      <w:r w:rsidRPr="00DA20F5">
        <w:rPr>
          <w:szCs w:val="22"/>
        </w:rPr>
        <w:t>jedna tridsatina 44,2 % priemernej mesačnej mzdy v hospodárstve Slovenskej republiky spred dvoch rokov)</w:t>
      </w:r>
      <w:r w:rsidRPr="00DA20F5">
        <w:rPr>
          <w:snapToGrid w:val="0"/>
          <w:szCs w:val="22"/>
        </w:rPr>
        <w:t>.</w:t>
      </w:r>
    </w:p>
    <w:p w:rsidR="00826B8F" w:rsidRPr="00DA20F5" w:rsidRDefault="00826B8F" w:rsidP="00D36FB8">
      <w:pPr>
        <w:ind w:firstLine="426"/>
        <w:rPr>
          <w:szCs w:val="22"/>
        </w:rPr>
      </w:pPr>
      <w:r w:rsidRPr="00DA20F5">
        <w:rPr>
          <w:szCs w:val="22"/>
        </w:rPr>
        <w:t>Ustanovilo sa, že nárok na nemocenské dávky, dôchodkové dávky, úrazové dávky, dávku garančného poistenia a dávku v nezamestnanosti bude závisieť od plnenia povinností v sociálnom poistení, ak si povinnosti zamestnávateľa, a teda aj platiteľa dane, plní poistenec za seba sám. To znamená, že ak nezaplatí, resp. neodvedie poistné, nevznikne mu nárok na dávku.</w:t>
      </w:r>
      <w:r w:rsidR="00AC5AAB" w:rsidRPr="00DA20F5">
        <w:rPr>
          <w:szCs w:val="22"/>
        </w:rPr>
        <w:t xml:space="preserve"> </w:t>
      </w:r>
    </w:p>
    <w:p w:rsidR="00826B8F" w:rsidRPr="00DA20F5" w:rsidRDefault="00826B8F" w:rsidP="00D36FB8">
      <w:pPr>
        <w:ind w:firstLine="426"/>
        <w:rPr>
          <w:szCs w:val="22"/>
        </w:rPr>
      </w:pPr>
      <w:r w:rsidRPr="00DA20F5">
        <w:rPr>
          <w:szCs w:val="22"/>
        </w:rPr>
        <w:t>Zjednotil sa vymeriavací základ na platenie poistného na sociálne poistenie s príjmom zo závislej činnosti a s príjmom z podnikania alebo inej samostatnej zárobkovej činnosti, ktorý podlieha dani z príjmov podľa zákona č. 595/2003 Z. z. o dani z príjmov v znení neskorších predpisov.</w:t>
      </w:r>
    </w:p>
    <w:p w:rsidR="00826B8F" w:rsidRPr="00DA20F5" w:rsidRDefault="00826B8F" w:rsidP="00D36FB8">
      <w:pPr>
        <w:ind w:firstLine="426"/>
        <w:rPr>
          <w:szCs w:val="22"/>
        </w:rPr>
      </w:pPr>
      <w:r w:rsidRPr="00DA20F5">
        <w:rPr>
          <w:szCs w:val="22"/>
        </w:rPr>
        <w:t>Vzhľadom na zmeny v osobnom rozsahu zamestnancov sa pôvodné rozhodujúce ob</w:t>
      </w:r>
      <w:r w:rsidR="00E138B1" w:rsidRPr="00DA20F5">
        <w:rPr>
          <w:szCs w:val="22"/>
        </w:rPr>
        <w:t>dobie na </w:t>
      </w:r>
      <w:r w:rsidRPr="00DA20F5">
        <w:rPr>
          <w:szCs w:val="22"/>
        </w:rPr>
        <w:t>určenie vymeriavacieho základu podľa § 139 ods. 1 zákona o soc</w:t>
      </w:r>
      <w:r w:rsidR="00E138B1" w:rsidRPr="00DA20F5">
        <w:rPr>
          <w:szCs w:val="22"/>
        </w:rPr>
        <w:t>iálnom poistení aplikuje len na </w:t>
      </w:r>
      <w:r w:rsidRPr="00DA20F5">
        <w:rPr>
          <w:szCs w:val="22"/>
        </w:rPr>
        <w:t>pravidelne odmeňovaných zamestnancov. Nepravidelne odmeňovaným zamestnancom sa novo upravilo rozhodujúce obdobie tak, že ak zamestnancovi bol vyplatený príjem počas trvania dôchodkového poistenia, vymeriavací základ je pomerná časť tohto príjmu pripadajúca na každý kalendárny mesiac trvania tohto poistenia v poslednom kalendárnom roku okrem obdobia, za ktoré bolo zaplatené poistné na dôchodkové poistenie z maximálneho vymeriavacieho základu.</w:t>
      </w:r>
    </w:p>
    <w:p w:rsidR="00826B8F" w:rsidRPr="00DA20F5" w:rsidRDefault="00826B8F" w:rsidP="00D36FB8">
      <w:pPr>
        <w:ind w:firstLine="426"/>
        <w:rPr>
          <w:szCs w:val="22"/>
        </w:rPr>
      </w:pPr>
      <w:r w:rsidRPr="00DA20F5">
        <w:rPr>
          <w:szCs w:val="22"/>
        </w:rPr>
        <w:t>Príjem zo závislej činnosti podľa zákona o dani z príjmov, vyplatený po zániku poistenia, sa zahŕňa do vymeriavacieho základu. Vzhľadom na skutočnosť, že do vymeriavacieho základu sa zahŕňajú aj plnenia, ktoré zamestnávateľ vyplatil zamestnancovi po skončení pracovnoprávneho vzťahu, takto vyplatené plnenie sa pomerne rozpočíta na kalendárne mesiace posledného roku. Takto určená pomerná časť vymeriavacieho základu sa pripočíta k mesačnému vymeriavaciemu základu, z ktorého bolo odvedené poistné až do výšky maximálneho vymeriavacieho základu ustanoveného zákonom za obdobie, za ktoré sa poistné dopláca.</w:t>
      </w:r>
    </w:p>
    <w:p w:rsidR="00826B8F" w:rsidRPr="00DA20F5" w:rsidRDefault="00826B8F" w:rsidP="00D36FB8">
      <w:pPr>
        <w:pStyle w:val="Nzov"/>
        <w:spacing w:after="0" w:line="240" w:lineRule="auto"/>
        <w:ind w:firstLine="425"/>
        <w:rPr>
          <w:rFonts w:cs="Times New Roman"/>
          <w:bCs w:val="0"/>
          <w:color w:val="auto"/>
          <w:sz w:val="22"/>
          <w:szCs w:val="22"/>
          <w:lang w:eastAsia="sk-SK"/>
        </w:rPr>
      </w:pPr>
      <w:r w:rsidRPr="00DA20F5">
        <w:rPr>
          <w:rFonts w:cs="Times New Roman"/>
          <w:bCs w:val="0"/>
          <w:color w:val="auto"/>
          <w:sz w:val="22"/>
          <w:szCs w:val="22"/>
          <w:lang w:eastAsia="sk-SK"/>
        </w:rPr>
        <w:t>Zákonom č. 250/2011 Z. z., ktorým sa mení a dopĺňa zákon č. 581/2004 Z. z. o zdravotných poisťovniach, dohľade nad zdravotnou starostlivosťou a o zmene a doplnení niektorých zákonov v znení neskorších predpisov a o zmene a doplnení niektorých zákonov, sa s účinnosťou od 1. augusta 2011 ustanovuje povinnosť Sociálnej poisťovne oznamovať elektronicky na základe dohody Úradu pre dohľad nad zdravotnou starostlivosťou na účely výpočtu limitu spoluúčasti údaje podľa § 77c ods. 5 zákona č. 581/2004 Z. z. v znení zákona č. 250/2011 Z. z. a na účely vykonania ročného zúčtovania poistného údaje podľa § 29b ods. 13 zákona č. 580/2004 Z. z. v znení zákona č. 250/2011 Z. z.</w:t>
      </w:r>
    </w:p>
    <w:p w:rsidR="00826B8F" w:rsidRPr="00DA20F5" w:rsidRDefault="00826B8F" w:rsidP="000B4550">
      <w:pPr>
        <w:pStyle w:val="Nzov"/>
        <w:spacing w:after="0" w:line="240" w:lineRule="auto"/>
        <w:ind w:firstLine="425"/>
        <w:rPr>
          <w:rFonts w:cs="Times New Roman"/>
          <w:bCs w:val="0"/>
          <w:color w:val="auto"/>
          <w:sz w:val="22"/>
          <w:szCs w:val="22"/>
          <w:lang w:eastAsia="sk-SK"/>
        </w:rPr>
      </w:pPr>
      <w:r w:rsidRPr="00DA20F5">
        <w:rPr>
          <w:rFonts w:cs="Times New Roman"/>
          <w:bCs w:val="0"/>
          <w:color w:val="auto"/>
          <w:sz w:val="22"/>
          <w:szCs w:val="22"/>
          <w:lang w:eastAsia="sk-SK"/>
        </w:rPr>
        <w:t>Zákonom č. 334/2011 Z. z., ktorým sa mení a dopĺňa zákon č. 43/2004 Z. z. o starobnom dôchodkovom sporení a o zmene a doplnení niektorých zákonov v znení neskorších predpisov a o zmene a doplnení zákona č. 461/2003 Z. z. o sociálnom poistení v znení neskorších predpisov sa s účinnosťou od 1. novembra 2011 vojaci, ktorí sa počas výkonu vojenskej služby v ozbrojených</w:t>
      </w:r>
      <w:r w:rsidRPr="00DA20F5">
        <w:rPr>
          <w:rFonts w:cs="Times New Roman"/>
          <w:bCs w:val="0"/>
          <w:color w:val="4F81BD" w:themeColor="accent1"/>
          <w:sz w:val="22"/>
          <w:szCs w:val="22"/>
          <w:lang w:eastAsia="sk-SK"/>
        </w:rPr>
        <w:t xml:space="preserve"> </w:t>
      </w:r>
      <w:r w:rsidRPr="00DA20F5">
        <w:rPr>
          <w:rFonts w:cs="Times New Roman"/>
          <w:bCs w:val="0"/>
          <w:color w:val="auto"/>
          <w:sz w:val="22"/>
          <w:szCs w:val="22"/>
          <w:lang w:eastAsia="sk-SK"/>
        </w:rPr>
        <w:t>silách štúdiom alebo výcvikom pripravovali na výkon profesionálnej služby v ozbrojených silách, tzv. „vojaci prípravnej služby“</w:t>
      </w:r>
      <w:r w:rsidR="00AC5AAB" w:rsidRPr="00DA20F5">
        <w:rPr>
          <w:rFonts w:cs="Times New Roman"/>
          <w:bCs w:val="0"/>
          <w:color w:val="auto"/>
          <w:sz w:val="22"/>
          <w:szCs w:val="22"/>
          <w:lang w:eastAsia="sk-SK"/>
        </w:rPr>
        <w:t xml:space="preserve"> </w:t>
      </w:r>
      <w:r w:rsidRPr="00DA20F5">
        <w:rPr>
          <w:rFonts w:cs="Times New Roman"/>
          <w:bCs w:val="0"/>
          <w:color w:val="auto"/>
          <w:sz w:val="22"/>
          <w:szCs w:val="22"/>
          <w:lang w:eastAsia="sk-SK"/>
        </w:rPr>
        <w:t xml:space="preserve">vylúčili z okruhu osôb, na ktoré sa zákon o sociálnom poistení nevzťahuje z dôvodu, že sa na ne vzťahuje sociálne zabezpečenie policajtov a vojakov upravené osobitným </w:t>
      </w:r>
      <w:r w:rsidRPr="00DA20F5">
        <w:rPr>
          <w:rFonts w:cs="Times New Roman"/>
          <w:bCs w:val="0"/>
          <w:color w:val="auto"/>
          <w:sz w:val="22"/>
          <w:szCs w:val="22"/>
          <w:lang w:eastAsia="sk-SK"/>
        </w:rPr>
        <w:lastRenderedPageBreak/>
        <w:t>predpisom (zákon č. 328/2002 Z. z. o sociálnom zabezpečení policajtov a vojakov a o zmene a doplnení niektorých zákonov v znení neskorších predpisov). V súvislosti s tým sa z negatívne vymedzenej definície pojmov pracovný úraz a choroba z povolania vylúčil pracovný úraz a choroba z povolania vojaka prípravnej služby, ako aj sa zrušili povinnosti útvarov sociálneho zabezpečenia policajtov a vojakov a Vojenského úradu sociálneho zabezpečenia bezplatne oznamovať údaje, poskytovať doklady a súčinnosť, ktoré sú potrebné na výkon sociálneho poistenia a starobného dôchodkového sporenia v rozsahu upravenom v zákone o sociálnom poistení v súvislosti s vojakmi prípravnej služby.</w:t>
      </w:r>
    </w:p>
    <w:p w:rsidR="00826B8F" w:rsidRPr="00DA20F5" w:rsidRDefault="00826B8F" w:rsidP="000B4550">
      <w:pPr>
        <w:pStyle w:val="Nadpis6"/>
      </w:pPr>
      <w:bookmarkStart w:id="335" w:name="_Toc326217005"/>
      <w:r w:rsidRPr="00DA20F5">
        <w:t>Nemocenské poistenie</w:t>
      </w:r>
      <w:bookmarkEnd w:id="335"/>
    </w:p>
    <w:p w:rsidR="00826B8F" w:rsidRPr="00DA20F5" w:rsidRDefault="00826B8F" w:rsidP="00D36FB8">
      <w:pPr>
        <w:ind w:firstLine="426"/>
        <w:rPr>
          <w:bCs/>
          <w:szCs w:val="22"/>
        </w:rPr>
      </w:pPr>
      <w:r w:rsidRPr="00DA20F5">
        <w:rPr>
          <w:bCs/>
          <w:szCs w:val="22"/>
        </w:rPr>
        <w:t xml:space="preserve">Nemocenské poistenie slúži na preklenutie sociálnych udalostí, ako napríklad dočasná pracovná neschopnosť, tehotenstvo či materstvo. Zo systému nemocenského poistenia sa vyplácajú dávky, ktoré </w:t>
      </w:r>
      <w:r w:rsidR="00E83770" w:rsidRPr="00DA20F5">
        <w:rPr>
          <w:bCs/>
          <w:szCs w:val="22"/>
        </w:rPr>
        <w:t>sa členia</w:t>
      </w:r>
      <w:r w:rsidRPr="00DA20F5">
        <w:rPr>
          <w:bCs/>
          <w:szCs w:val="22"/>
        </w:rPr>
        <w:t xml:space="preserve"> na nemocenské (zamestnancovi poskytované spravidla až od 11. dňa trvania dočasnej pracovnej neschopnosti), ošetrovné, materské a vyrovnávaciu dávku. </w:t>
      </w:r>
    </w:p>
    <w:p w:rsidR="00826B8F" w:rsidRPr="00DA20F5" w:rsidRDefault="00826B8F" w:rsidP="00D36FB8">
      <w:pPr>
        <w:pStyle w:val="Normlnysozarkami12"/>
        <w:rPr>
          <w:bCs/>
          <w:szCs w:val="22"/>
        </w:rPr>
      </w:pPr>
      <w:r w:rsidRPr="00DA20F5">
        <w:rPr>
          <w:bCs/>
          <w:szCs w:val="22"/>
        </w:rPr>
        <w:t>Podľa zákona č. 462/2003 Z. z. o náhrade príjmu pri dočasnej pracovnej neschopnosti zamestnanca a o zmene a doplnení niektorých zákonov v znení neskorších predpisov za prvých 10 dní trvania dočasnej pracovnej neschopnosti zamestnanca vypláca z</w:t>
      </w:r>
      <w:r w:rsidR="00E138B1" w:rsidRPr="00DA20F5">
        <w:rPr>
          <w:bCs/>
          <w:szCs w:val="22"/>
        </w:rPr>
        <w:t>amestnávateľ náhradu príjmu pri </w:t>
      </w:r>
      <w:r w:rsidRPr="00DA20F5">
        <w:rPr>
          <w:bCs/>
          <w:szCs w:val="22"/>
        </w:rPr>
        <w:t>dočasnej pracovnej neschopnosti zamestnanca a Sociálna poisťovňa poskytuje zamestnancovi nemocenské až od 11. dňa jeho dočasnej pracovnej neschopnosti.</w:t>
      </w:r>
    </w:p>
    <w:p w:rsidR="00826B8F" w:rsidRPr="00DA20F5" w:rsidRDefault="00826B8F" w:rsidP="00D36FB8">
      <w:pPr>
        <w:pStyle w:val="Normlnysozarkami12"/>
        <w:ind w:firstLine="426"/>
      </w:pPr>
      <w:r w:rsidRPr="00DA20F5">
        <w:t>Výdavky na nemocenské dávky</w:t>
      </w:r>
      <w:r w:rsidRPr="00DA20F5">
        <w:rPr>
          <w:vertAlign w:val="superscript"/>
        </w:rPr>
        <w:footnoteReference w:id="11"/>
      </w:r>
      <w:r w:rsidRPr="00DA20F5">
        <w:rPr>
          <w:sz w:val="16"/>
          <w:szCs w:val="16"/>
        </w:rPr>
        <w:t xml:space="preserve"> </w:t>
      </w:r>
      <w:r w:rsidRPr="00DA20F5">
        <w:t xml:space="preserve">v roku 2011, hradené z rozpočtu Sociálnej poisťovne, boli v čiastke 381,44 mil. €. V porovnaní s rokom 2010 boli vyššie o 42,97 mil. € (index rastu 112,7 %). Nárast výdavkov </w:t>
      </w:r>
      <w:r w:rsidR="005D380C" w:rsidRPr="00DA20F5">
        <w:t>nastal</w:t>
      </w:r>
      <w:r w:rsidRPr="00DA20F5">
        <w:t xml:space="preserve"> najmä z dôvodu zvýšenia priemerných vyplácaných dávok. </w:t>
      </w:r>
    </w:p>
    <w:p w:rsidR="00826B8F" w:rsidRPr="00DA20F5" w:rsidRDefault="00826B8F" w:rsidP="00D36FB8">
      <w:r w:rsidRPr="00DA20F5">
        <w:t>V roku 2011 boli priemerné mesačné počty prípadov zúčtovaných nemocenských dávok nasledovné:</w:t>
      </w:r>
    </w:p>
    <w:p w:rsidR="00826B8F" w:rsidRPr="00DA20F5" w:rsidRDefault="00826B8F" w:rsidP="00D36FB8">
      <w:pPr>
        <w:pStyle w:val="bullet1"/>
        <w:rPr>
          <w:rFonts w:eastAsia="Calibri"/>
          <w:lang w:eastAsia="en-US"/>
        </w:rPr>
      </w:pPr>
      <w:r w:rsidRPr="00DA20F5">
        <w:rPr>
          <w:rFonts w:eastAsia="Calibri"/>
          <w:lang w:eastAsia="en-US"/>
        </w:rPr>
        <w:t>nemocenské 105 376 prípadov,</w:t>
      </w:r>
    </w:p>
    <w:p w:rsidR="00826B8F" w:rsidRPr="00DA20F5" w:rsidRDefault="00826B8F" w:rsidP="00D36FB8">
      <w:pPr>
        <w:pStyle w:val="bullet1"/>
        <w:rPr>
          <w:rFonts w:eastAsia="Calibri"/>
          <w:lang w:eastAsia="en-US"/>
        </w:rPr>
      </w:pPr>
      <w:r w:rsidRPr="00DA20F5">
        <w:rPr>
          <w:rFonts w:eastAsia="Calibri"/>
          <w:lang w:eastAsia="en-US"/>
        </w:rPr>
        <w:t>ošetrovné 11 637 prípadov,</w:t>
      </w:r>
    </w:p>
    <w:p w:rsidR="00826B8F" w:rsidRPr="00DA20F5" w:rsidRDefault="00826B8F" w:rsidP="00D36FB8">
      <w:pPr>
        <w:pStyle w:val="bullet1"/>
        <w:rPr>
          <w:rFonts w:eastAsia="Calibri"/>
          <w:lang w:eastAsia="en-US"/>
        </w:rPr>
      </w:pPr>
      <w:r w:rsidRPr="00DA20F5">
        <w:rPr>
          <w:rFonts w:eastAsia="Calibri"/>
          <w:lang w:eastAsia="en-US"/>
        </w:rPr>
        <w:t>vyrovnávacia dávka 95 prípadov,</w:t>
      </w:r>
    </w:p>
    <w:p w:rsidR="00826B8F" w:rsidRPr="00DA20F5" w:rsidRDefault="00826B8F" w:rsidP="00D36FB8">
      <w:pPr>
        <w:pStyle w:val="bullet1"/>
        <w:rPr>
          <w:rFonts w:eastAsia="Calibri"/>
          <w:lang w:eastAsia="en-US"/>
        </w:rPr>
      </w:pPr>
      <w:r w:rsidRPr="00DA20F5">
        <w:rPr>
          <w:rFonts w:eastAsia="Calibri"/>
          <w:lang w:eastAsia="en-US"/>
        </w:rPr>
        <w:t>materské 23 213 prípadov.</w:t>
      </w:r>
    </w:p>
    <w:p w:rsidR="00826B8F" w:rsidRPr="00DA20F5" w:rsidRDefault="00826B8F" w:rsidP="00D36FB8">
      <w:pPr>
        <w:rPr>
          <w:rFonts w:eastAsia="Calibri"/>
          <w:lang w:eastAsia="en-US"/>
        </w:rPr>
      </w:pPr>
      <w:r w:rsidRPr="00DA20F5">
        <w:rPr>
          <w:rFonts w:eastAsia="Calibri"/>
          <w:lang w:eastAsia="en-US"/>
        </w:rPr>
        <w:t>Priemerný mesačný počet prípadov bol oproti roku 2010 vyšší o 3 818 (najvyšší nárast priemerného počtu prípadov bol zaznamenaný na materskej dávke o 3 120 prípadov). Nárast počtu prípadov pri materskej dávke súvisí s vyššou pôrodnosťou. Priemerné percento dočasnej pracovnej neschopnosti (ďalej len „DPN“) pre chorobu a úraz v roku 2010 bolo 3,94 % a</w:t>
      </w:r>
      <w:r w:rsidR="00E138B1" w:rsidRPr="00DA20F5">
        <w:rPr>
          <w:rFonts w:eastAsia="Calibri"/>
          <w:lang w:eastAsia="en-US"/>
        </w:rPr>
        <w:t> v roku 2011 mierne pokleslo na </w:t>
      </w:r>
      <w:r w:rsidRPr="00DA20F5">
        <w:rPr>
          <w:rFonts w:eastAsia="Calibri"/>
          <w:bCs/>
          <w:lang w:eastAsia="en-US"/>
        </w:rPr>
        <w:t>3,93</w:t>
      </w:r>
      <w:r w:rsidRPr="00DA20F5">
        <w:rPr>
          <w:rFonts w:eastAsia="Calibri"/>
          <w:lang w:eastAsia="en-US"/>
        </w:rPr>
        <w:t xml:space="preserve"> % z priemerného počtu poistencov v danom roku (najnižšie priemerné percento DPN bolo v Bratislavskom kraji 2,21 % a najvyššie v Prešovskom kraji 6,22 %). Priemerná doba trvania práceneschopnosti v roku 2011 predstavovala 45,64 dní (najnižšia priemerná doba trvania 34,60 dní bola v Bratislavskom kraji a najvyššia 56,42 dní v Prešovskom kraji), čo znamenalo oproti roku 2010 pokles o 1,3 dňa. </w:t>
      </w:r>
    </w:p>
    <w:p w:rsidR="00826B8F" w:rsidRPr="00DA20F5" w:rsidRDefault="00826B8F" w:rsidP="00D36FB8">
      <w:pPr>
        <w:pStyle w:val="Normlnysozarkami12"/>
        <w:ind w:firstLine="426"/>
      </w:pPr>
      <w:r w:rsidRPr="00DA20F5">
        <w:t>Tabuľka č. 1 v prílohe ku kapitole 3 naznačuje pozitívny vývoj v priemernej výške vyplácaných nemocenských dávok, keď všetky dávky nemocenského poistenia v roku 2011 zaznamenali oproti roku 2010 nárast v priemere o približne 8 %. Uvedené je spôsobené najmä vyšším vymeriavacím základom na určenie nemocenských dávok a zvýšením sadzby materského v porovnaní s rokom 2010.</w:t>
      </w:r>
    </w:p>
    <w:p w:rsidR="00826B8F" w:rsidRPr="00DA20F5" w:rsidRDefault="00826B8F" w:rsidP="00D36FB8">
      <w:pPr>
        <w:pStyle w:val="Nadpis7"/>
        <w:spacing w:before="120"/>
      </w:pPr>
      <w:bookmarkStart w:id="336" w:name="_Toc294026951"/>
      <w:bookmarkStart w:id="337" w:name="_Toc294029190"/>
      <w:bookmarkStart w:id="338" w:name="_Toc313878681"/>
      <w:bookmarkStart w:id="339" w:name="_Toc325438163"/>
      <w:bookmarkStart w:id="340" w:name="_Toc325440932"/>
      <w:bookmarkStart w:id="341" w:name="_Toc325626745"/>
      <w:bookmarkStart w:id="342" w:name="_Toc326217006"/>
      <w:r w:rsidRPr="00DA20F5">
        <w:t>Tab. 3.1</w:t>
      </w:r>
      <w:r w:rsidR="00AC5AAB" w:rsidRPr="00DA20F5">
        <w:t xml:space="preserve"> </w:t>
      </w:r>
      <w:r w:rsidRPr="00DA20F5">
        <w:t>Počet prípadov a priemerná výška nemocenských dávok v roku 201</w:t>
      </w:r>
      <w:bookmarkEnd w:id="336"/>
      <w:bookmarkEnd w:id="337"/>
      <w:bookmarkEnd w:id="338"/>
      <w:r w:rsidRPr="00DA20F5">
        <w:t>1</w:t>
      </w:r>
      <w:bookmarkEnd w:id="339"/>
      <w:bookmarkEnd w:id="340"/>
      <w:bookmarkEnd w:id="341"/>
      <w:bookmarkEnd w:id="342"/>
    </w:p>
    <w:tbl>
      <w:tblPr>
        <w:tblW w:w="0" w:type="auto"/>
        <w:jc w:val="center"/>
        <w:tblInd w:w="-68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985"/>
        <w:gridCol w:w="1785"/>
        <w:gridCol w:w="1815"/>
        <w:gridCol w:w="1816"/>
        <w:gridCol w:w="1816"/>
      </w:tblGrid>
      <w:tr w:rsidR="00E83770" w:rsidRPr="00DA20F5" w:rsidTr="006F123D">
        <w:trPr>
          <w:trHeight w:val="496"/>
          <w:jc w:val="center"/>
        </w:trPr>
        <w:tc>
          <w:tcPr>
            <w:tcW w:w="1985" w:type="dxa"/>
            <w:shd w:val="clear" w:color="auto" w:fill="4F81BD"/>
            <w:vAlign w:val="center"/>
          </w:tcPr>
          <w:p w:rsidR="00826B8F" w:rsidRPr="00DA20F5" w:rsidRDefault="00826B8F" w:rsidP="00D36FB8">
            <w:pPr>
              <w:jc w:val="center"/>
              <w:rPr>
                <w:b/>
                <w:color w:val="FFFFFF" w:themeColor="background1"/>
                <w:sz w:val="21"/>
                <w:szCs w:val="21"/>
              </w:rPr>
            </w:pPr>
            <w:r w:rsidRPr="00DA20F5">
              <w:rPr>
                <w:b/>
                <w:color w:val="FFFFFF" w:themeColor="background1"/>
                <w:sz w:val="21"/>
                <w:szCs w:val="21"/>
              </w:rPr>
              <w:t>Dávka</w:t>
            </w:r>
          </w:p>
        </w:tc>
        <w:tc>
          <w:tcPr>
            <w:tcW w:w="1785" w:type="dxa"/>
            <w:shd w:val="clear" w:color="auto" w:fill="4F81BD"/>
          </w:tcPr>
          <w:p w:rsidR="00826B8F" w:rsidRPr="00DA20F5" w:rsidRDefault="00826B8F" w:rsidP="00D36FB8">
            <w:pPr>
              <w:jc w:val="center"/>
              <w:rPr>
                <w:b/>
                <w:color w:val="FFFFFF" w:themeColor="background1"/>
                <w:sz w:val="21"/>
                <w:szCs w:val="21"/>
              </w:rPr>
            </w:pPr>
            <w:r w:rsidRPr="00DA20F5">
              <w:rPr>
                <w:b/>
                <w:color w:val="FFFFFF" w:themeColor="background1"/>
                <w:sz w:val="21"/>
                <w:szCs w:val="21"/>
              </w:rPr>
              <w:t xml:space="preserve">Počet vyplatených dávok </w:t>
            </w:r>
            <w:r w:rsidRPr="00DA20F5">
              <w:rPr>
                <w:b/>
                <w:color w:val="FFFFFF" w:themeColor="background1"/>
                <w:sz w:val="21"/>
                <w:szCs w:val="21"/>
              </w:rPr>
              <w:br/>
              <w:t>v roku 2011</w:t>
            </w:r>
          </w:p>
        </w:tc>
        <w:tc>
          <w:tcPr>
            <w:tcW w:w="1815" w:type="dxa"/>
            <w:shd w:val="clear" w:color="auto" w:fill="4F81BD"/>
            <w:vAlign w:val="center"/>
          </w:tcPr>
          <w:p w:rsidR="00826B8F" w:rsidRPr="00DA20F5" w:rsidRDefault="00826B8F" w:rsidP="00D36FB8">
            <w:pPr>
              <w:jc w:val="center"/>
              <w:rPr>
                <w:b/>
                <w:color w:val="FFFFFF" w:themeColor="background1"/>
                <w:sz w:val="21"/>
                <w:szCs w:val="21"/>
              </w:rPr>
            </w:pPr>
            <w:r w:rsidRPr="00DA20F5">
              <w:rPr>
                <w:b/>
                <w:color w:val="FFFFFF" w:themeColor="background1"/>
                <w:sz w:val="21"/>
                <w:szCs w:val="21"/>
              </w:rPr>
              <w:t>Index 2011/2010</w:t>
            </w:r>
          </w:p>
        </w:tc>
        <w:tc>
          <w:tcPr>
            <w:tcW w:w="1816" w:type="dxa"/>
            <w:shd w:val="clear" w:color="auto" w:fill="4F81BD"/>
            <w:vAlign w:val="center"/>
          </w:tcPr>
          <w:p w:rsidR="00826B8F" w:rsidRPr="00DA20F5" w:rsidRDefault="00826B8F" w:rsidP="00D36FB8">
            <w:pPr>
              <w:jc w:val="center"/>
              <w:rPr>
                <w:b/>
                <w:color w:val="FFFFFF" w:themeColor="background1"/>
                <w:sz w:val="21"/>
                <w:szCs w:val="21"/>
              </w:rPr>
            </w:pPr>
            <w:r w:rsidRPr="00DA20F5">
              <w:rPr>
                <w:b/>
                <w:color w:val="FFFFFF" w:themeColor="background1"/>
                <w:sz w:val="21"/>
                <w:szCs w:val="21"/>
              </w:rPr>
              <w:t>Priemerná výška dávky v roku 2011 (v €)</w:t>
            </w:r>
          </w:p>
        </w:tc>
        <w:tc>
          <w:tcPr>
            <w:tcW w:w="1816" w:type="dxa"/>
            <w:shd w:val="clear" w:color="auto" w:fill="4F81BD"/>
            <w:vAlign w:val="center"/>
          </w:tcPr>
          <w:p w:rsidR="00826B8F" w:rsidRPr="00DA20F5" w:rsidRDefault="00826B8F" w:rsidP="00D36FB8">
            <w:pPr>
              <w:jc w:val="center"/>
              <w:rPr>
                <w:b/>
                <w:color w:val="FFFFFF" w:themeColor="background1"/>
                <w:sz w:val="21"/>
                <w:szCs w:val="21"/>
              </w:rPr>
            </w:pPr>
            <w:r w:rsidRPr="00DA20F5">
              <w:rPr>
                <w:b/>
                <w:color w:val="FFFFFF" w:themeColor="background1"/>
                <w:sz w:val="21"/>
                <w:szCs w:val="21"/>
              </w:rPr>
              <w:t>Index 2011/2010</w:t>
            </w:r>
          </w:p>
        </w:tc>
      </w:tr>
      <w:tr w:rsidR="00E83770" w:rsidRPr="00DA20F5" w:rsidTr="006F123D">
        <w:trPr>
          <w:trHeight w:val="283"/>
          <w:jc w:val="center"/>
        </w:trPr>
        <w:tc>
          <w:tcPr>
            <w:tcW w:w="1985" w:type="dxa"/>
            <w:vAlign w:val="center"/>
          </w:tcPr>
          <w:p w:rsidR="00826B8F" w:rsidRPr="00DA20F5" w:rsidRDefault="00826B8F" w:rsidP="00D36FB8">
            <w:pPr>
              <w:rPr>
                <w:sz w:val="21"/>
                <w:szCs w:val="21"/>
              </w:rPr>
            </w:pPr>
            <w:r w:rsidRPr="00DA20F5">
              <w:rPr>
                <w:sz w:val="21"/>
                <w:szCs w:val="21"/>
              </w:rPr>
              <w:t>Nemocenské</w:t>
            </w:r>
          </w:p>
        </w:tc>
        <w:tc>
          <w:tcPr>
            <w:tcW w:w="1785" w:type="dxa"/>
            <w:vAlign w:val="center"/>
          </w:tcPr>
          <w:p w:rsidR="00826B8F" w:rsidRPr="00DA20F5" w:rsidRDefault="00826B8F" w:rsidP="00D36FB8">
            <w:pPr>
              <w:ind w:right="469"/>
              <w:jc w:val="right"/>
              <w:rPr>
                <w:sz w:val="21"/>
                <w:szCs w:val="21"/>
              </w:rPr>
            </w:pPr>
            <w:r w:rsidRPr="00DA20F5">
              <w:rPr>
                <w:sz w:val="21"/>
                <w:szCs w:val="21"/>
              </w:rPr>
              <w:t>1 264 517</w:t>
            </w:r>
          </w:p>
        </w:tc>
        <w:tc>
          <w:tcPr>
            <w:tcW w:w="1815" w:type="dxa"/>
            <w:vAlign w:val="center"/>
          </w:tcPr>
          <w:p w:rsidR="00826B8F" w:rsidRPr="00DA20F5" w:rsidRDefault="00826B8F" w:rsidP="00D36FB8">
            <w:pPr>
              <w:ind w:right="469"/>
              <w:jc w:val="right"/>
              <w:rPr>
                <w:sz w:val="21"/>
                <w:szCs w:val="21"/>
              </w:rPr>
            </w:pPr>
            <w:r w:rsidRPr="00DA20F5">
              <w:rPr>
                <w:sz w:val="21"/>
                <w:szCs w:val="21"/>
              </w:rPr>
              <w:t>99,64</w:t>
            </w:r>
          </w:p>
        </w:tc>
        <w:tc>
          <w:tcPr>
            <w:tcW w:w="1816" w:type="dxa"/>
            <w:vAlign w:val="center"/>
          </w:tcPr>
          <w:p w:rsidR="00826B8F" w:rsidRPr="00DA20F5" w:rsidRDefault="00826B8F" w:rsidP="00D36FB8">
            <w:pPr>
              <w:ind w:right="469"/>
              <w:jc w:val="right"/>
              <w:rPr>
                <w:sz w:val="21"/>
                <w:szCs w:val="21"/>
              </w:rPr>
            </w:pPr>
            <w:r w:rsidRPr="00DA20F5">
              <w:rPr>
                <w:sz w:val="21"/>
                <w:szCs w:val="21"/>
              </w:rPr>
              <w:t>210</w:t>
            </w:r>
          </w:p>
        </w:tc>
        <w:tc>
          <w:tcPr>
            <w:tcW w:w="1816" w:type="dxa"/>
            <w:vAlign w:val="center"/>
          </w:tcPr>
          <w:p w:rsidR="00826B8F" w:rsidRPr="00DA20F5" w:rsidRDefault="00826B8F" w:rsidP="00D36FB8">
            <w:pPr>
              <w:ind w:right="469"/>
              <w:jc w:val="right"/>
              <w:rPr>
                <w:sz w:val="21"/>
                <w:szCs w:val="21"/>
              </w:rPr>
            </w:pPr>
            <w:r w:rsidRPr="00DA20F5">
              <w:rPr>
                <w:sz w:val="21"/>
                <w:szCs w:val="21"/>
              </w:rPr>
              <w:t>105,49</w:t>
            </w:r>
          </w:p>
        </w:tc>
      </w:tr>
      <w:tr w:rsidR="00E83770" w:rsidRPr="00DA20F5" w:rsidTr="006F123D">
        <w:trPr>
          <w:trHeight w:val="283"/>
          <w:jc w:val="center"/>
        </w:trPr>
        <w:tc>
          <w:tcPr>
            <w:tcW w:w="1985" w:type="dxa"/>
            <w:vAlign w:val="center"/>
          </w:tcPr>
          <w:p w:rsidR="00826B8F" w:rsidRPr="00DA20F5" w:rsidRDefault="00826B8F" w:rsidP="00D36FB8">
            <w:pPr>
              <w:rPr>
                <w:sz w:val="21"/>
                <w:szCs w:val="21"/>
              </w:rPr>
            </w:pPr>
            <w:r w:rsidRPr="00DA20F5">
              <w:rPr>
                <w:sz w:val="21"/>
                <w:szCs w:val="21"/>
              </w:rPr>
              <w:t>Ošetrovné</w:t>
            </w:r>
          </w:p>
        </w:tc>
        <w:tc>
          <w:tcPr>
            <w:tcW w:w="1785" w:type="dxa"/>
            <w:vAlign w:val="center"/>
          </w:tcPr>
          <w:p w:rsidR="00826B8F" w:rsidRPr="00DA20F5" w:rsidRDefault="00826B8F" w:rsidP="00D36FB8">
            <w:pPr>
              <w:ind w:right="469"/>
              <w:jc w:val="right"/>
              <w:rPr>
                <w:sz w:val="21"/>
                <w:szCs w:val="21"/>
              </w:rPr>
            </w:pPr>
            <w:r w:rsidRPr="00DA20F5">
              <w:rPr>
                <w:sz w:val="21"/>
                <w:szCs w:val="21"/>
              </w:rPr>
              <w:t>139 648</w:t>
            </w:r>
          </w:p>
        </w:tc>
        <w:tc>
          <w:tcPr>
            <w:tcW w:w="1815" w:type="dxa"/>
            <w:vAlign w:val="center"/>
          </w:tcPr>
          <w:p w:rsidR="00826B8F" w:rsidRPr="00DA20F5" w:rsidRDefault="00826B8F" w:rsidP="00D36FB8">
            <w:pPr>
              <w:ind w:right="469"/>
              <w:jc w:val="right"/>
              <w:rPr>
                <w:sz w:val="21"/>
                <w:szCs w:val="21"/>
              </w:rPr>
            </w:pPr>
            <w:r w:rsidRPr="00DA20F5">
              <w:rPr>
                <w:sz w:val="21"/>
                <w:szCs w:val="21"/>
              </w:rPr>
              <w:t>110,47</w:t>
            </w:r>
          </w:p>
        </w:tc>
        <w:tc>
          <w:tcPr>
            <w:tcW w:w="1816" w:type="dxa"/>
            <w:vAlign w:val="center"/>
          </w:tcPr>
          <w:p w:rsidR="00826B8F" w:rsidRPr="00DA20F5" w:rsidRDefault="00826B8F" w:rsidP="00D36FB8">
            <w:pPr>
              <w:ind w:right="469"/>
              <w:jc w:val="right"/>
              <w:rPr>
                <w:sz w:val="21"/>
                <w:szCs w:val="21"/>
              </w:rPr>
            </w:pPr>
            <w:r w:rsidRPr="00DA20F5">
              <w:rPr>
                <w:sz w:val="21"/>
                <w:szCs w:val="21"/>
              </w:rPr>
              <w:t>76</w:t>
            </w:r>
          </w:p>
        </w:tc>
        <w:tc>
          <w:tcPr>
            <w:tcW w:w="1816" w:type="dxa"/>
            <w:vAlign w:val="center"/>
          </w:tcPr>
          <w:p w:rsidR="00826B8F" w:rsidRPr="00DA20F5" w:rsidRDefault="00826B8F" w:rsidP="00D36FB8">
            <w:pPr>
              <w:ind w:right="469"/>
              <w:jc w:val="right"/>
              <w:rPr>
                <w:sz w:val="21"/>
                <w:szCs w:val="21"/>
              </w:rPr>
            </w:pPr>
            <w:r w:rsidRPr="00DA20F5">
              <w:rPr>
                <w:sz w:val="21"/>
                <w:szCs w:val="21"/>
              </w:rPr>
              <w:t>108,81</w:t>
            </w:r>
          </w:p>
        </w:tc>
      </w:tr>
      <w:tr w:rsidR="00E83770" w:rsidRPr="00DA20F5" w:rsidTr="006F123D">
        <w:trPr>
          <w:trHeight w:val="283"/>
          <w:jc w:val="center"/>
        </w:trPr>
        <w:tc>
          <w:tcPr>
            <w:tcW w:w="1985" w:type="dxa"/>
            <w:vAlign w:val="center"/>
          </w:tcPr>
          <w:p w:rsidR="00826B8F" w:rsidRPr="00DA20F5" w:rsidRDefault="00826B8F" w:rsidP="00D36FB8">
            <w:pPr>
              <w:rPr>
                <w:sz w:val="21"/>
                <w:szCs w:val="21"/>
              </w:rPr>
            </w:pPr>
            <w:r w:rsidRPr="00DA20F5">
              <w:rPr>
                <w:sz w:val="21"/>
                <w:szCs w:val="21"/>
              </w:rPr>
              <w:t>Vyrovnávacia dávka</w:t>
            </w:r>
          </w:p>
        </w:tc>
        <w:tc>
          <w:tcPr>
            <w:tcW w:w="1785" w:type="dxa"/>
            <w:vAlign w:val="center"/>
          </w:tcPr>
          <w:p w:rsidR="00826B8F" w:rsidRPr="00DA20F5" w:rsidRDefault="00826B8F" w:rsidP="00D36FB8">
            <w:pPr>
              <w:ind w:right="469"/>
              <w:jc w:val="right"/>
              <w:rPr>
                <w:sz w:val="21"/>
                <w:szCs w:val="21"/>
              </w:rPr>
            </w:pPr>
            <w:r w:rsidRPr="00DA20F5">
              <w:rPr>
                <w:sz w:val="21"/>
                <w:szCs w:val="21"/>
              </w:rPr>
              <w:t>1 136</w:t>
            </w:r>
          </w:p>
        </w:tc>
        <w:tc>
          <w:tcPr>
            <w:tcW w:w="1815" w:type="dxa"/>
            <w:vAlign w:val="center"/>
          </w:tcPr>
          <w:p w:rsidR="00826B8F" w:rsidRPr="00DA20F5" w:rsidRDefault="00826B8F" w:rsidP="00D36FB8">
            <w:pPr>
              <w:ind w:right="469"/>
              <w:jc w:val="right"/>
              <w:rPr>
                <w:sz w:val="21"/>
                <w:szCs w:val="21"/>
              </w:rPr>
            </w:pPr>
            <w:r w:rsidRPr="00DA20F5">
              <w:rPr>
                <w:sz w:val="21"/>
                <w:szCs w:val="21"/>
              </w:rPr>
              <w:t>114,86</w:t>
            </w:r>
          </w:p>
        </w:tc>
        <w:tc>
          <w:tcPr>
            <w:tcW w:w="1816" w:type="dxa"/>
            <w:vAlign w:val="center"/>
          </w:tcPr>
          <w:p w:rsidR="00826B8F" w:rsidRPr="00DA20F5" w:rsidRDefault="00826B8F" w:rsidP="00D36FB8">
            <w:pPr>
              <w:ind w:right="469"/>
              <w:jc w:val="right"/>
              <w:rPr>
                <w:sz w:val="21"/>
                <w:szCs w:val="21"/>
              </w:rPr>
            </w:pPr>
            <w:r w:rsidRPr="00DA20F5">
              <w:rPr>
                <w:sz w:val="21"/>
                <w:szCs w:val="21"/>
              </w:rPr>
              <w:t>51</w:t>
            </w:r>
          </w:p>
        </w:tc>
        <w:tc>
          <w:tcPr>
            <w:tcW w:w="1816" w:type="dxa"/>
            <w:vAlign w:val="center"/>
          </w:tcPr>
          <w:p w:rsidR="00826B8F" w:rsidRPr="00DA20F5" w:rsidRDefault="00826B8F" w:rsidP="00D36FB8">
            <w:pPr>
              <w:ind w:right="469"/>
              <w:jc w:val="right"/>
              <w:rPr>
                <w:sz w:val="21"/>
                <w:szCs w:val="21"/>
              </w:rPr>
            </w:pPr>
            <w:r w:rsidRPr="00DA20F5">
              <w:rPr>
                <w:sz w:val="21"/>
                <w:szCs w:val="21"/>
              </w:rPr>
              <w:t>108,02</w:t>
            </w:r>
          </w:p>
        </w:tc>
      </w:tr>
      <w:tr w:rsidR="00E83770" w:rsidRPr="00DA20F5" w:rsidTr="006F123D">
        <w:trPr>
          <w:trHeight w:val="283"/>
          <w:jc w:val="center"/>
        </w:trPr>
        <w:tc>
          <w:tcPr>
            <w:tcW w:w="1985" w:type="dxa"/>
            <w:vAlign w:val="center"/>
          </w:tcPr>
          <w:p w:rsidR="00826B8F" w:rsidRPr="00DA20F5" w:rsidRDefault="00826B8F" w:rsidP="00D36FB8">
            <w:pPr>
              <w:rPr>
                <w:sz w:val="21"/>
                <w:szCs w:val="21"/>
              </w:rPr>
            </w:pPr>
            <w:r w:rsidRPr="00DA20F5">
              <w:rPr>
                <w:sz w:val="21"/>
                <w:szCs w:val="21"/>
              </w:rPr>
              <w:t>Materské</w:t>
            </w:r>
          </w:p>
        </w:tc>
        <w:tc>
          <w:tcPr>
            <w:tcW w:w="1785" w:type="dxa"/>
            <w:vAlign w:val="center"/>
          </w:tcPr>
          <w:p w:rsidR="00826B8F" w:rsidRPr="00DA20F5" w:rsidRDefault="00826B8F" w:rsidP="00D36FB8">
            <w:pPr>
              <w:ind w:right="469"/>
              <w:jc w:val="right"/>
              <w:rPr>
                <w:sz w:val="21"/>
                <w:szCs w:val="21"/>
              </w:rPr>
            </w:pPr>
            <w:r w:rsidRPr="00DA20F5">
              <w:rPr>
                <w:sz w:val="21"/>
                <w:szCs w:val="21"/>
              </w:rPr>
              <w:t>278 554</w:t>
            </w:r>
          </w:p>
        </w:tc>
        <w:tc>
          <w:tcPr>
            <w:tcW w:w="1815" w:type="dxa"/>
            <w:vAlign w:val="center"/>
          </w:tcPr>
          <w:p w:rsidR="00826B8F" w:rsidRPr="00DA20F5" w:rsidRDefault="00826B8F" w:rsidP="00D36FB8">
            <w:pPr>
              <w:ind w:right="469"/>
              <w:jc w:val="right"/>
              <w:rPr>
                <w:sz w:val="21"/>
                <w:szCs w:val="21"/>
              </w:rPr>
            </w:pPr>
            <w:r w:rsidRPr="00DA20F5">
              <w:rPr>
                <w:sz w:val="21"/>
                <w:szCs w:val="21"/>
              </w:rPr>
              <w:t>115,53</w:t>
            </w:r>
          </w:p>
        </w:tc>
        <w:tc>
          <w:tcPr>
            <w:tcW w:w="1816" w:type="dxa"/>
            <w:vAlign w:val="center"/>
          </w:tcPr>
          <w:p w:rsidR="00826B8F" w:rsidRPr="00DA20F5" w:rsidRDefault="00826B8F" w:rsidP="00D36FB8">
            <w:pPr>
              <w:ind w:right="469"/>
              <w:jc w:val="right"/>
              <w:rPr>
                <w:sz w:val="21"/>
                <w:szCs w:val="21"/>
              </w:rPr>
            </w:pPr>
            <w:r w:rsidRPr="00DA20F5">
              <w:rPr>
                <w:sz w:val="21"/>
                <w:szCs w:val="21"/>
              </w:rPr>
              <w:t>384</w:t>
            </w:r>
          </w:p>
        </w:tc>
        <w:tc>
          <w:tcPr>
            <w:tcW w:w="1816" w:type="dxa"/>
            <w:vAlign w:val="center"/>
          </w:tcPr>
          <w:p w:rsidR="00826B8F" w:rsidRPr="00DA20F5" w:rsidRDefault="00826B8F" w:rsidP="00D36FB8">
            <w:pPr>
              <w:ind w:right="469"/>
              <w:jc w:val="right"/>
              <w:rPr>
                <w:sz w:val="21"/>
                <w:szCs w:val="21"/>
              </w:rPr>
            </w:pPr>
            <w:r w:rsidRPr="00DA20F5">
              <w:rPr>
                <w:sz w:val="21"/>
                <w:szCs w:val="21"/>
              </w:rPr>
              <w:t>120,80</w:t>
            </w:r>
          </w:p>
        </w:tc>
      </w:tr>
    </w:tbl>
    <w:p w:rsidR="00826B8F" w:rsidRPr="00DA20F5" w:rsidRDefault="00826B8F" w:rsidP="00E138B1">
      <w:pPr>
        <w:pStyle w:val="zdroj"/>
        <w:rPr>
          <w:color w:val="4F81BD" w:themeColor="accent1"/>
        </w:rPr>
      </w:pPr>
      <w:r w:rsidRPr="00DA20F5">
        <w:t>Zdroj: Sociálna poisťovňa</w:t>
      </w:r>
      <w:r w:rsidRPr="00DA20F5">
        <w:rPr>
          <w:color w:val="4F81BD" w:themeColor="accent1"/>
        </w:rPr>
        <w:br w:type="page"/>
      </w:r>
    </w:p>
    <w:p w:rsidR="00826B8F" w:rsidRPr="00DA20F5" w:rsidRDefault="00826B8F" w:rsidP="000B4550">
      <w:pPr>
        <w:pStyle w:val="Nadpis6"/>
      </w:pPr>
      <w:bookmarkStart w:id="343" w:name="_Toc326217007"/>
      <w:r w:rsidRPr="00DA20F5">
        <w:lastRenderedPageBreak/>
        <w:t>Dôchodkové poistenie</w:t>
      </w:r>
      <w:bookmarkEnd w:id="343"/>
    </w:p>
    <w:p w:rsidR="00826B8F" w:rsidRPr="00DA20F5" w:rsidRDefault="00826B8F" w:rsidP="00D36FB8">
      <w:pPr>
        <w:ind w:firstLine="426"/>
        <w:rPr>
          <w:bCs/>
          <w:szCs w:val="22"/>
        </w:rPr>
      </w:pPr>
      <w:bookmarkStart w:id="344" w:name="_Toc132369527"/>
      <w:r w:rsidRPr="00DA20F5">
        <w:rPr>
          <w:bCs/>
          <w:szCs w:val="22"/>
        </w:rPr>
        <w:t xml:space="preserve">Dôchodkové poistenie sa člení na starobné poistenie (poistenie na zabezpečenie príjmu v starobe a pre prípad úmrtia) a na invalidné poistenie (poistenie pre prípad poklesu schopnosti vykonávať zárobkovú činnosť v dôsledku dlhodobo nepriaznivého zdravotného stavu a pre prípad úmrtia). Zo systému dôchodkového poistenia sa poskytuje starobný dôchodok, predčasný starobný dôchodok, invalidný dôchodok, vdovský dôchodok, vdovecký dôchodok a sirotský dôchodok. </w:t>
      </w:r>
    </w:p>
    <w:p w:rsidR="002F3E5E" w:rsidRPr="00DA20F5" w:rsidRDefault="002F3E5E" w:rsidP="00D36FB8">
      <w:pPr>
        <w:ind w:firstLine="426"/>
      </w:pPr>
      <w:r w:rsidRPr="00DA20F5">
        <w:t>V terminológii dôchodkových dávok znamená súbeh poberanie súčasne (súbežne) tzv. priameho dôchodku (starobného, predčasného starobného alebo invalidného) s nepriamym dôchodkom (vdovským dôchodkom alebo vdoveckým dôchodkom, prípadne súbehu invalidného dôchodku s mierou poklesu schopnosti vykonávať zárobkovú činnosť do 70 % so sirotským dôchodkom).</w:t>
      </w:r>
    </w:p>
    <w:p w:rsidR="00826B8F" w:rsidRPr="00DA20F5" w:rsidRDefault="00826B8F" w:rsidP="00D36FB8">
      <w:pPr>
        <w:pStyle w:val="Normlnysozarkami12"/>
        <w:ind w:firstLine="426"/>
      </w:pPr>
      <w:r w:rsidRPr="00DA20F5">
        <w:t xml:space="preserve">K 31. decembru 2011 bolo vyplácaných 1 283 454 dôchodkových dávok (bez dôchodkov hradených štátom – napr. tzv. invalidov z mladosti, dôchodkov manželky, sociálnych dôchodkov, ako aj bez dôchodkov vyplácaných do cudziny a dôchodkov neprevzatých do automatizovanej evidencie). Dôchodkov neprevzatých do automatizovanej evidencie bolo </w:t>
      </w:r>
      <w:smartTag w:uri="urn:schemas-microsoft-com:office:smarttags" w:element="metricconverter">
        <w:smartTagPr>
          <w:attr w:name="ProductID" w:val="168 a"/>
        </w:smartTagPr>
        <w:r w:rsidRPr="00DA20F5">
          <w:t>168 a</w:t>
        </w:r>
      </w:smartTag>
      <w:r w:rsidR="00E138B1" w:rsidRPr="00DA20F5">
        <w:t xml:space="preserve"> dôchodkov vyplácaných do </w:t>
      </w:r>
      <w:r w:rsidRPr="00DA20F5">
        <w:t xml:space="preserve">cudziny 16 315 </w:t>
      </w:r>
      <w:r w:rsidR="0027686C" w:rsidRPr="00DA20F5">
        <w:t>(</w:t>
      </w:r>
      <w:r w:rsidRPr="00DA20F5">
        <w:t>tabuľky č. 2 až 5 v prílohe ku kapitole 3).</w:t>
      </w:r>
    </w:p>
    <w:p w:rsidR="00826B8F" w:rsidRPr="00DA20F5" w:rsidRDefault="00826B8F" w:rsidP="00D36FB8">
      <w:pPr>
        <w:pStyle w:val="Normlnysozarkami12"/>
        <w:ind w:firstLine="426"/>
      </w:pPr>
      <w:r w:rsidRPr="00DA20F5">
        <w:t>V porovnaní so stavom k 31. decembru 2010 bolo v decembri 2011 vyplatených</w:t>
      </w:r>
      <w:r w:rsidRPr="00DA20F5">
        <w:rPr>
          <w:rStyle w:val="Odkaznapoznmkupodiarou"/>
          <w:szCs w:val="22"/>
        </w:rPr>
        <w:footnoteReference w:id="12"/>
      </w:r>
      <w:r w:rsidRPr="00DA20F5">
        <w:t xml:space="preserve"> o 13 593 dôchodkov menej, čo predstavuje medziročný pokles o 1,06 %. Počet vyplácaných starobných dôchodkov, vdoveckých dôchodkov, vdovských dôchodkov a sirotských dôchodkov zostal oproti roku 2010 na relatívne nezmenenej úrovni, invalidných dôchodkov bolo k 31. decembru 2011 vyplatených o 10 652 viac ako v decembri 2010, predčasných starobných dôch</w:t>
      </w:r>
      <w:r w:rsidR="00E138B1" w:rsidRPr="00DA20F5">
        <w:t>odkov bolo vyplatených menej až </w:t>
      </w:r>
      <w:r w:rsidRPr="00DA20F5">
        <w:t>o 15 763. Rast počtu dôchodkov vyplácaných do zahraničia súvisí s členstvom v Európskej únii - voľný pohyb osôb v rámci únie.</w:t>
      </w:r>
    </w:p>
    <w:p w:rsidR="00826B8F" w:rsidRPr="00DA20F5" w:rsidRDefault="00826B8F" w:rsidP="00D36FB8">
      <w:pPr>
        <w:pStyle w:val="Nadpis7"/>
        <w:rPr>
          <w:sz w:val="20"/>
          <w:szCs w:val="20"/>
        </w:rPr>
      </w:pPr>
      <w:bookmarkStart w:id="345" w:name="_Toc294026978"/>
      <w:bookmarkStart w:id="346" w:name="_Toc294029217"/>
      <w:bookmarkStart w:id="347" w:name="_Toc313878708"/>
      <w:bookmarkStart w:id="348" w:name="_Toc325438165"/>
      <w:bookmarkStart w:id="349" w:name="_Toc325440934"/>
      <w:bookmarkStart w:id="350" w:name="_Toc325626747"/>
      <w:bookmarkStart w:id="351" w:name="_Toc326217008"/>
      <w:r w:rsidRPr="00DA20F5">
        <w:t>Tab. 3.2</w:t>
      </w:r>
      <w:r w:rsidR="00AC5AAB" w:rsidRPr="00DA20F5">
        <w:t xml:space="preserve"> </w:t>
      </w:r>
      <w:r w:rsidRPr="00DA20F5">
        <w:t xml:space="preserve">Počet vyplácaných dôchodkových dávok a priemerná výška dôchodkov </w:t>
      </w:r>
      <w:r w:rsidRPr="00DA20F5">
        <w:rPr>
          <w:sz w:val="20"/>
          <w:szCs w:val="20"/>
        </w:rPr>
        <w:t>v roku 201</w:t>
      </w:r>
      <w:bookmarkEnd w:id="345"/>
      <w:bookmarkEnd w:id="346"/>
      <w:bookmarkEnd w:id="347"/>
      <w:r w:rsidRPr="00DA20F5">
        <w:rPr>
          <w:sz w:val="20"/>
          <w:szCs w:val="20"/>
        </w:rPr>
        <w:t>1</w:t>
      </w:r>
      <w:bookmarkEnd w:id="348"/>
      <w:bookmarkEnd w:id="349"/>
      <w:bookmarkEnd w:id="350"/>
      <w:bookmarkEnd w:id="351"/>
    </w:p>
    <w:tbl>
      <w:tblPr>
        <w:tblW w:w="8670" w:type="dxa"/>
        <w:jc w:val="center"/>
        <w:tblInd w:w="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A0" w:firstRow="1" w:lastRow="0" w:firstColumn="1" w:lastColumn="0" w:noHBand="0" w:noVBand="0"/>
      </w:tblPr>
      <w:tblGrid>
        <w:gridCol w:w="2320"/>
        <w:gridCol w:w="1486"/>
        <w:gridCol w:w="1603"/>
        <w:gridCol w:w="18"/>
        <w:gridCol w:w="1621"/>
        <w:gridCol w:w="1622"/>
      </w:tblGrid>
      <w:tr w:rsidR="005D380C" w:rsidRPr="00DA20F5" w:rsidTr="006F123D">
        <w:trPr>
          <w:trHeight w:val="319"/>
          <w:jc w:val="center"/>
        </w:trPr>
        <w:tc>
          <w:tcPr>
            <w:tcW w:w="2320" w:type="dxa"/>
            <w:shd w:val="clear" w:color="auto" w:fill="4F81BD"/>
            <w:noWrap/>
            <w:vAlign w:val="center"/>
          </w:tcPr>
          <w:p w:rsidR="00826B8F" w:rsidRPr="00DA20F5" w:rsidRDefault="00826B8F" w:rsidP="00D36FB8">
            <w:pPr>
              <w:jc w:val="center"/>
              <w:rPr>
                <w:b/>
                <w:color w:val="FFFFFF" w:themeColor="background1"/>
              </w:rPr>
            </w:pPr>
            <w:bookmarkStart w:id="352" w:name="_Toc294019657"/>
            <w:bookmarkStart w:id="353" w:name="_Toc294026979"/>
            <w:bookmarkStart w:id="354" w:name="_Toc294029218"/>
            <w:bookmarkStart w:id="355" w:name="_Toc313878709"/>
            <w:r w:rsidRPr="00DA20F5">
              <w:rPr>
                <w:b/>
                <w:color w:val="FFFFFF" w:themeColor="background1"/>
              </w:rPr>
              <w:t>Typ dôchodku</w:t>
            </w:r>
            <w:bookmarkEnd w:id="352"/>
            <w:bookmarkEnd w:id="353"/>
            <w:bookmarkEnd w:id="354"/>
            <w:bookmarkEnd w:id="355"/>
          </w:p>
        </w:tc>
        <w:tc>
          <w:tcPr>
            <w:tcW w:w="3089" w:type="dxa"/>
            <w:gridSpan w:val="2"/>
            <w:shd w:val="clear" w:color="auto" w:fill="4F81BD"/>
            <w:noWrap/>
            <w:vAlign w:val="center"/>
          </w:tcPr>
          <w:p w:rsidR="00826B8F" w:rsidRPr="00DA20F5" w:rsidRDefault="00826B8F" w:rsidP="00D36FB8">
            <w:pPr>
              <w:jc w:val="center"/>
              <w:rPr>
                <w:b/>
                <w:color w:val="FFFFFF" w:themeColor="background1"/>
              </w:rPr>
            </w:pPr>
            <w:bookmarkStart w:id="356" w:name="_Toc294019658"/>
            <w:bookmarkStart w:id="357" w:name="_Toc294026980"/>
            <w:bookmarkStart w:id="358" w:name="_Toc294029219"/>
            <w:bookmarkStart w:id="359" w:name="_Toc313878710"/>
            <w:r w:rsidRPr="00DA20F5">
              <w:rPr>
                <w:b/>
                <w:color w:val="FFFFFF" w:themeColor="background1"/>
              </w:rPr>
              <w:t>Počty vyplácaných dôchodkov* k:</w:t>
            </w:r>
            <w:bookmarkEnd w:id="356"/>
            <w:bookmarkEnd w:id="357"/>
            <w:bookmarkEnd w:id="358"/>
            <w:bookmarkEnd w:id="359"/>
          </w:p>
        </w:tc>
        <w:tc>
          <w:tcPr>
            <w:tcW w:w="3261" w:type="dxa"/>
            <w:gridSpan w:val="3"/>
            <w:shd w:val="clear" w:color="auto" w:fill="4F81BD"/>
            <w:noWrap/>
            <w:vAlign w:val="center"/>
          </w:tcPr>
          <w:p w:rsidR="00826B8F" w:rsidRPr="00DA20F5" w:rsidRDefault="00826B8F" w:rsidP="00D36FB8">
            <w:pPr>
              <w:jc w:val="center"/>
              <w:rPr>
                <w:b/>
                <w:color w:val="FFFFFF" w:themeColor="background1"/>
              </w:rPr>
            </w:pPr>
            <w:bookmarkStart w:id="360" w:name="_Toc294019659"/>
            <w:bookmarkStart w:id="361" w:name="_Toc294026981"/>
            <w:bookmarkStart w:id="362" w:name="_Toc294029220"/>
            <w:bookmarkStart w:id="363" w:name="_Toc313878711"/>
            <w:r w:rsidRPr="00DA20F5">
              <w:rPr>
                <w:b/>
                <w:color w:val="FFFFFF" w:themeColor="background1"/>
              </w:rPr>
              <w:t>Priemerná výška (sólo) dôchodku v €:</w:t>
            </w:r>
            <w:bookmarkEnd w:id="360"/>
            <w:bookmarkEnd w:id="361"/>
            <w:bookmarkEnd w:id="362"/>
            <w:bookmarkEnd w:id="363"/>
          </w:p>
        </w:tc>
      </w:tr>
      <w:tr w:rsidR="005D380C" w:rsidRPr="00DA20F5" w:rsidTr="006F123D">
        <w:trPr>
          <w:trHeight w:val="424"/>
          <w:jc w:val="center"/>
        </w:trPr>
        <w:tc>
          <w:tcPr>
            <w:tcW w:w="2320" w:type="dxa"/>
            <w:noWrap/>
            <w:vAlign w:val="center"/>
          </w:tcPr>
          <w:p w:rsidR="00826B8F" w:rsidRPr="00DA20F5" w:rsidRDefault="00826B8F" w:rsidP="00D36FB8"/>
        </w:tc>
        <w:tc>
          <w:tcPr>
            <w:tcW w:w="1486" w:type="dxa"/>
            <w:noWrap/>
            <w:vAlign w:val="center"/>
          </w:tcPr>
          <w:p w:rsidR="00826B8F" w:rsidRPr="00DA20F5" w:rsidRDefault="00826B8F" w:rsidP="00D36FB8">
            <w:pPr>
              <w:jc w:val="center"/>
            </w:pPr>
            <w:bookmarkStart w:id="364" w:name="_Toc294019660"/>
            <w:bookmarkStart w:id="365" w:name="_Toc294026982"/>
            <w:bookmarkStart w:id="366" w:name="_Toc294029221"/>
            <w:bookmarkStart w:id="367" w:name="_Toc313878712"/>
            <w:r w:rsidRPr="00DA20F5">
              <w:t>31.12.201</w:t>
            </w:r>
            <w:bookmarkEnd w:id="364"/>
            <w:bookmarkEnd w:id="365"/>
            <w:bookmarkEnd w:id="366"/>
            <w:bookmarkEnd w:id="367"/>
            <w:r w:rsidRPr="00DA20F5">
              <w:t>1</w:t>
            </w:r>
          </w:p>
        </w:tc>
        <w:tc>
          <w:tcPr>
            <w:tcW w:w="1621" w:type="dxa"/>
            <w:gridSpan w:val="2"/>
            <w:noWrap/>
            <w:vAlign w:val="center"/>
          </w:tcPr>
          <w:p w:rsidR="00826B8F" w:rsidRPr="00DA20F5" w:rsidRDefault="00826B8F" w:rsidP="00D36FB8">
            <w:pPr>
              <w:jc w:val="center"/>
            </w:pPr>
            <w:bookmarkStart w:id="368" w:name="_Toc294019661"/>
            <w:bookmarkStart w:id="369" w:name="_Toc294026983"/>
            <w:bookmarkStart w:id="370" w:name="_Toc294029222"/>
            <w:bookmarkStart w:id="371" w:name="_Toc313878713"/>
            <w:r w:rsidRPr="00DA20F5">
              <w:t>31.12.20</w:t>
            </w:r>
            <w:bookmarkEnd w:id="368"/>
            <w:bookmarkEnd w:id="369"/>
            <w:bookmarkEnd w:id="370"/>
            <w:bookmarkEnd w:id="371"/>
            <w:r w:rsidRPr="00DA20F5">
              <w:t>10</w:t>
            </w:r>
          </w:p>
        </w:tc>
        <w:tc>
          <w:tcPr>
            <w:tcW w:w="1621" w:type="dxa"/>
            <w:noWrap/>
            <w:vAlign w:val="center"/>
          </w:tcPr>
          <w:p w:rsidR="00826B8F" w:rsidRPr="00DA20F5" w:rsidRDefault="00826B8F" w:rsidP="00D36FB8">
            <w:pPr>
              <w:jc w:val="center"/>
            </w:pPr>
            <w:bookmarkStart w:id="372" w:name="_Toc294019662"/>
            <w:bookmarkStart w:id="373" w:name="_Toc294026984"/>
            <w:bookmarkStart w:id="374" w:name="_Toc294029223"/>
            <w:bookmarkStart w:id="375" w:name="_Toc313878714"/>
            <w:r w:rsidRPr="00DA20F5">
              <w:t>31.12.201</w:t>
            </w:r>
            <w:bookmarkEnd w:id="372"/>
            <w:bookmarkEnd w:id="373"/>
            <w:bookmarkEnd w:id="374"/>
            <w:bookmarkEnd w:id="375"/>
            <w:r w:rsidRPr="00DA20F5">
              <w:t>1</w:t>
            </w:r>
          </w:p>
        </w:tc>
        <w:tc>
          <w:tcPr>
            <w:tcW w:w="1622" w:type="dxa"/>
            <w:noWrap/>
            <w:vAlign w:val="center"/>
          </w:tcPr>
          <w:p w:rsidR="00826B8F" w:rsidRPr="00DA20F5" w:rsidRDefault="00826B8F" w:rsidP="00D36FB8">
            <w:pPr>
              <w:jc w:val="center"/>
            </w:pPr>
            <w:bookmarkStart w:id="376" w:name="_Toc294019663"/>
            <w:bookmarkStart w:id="377" w:name="_Toc294026985"/>
            <w:bookmarkStart w:id="378" w:name="_Toc294029224"/>
            <w:bookmarkStart w:id="379" w:name="_Toc313878715"/>
            <w:r w:rsidRPr="00DA20F5">
              <w:t>31.12.20</w:t>
            </w:r>
            <w:bookmarkEnd w:id="376"/>
            <w:bookmarkEnd w:id="377"/>
            <w:bookmarkEnd w:id="378"/>
            <w:bookmarkEnd w:id="379"/>
            <w:r w:rsidRPr="00DA20F5">
              <w:t>10</w:t>
            </w:r>
          </w:p>
        </w:tc>
      </w:tr>
      <w:tr w:rsidR="005D380C" w:rsidRPr="00DA20F5" w:rsidTr="006F123D">
        <w:trPr>
          <w:trHeight w:val="283"/>
          <w:jc w:val="center"/>
        </w:trPr>
        <w:tc>
          <w:tcPr>
            <w:tcW w:w="2320" w:type="dxa"/>
            <w:noWrap/>
            <w:vAlign w:val="center"/>
          </w:tcPr>
          <w:p w:rsidR="00826B8F" w:rsidRPr="00DA20F5" w:rsidRDefault="00826B8F" w:rsidP="00D36FB8">
            <w:bookmarkStart w:id="380" w:name="_Toc294019664"/>
            <w:bookmarkStart w:id="381" w:name="_Toc294026986"/>
            <w:bookmarkStart w:id="382" w:name="_Toc294029225"/>
            <w:bookmarkStart w:id="383" w:name="_Toc313878716"/>
            <w:r w:rsidRPr="00DA20F5">
              <w:t>Starobný (sólo + v súbehu) spolu</w:t>
            </w:r>
            <w:bookmarkEnd w:id="380"/>
            <w:bookmarkEnd w:id="381"/>
            <w:bookmarkEnd w:id="382"/>
            <w:bookmarkEnd w:id="383"/>
          </w:p>
        </w:tc>
        <w:tc>
          <w:tcPr>
            <w:tcW w:w="1486" w:type="dxa"/>
            <w:noWrap/>
            <w:vAlign w:val="center"/>
          </w:tcPr>
          <w:p w:rsidR="00826B8F" w:rsidRPr="00DA20F5" w:rsidRDefault="00826B8F" w:rsidP="00D36FB8">
            <w:pPr>
              <w:ind w:right="250"/>
              <w:jc w:val="right"/>
            </w:pPr>
            <w:r w:rsidRPr="00DA20F5">
              <w:t>957 633</w:t>
            </w:r>
          </w:p>
        </w:tc>
        <w:tc>
          <w:tcPr>
            <w:tcW w:w="1621" w:type="dxa"/>
            <w:gridSpan w:val="2"/>
            <w:noWrap/>
            <w:vAlign w:val="center"/>
          </w:tcPr>
          <w:p w:rsidR="00826B8F" w:rsidRPr="00DA20F5" w:rsidRDefault="00826B8F" w:rsidP="00D36FB8">
            <w:pPr>
              <w:ind w:right="250"/>
              <w:jc w:val="right"/>
            </w:pPr>
            <w:bookmarkStart w:id="384" w:name="_Toc294019665"/>
            <w:bookmarkStart w:id="385" w:name="_Toc294026987"/>
            <w:bookmarkStart w:id="386" w:name="_Toc294029226"/>
            <w:bookmarkStart w:id="387" w:name="_Toc313878717"/>
            <w:r w:rsidRPr="00DA20F5">
              <w:t>954 661</w:t>
            </w:r>
            <w:bookmarkEnd w:id="384"/>
            <w:bookmarkEnd w:id="385"/>
            <w:bookmarkEnd w:id="386"/>
            <w:bookmarkEnd w:id="387"/>
          </w:p>
        </w:tc>
        <w:tc>
          <w:tcPr>
            <w:tcW w:w="1621" w:type="dxa"/>
            <w:noWrap/>
            <w:vAlign w:val="center"/>
          </w:tcPr>
          <w:p w:rsidR="00826B8F" w:rsidRPr="00DA20F5" w:rsidRDefault="00826B8F" w:rsidP="00D36FB8">
            <w:pPr>
              <w:ind w:right="515"/>
              <w:jc w:val="right"/>
            </w:pPr>
            <w:r w:rsidRPr="00DA20F5">
              <w:t>362</w:t>
            </w:r>
          </w:p>
        </w:tc>
        <w:tc>
          <w:tcPr>
            <w:tcW w:w="1622" w:type="dxa"/>
            <w:noWrap/>
            <w:vAlign w:val="center"/>
          </w:tcPr>
          <w:p w:rsidR="00826B8F" w:rsidRPr="00DA20F5" w:rsidRDefault="00826B8F" w:rsidP="00D36FB8">
            <w:pPr>
              <w:ind w:right="515"/>
              <w:jc w:val="right"/>
            </w:pPr>
            <w:bookmarkStart w:id="388" w:name="_Toc294019667"/>
            <w:bookmarkStart w:id="389" w:name="_Toc294026989"/>
            <w:bookmarkStart w:id="390" w:name="_Toc294029228"/>
            <w:bookmarkStart w:id="391" w:name="_Toc313878719"/>
            <w:r w:rsidRPr="00DA20F5">
              <w:t>353</w:t>
            </w:r>
            <w:bookmarkEnd w:id="388"/>
            <w:bookmarkEnd w:id="389"/>
            <w:bookmarkEnd w:id="390"/>
            <w:bookmarkEnd w:id="391"/>
          </w:p>
        </w:tc>
      </w:tr>
      <w:tr w:rsidR="005D380C" w:rsidRPr="00DA20F5" w:rsidTr="006F123D">
        <w:trPr>
          <w:trHeight w:val="270"/>
          <w:jc w:val="center"/>
        </w:trPr>
        <w:tc>
          <w:tcPr>
            <w:tcW w:w="2320" w:type="dxa"/>
            <w:noWrap/>
            <w:vAlign w:val="center"/>
          </w:tcPr>
          <w:p w:rsidR="00826B8F" w:rsidRPr="00DA20F5" w:rsidRDefault="00826B8F" w:rsidP="00D36FB8">
            <w:bookmarkStart w:id="392" w:name="_Toc294019669"/>
            <w:bookmarkStart w:id="393" w:name="_Toc294026991"/>
            <w:bookmarkStart w:id="394" w:name="_Toc294029230"/>
            <w:bookmarkStart w:id="395" w:name="_Toc313878721"/>
            <w:r w:rsidRPr="00DA20F5">
              <w:t>Predčasný starobný - // -</w:t>
            </w:r>
            <w:bookmarkEnd w:id="392"/>
            <w:bookmarkEnd w:id="393"/>
            <w:bookmarkEnd w:id="394"/>
            <w:bookmarkEnd w:id="395"/>
          </w:p>
        </w:tc>
        <w:tc>
          <w:tcPr>
            <w:tcW w:w="1486" w:type="dxa"/>
            <w:noWrap/>
            <w:vAlign w:val="center"/>
          </w:tcPr>
          <w:p w:rsidR="00826B8F" w:rsidRPr="00DA20F5" w:rsidRDefault="00826B8F" w:rsidP="00D36FB8">
            <w:pPr>
              <w:ind w:right="250"/>
              <w:jc w:val="right"/>
            </w:pPr>
            <w:r w:rsidRPr="00DA20F5">
              <w:t>32 130</w:t>
            </w:r>
          </w:p>
        </w:tc>
        <w:tc>
          <w:tcPr>
            <w:tcW w:w="1621" w:type="dxa"/>
            <w:gridSpan w:val="2"/>
            <w:noWrap/>
            <w:vAlign w:val="center"/>
          </w:tcPr>
          <w:p w:rsidR="00826B8F" w:rsidRPr="00DA20F5" w:rsidRDefault="00826B8F" w:rsidP="00D36FB8">
            <w:pPr>
              <w:ind w:right="250"/>
              <w:jc w:val="right"/>
            </w:pPr>
            <w:bookmarkStart w:id="396" w:name="_Toc294019670"/>
            <w:bookmarkStart w:id="397" w:name="_Toc294026992"/>
            <w:bookmarkStart w:id="398" w:name="_Toc294029231"/>
            <w:bookmarkStart w:id="399" w:name="_Toc313878722"/>
            <w:r w:rsidRPr="00DA20F5">
              <w:t>47 893</w:t>
            </w:r>
            <w:bookmarkEnd w:id="396"/>
            <w:bookmarkEnd w:id="397"/>
            <w:bookmarkEnd w:id="398"/>
            <w:bookmarkEnd w:id="399"/>
          </w:p>
        </w:tc>
        <w:tc>
          <w:tcPr>
            <w:tcW w:w="1621" w:type="dxa"/>
            <w:noWrap/>
            <w:vAlign w:val="center"/>
          </w:tcPr>
          <w:p w:rsidR="00826B8F" w:rsidRPr="00DA20F5" w:rsidRDefault="00826B8F" w:rsidP="00D36FB8">
            <w:pPr>
              <w:ind w:right="515"/>
              <w:jc w:val="right"/>
            </w:pPr>
            <w:r w:rsidRPr="00DA20F5">
              <w:t>358</w:t>
            </w:r>
          </w:p>
        </w:tc>
        <w:tc>
          <w:tcPr>
            <w:tcW w:w="1622" w:type="dxa"/>
            <w:noWrap/>
            <w:vAlign w:val="center"/>
          </w:tcPr>
          <w:p w:rsidR="00826B8F" w:rsidRPr="00DA20F5" w:rsidRDefault="00826B8F" w:rsidP="00D36FB8">
            <w:pPr>
              <w:ind w:right="515"/>
              <w:jc w:val="right"/>
            </w:pPr>
            <w:bookmarkStart w:id="400" w:name="_Toc294019672"/>
            <w:bookmarkStart w:id="401" w:name="_Toc294026994"/>
            <w:bookmarkStart w:id="402" w:name="_Toc294029233"/>
            <w:bookmarkStart w:id="403" w:name="_Toc313878724"/>
            <w:r w:rsidRPr="00DA20F5">
              <w:t>367</w:t>
            </w:r>
            <w:bookmarkEnd w:id="400"/>
            <w:bookmarkEnd w:id="401"/>
            <w:bookmarkEnd w:id="402"/>
            <w:bookmarkEnd w:id="403"/>
          </w:p>
        </w:tc>
      </w:tr>
      <w:tr w:rsidR="005D380C" w:rsidRPr="00DA20F5" w:rsidTr="006F123D">
        <w:trPr>
          <w:trHeight w:val="270"/>
          <w:jc w:val="center"/>
        </w:trPr>
        <w:tc>
          <w:tcPr>
            <w:tcW w:w="2320" w:type="dxa"/>
            <w:noWrap/>
            <w:vAlign w:val="center"/>
          </w:tcPr>
          <w:p w:rsidR="00826B8F" w:rsidRPr="00DA20F5" w:rsidRDefault="00826B8F" w:rsidP="00D36FB8">
            <w:bookmarkStart w:id="404" w:name="_Toc294019674"/>
            <w:bookmarkStart w:id="405" w:name="_Toc294026996"/>
            <w:bookmarkStart w:id="406" w:name="_Toc294029235"/>
            <w:bookmarkStart w:id="407" w:name="_Toc313878726"/>
            <w:r w:rsidRPr="00DA20F5">
              <w:t>Invalidný - // -</w:t>
            </w:r>
            <w:bookmarkEnd w:id="404"/>
            <w:bookmarkEnd w:id="405"/>
            <w:bookmarkEnd w:id="406"/>
            <w:bookmarkEnd w:id="407"/>
          </w:p>
        </w:tc>
        <w:tc>
          <w:tcPr>
            <w:tcW w:w="1486" w:type="dxa"/>
            <w:noWrap/>
            <w:vAlign w:val="center"/>
          </w:tcPr>
          <w:p w:rsidR="00826B8F" w:rsidRPr="00DA20F5" w:rsidRDefault="00826B8F" w:rsidP="00D36FB8">
            <w:pPr>
              <w:ind w:right="250"/>
              <w:jc w:val="right"/>
            </w:pPr>
            <w:r w:rsidRPr="00DA20F5">
              <w:t>223 182</w:t>
            </w:r>
          </w:p>
        </w:tc>
        <w:tc>
          <w:tcPr>
            <w:tcW w:w="1621" w:type="dxa"/>
            <w:gridSpan w:val="2"/>
            <w:noWrap/>
            <w:vAlign w:val="center"/>
          </w:tcPr>
          <w:p w:rsidR="00826B8F" w:rsidRPr="00DA20F5" w:rsidRDefault="00826B8F" w:rsidP="00D36FB8">
            <w:pPr>
              <w:ind w:right="250"/>
              <w:jc w:val="right"/>
            </w:pPr>
            <w:bookmarkStart w:id="408" w:name="_Toc294019675"/>
            <w:bookmarkStart w:id="409" w:name="_Toc294026997"/>
            <w:bookmarkStart w:id="410" w:name="_Toc294029236"/>
            <w:bookmarkStart w:id="411" w:name="_Toc313878727"/>
            <w:r w:rsidRPr="00DA20F5">
              <w:t>208 338</w:t>
            </w:r>
            <w:bookmarkEnd w:id="408"/>
            <w:bookmarkEnd w:id="409"/>
            <w:bookmarkEnd w:id="410"/>
            <w:bookmarkEnd w:id="411"/>
          </w:p>
        </w:tc>
        <w:tc>
          <w:tcPr>
            <w:tcW w:w="1621" w:type="dxa"/>
            <w:noWrap/>
            <w:vAlign w:val="center"/>
          </w:tcPr>
          <w:p w:rsidR="00826B8F" w:rsidRPr="00DA20F5" w:rsidRDefault="00826B8F" w:rsidP="00D36FB8">
            <w:pPr>
              <w:ind w:right="515"/>
              <w:jc w:val="right"/>
            </w:pPr>
            <w:r w:rsidRPr="00DA20F5">
              <w:t>256</w:t>
            </w:r>
          </w:p>
        </w:tc>
        <w:tc>
          <w:tcPr>
            <w:tcW w:w="1622" w:type="dxa"/>
            <w:noWrap/>
            <w:vAlign w:val="center"/>
          </w:tcPr>
          <w:p w:rsidR="00826B8F" w:rsidRPr="00DA20F5" w:rsidRDefault="00826B8F" w:rsidP="00D36FB8">
            <w:pPr>
              <w:ind w:right="515"/>
              <w:jc w:val="right"/>
            </w:pPr>
            <w:bookmarkStart w:id="412" w:name="_Toc294019677"/>
            <w:bookmarkStart w:id="413" w:name="_Toc294026999"/>
            <w:bookmarkStart w:id="414" w:name="_Toc294029238"/>
            <w:bookmarkStart w:id="415" w:name="_Toc313878729"/>
            <w:r w:rsidRPr="00DA20F5">
              <w:t>255</w:t>
            </w:r>
            <w:bookmarkEnd w:id="412"/>
            <w:bookmarkEnd w:id="413"/>
            <w:bookmarkEnd w:id="414"/>
            <w:bookmarkEnd w:id="415"/>
          </w:p>
        </w:tc>
      </w:tr>
      <w:tr w:rsidR="005D380C" w:rsidRPr="00DA20F5" w:rsidTr="006F123D">
        <w:trPr>
          <w:trHeight w:val="270"/>
          <w:jc w:val="center"/>
        </w:trPr>
        <w:tc>
          <w:tcPr>
            <w:tcW w:w="2320" w:type="dxa"/>
            <w:noWrap/>
            <w:vAlign w:val="center"/>
          </w:tcPr>
          <w:p w:rsidR="00826B8F" w:rsidRPr="00DA20F5" w:rsidRDefault="00826B8F" w:rsidP="00D36FB8">
            <w:bookmarkStart w:id="416" w:name="_Toc294019679"/>
            <w:bookmarkStart w:id="417" w:name="_Toc294027001"/>
            <w:bookmarkStart w:id="418" w:name="_Toc294029240"/>
            <w:bookmarkStart w:id="419" w:name="_Toc313878731"/>
            <w:r w:rsidRPr="00DA20F5">
              <w:t>Vdovský (sólo)</w:t>
            </w:r>
            <w:bookmarkEnd w:id="416"/>
            <w:bookmarkEnd w:id="417"/>
            <w:bookmarkEnd w:id="418"/>
            <w:bookmarkEnd w:id="419"/>
          </w:p>
        </w:tc>
        <w:tc>
          <w:tcPr>
            <w:tcW w:w="1486" w:type="dxa"/>
            <w:noWrap/>
            <w:vAlign w:val="center"/>
          </w:tcPr>
          <w:p w:rsidR="00826B8F" w:rsidRPr="00DA20F5" w:rsidRDefault="00826B8F" w:rsidP="00D36FB8">
            <w:pPr>
              <w:ind w:right="250"/>
              <w:jc w:val="right"/>
            </w:pPr>
            <w:r w:rsidRPr="00DA20F5">
              <w:t>37 457</w:t>
            </w:r>
          </w:p>
        </w:tc>
        <w:tc>
          <w:tcPr>
            <w:tcW w:w="1621" w:type="dxa"/>
            <w:gridSpan w:val="2"/>
            <w:noWrap/>
            <w:vAlign w:val="center"/>
          </w:tcPr>
          <w:p w:rsidR="00826B8F" w:rsidRPr="00DA20F5" w:rsidRDefault="00826B8F" w:rsidP="00D36FB8">
            <w:pPr>
              <w:ind w:right="250"/>
              <w:jc w:val="right"/>
            </w:pPr>
            <w:bookmarkStart w:id="420" w:name="_Toc294019680"/>
            <w:bookmarkStart w:id="421" w:name="_Toc294027002"/>
            <w:bookmarkStart w:id="422" w:name="_Toc294029241"/>
            <w:bookmarkStart w:id="423" w:name="_Toc313878732"/>
            <w:r w:rsidRPr="00DA20F5">
              <w:t>38 085</w:t>
            </w:r>
            <w:bookmarkEnd w:id="420"/>
            <w:bookmarkEnd w:id="421"/>
            <w:bookmarkEnd w:id="422"/>
            <w:bookmarkEnd w:id="423"/>
          </w:p>
        </w:tc>
        <w:tc>
          <w:tcPr>
            <w:tcW w:w="1621" w:type="dxa"/>
            <w:noWrap/>
            <w:vAlign w:val="center"/>
          </w:tcPr>
          <w:p w:rsidR="00826B8F" w:rsidRPr="00DA20F5" w:rsidRDefault="00826B8F" w:rsidP="00D36FB8">
            <w:pPr>
              <w:ind w:right="515"/>
              <w:jc w:val="right"/>
            </w:pPr>
            <w:r w:rsidRPr="00DA20F5">
              <w:t>222</w:t>
            </w:r>
          </w:p>
        </w:tc>
        <w:tc>
          <w:tcPr>
            <w:tcW w:w="1622" w:type="dxa"/>
            <w:noWrap/>
            <w:vAlign w:val="center"/>
          </w:tcPr>
          <w:p w:rsidR="00826B8F" w:rsidRPr="00DA20F5" w:rsidRDefault="00826B8F" w:rsidP="00D36FB8">
            <w:pPr>
              <w:ind w:right="515"/>
              <w:jc w:val="right"/>
            </w:pPr>
            <w:bookmarkStart w:id="424" w:name="_Toc294019682"/>
            <w:bookmarkStart w:id="425" w:name="_Toc294027004"/>
            <w:bookmarkStart w:id="426" w:name="_Toc294029243"/>
            <w:bookmarkStart w:id="427" w:name="_Toc313878734"/>
            <w:r w:rsidRPr="00DA20F5">
              <w:t>217</w:t>
            </w:r>
            <w:bookmarkEnd w:id="424"/>
            <w:bookmarkEnd w:id="425"/>
            <w:bookmarkEnd w:id="426"/>
            <w:bookmarkEnd w:id="427"/>
          </w:p>
        </w:tc>
      </w:tr>
      <w:tr w:rsidR="005D380C" w:rsidRPr="00DA20F5" w:rsidTr="006F123D">
        <w:trPr>
          <w:trHeight w:val="270"/>
          <w:jc w:val="center"/>
        </w:trPr>
        <w:tc>
          <w:tcPr>
            <w:tcW w:w="2320" w:type="dxa"/>
            <w:noWrap/>
            <w:vAlign w:val="center"/>
          </w:tcPr>
          <w:p w:rsidR="00826B8F" w:rsidRPr="00DA20F5" w:rsidRDefault="00826B8F" w:rsidP="00D36FB8">
            <w:bookmarkStart w:id="428" w:name="_Toc294019684"/>
            <w:bookmarkStart w:id="429" w:name="_Toc294027006"/>
            <w:bookmarkStart w:id="430" w:name="_Toc294029245"/>
            <w:bookmarkStart w:id="431" w:name="_Toc313878736"/>
            <w:r w:rsidRPr="00DA20F5">
              <w:t>Vdovecký - // -</w:t>
            </w:r>
            <w:bookmarkEnd w:id="428"/>
            <w:bookmarkEnd w:id="429"/>
            <w:bookmarkEnd w:id="430"/>
            <w:bookmarkEnd w:id="431"/>
          </w:p>
        </w:tc>
        <w:tc>
          <w:tcPr>
            <w:tcW w:w="1486" w:type="dxa"/>
            <w:noWrap/>
            <w:vAlign w:val="center"/>
          </w:tcPr>
          <w:p w:rsidR="00826B8F" w:rsidRPr="00DA20F5" w:rsidRDefault="00826B8F" w:rsidP="00D36FB8">
            <w:pPr>
              <w:ind w:right="250"/>
              <w:jc w:val="right"/>
            </w:pPr>
            <w:r w:rsidRPr="00DA20F5">
              <w:t>5 435</w:t>
            </w:r>
          </w:p>
        </w:tc>
        <w:tc>
          <w:tcPr>
            <w:tcW w:w="1621" w:type="dxa"/>
            <w:gridSpan w:val="2"/>
            <w:noWrap/>
            <w:vAlign w:val="center"/>
          </w:tcPr>
          <w:p w:rsidR="00826B8F" w:rsidRPr="00DA20F5" w:rsidRDefault="00826B8F" w:rsidP="00D36FB8">
            <w:pPr>
              <w:ind w:right="250"/>
              <w:jc w:val="right"/>
            </w:pPr>
            <w:bookmarkStart w:id="432" w:name="_Toc294019685"/>
            <w:bookmarkStart w:id="433" w:name="_Toc294027007"/>
            <w:bookmarkStart w:id="434" w:name="_Toc294029246"/>
            <w:bookmarkStart w:id="435" w:name="_Toc313878737"/>
            <w:r w:rsidRPr="00DA20F5">
              <w:t>5 076</w:t>
            </w:r>
            <w:bookmarkEnd w:id="432"/>
            <w:bookmarkEnd w:id="433"/>
            <w:bookmarkEnd w:id="434"/>
            <w:bookmarkEnd w:id="435"/>
          </w:p>
        </w:tc>
        <w:tc>
          <w:tcPr>
            <w:tcW w:w="1621" w:type="dxa"/>
            <w:noWrap/>
            <w:vAlign w:val="center"/>
          </w:tcPr>
          <w:p w:rsidR="00826B8F" w:rsidRPr="00DA20F5" w:rsidRDefault="00826B8F" w:rsidP="00D36FB8">
            <w:pPr>
              <w:ind w:right="515"/>
              <w:jc w:val="right"/>
            </w:pPr>
            <w:r w:rsidRPr="00DA20F5">
              <w:t>170</w:t>
            </w:r>
          </w:p>
        </w:tc>
        <w:tc>
          <w:tcPr>
            <w:tcW w:w="1622" w:type="dxa"/>
            <w:noWrap/>
            <w:vAlign w:val="center"/>
          </w:tcPr>
          <w:p w:rsidR="00826B8F" w:rsidRPr="00DA20F5" w:rsidRDefault="00826B8F" w:rsidP="00D36FB8">
            <w:pPr>
              <w:ind w:right="515"/>
              <w:jc w:val="right"/>
            </w:pPr>
            <w:bookmarkStart w:id="436" w:name="_Toc294019687"/>
            <w:bookmarkStart w:id="437" w:name="_Toc294027009"/>
            <w:bookmarkStart w:id="438" w:name="_Toc294029248"/>
            <w:bookmarkStart w:id="439" w:name="_Toc313878739"/>
            <w:r w:rsidRPr="00DA20F5">
              <w:t>165</w:t>
            </w:r>
            <w:bookmarkEnd w:id="436"/>
            <w:bookmarkEnd w:id="437"/>
            <w:bookmarkEnd w:id="438"/>
            <w:bookmarkEnd w:id="439"/>
          </w:p>
        </w:tc>
      </w:tr>
      <w:tr w:rsidR="005D380C" w:rsidRPr="00DA20F5" w:rsidTr="006F123D">
        <w:trPr>
          <w:trHeight w:val="270"/>
          <w:jc w:val="center"/>
        </w:trPr>
        <w:tc>
          <w:tcPr>
            <w:tcW w:w="2320" w:type="dxa"/>
            <w:noWrap/>
            <w:vAlign w:val="center"/>
          </w:tcPr>
          <w:p w:rsidR="00826B8F" w:rsidRPr="00DA20F5" w:rsidRDefault="00826B8F" w:rsidP="00D36FB8">
            <w:bookmarkStart w:id="440" w:name="_Toc294019689"/>
            <w:bookmarkStart w:id="441" w:name="_Toc294027011"/>
            <w:bookmarkStart w:id="442" w:name="_Toc294029250"/>
            <w:bookmarkStart w:id="443" w:name="_Toc313878741"/>
            <w:r w:rsidRPr="00DA20F5">
              <w:t>Sirotský</w:t>
            </w:r>
            <w:bookmarkEnd w:id="440"/>
            <w:bookmarkEnd w:id="441"/>
            <w:bookmarkEnd w:id="442"/>
            <w:bookmarkEnd w:id="443"/>
          </w:p>
        </w:tc>
        <w:tc>
          <w:tcPr>
            <w:tcW w:w="1486" w:type="dxa"/>
            <w:noWrap/>
            <w:vAlign w:val="center"/>
          </w:tcPr>
          <w:p w:rsidR="00826B8F" w:rsidRPr="00DA20F5" w:rsidRDefault="00826B8F" w:rsidP="00D36FB8">
            <w:pPr>
              <w:ind w:right="250"/>
              <w:jc w:val="right"/>
            </w:pPr>
            <w:r w:rsidRPr="00DA20F5">
              <w:t>27 617</w:t>
            </w:r>
          </w:p>
        </w:tc>
        <w:tc>
          <w:tcPr>
            <w:tcW w:w="1621" w:type="dxa"/>
            <w:gridSpan w:val="2"/>
            <w:noWrap/>
            <w:vAlign w:val="center"/>
          </w:tcPr>
          <w:p w:rsidR="00826B8F" w:rsidRPr="00DA20F5" w:rsidRDefault="00826B8F" w:rsidP="00D36FB8">
            <w:pPr>
              <w:ind w:right="250"/>
              <w:jc w:val="right"/>
            </w:pPr>
            <w:bookmarkStart w:id="444" w:name="_Toc294019690"/>
            <w:bookmarkStart w:id="445" w:name="_Toc294027012"/>
            <w:bookmarkStart w:id="446" w:name="_Toc294029251"/>
            <w:bookmarkStart w:id="447" w:name="_Toc313878742"/>
            <w:r w:rsidRPr="00DA20F5">
              <w:t>28 043</w:t>
            </w:r>
            <w:bookmarkEnd w:id="444"/>
            <w:bookmarkEnd w:id="445"/>
            <w:bookmarkEnd w:id="446"/>
            <w:bookmarkEnd w:id="447"/>
          </w:p>
        </w:tc>
        <w:tc>
          <w:tcPr>
            <w:tcW w:w="1621" w:type="dxa"/>
            <w:noWrap/>
            <w:vAlign w:val="center"/>
          </w:tcPr>
          <w:p w:rsidR="00826B8F" w:rsidRPr="00DA20F5" w:rsidRDefault="00826B8F" w:rsidP="00D36FB8">
            <w:pPr>
              <w:ind w:right="515"/>
              <w:jc w:val="right"/>
            </w:pPr>
            <w:r w:rsidRPr="00DA20F5">
              <w:t>126</w:t>
            </w:r>
          </w:p>
        </w:tc>
        <w:tc>
          <w:tcPr>
            <w:tcW w:w="1622" w:type="dxa"/>
            <w:noWrap/>
            <w:vAlign w:val="center"/>
          </w:tcPr>
          <w:p w:rsidR="00826B8F" w:rsidRPr="00DA20F5" w:rsidRDefault="00826B8F" w:rsidP="00D36FB8">
            <w:pPr>
              <w:ind w:right="515"/>
              <w:jc w:val="right"/>
            </w:pPr>
            <w:bookmarkStart w:id="448" w:name="_Toc294019692"/>
            <w:bookmarkStart w:id="449" w:name="_Toc294027014"/>
            <w:bookmarkStart w:id="450" w:name="_Toc294029253"/>
            <w:bookmarkStart w:id="451" w:name="_Toc313878744"/>
            <w:r w:rsidRPr="00DA20F5">
              <w:t>125</w:t>
            </w:r>
            <w:bookmarkEnd w:id="448"/>
            <w:bookmarkEnd w:id="449"/>
            <w:bookmarkEnd w:id="450"/>
            <w:bookmarkEnd w:id="451"/>
          </w:p>
        </w:tc>
      </w:tr>
      <w:tr w:rsidR="005D380C" w:rsidRPr="00DA20F5" w:rsidTr="006F123D">
        <w:trPr>
          <w:trHeight w:val="270"/>
          <w:jc w:val="center"/>
        </w:trPr>
        <w:tc>
          <w:tcPr>
            <w:tcW w:w="2320" w:type="dxa"/>
            <w:noWrap/>
            <w:vAlign w:val="center"/>
          </w:tcPr>
          <w:p w:rsidR="00826B8F" w:rsidRPr="00DA20F5" w:rsidRDefault="00826B8F" w:rsidP="00D36FB8">
            <w:bookmarkStart w:id="452" w:name="_Toc294019694"/>
            <w:bookmarkStart w:id="453" w:name="_Toc294027016"/>
            <w:bookmarkStart w:id="454" w:name="_Toc294029255"/>
            <w:bookmarkStart w:id="455" w:name="_Toc313878746"/>
            <w:r w:rsidRPr="00DA20F5">
              <w:t>Spolu</w:t>
            </w:r>
            <w:bookmarkEnd w:id="452"/>
            <w:bookmarkEnd w:id="453"/>
            <w:bookmarkEnd w:id="454"/>
            <w:bookmarkEnd w:id="455"/>
          </w:p>
        </w:tc>
        <w:tc>
          <w:tcPr>
            <w:tcW w:w="1486" w:type="dxa"/>
            <w:noWrap/>
            <w:vAlign w:val="center"/>
          </w:tcPr>
          <w:p w:rsidR="00826B8F" w:rsidRPr="00DA20F5" w:rsidRDefault="00826B8F" w:rsidP="00D36FB8">
            <w:pPr>
              <w:ind w:right="250"/>
              <w:jc w:val="right"/>
            </w:pPr>
            <w:r w:rsidRPr="00DA20F5">
              <w:t>1 293 709</w:t>
            </w:r>
          </w:p>
        </w:tc>
        <w:tc>
          <w:tcPr>
            <w:tcW w:w="1621" w:type="dxa"/>
            <w:gridSpan w:val="2"/>
            <w:noWrap/>
            <w:vAlign w:val="center"/>
          </w:tcPr>
          <w:p w:rsidR="00826B8F" w:rsidRPr="00DA20F5" w:rsidRDefault="00826B8F" w:rsidP="00D36FB8">
            <w:pPr>
              <w:ind w:right="250"/>
              <w:jc w:val="right"/>
            </w:pPr>
            <w:bookmarkStart w:id="456" w:name="_Toc294019695"/>
            <w:bookmarkStart w:id="457" w:name="_Toc294027017"/>
            <w:bookmarkStart w:id="458" w:name="_Toc294029256"/>
            <w:bookmarkStart w:id="459" w:name="_Toc313878747"/>
            <w:r w:rsidRPr="00DA20F5">
              <w:t>1 287 592</w:t>
            </w:r>
            <w:bookmarkEnd w:id="456"/>
            <w:bookmarkEnd w:id="457"/>
            <w:bookmarkEnd w:id="458"/>
            <w:bookmarkEnd w:id="459"/>
          </w:p>
        </w:tc>
        <w:tc>
          <w:tcPr>
            <w:tcW w:w="1621" w:type="dxa"/>
            <w:noWrap/>
            <w:vAlign w:val="center"/>
          </w:tcPr>
          <w:p w:rsidR="00826B8F" w:rsidRPr="00DA20F5" w:rsidRDefault="002A32B0" w:rsidP="00E138B1">
            <w:pPr>
              <w:ind w:right="657"/>
              <w:jc w:val="right"/>
            </w:pPr>
            <w:r w:rsidRPr="00DA20F5">
              <w:t>x</w:t>
            </w:r>
          </w:p>
        </w:tc>
        <w:tc>
          <w:tcPr>
            <w:tcW w:w="1622" w:type="dxa"/>
            <w:noWrap/>
            <w:vAlign w:val="center"/>
          </w:tcPr>
          <w:p w:rsidR="00826B8F" w:rsidRPr="00DA20F5" w:rsidRDefault="002A32B0" w:rsidP="00E138B1">
            <w:pPr>
              <w:ind w:right="578"/>
              <w:jc w:val="right"/>
            </w:pPr>
            <w:r w:rsidRPr="00DA20F5">
              <w:t>x</w:t>
            </w:r>
          </w:p>
        </w:tc>
      </w:tr>
      <w:tr w:rsidR="005D380C" w:rsidRPr="00DA20F5" w:rsidTr="006F123D">
        <w:trPr>
          <w:trHeight w:val="270"/>
          <w:jc w:val="center"/>
        </w:trPr>
        <w:tc>
          <w:tcPr>
            <w:tcW w:w="2320" w:type="dxa"/>
            <w:noWrap/>
            <w:vAlign w:val="center"/>
          </w:tcPr>
          <w:p w:rsidR="00826B8F" w:rsidRPr="00DA20F5" w:rsidRDefault="00826B8F" w:rsidP="00D36FB8">
            <w:bookmarkStart w:id="460" w:name="_Toc294019699"/>
            <w:bookmarkStart w:id="461" w:name="_Toc294027021"/>
            <w:bookmarkStart w:id="462" w:name="_Toc294029260"/>
            <w:bookmarkStart w:id="463" w:name="_Toc313878751"/>
            <w:r w:rsidRPr="00DA20F5">
              <w:t>Dôchodky neprevzaté do automatizovanej evidencie</w:t>
            </w:r>
            <w:bookmarkEnd w:id="460"/>
            <w:bookmarkEnd w:id="461"/>
            <w:bookmarkEnd w:id="462"/>
            <w:bookmarkEnd w:id="463"/>
          </w:p>
        </w:tc>
        <w:tc>
          <w:tcPr>
            <w:tcW w:w="1486" w:type="dxa"/>
            <w:noWrap/>
            <w:vAlign w:val="center"/>
          </w:tcPr>
          <w:p w:rsidR="00826B8F" w:rsidRPr="00DA20F5" w:rsidRDefault="00826B8F" w:rsidP="00D36FB8">
            <w:pPr>
              <w:ind w:right="250"/>
              <w:jc w:val="right"/>
            </w:pPr>
            <w:r w:rsidRPr="00DA20F5">
              <w:t>168</w:t>
            </w:r>
          </w:p>
        </w:tc>
        <w:tc>
          <w:tcPr>
            <w:tcW w:w="1621" w:type="dxa"/>
            <w:gridSpan w:val="2"/>
            <w:noWrap/>
            <w:vAlign w:val="center"/>
          </w:tcPr>
          <w:p w:rsidR="00826B8F" w:rsidRPr="00DA20F5" w:rsidRDefault="00826B8F" w:rsidP="00D36FB8">
            <w:pPr>
              <w:ind w:right="250"/>
              <w:jc w:val="right"/>
            </w:pPr>
            <w:bookmarkStart w:id="464" w:name="_Toc294019700"/>
            <w:bookmarkStart w:id="465" w:name="_Toc294027022"/>
            <w:bookmarkStart w:id="466" w:name="_Toc294029261"/>
            <w:bookmarkStart w:id="467" w:name="_Toc313878752"/>
            <w:r w:rsidRPr="00DA20F5">
              <w:t>188</w:t>
            </w:r>
            <w:bookmarkEnd w:id="464"/>
            <w:bookmarkEnd w:id="465"/>
            <w:bookmarkEnd w:id="466"/>
            <w:bookmarkEnd w:id="467"/>
          </w:p>
        </w:tc>
        <w:tc>
          <w:tcPr>
            <w:tcW w:w="1621" w:type="dxa"/>
            <w:noWrap/>
            <w:vAlign w:val="center"/>
          </w:tcPr>
          <w:p w:rsidR="00826B8F" w:rsidRPr="00DA20F5" w:rsidRDefault="002A32B0" w:rsidP="00E138B1">
            <w:pPr>
              <w:ind w:right="657"/>
              <w:jc w:val="right"/>
            </w:pPr>
            <w:r w:rsidRPr="00DA20F5">
              <w:t>x</w:t>
            </w:r>
          </w:p>
        </w:tc>
        <w:tc>
          <w:tcPr>
            <w:tcW w:w="1622" w:type="dxa"/>
            <w:noWrap/>
            <w:vAlign w:val="center"/>
          </w:tcPr>
          <w:p w:rsidR="00826B8F" w:rsidRPr="00DA20F5" w:rsidRDefault="002A32B0" w:rsidP="00E138B1">
            <w:pPr>
              <w:ind w:right="578"/>
              <w:jc w:val="right"/>
            </w:pPr>
            <w:r w:rsidRPr="00DA20F5">
              <w:t>x</w:t>
            </w:r>
          </w:p>
        </w:tc>
      </w:tr>
      <w:tr w:rsidR="005D380C" w:rsidRPr="00DA20F5" w:rsidTr="006F123D">
        <w:trPr>
          <w:trHeight w:val="270"/>
          <w:jc w:val="center"/>
        </w:trPr>
        <w:tc>
          <w:tcPr>
            <w:tcW w:w="2320" w:type="dxa"/>
            <w:noWrap/>
            <w:vAlign w:val="center"/>
          </w:tcPr>
          <w:p w:rsidR="00826B8F" w:rsidRPr="00DA20F5" w:rsidRDefault="00826B8F" w:rsidP="00D36FB8">
            <w:bookmarkStart w:id="468" w:name="_Toc294019704"/>
            <w:bookmarkStart w:id="469" w:name="_Toc294027026"/>
            <w:bookmarkStart w:id="470" w:name="_Toc294029265"/>
            <w:bookmarkStart w:id="471" w:name="_Toc313878756"/>
            <w:r w:rsidRPr="00DA20F5">
              <w:t>Dôchodky vyplácané do cudziny</w:t>
            </w:r>
            <w:bookmarkEnd w:id="468"/>
            <w:bookmarkEnd w:id="469"/>
            <w:bookmarkEnd w:id="470"/>
            <w:bookmarkEnd w:id="471"/>
          </w:p>
        </w:tc>
        <w:tc>
          <w:tcPr>
            <w:tcW w:w="1486" w:type="dxa"/>
            <w:noWrap/>
            <w:vAlign w:val="center"/>
          </w:tcPr>
          <w:p w:rsidR="00826B8F" w:rsidRPr="00DA20F5" w:rsidRDefault="00826B8F" w:rsidP="00D36FB8">
            <w:pPr>
              <w:ind w:right="250"/>
              <w:jc w:val="right"/>
            </w:pPr>
            <w:r w:rsidRPr="00DA20F5">
              <w:t>16 315</w:t>
            </w:r>
          </w:p>
        </w:tc>
        <w:tc>
          <w:tcPr>
            <w:tcW w:w="1621" w:type="dxa"/>
            <w:gridSpan w:val="2"/>
            <w:noWrap/>
            <w:vAlign w:val="center"/>
          </w:tcPr>
          <w:p w:rsidR="00826B8F" w:rsidRPr="00DA20F5" w:rsidRDefault="00826B8F" w:rsidP="00D36FB8">
            <w:pPr>
              <w:ind w:right="250"/>
              <w:jc w:val="right"/>
            </w:pPr>
            <w:bookmarkStart w:id="472" w:name="_Toc294019705"/>
            <w:bookmarkStart w:id="473" w:name="_Toc294027027"/>
            <w:bookmarkStart w:id="474" w:name="_Toc294029266"/>
            <w:bookmarkStart w:id="475" w:name="_Toc313878757"/>
            <w:r w:rsidRPr="00DA20F5">
              <w:t>14 309</w:t>
            </w:r>
            <w:bookmarkEnd w:id="472"/>
            <w:bookmarkEnd w:id="473"/>
            <w:bookmarkEnd w:id="474"/>
            <w:bookmarkEnd w:id="475"/>
          </w:p>
        </w:tc>
        <w:tc>
          <w:tcPr>
            <w:tcW w:w="1621" w:type="dxa"/>
            <w:noWrap/>
            <w:vAlign w:val="center"/>
          </w:tcPr>
          <w:p w:rsidR="00826B8F" w:rsidRPr="00DA20F5" w:rsidRDefault="002A32B0" w:rsidP="00E138B1">
            <w:pPr>
              <w:ind w:right="657"/>
              <w:jc w:val="right"/>
            </w:pPr>
            <w:r w:rsidRPr="00DA20F5">
              <w:t>x</w:t>
            </w:r>
          </w:p>
        </w:tc>
        <w:tc>
          <w:tcPr>
            <w:tcW w:w="1622" w:type="dxa"/>
            <w:noWrap/>
            <w:vAlign w:val="center"/>
          </w:tcPr>
          <w:p w:rsidR="00826B8F" w:rsidRPr="00DA20F5" w:rsidRDefault="002A32B0" w:rsidP="00E138B1">
            <w:pPr>
              <w:ind w:right="578"/>
              <w:jc w:val="right"/>
            </w:pPr>
            <w:r w:rsidRPr="00DA20F5">
              <w:t>x</w:t>
            </w:r>
          </w:p>
        </w:tc>
      </w:tr>
    </w:tbl>
    <w:p w:rsidR="00826B8F" w:rsidRPr="00DA20F5" w:rsidRDefault="00826B8F" w:rsidP="00D36FB8">
      <w:pPr>
        <w:pStyle w:val="zdroj"/>
        <w:spacing w:after="0"/>
      </w:pPr>
      <w:r w:rsidRPr="00DA20F5">
        <w:t>Zdroj: Sociálna poisťovňa</w:t>
      </w:r>
    </w:p>
    <w:p w:rsidR="00826B8F" w:rsidRPr="00DA20F5" w:rsidRDefault="00826B8F" w:rsidP="00D36FB8">
      <w:pPr>
        <w:pStyle w:val="zdroj"/>
        <w:spacing w:before="0"/>
      </w:pPr>
      <w:r w:rsidRPr="00DA20F5">
        <w:t xml:space="preserve">*Štatistické údaje sú vrátane súbehov. </w:t>
      </w:r>
    </w:p>
    <w:bookmarkEnd w:id="344"/>
    <w:p w:rsidR="00826B8F" w:rsidRPr="00DA20F5" w:rsidRDefault="00826B8F" w:rsidP="00D36FB8">
      <w:pPr>
        <w:pStyle w:val="Normlnysozarkami12"/>
        <w:ind w:firstLine="426"/>
      </w:pPr>
      <w:r w:rsidRPr="00DA20F5">
        <w:t>Rok 2011 priniesol medziročne zvýšenie počtu novopriznaných predčasných starobných dôchodkov, pričom celkovo došlo k zníženiu počtu poberateľov predčasného starobného dôchodku oproti roku 2010. Zníženie počtu poberateľov predčasných starobných dôchodkov bolo spôsobené najmä novelou zákona č. 461/2003 Z. z. tým, že od 1. januára (pre „staré prípady“ od 1. marca) 2011 sa zamedzilo poberaniu predčasného starobného dôchodku počas vykonávania zárobkovej činnosti.</w:t>
      </w:r>
    </w:p>
    <w:p w:rsidR="00826B8F" w:rsidRPr="00DA20F5" w:rsidRDefault="00826B8F" w:rsidP="00D36FB8">
      <w:pPr>
        <w:pStyle w:val="Normlnysozarkami12"/>
        <w:ind w:firstLine="426"/>
      </w:pPr>
      <w:r w:rsidRPr="00DA20F5">
        <w:t xml:space="preserve">V roku 2011 vplyvom makroekonomických ukazovateľov zohľadnených pri valorizácii dôchodkových dávok a raste </w:t>
      </w:r>
      <w:r w:rsidR="00F20EE7" w:rsidRPr="00DA20F5">
        <w:t>aktuálnej dôchodkovej hodnoty</w:t>
      </w:r>
      <w:r w:rsidRPr="00DA20F5">
        <w:t xml:space="preserve"> došlo k zlepšeniu sociálnej situácie </w:t>
      </w:r>
      <w:r w:rsidRPr="00DA20F5">
        <w:lastRenderedPageBreak/>
        <w:t>dôchodcov. Sociálna poisťovňa vyplácala v priemere všetky dávky dôchodkového poistenia, s výnimkou predčasného starobného dôchodku, vyššie ako v roku 2010. Najvyšší nárast zaznamenali poberatelia starobného dôchodku vyplácaného v súbehu s vdovským a vdoveckým dôchodkom.</w:t>
      </w:r>
    </w:p>
    <w:p w:rsidR="00826B8F" w:rsidRPr="00DA20F5" w:rsidRDefault="00826B8F" w:rsidP="00D36FB8">
      <w:pPr>
        <w:pStyle w:val="Nadpis7"/>
      </w:pPr>
      <w:bookmarkStart w:id="476" w:name="_Toc294027031"/>
      <w:bookmarkStart w:id="477" w:name="_Toc294029270"/>
      <w:bookmarkStart w:id="478" w:name="_Toc313878761"/>
      <w:bookmarkStart w:id="479" w:name="_Toc325438166"/>
      <w:bookmarkStart w:id="480" w:name="_Toc325440935"/>
      <w:bookmarkStart w:id="481" w:name="_Toc325626748"/>
      <w:bookmarkStart w:id="482" w:name="_Toc326217009"/>
      <w:r w:rsidRPr="00DA20F5">
        <w:t>Tab. 3.3</w:t>
      </w:r>
      <w:r w:rsidR="00AC5AAB" w:rsidRPr="00DA20F5">
        <w:t xml:space="preserve"> </w:t>
      </w:r>
      <w:r w:rsidRPr="00DA20F5">
        <w:t xml:space="preserve">Priemerná výška dôchodkov v súbehu v rokoch </w:t>
      </w:r>
      <w:smartTag w:uri="urn:schemas-microsoft-com:office:smarttags" w:element="metricconverter">
        <w:smartTagPr>
          <w:attr w:name="ProductID" w:val="2010 a"/>
        </w:smartTagPr>
        <w:r w:rsidRPr="00DA20F5">
          <w:t>2010 a</w:t>
        </w:r>
      </w:smartTag>
      <w:r w:rsidRPr="00DA20F5">
        <w:t xml:space="preserve"> 201</w:t>
      </w:r>
      <w:bookmarkEnd w:id="476"/>
      <w:bookmarkEnd w:id="477"/>
      <w:bookmarkEnd w:id="478"/>
      <w:r w:rsidRPr="00DA20F5">
        <w:t>1</w:t>
      </w:r>
      <w:bookmarkEnd w:id="479"/>
      <w:bookmarkEnd w:id="480"/>
      <w:bookmarkEnd w:id="481"/>
      <w:bookmarkEnd w:id="482"/>
    </w:p>
    <w:tbl>
      <w:tblPr>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A0" w:firstRow="1" w:lastRow="0" w:firstColumn="1" w:lastColumn="0" w:noHBand="0" w:noVBand="0"/>
      </w:tblPr>
      <w:tblGrid>
        <w:gridCol w:w="5511"/>
        <w:gridCol w:w="1849"/>
        <w:gridCol w:w="1850"/>
      </w:tblGrid>
      <w:tr w:rsidR="005D380C" w:rsidRPr="00DA20F5" w:rsidTr="006F123D">
        <w:trPr>
          <w:trHeight w:val="328"/>
          <w:jc w:val="center"/>
        </w:trPr>
        <w:tc>
          <w:tcPr>
            <w:tcW w:w="2244" w:type="pct"/>
            <w:vMerge w:val="restart"/>
            <w:shd w:val="clear" w:color="auto" w:fill="4F81BD"/>
            <w:noWrap/>
            <w:vAlign w:val="center"/>
          </w:tcPr>
          <w:p w:rsidR="00826B8F" w:rsidRPr="00DA20F5" w:rsidRDefault="00826B8F" w:rsidP="00D36FB8">
            <w:pPr>
              <w:jc w:val="center"/>
              <w:rPr>
                <w:b/>
                <w:color w:val="FFFFFF" w:themeColor="background1"/>
              </w:rPr>
            </w:pPr>
            <w:bookmarkStart w:id="483" w:name="_Toc294019709"/>
            <w:bookmarkStart w:id="484" w:name="_Toc294027032"/>
            <w:bookmarkStart w:id="485" w:name="_Toc294029271"/>
            <w:bookmarkStart w:id="486" w:name="_Toc313878762"/>
            <w:r w:rsidRPr="00DA20F5">
              <w:rPr>
                <w:b/>
                <w:color w:val="FFFFFF" w:themeColor="background1"/>
              </w:rPr>
              <w:t>Druh dôchodku</w:t>
            </w:r>
            <w:bookmarkEnd w:id="483"/>
            <w:bookmarkEnd w:id="484"/>
            <w:bookmarkEnd w:id="485"/>
            <w:bookmarkEnd w:id="486"/>
          </w:p>
        </w:tc>
        <w:tc>
          <w:tcPr>
            <w:tcW w:w="2756" w:type="pct"/>
            <w:gridSpan w:val="2"/>
            <w:shd w:val="clear" w:color="auto" w:fill="4F81BD"/>
            <w:noWrap/>
            <w:vAlign w:val="center"/>
          </w:tcPr>
          <w:p w:rsidR="00826B8F" w:rsidRPr="00DA20F5" w:rsidRDefault="00826B8F" w:rsidP="00D36FB8">
            <w:pPr>
              <w:jc w:val="center"/>
              <w:rPr>
                <w:b/>
                <w:color w:val="FFFFFF" w:themeColor="background1"/>
              </w:rPr>
            </w:pPr>
            <w:bookmarkStart w:id="487" w:name="_Toc294019710"/>
            <w:bookmarkStart w:id="488" w:name="_Toc294027033"/>
            <w:bookmarkStart w:id="489" w:name="_Toc294029272"/>
            <w:bookmarkStart w:id="490" w:name="_Toc313878763"/>
            <w:r w:rsidRPr="00DA20F5">
              <w:rPr>
                <w:b/>
                <w:color w:val="FFFFFF" w:themeColor="background1"/>
              </w:rPr>
              <w:t>Priemerná výška dôchodku*</w:t>
            </w:r>
            <w:r w:rsidRPr="00DA20F5">
              <w:rPr>
                <w:b/>
                <w:color w:val="FFFFFF" w:themeColor="background1"/>
                <w:vertAlign w:val="superscript"/>
              </w:rPr>
              <w:t xml:space="preserve"> </w:t>
            </w:r>
            <w:r w:rsidRPr="00DA20F5">
              <w:rPr>
                <w:b/>
                <w:color w:val="FFFFFF" w:themeColor="background1"/>
              </w:rPr>
              <w:t>v €</w:t>
            </w:r>
            <w:bookmarkEnd w:id="487"/>
            <w:bookmarkEnd w:id="488"/>
            <w:bookmarkEnd w:id="489"/>
            <w:bookmarkEnd w:id="490"/>
          </w:p>
        </w:tc>
      </w:tr>
      <w:tr w:rsidR="005D380C" w:rsidRPr="00DA20F5" w:rsidTr="006F123D">
        <w:trPr>
          <w:trHeight w:val="328"/>
          <w:jc w:val="center"/>
        </w:trPr>
        <w:tc>
          <w:tcPr>
            <w:tcW w:w="2244" w:type="pct"/>
            <w:vMerge/>
            <w:shd w:val="clear" w:color="auto" w:fill="4F81BD"/>
            <w:vAlign w:val="center"/>
          </w:tcPr>
          <w:p w:rsidR="00826B8F" w:rsidRPr="00DA20F5" w:rsidRDefault="00826B8F" w:rsidP="00D36FB8">
            <w:pPr>
              <w:jc w:val="center"/>
              <w:rPr>
                <w:b/>
                <w:color w:val="FFFFFF" w:themeColor="background1"/>
              </w:rPr>
            </w:pPr>
          </w:p>
        </w:tc>
        <w:tc>
          <w:tcPr>
            <w:tcW w:w="1378" w:type="pct"/>
            <w:shd w:val="clear" w:color="auto" w:fill="4F81BD"/>
            <w:noWrap/>
            <w:vAlign w:val="center"/>
          </w:tcPr>
          <w:p w:rsidR="00826B8F" w:rsidRPr="00DA20F5" w:rsidRDefault="00826B8F" w:rsidP="00D36FB8">
            <w:pPr>
              <w:jc w:val="center"/>
              <w:rPr>
                <w:b/>
                <w:color w:val="FFFFFF" w:themeColor="background1"/>
              </w:rPr>
            </w:pPr>
            <w:bookmarkStart w:id="491" w:name="_Toc294019711"/>
            <w:bookmarkStart w:id="492" w:name="_Toc294027034"/>
            <w:bookmarkStart w:id="493" w:name="_Toc294029273"/>
            <w:bookmarkStart w:id="494" w:name="_Toc313878764"/>
            <w:r w:rsidRPr="00DA20F5">
              <w:rPr>
                <w:b/>
                <w:color w:val="FFFFFF" w:themeColor="background1"/>
              </w:rPr>
              <w:t>rok 2010</w:t>
            </w:r>
            <w:bookmarkEnd w:id="491"/>
            <w:bookmarkEnd w:id="492"/>
            <w:bookmarkEnd w:id="493"/>
            <w:bookmarkEnd w:id="494"/>
          </w:p>
        </w:tc>
        <w:tc>
          <w:tcPr>
            <w:tcW w:w="1379" w:type="pct"/>
            <w:shd w:val="clear" w:color="auto" w:fill="4F81BD"/>
            <w:noWrap/>
            <w:vAlign w:val="center"/>
          </w:tcPr>
          <w:p w:rsidR="00826B8F" w:rsidRPr="00DA20F5" w:rsidRDefault="00826B8F" w:rsidP="00D36FB8">
            <w:pPr>
              <w:jc w:val="center"/>
              <w:rPr>
                <w:b/>
                <w:color w:val="FFFFFF" w:themeColor="background1"/>
              </w:rPr>
            </w:pPr>
            <w:bookmarkStart w:id="495" w:name="_Toc294019712"/>
            <w:bookmarkStart w:id="496" w:name="_Toc294027035"/>
            <w:bookmarkStart w:id="497" w:name="_Toc294029274"/>
            <w:bookmarkStart w:id="498" w:name="_Toc313878765"/>
            <w:r w:rsidRPr="00DA20F5">
              <w:rPr>
                <w:b/>
                <w:color w:val="FFFFFF" w:themeColor="background1"/>
              </w:rPr>
              <w:t>rok 201</w:t>
            </w:r>
            <w:bookmarkEnd w:id="495"/>
            <w:bookmarkEnd w:id="496"/>
            <w:bookmarkEnd w:id="497"/>
            <w:bookmarkEnd w:id="498"/>
            <w:r w:rsidRPr="00DA20F5">
              <w:rPr>
                <w:b/>
                <w:color w:val="FFFFFF" w:themeColor="background1"/>
              </w:rPr>
              <w:t>1</w:t>
            </w:r>
          </w:p>
        </w:tc>
      </w:tr>
      <w:tr w:rsidR="005D380C" w:rsidRPr="00DA20F5" w:rsidTr="006F123D">
        <w:trPr>
          <w:trHeight w:val="328"/>
          <w:jc w:val="center"/>
        </w:trPr>
        <w:tc>
          <w:tcPr>
            <w:tcW w:w="2244" w:type="pct"/>
            <w:noWrap/>
            <w:vAlign w:val="center"/>
          </w:tcPr>
          <w:p w:rsidR="00826B8F" w:rsidRPr="00DA20F5" w:rsidRDefault="00826B8F" w:rsidP="00D36FB8">
            <w:bookmarkStart w:id="499" w:name="_Toc294019713"/>
            <w:bookmarkStart w:id="500" w:name="_Toc294027036"/>
            <w:bookmarkStart w:id="501" w:name="_Toc294029275"/>
            <w:bookmarkStart w:id="502" w:name="_Toc313878766"/>
            <w:r w:rsidRPr="00DA20F5">
              <w:t>starobný vyplácaný v súbehu s vdovským (ženy)</w:t>
            </w:r>
            <w:bookmarkEnd w:id="499"/>
            <w:bookmarkEnd w:id="500"/>
            <w:bookmarkEnd w:id="501"/>
            <w:bookmarkEnd w:id="502"/>
          </w:p>
        </w:tc>
        <w:tc>
          <w:tcPr>
            <w:tcW w:w="1378" w:type="pct"/>
            <w:noWrap/>
            <w:vAlign w:val="center"/>
          </w:tcPr>
          <w:p w:rsidR="00826B8F" w:rsidRPr="00DA20F5" w:rsidRDefault="00826B8F" w:rsidP="00D36FB8">
            <w:pPr>
              <w:ind w:right="699"/>
              <w:jc w:val="right"/>
            </w:pPr>
            <w:bookmarkStart w:id="503" w:name="_Toc294019715"/>
            <w:bookmarkStart w:id="504" w:name="_Toc294027038"/>
            <w:bookmarkStart w:id="505" w:name="_Toc294029277"/>
            <w:bookmarkStart w:id="506" w:name="_Toc313878768"/>
            <w:r w:rsidRPr="00DA20F5">
              <w:t>385</w:t>
            </w:r>
            <w:bookmarkEnd w:id="503"/>
            <w:bookmarkEnd w:id="504"/>
            <w:bookmarkEnd w:id="505"/>
            <w:bookmarkEnd w:id="506"/>
          </w:p>
        </w:tc>
        <w:tc>
          <w:tcPr>
            <w:tcW w:w="1379" w:type="pct"/>
            <w:noWrap/>
            <w:vAlign w:val="center"/>
          </w:tcPr>
          <w:p w:rsidR="00826B8F" w:rsidRPr="00DA20F5" w:rsidRDefault="00826B8F" w:rsidP="00D36FB8">
            <w:pPr>
              <w:ind w:right="699"/>
              <w:jc w:val="right"/>
            </w:pPr>
            <w:r w:rsidRPr="00DA20F5">
              <w:t>395</w:t>
            </w:r>
          </w:p>
        </w:tc>
      </w:tr>
      <w:tr w:rsidR="005D380C" w:rsidRPr="00DA20F5" w:rsidTr="006F123D">
        <w:trPr>
          <w:trHeight w:val="328"/>
          <w:jc w:val="center"/>
        </w:trPr>
        <w:tc>
          <w:tcPr>
            <w:tcW w:w="2244" w:type="pct"/>
            <w:noWrap/>
            <w:vAlign w:val="center"/>
          </w:tcPr>
          <w:p w:rsidR="00826B8F" w:rsidRPr="00DA20F5" w:rsidRDefault="00826B8F" w:rsidP="00D36FB8">
            <w:bookmarkStart w:id="507" w:name="_Toc294019716"/>
            <w:bookmarkStart w:id="508" w:name="_Toc294027039"/>
            <w:bookmarkStart w:id="509" w:name="_Toc294029278"/>
            <w:bookmarkStart w:id="510" w:name="_Toc313878769"/>
            <w:r w:rsidRPr="00DA20F5">
              <w:t>starobný vyplácaný v súbehu s vdoveckým (muži)</w:t>
            </w:r>
            <w:bookmarkEnd w:id="507"/>
            <w:bookmarkEnd w:id="508"/>
            <w:bookmarkEnd w:id="509"/>
            <w:bookmarkEnd w:id="510"/>
          </w:p>
        </w:tc>
        <w:tc>
          <w:tcPr>
            <w:tcW w:w="1378" w:type="pct"/>
            <w:noWrap/>
            <w:vAlign w:val="center"/>
          </w:tcPr>
          <w:p w:rsidR="00826B8F" w:rsidRPr="00DA20F5" w:rsidRDefault="00826B8F" w:rsidP="00D36FB8">
            <w:pPr>
              <w:ind w:right="699"/>
              <w:jc w:val="right"/>
            </w:pPr>
            <w:bookmarkStart w:id="511" w:name="_Toc294019718"/>
            <w:bookmarkStart w:id="512" w:name="_Toc294027041"/>
            <w:bookmarkStart w:id="513" w:name="_Toc294029280"/>
            <w:bookmarkStart w:id="514" w:name="_Toc313878771"/>
            <w:r w:rsidRPr="00DA20F5">
              <w:t>446</w:t>
            </w:r>
            <w:bookmarkEnd w:id="511"/>
            <w:bookmarkEnd w:id="512"/>
            <w:bookmarkEnd w:id="513"/>
            <w:bookmarkEnd w:id="514"/>
          </w:p>
        </w:tc>
        <w:tc>
          <w:tcPr>
            <w:tcW w:w="1379" w:type="pct"/>
            <w:noWrap/>
            <w:vAlign w:val="center"/>
          </w:tcPr>
          <w:p w:rsidR="00826B8F" w:rsidRPr="00DA20F5" w:rsidRDefault="00826B8F" w:rsidP="00D36FB8">
            <w:pPr>
              <w:ind w:right="699"/>
              <w:jc w:val="right"/>
            </w:pPr>
            <w:r w:rsidRPr="00DA20F5">
              <w:t>458</w:t>
            </w:r>
          </w:p>
        </w:tc>
      </w:tr>
      <w:tr w:rsidR="005D380C" w:rsidRPr="00DA20F5" w:rsidTr="006F123D">
        <w:trPr>
          <w:trHeight w:val="328"/>
          <w:jc w:val="center"/>
        </w:trPr>
        <w:tc>
          <w:tcPr>
            <w:tcW w:w="2244" w:type="pct"/>
            <w:noWrap/>
            <w:vAlign w:val="center"/>
          </w:tcPr>
          <w:p w:rsidR="00826B8F" w:rsidRPr="00DA20F5" w:rsidRDefault="00826B8F" w:rsidP="00D36FB8">
            <w:bookmarkStart w:id="515" w:name="_Toc294019719"/>
            <w:bookmarkStart w:id="516" w:name="_Toc294027042"/>
            <w:bookmarkStart w:id="517" w:name="_Toc294029281"/>
            <w:bookmarkStart w:id="518" w:name="_Toc313878772"/>
            <w:r w:rsidRPr="00DA20F5">
              <w:t>predčasný starobný vyplácaný v súbehu s vdovským (ženy)</w:t>
            </w:r>
            <w:bookmarkEnd w:id="515"/>
            <w:bookmarkEnd w:id="516"/>
            <w:bookmarkEnd w:id="517"/>
            <w:bookmarkEnd w:id="518"/>
          </w:p>
        </w:tc>
        <w:tc>
          <w:tcPr>
            <w:tcW w:w="1378" w:type="pct"/>
            <w:noWrap/>
            <w:vAlign w:val="center"/>
          </w:tcPr>
          <w:p w:rsidR="00826B8F" w:rsidRPr="00DA20F5" w:rsidRDefault="00826B8F" w:rsidP="00D36FB8">
            <w:pPr>
              <w:ind w:right="699"/>
              <w:jc w:val="right"/>
            </w:pPr>
            <w:bookmarkStart w:id="519" w:name="_Toc294019721"/>
            <w:bookmarkStart w:id="520" w:name="_Toc294027044"/>
            <w:bookmarkStart w:id="521" w:name="_Toc294029283"/>
            <w:bookmarkStart w:id="522" w:name="_Toc313878774"/>
            <w:r w:rsidRPr="00DA20F5">
              <w:t>418</w:t>
            </w:r>
            <w:bookmarkEnd w:id="519"/>
            <w:bookmarkEnd w:id="520"/>
            <w:bookmarkEnd w:id="521"/>
            <w:bookmarkEnd w:id="522"/>
          </w:p>
        </w:tc>
        <w:tc>
          <w:tcPr>
            <w:tcW w:w="1379" w:type="pct"/>
            <w:noWrap/>
            <w:vAlign w:val="center"/>
          </w:tcPr>
          <w:p w:rsidR="00826B8F" w:rsidRPr="00DA20F5" w:rsidRDefault="00826B8F" w:rsidP="00D36FB8">
            <w:pPr>
              <w:ind w:right="699"/>
              <w:jc w:val="right"/>
            </w:pPr>
            <w:r w:rsidRPr="00DA20F5">
              <w:t>422</w:t>
            </w:r>
          </w:p>
        </w:tc>
      </w:tr>
      <w:tr w:rsidR="005D380C" w:rsidRPr="00DA20F5" w:rsidTr="006F123D">
        <w:trPr>
          <w:trHeight w:val="328"/>
          <w:jc w:val="center"/>
        </w:trPr>
        <w:tc>
          <w:tcPr>
            <w:tcW w:w="2244" w:type="pct"/>
            <w:noWrap/>
            <w:vAlign w:val="center"/>
          </w:tcPr>
          <w:p w:rsidR="00826B8F" w:rsidRPr="00DA20F5" w:rsidRDefault="00826B8F" w:rsidP="00D36FB8">
            <w:bookmarkStart w:id="523" w:name="_Toc294019722"/>
            <w:bookmarkStart w:id="524" w:name="_Toc294027045"/>
            <w:bookmarkStart w:id="525" w:name="_Toc294029284"/>
            <w:bookmarkStart w:id="526" w:name="_Toc313878775"/>
            <w:r w:rsidRPr="00DA20F5">
              <w:t>predčasný starobný vyplácaný v súbehu s vdoveckým (muži)</w:t>
            </w:r>
            <w:bookmarkEnd w:id="523"/>
            <w:bookmarkEnd w:id="524"/>
            <w:bookmarkEnd w:id="525"/>
            <w:bookmarkEnd w:id="526"/>
          </w:p>
        </w:tc>
        <w:tc>
          <w:tcPr>
            <w:tcW w:w="1378" w:type="pct"/>
            <w:noWrap/>
            <w:vAlign w:val="center"/>
          </w:tcPr>
          <w:p w:rsidR="00826B8F" w:rsidRPr="00DA20F5" w:rsidRDefault="00826B8F" w:rsidP="00D36FB8">
            <w:pPr>
              <w:ind w:right="699"/>
              <w:jc w:val="right"/>
            </w:pPr>
            <w:bookmarkStart w:id="527" w:name="_Toc294019724"/>
            <w:bookmarkStart w:id="528" w:name="_Toc294027047"/>
            <w:bookmarkStart w:id="529" w:name="_Toc294029286"/>
            <w:bookmarkStart w:id="530" w:name="_Toc313878777"/>
            <w:r w:rsidRPr="00DA20F5">
              <w:t>470</w:t>
            </w:r>
            <w:bookmarkEnd w:id="527"/>
            <w:bookmarkEnd w:id="528"/>
            <w:bookmarkEnd w:id="529"/>
            <w:bookmarkEnd w:id="530"/>
          </w:p>
        </w:tc>
        <w:tc>
          <w:tcPr>
            <w:tcW w:w="1379" w:type="pct"/>
            <w:noWrap/>
            <w:vAlign w:val="center"/>
          </w:tcPr>
          <w:p w:rsidR="00826B8F" w:rsidRPr="00DA20F5" w:rsidRDefault="00826B8F" w:rsidP="00D36FB8">
            <w:pPr>
              <w:ind w:right="699"/>
              <w:jc w:val="right"/>
            </w:pPr>
            <w:r w:rsidRPr="00DA20F5">
              <w:t>465</w:t>
            </w:r>
          </w:p>
        </w:tc>
      </w:tr>
      <w:tr w:rsidR="005D380C" w:rsidRPr="00DA20F5" w:rsidTr="006F123D">
        <w:trPr>
          <w:trHeight w:val="328"/>
          <w:jc w:val="center"/>
        </w:trPr>
        <w:tc>
          <w:tcPr>
            <w:tcW w:w="2244" w:type="pct"/>
            <w:noWrap/>
            <w:vAlign w:val="center"/>
          </w:tcPr>
          <w:p w:rsidR="00826B8F" w:rsidRPr="00DA20F5" w:rsidRDefault="00826B8F" w:rsidP="00D36FB8">
            <w:bookmarkStart w:id="531" w:name="_Toc294019725"/>
            <w:bookmarkStart w:id="532" w:name="_Toc294027048"/>
            <w:bookmarkStart w:id="533" w:name="_Toc294029287"/>
            <w:bookmarkStart w:id="534" w:name="_Toc313878778"/>
            <w:r w:rsidRPr="00DA20F5">
              <w:t>invalidný vyplácaný v súbehu s vdovským (ženy)</w:t>
            </w:r>
            <w:bookmarkEnd w:id="531"/>
            <w:bookmarkEnd w:id="532"/>
            <w:bookmarkEnd w:id="533"/>
            <w:bookmarkEnd w:id="534"/>
          </w:p>
        </w:tc>
        <w:tc>
          <w:tcPr>
            <w:tcW w:w="1378" w:type="pct"/>
            <w:noWrap/>
            <w:vAlign w:val="center"/>
          </w:tcPr>
          <w:p w:rsidR="00826B8F" w:rsidRPr="00DA20F5" w:rsidRDefault="00826B8F" w:rsidP="00D36FB8">
            <w:pPr>
              <w:ind w:right="699"/>
              <w:jc w:val="right"/>
            </w:pPr>
            <w:bookmarkStart w:id="535" w:name="_Toc294019727"/>
            <w:bookmarkStart w:id="536" w:name="_Toc294027050"/>
            <w:bookmarkStart w:id="537" w:name="_Toc294029289"/>
            <w:bookmarkStart w:id="538" w:name="_Toc313878780"/>
            <w:r w:rsidRPr="00DA20F5">
              <w:t>362</w:t>
            </w:r>
            <w:bookmarkEnd w:id="535"/>
            <w:bookmarkEnd w:id="536"/>
            <w:bookmarkEnd w:id="537"/>
            <w:bookmarkEnd w:id="538"/>
          </w:p>
        </w:tc>
        <w:tc>
          <w:tcPr>
            <w:tcW w:w="1379" w:type="pct"/>
            <w:noWrap/>
            <w:vAlign w:val="center"/>
          </w:tcPr>
          <w:p w:rsidR="00826B8F" w:rsidRPr="00DA20F5" w:rsidRDefault="00826B8F" w:rsidP="00D36FB8">
            <w:pPr>
              <w:ind w:right="699"/>
              <w:jc w:val="right"/>
            </w:pPr>
            <w:r w:rsidRPr="00DA20F5">
              <w:t>367</w:t>
            </w:r>
          </w:p>
        </w:tc>
      </w:tr>
      <w:tr w:rsidR="005D380C" w:rsidRPr="00DA20F5" w:rsidTr="006F123D">
        <w:trPr>
          <w:trHeight w:val="328"/>
          <w:jc w:val="center"/>
        </w:trPr>
        <w:tc>
          <w:tcPr>
            <w:tcW w:w="2244" w:type="pct"/>
            <w:noWrap/>
            <w:vAlign w:val="center"/>
          </w:tcPr>
          <w:p w:rsidR="00826B8F" w:rsidRPr="00DA20F5" w:rsidRDefault="00826B8F" w:rsidP="00D36FB8">
            <w:bookmarkStart w:id="539" w:name="_Toc294019728"/>
            <w:bookmarkStart w:id="540" w:name="_Toc294027051"/>
            <w:bookmarkStart w:id="541" w:name="_Toc294029290"/>
            <w:bookmarkStart w:id="542" w:name="_Toc313878781"/>
            <w:r w:rsidRPr="00DA20F5">
              <w:t>invalidný vyplácaný v súbehu s vdoveckým (muži)</w:t>
            </w:r>
            <w:bookmarkEnd w:id="539"/>
            <w:bookmarkEnd w:id="540"/>
            <w:bookmarkEnd w:id="541"/>
            <w:bookmarkEnd w:id="542"/>
          </w:p>
        </w:tc>
        <w:tc>
          <w:tcPr>
            <w:tcW w:w="1378" w:type="pct"/>
            <w:noWrap/>
            <w:vAlign w:val="center"/>
          </w:tcPr>
          <w:p w:rsidR="00826B8F" w:rsidRPr="00DA20F5" w:rsidRDefault="00826B8F" w:rsidP="00D36FB8">
            <w:pPr>
              <w:ind w:right="699"/>
              <w:jc w:val="right"/>
            </w:pPr>
            <w:bookmarkStart w:id="543" w:name="_Toc294019730"/>
            <w:bookmarkStart w:id="544" w:name="_Toc294027053"/>
            <w:bookmarkStart w:id="545" w:name="_Toc294029292"/>
            <w:bookmarkStart w:id="546" w:name="_Toc313878783"/>
            <w:r w:rsidRPr="00DA20F5">
              <w:t>395</w:t>
            </w:r>
            <w:bookmarkEnd w:id="543"/>
            <w:bookmarkEnd w:id="544"/>
            <w:bookmarkEnd w:id="545"/>
            <w:bookmarkEnd w:id="546"/>
          </w:p>
        </w:tc>
        <w:tc>
          <w:tcPr>
            <w:tcW w:w="1379" w:type="pct"/>
            <w:noWrap/>
            <w:vAlign w:val="center"/>
          </w:tcPr>
          <w:p w:rsidR="00826B8F" w:rsidRPr="00DA20F5" w:rsidRDefault="00826B8F" w:rsidP="00D36FB8">
            <w:pPr>
              <w:ind w:right="699"/>
              <w:jc w:val="right"/>
            </w:pPr>
            <w:r w:rsidRPr="00DA20F5">
              <w:t>402</w:t>
            </w:r>
          </w:p>
        </w:tc>
      </w:tr>
    </w:tbl>
    <w:p w:rsidR="00826B8F" w:rsidRPr="00DA20F5" w:rsidRDefault="00826B8F" w:rsidP="00D36FB8">
      <w:pPr>
        <w:pStyle w:val="zdroj"/>
        <w:spacing w:after="0"/>
      </w:pPr>
      <w:r w:rsidRPr="00DA20F5">
        <w:t>Zdroj: Sociálna poisťovňa</w:t>
      </w:r>
    </w:p>
    <w:p w:rsidR="00826B8F" w:rsidRPr="00DA20F5" w:rsidRDefault="00826B8F" w:rsidP="00D36FB8">
      <w:pPr>
        <w:pStyle w:val="zdroj"/>
        <w:spacing w:before="0"/>
      </w:pPr>
      <w:r w:rsidRPr="00DA20F5">
        <w:t>*priemerná výška vypočítaná z úhrnnej sumy oboch vyplácaných dôchodkov</w:t>
      </w:r>
    </w:p>
    <w:p w:rsidR="00826B8F" w:rsidRPr="00DA20F5" w:rsidRDefault="00826B8F" w:rsidP="00D36FB8">
      <w:r w:rsidRPr="00DA20F5">
        <w:t>Výdavky</w:t>
      </w:r>
      <w:r w:rsidRPr="00DA20F5">
        <w:rPr>
          <w:rStyle w:val="Odkaznapoznmkupodiarou"/>
          <w:szCs w:val="22"/>
        </w:rPr>
        <w:footnoteReference w:id="13"/>
      </w:r>
      <w:r w:rsidRPr="00DA20F5">
        <w:t xml:space="preserve"> na (systémové) dávky dôchodkového poistenia v roku 2011 boli takmer 5,39 mld. €, čo predstavuje oproti roku 2010 nárast výdavkov o 2,8 %. Okrem toho štátom hradené dôchodkové dávky (dôchodok manželky, sociálny dôchodok, tzv. invalidný dôchodok z mladosti, zvýšeni</w:t>
      </w:r>
      <w:r w:rsidR="00E138B1" w:rsidRPr="00DA20F5">
        <w:t>e pre </w:t>
      </w:r>
      <w:r w:rsidRPr="00DA20F5">
        <w:t>bezvládnosť, zvýšenie dôchodku z dôvodu jediného zdroja príjmu, za odboj a rehabilitáciu, vrátane príplatkov za štátnu službu) predstavovali 44,75 mil. € (nárast oproti roku 2010 o 0,6 %). Výdavky na výplatu vianočného príspevku niektorým poberateľom dôchodku v roku 2011 predstavovali 63,4 mil. €.</w:t>
      </w:r>
    </w:p>
    <w:p w:rsidR="00826B8F" w:rsidRPr="00DA20F5" w:rsidRDefault="00826B8F" w:rsidP="00D36FB8">
      <w:pPr>
        <w:pStyle w:val="Normlnysozarkami12"/>
        <w:ind w:firstLine="426"/>
      </w:pPr>
      <w:r w:rsidRPr="00DA20F5">
        <w:t>K 31. decembru 2011 bolo zaznamenaných približne 6 935 poberateľov sólo starobných dôchodkov (t. j. 1,03 %) presahujúcich priemernú mesačnú mzdu v hospodárstve Slovenskej republiky (786 €). Pomer priemerného starobného sólo dôchodku vyplácaného k 31. decembru 2011 k priemernej mesačnej mzde za rok 2011 v hospodárstve Slovenskej republiky bol 45,88 % čo je približne rovnaká úroveň ako v roku 2010 (nárast o 0,4 p. b.).</w:t>
      </w:r>
    </w:p>
    <w:p w:rsidR="00826B8F" w:rsidRPr="00DA20F5" w:rsidRDefault="00826B8F" w:rsidP="000B4550">
      <w:pPr>
        <w:pStyle w:val="Nadpis6"/>
      </w:pPr>
      <w:bookmarkStart w:id="547" w:name="_Toc326217010"/>
      <w:r w:rsidRPr="00DA20F5">
        <w:t>Úrazové poistenie</w:t>
      </w:r>
      <w:bookmarkEnd w:id="547"/>
    </w:p>
    <w:p w:rsidR="00826B8F" w:rsidRPr="00DA20F5" w:rsidRDefault="00826B8F" w:rsidP="00D36FB8">
      <w:pPr>
        <w:pStyle w:val="Normlnysozarkami12"/>
        <w:ind w:firstLine="426"/>
        <w:rPr>
          <w:bCs/>
          <w:szCs w:val="22"/>
        </w:rPr>
      </w:pPr>
      <w:r w:rsidRPr="00DA20F5">
        <w:rPr>
          <w:bCs/>
          <w:szCs w:val="22"/>
        </w:rPr>
        <w:t>Úrazové poistenie je poistením zamestnávateľa pre prípad poškodenia zdravia alebo úmrtia v dôsledku pracovného úrazu, služobného úrazu alebo choroby z povolania. Dávkami úrazového poistenia sú úrazový príplatok, úrazová renta, jednorazové vyrovnanie, pozostalostná úrazová renta, jednorazové odškodnenie, pracovná rehabilitácia a rehabilitačné, rekvalifikácia a rekvalifikačné, náhrada za bolesť a náhrada za sťaženie spoločenského uplatnenia, náhrada nákladov spojených s liečením a náhrada nákladov spojených s pohrebom. V rámci úrazového poistenia nevystupuje ako subjekt SZČO, pričom jej nie je ani daná možnosť dobrovoľnej účasti na tomto druhu poistenia.</w:t>
      </w:r>
    </w:p>
    <w:p w:rsidR="00826B8F" w:rsidRPr="00DA20F5" w:rsidRDefault="00826B8F" w:rsidP="00D36FB8">
      <w:pPr>
        <w:pStyle w:val="Normlnysozarkami12"/>
        <w:ind w:firstLine="426"/>
      </w:pPr>
      <w:r w:rsidRPr="00DA20F5">
        <w:t>Celková suma vyplatených dávok v roku 2011</w:t>
      </w:r>
      <w:r w:rsidRPr="00DA20F5">
        <w:rPr>
          <w:vertAlign w:val="superscript"/>
        </w:rPr>
        <w:footnoteReference w:id="14"/>
      </w:r>
      <w:r w:rsidRPr="00DA20F5">
        <w:t xml:space="preserve"> bola 42,8 mil. €, čo predstavuje 104,08 % výdavkov za rok 2010, ide teda o mierny medziročný nárast. Najpočetnejšia a finančne najnáročnejšia dávka je úrazová renta. Za rok 2011</w:t>
      </w:r>
      <w:r w:rsidRPr="00DA20F5">
        <w:rPr>
          <w:vertAlign w:val="superscript"/>
        </w:rPr>
        <w:footnoteReference w:id="15"/>
      </w:r>
      <w:r w:rsidRPr="00DA20F5">
        <w:t xml:space="preserve"> bolo vyplatených 79 448 úrazových rent, čo predstavuje oproti roku 2010 nárast o 8,1 %. Priemerná výška tejto dávky za rok 2011 bola 281 €, t. j. 100,79 % priemernej výšky z roka 2010. Rast úrovne tejto dávky je zaručený prostredníctvom každoročnej valorizácie. Na túto dávku bolo vynaložených 21,9 mil. € (51,2 % všetkých výdavkov základného fondu úrazového poistenia). Druhou najpočetnejšie vyplácanou dávkou bol úrazový príplatok v rozsahu 27 172 prípadov, čo oproti roku 2010 predstavuje nárast o 5,0 %. Najvyššiu priemernú výšku na jeden prípad predstavovali dávky jednorazové odškodnenie (13 124 €) a jednorazové vyrovnanie (2 768 €) - jedná sa však o menej početné dávky.</w:t>
      </w:r>
    </w:p>
    <w:p w:rsidR="00826B8F" w:rsidRPr="00DA20F5" w:rsidRDefault="00826B8F" w:rsidP="000B4550">
      <w:pPr>
        <w:pStyle w:val="Nadpis6"/>
      </w:pPr>
      <w:bookmarkStart w:id="548" w:name="_Toc326217011"/>
      <w:r w:rsidRPr="00DA20F5">
        <w:lastRenderedPageBreak/>
        <w:t>Garančné poistenie</w:t>
      </w:r>
      <w:bookmarkEnd w:id="548"/>
    </w:p>
    <w:p w:rsidR="00826B8F" w:rsidRPr="00DA20F5" w:rsidRDefault="00826B8F" w:rsidP="00D36FB8">
      <w:pPr>
        <w:pStyle w:val="Normlnysozarkami12"/>
        <w:ind w:firstLine="426"/>
        <w:rPr>
          <w:bCs/>
          <w:szCs w:val="22"/>
        </w:rPr>
      </w:pPr>
      <w:r w:rsidRPr="00DA20F5">
        <w:rPr>
          <w:bCs/>
          <w:szCs w:val="22"/>
        </w:rPr>
        <w:t>Garančné poistenie je poistením pre prípad platobnej</w:t>
      </w:r>
      <w:r w:rsidR="00E138B1" w:rsidRPr="00DA20F5">
        <w:rPr>
          <w:bCs/>
          <w:szCs w:val="22"/>
        </w:rPr>
        <w:t xml:space="preserve"> neschopnosti zamestnávateľa na </w:t>
      </w:r>
      <w:r w:rsidRPr="00DA20F5">
        <w:rPr>
          <w:bCs/>
          <w:szCs w:val="22"/>
        </w:rPr>
        <w:t>uspokojenie nárokov zamestnanca. Pri tomto druhu poistenia platí poistné len zamestnávateľ a poisteným je zamestnanec, pre prípad platobnej neschopnosti zamestnávateľa. Poistným plnením je napríklad náhrada mzdy, nárok na odstupné, ktoré patrí zamestnancovi pri skončení pracovného pomeru, nároky cestovných, sťahovacích a iných výdavkov, ktoré vznikli pri plnení pracovných povinností atď., ak zamestnávateľ nie je schopný plniť svoje záväzky voči zamestnancom z dôvodu, že sa stal platobne neschopným. Z garančného poistenia sa vypláca dávka garančného poistenia. Zároveň sa z garančného poistenia uhrádzajú príspevky na starobné dôchodkové sporenie nezaplatené zamestnávateľom do základného fondu príspevkov na starobné dôchodkové sporenie v zákonom ustanovenej lehote. V rámci garančného poistenia nevystupuje</w:t>
      </w:r>
      <w:r w:rsidR="00E138B1" w:rsidRPr="00DA20F5">
        <w:rPr>
          <w:bCs/>
          <w:szCs w:val="22"/>
        </w:rPr>
        <w:t xml:space="preserve"> ako subjekt SZČO a vzhľadom na </w:t>
      </w:r>
      <w:r w:rsidRPr="00DA20F5">
        <w:rPr>
          <w:bCs/>
          <w:szCs w:val="22"/>
        </w:rPr>
        <w:t>charakter poistných vzťahov nie je daná ani možnosť dobrovoľnej účasti na tomto druhu poistenia</w:t>
      </w:r>
      <w:r w:rsidR="00921B2E" w:rsidRPr="00DA20F5">
        <w:rPr>
          <w:rStyle w:val="Odkaznapoznmkupodiarou"/>
          <w:bCs/>
          <w:szCs w:val="22"/>
        </w:rPr>
        <w:footnoteReference w:id="16"/>
      </w:r>
      <w:r w:rsidRPr="00DA20F5">
        <w:rPr>
          <w:bCs/>
          <w:szCs w:val="22"/>
        </w:rPr>
        <w:t>.</w:t>
      </w:r>
    </w:p>
    <w:p w:rsidR="00826B8F" w:rsidRPr="00DA20F5" w:rsidRDefault="00826B8F" w:rsidP="00D36FB8">
      <w:pPr>
        <w:pStyle w:val="Normlnysozarkami12"/>
        <w:ind w:firstLine="426"/>
      </w:pPr>
      <w:r w:rsidRPr="00DA20F5">
        <w:t>Za rok 2011 bolo vyplatených 6 531 dávok (tabuľk</w:t>
      </w:r>
      <w:r w:rsidR="00921B2E" w:rsidRPr="00DA20F5">
        <w:t>a</w:t>
      </w:r>
      <w:r w:rsidRPr="00DA20F5">
        <w:t xml:space="preserve"> 3.4), čo v porovnaní s rokom 2010 predstavuje nárast o 8 %. Celkový objem vyplatených prostriedkov na dávku garančného poistenia bol 11,5 mil. €, oproti predchádzajúcemu roku ide o 33,72 %-ný nárast. Priemerná výška dávky za rok 2011 činila 1 078 €, čo predstavuje pokles o 24,0 % oproti roku 2010.</w:t>
      </w:r>
    </w:p>
    <w:p w:rsidR="00826B8F" w:rsidRPr="00DA20F5" w:rsidRDefault="00826B8F" w:rsidP="00D36FB8">
      <w:pPr>
        <w:pStyle w:val="Nadpis7"/>
      </w:pPr>
      <w:bookmarkStart w:id="549" w:name="_Toc294027056"/>
      <w:bookmarkStart w:id="550" w:name="_Toc294029295"/>
      <w:bookmarkStart w:id="551" w:name="_Toc313878786"/>
      <w:bookmarkStart w:id="552" w:name="_Toc325438169"/>
      <w:bookmarkStart w:id="553" w:name="_Toc325440938"/>
      <w:bookmarkStart w:id="554" w:name="_Toc325626751"/>
      <w:bookmarkStart w:id="555" w:name="_Toc326217012"/>
      <w:r w:rsidRPr="00DA20F5">
        <w:t>Tab. 3.4</w:t>
      </w:r>
      <w:r w:rsidR="00AC5AAB" w:rsidRPr="00DA20F5">
        <w:t xml:space="preserve"> </w:t>
      </w:r>
      <w:r w:rsidRPr="00DA20F5">
        <w:t xml:space="preserve">Výdavky na dávku garančného poistenia, počet prípadov a priemerná </w:t>
      </w:r>
      <w:r w:rsidRPr="00DA20F5">
        <w:br/>
        <w:t>výška dávky v € v roku 201</w:t>
      </w:r>
      <w:bookmarkEnd w:id="549"/>
      <w:bookmarkEnd w:id="550"/>
      <w:bookmarkEnd w:id="551"/>
      <w:r w:rsidRPr="00DA20F5">
        <w:t>1</w:t>
      </w:r>
      <w:bookmarkEnd w:id="552"/>
      <w:bookmarkEnd w:id="553"/>
      <w:bookmarkEnd w:id="554"/>
      <w:bookmarkEnd w:id="555"/>
    </w:p>
    <w:tbl>
      <w:tblPr>
        <w:tblW w:w="6984" w:type="dxa"/>
        <w:jc w:val="center"/>
        <w:tblInd w:w="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A0" w:firstRow="1" w:lastRow="0" w:firstColumn="1" w:lastColumn="0" w:noHBand="0" w:noVBand="0"/>
      </w:tblPr>
      <w:tblGrid>
        <w:gridCol w:w="2022"/>
        <w:gridCol w:w="1618"/>
        <w:gridCol w:w="1619"/>
        <w:gridCol w:w="1725"/>
      </w:tblGrid>
      <w:tr w:rsidR="005D380C" w:rsidRPr="00DA20F5" w:rsidTr="00B45797">
        <w:trPr>
          <w:trHeight w:val="749"/>
          <w:jc w:val="center"/>
        </w:trPr>
        <w:tc>
          <w:tcPr>
            <w:tcW w:w="2022" w:type="dxa"/>
            <w:shd w:val="clear" w:color="auto" w:fill="4F81BD"/>
            <w:noWrap/>
            <w:vAlign w:val="center"/>
          </w:tcPr>
          <w:p w:rsidR="00826B8F" w:rsidRPr="00DA20F5" w:rsidRDefault="00826B8F" w:rsidP="00D36FB8">
            <w:pPr>
              <w:jc w:val="center"/>
              <w:rPr>
                <w:b/>
                <w:color w:val="FFFFFF" w:themeColor="background1"/>
              </w:rPr>
            </w:pPr>
            <w:bookmarkStart w:id="556" w:name="_Toc294019733"/>
            <w:bookmarkStart w:id="557" w:name="_Toc294027057"/>
            <w:bookmarkStart w:id="558" w:name="_Toc294029296"/>
            <w:bookmarkStart w:id="559" w:name="_Toc313878787"/>
            <w:r w:rsidRPr="00DA20F5">
              <w:rPr>
                <w:b/>
                <w:color w:val="FFFFFF" w:themeColor="background1"/>
              </w:rPr>
              <w:t>Obdobie</w:t>
            </w:r>
            <w:bookmarkEnd w:id="556"/>
            <w:bookmarkEnd w:id="557"/>
            <w:bookmarkEnd w:id="558"/>
            <w:bookmarkEnd w:id="559"/>
          </w:p>
        </w:tc>
        <w:tc>
          <w:tcPr>
            <w:tcW w:w="1618" w:type="dxa"/>
            <w:shd w:val="clear" w:color="auto" w:fill="4F81BD"/>
            <w:vAlign w:val="center"/>
          </w:tcPr>
          <w:p w:rsidR="00826B8F" w:rsidRPr="00DA20F5" w:rsidRDefault="00826B8F" w:rsidP="00D36FB8">
            <w:pPr>
              <w:jc w:val="center"/>
              <w:rPr>
                <w:b/>
                <w:color w:val="FFFFFF" w:themeColor="background1"/>
              </w:rPr>
            </w:pPr>
            <w:bookmarkStart w:id="560" w:name="_Toc294019734"/>
            <w:bookmarkStart w:id="561" w:name="_Toc294027058"/>
            <w:bookmarkStart w:id="562" w:name="_Toc294029297"/>
            <w:bookmarkStart w:id="563" w:name="_Toc313878788"/>
            <w:r w:rsidRPr="00DA20F5">
              <w:rPr>
                <w:b/>
                <w:color w:val="FFFFFF" w:themeColor="background1"/>
              </w:rPr>
              <w:t>Počet prípadov</w:t>
            </w:r>
            <w:bookmarkEnd w:id="560"/>
            <w:bookmarkEnd w:id="561"/>
            <w:bookmarkEnd w:id="562"/>
            <w:bookmarkEnd w:id="563"/>
          </w:p>
        </w:tc>
        <w:tc>
          <w:tcPr>
            <w:tcW w:w="1619" w:type="dxa"/>
            <w:shd w:val="clear" w:color="auto" w:fill="4F81BD"/>
            <w:vAlign w:val="center"/>
          </w:tcPr>
          <w:p w:rsidR="00826B8F" w:rsidRPr="00DA20F5" w:rsidRDefault="00826B8F" w:rsidP="00D36FB8">
            <w:pPr>
              <w:jc w:val="center"/>
              <w:rPr>
                <w:b/>
                <w:color w:val="FFFFFF" w:themeColor="background1"/>
              </w:rPr>
            </w:pPr>
            <w:bookmarkStart w:id="564" w:name="_Toc294019735"/>
            <w:bookmarkStart w:id="565" w:name="_Toc294027059"/>
            <w:bookmarkStart w:id="566" w:name="_Toc294029298"/>
            <w:bookmarkStart w:id="567" w:name="_Toc313878789"/>
            <w:r w:rsidRPr="00DA20F5">
              <w:rPr>
                <w:b/>
                <w:color w:val="FFFFFF" w:themeColor="background1"/>
              </w:rPr>
              <w:t>Priemerná výška dávky v €</w:t>
            </w:r>
            <w:bookmarkEnd w:id="564"/>
            <w:bookmarkEnd w:id="565"/>
            <w:bookmarkEnd w:id="566"/>
            <w:bookmarkEnd w:id="567"/>
          </w:p>
        </w:tc>
        <w:tc>
          <w:tcPr>
            <w:tcW w:w="1725" w:type="dxa"/>
            <w:shd w:val="clear" w:color="auto" w:fill="4F81BD"/>
            <w:noWrap/>
            <w:vAlign w:val="center"/>
          </w:tcPr>
          <w:p w:rsidR="00826B8F" w:rsidRPr="00DA20F5" w:rsidRDefault="00826B8F" w:rsidP="00D36FB8">
            <w:pPr>
              <w:jc w:val="center"/>
              <w:rPr>
                <w:b/>
                <w:color w:val="FFFFFF" w:themeColor="background1"/>
              </w:rPr>
            </w:pPr>
            <w:bookmarkStart w:id="568" w:name="_Toc294019736"/>
            <w:bookmarkStart w:id="569" w:name="_Toc294027060"/>
            <w:bookmarkStart w:id="570" w:name="_Toc294029299"/>
            <w:bookmarkStart w:id="571" w:name="_Toc313878790"/>
            <w:r w:rsidRPr="00DA20F5">
              <w:rPr>
                <w:b/>
                <w:color w:val="FFFFFF" w:themeColor="background1"/>
              </w:rPr>
              <w:t>Výdavky na dávku garančného poistenia v tis. €</w:t>
            </w:r>
            <w:bookmarkEnd w:id="568"/>
            <w:bookmarkEnd w:id="569"/>
            <w:bookmarkEnd w:id="570"/>
            <w:bookmarkEnd w:id="571"/>
          </w:p>
        </w:tc>
      </w:tr>
      <w:tr w:rsidR="005D380C" w:rsidRPr="00DA20F5" w:rsidTr="00B45797">
        <w:trPr>
          <w:trHeight w:val="275"/>
          <w:jc w:val="center"/>
        </w:trPr>
        <w:tc>
          <w:tcPr>
            <w:tcW w:w="2022" w:type="dxa"/>
            <w:noWrap/>
            <w:vAlign w:val="bottom"/>
          </w:tcPr>
          <w:p w:rsidR="00826B8F" w:rsidRPr="00DA20F5" w:rsidRDefault="00826B8F" w:rsidP="00D36FB8">
            <w:bookmarkStart w:id="572" w:name="_Toc294019737"/>
            <w:bookmarkStart w:id="573" w:name="_Toc294027061"/>
            <w:bookmarkStart w:id="574" w:name="_Toc294029300"/>
            <w:bookmarkStart w:id="575" w:name="_Toc313878791"/>
            <w:r w:rsidRPr="00DA20F5">
              <w:t>Január</w:t>
            </w:r>
            <w:bookmarkEnd w:id="572"/>
            <w:bookmarkEnd w:id="573"/>
            <w:bookmarkEnd w:id="574"/>
            <w:bookmarkEnd w:id="575"/>
          </w:p>
        </w:tc>
        <w:tc>
          <w:tcPr>
            <w:tcW w:w="1618" w:type="dxa"/>
            <w:noWrap/>
            <w:vAlign w:val="bottom"/>
          </w:tcPr>
          <w:p w:rsidR="00826B8F" w:rsidRPr="00DA20F5" w:rsidRDefault="00826B8F" w:rsidP="00D36FB8">
            <w:pPr>
              <w:ind w:right="555"/>
              <w:jc w:val="right"/>
            </w:pPr>
            <w:r w:rsidRPr="00DA20F5">
              <w:t>1 140</w:t>
            </w:r>
          </w:p>
        </w:tc>
        <w:tc>
          <w:tcPr>
            <w:tcW w:w="1619" w:type="dxa"/>
            <w:noWrap/>
            <w:vAlign w:val="bottom"/>
          </w:tcPr>
          <w:p w:rsidR="00826B8F" w:rsidRPr="00DA20F5" w:rsidRDefault="00826B8F" w:rsidP="00D36FB8">
            <w:pPr>
              <w:ind w:right="555"/>
              <w:jc w:val="right"/>
            </w:pPr>
            <w:r w:rsidRPr="00DA20F5">
              <w:t>316</w:t>
            </w:r>
          </w:p>
        </w:tc>
        <w:tc>
          <w:tcPr>
            <w:tcW w:w="1725" w:type="dxa"/>
            <w:noWrap/>
            <w:vAlign w:val="bottom"/>
          </w:tcPr>
          <w:p w:rsidR="00826B8F" w:rsidRPr="00DA20F5" w:rsidRDefault="00826B8F" w:rsidP="00D36FB8">
            <w:pPr>
              <w:ind w:right="555"/>
              <w:jc w:val="right"/>
            </w:pPr>
            <w:bookmarkStart w:id="576" w:name="_Toc294019740"/>
            <w:bookmarkStart w:id="577" w:name="_Toc294027064"/>
            <w:bookmarkStart w:id="578" w:name="_Toc294029303"/>
            <w:bookmarkStart w:id="579" w:name="_Toc313878794"/>
            <w:r w:rsidRPr="00DA20F5">
              <w:t>3</w:t>
            </w:r>
            <w:bookmarkEnd w:id="576"/>
            <w:bookmarkEnd w:id="577"/>
            <w:bookmarkEnd w:id="578"/>
            <w:bookmarkEnd w:id="579"/>
            <w:r w:rsidRPr="00DA20F5">
              <w:t>59,9</w:t>
            </w:r>
          </w:p>
        </w:tc>
      </w:tr>
      <w:tr w:rsidR="005D380C" w:rsidRPr="00DA20F5" w:rsidTr="00B45797">
        <w:trPr>
          <w:trHeight w:val="275"/>
          <w:jc w:val="center"/>
        </w:trPr>
        <w:tc>
          <w:tcPr>
            <w:tcW w:w="2022" w:type="dxa"/>
            <w:noWrap/>
            <w:vAlign w:val="bottom"/>
          </w:tcPr>
          <w:p w:rsidR="00826B8F" w:rsidRPr="00DA20F5" w:rsidRDefault="00826B8F" w:rsidP="00D36FB8">
            <w:bookmarkStart w:id="580" w:name="_Toc294019741"/>
            <w:bookmarkStart w:id="581" w:name="_Toc294027065"/>
            <w:bookmarkStart w:id="582" w:name="_Toc294029304"/>
            <w:bookmarkStart w:id="583" w:name="_Toc313878795"/>
            <w:r w:rsidRPr="00DA20F5">
              <w:t>Február</w:t>
            </w:r>
            <w:bookmarkEnd w:id="580"/>
            <w:bookmarkEnd w:id="581"/>
            <w:bookmarkEnd w:id="582"/>
            <w:bookmarkEnd w:id="583"/>
          </w:p>
        </w:tc>
        <w:tc>
          <w:tcPr>
            <w:tcW w:w="1618" w:type="dxa"/>
            <w:noWrap/>
            <w:vAlign w:val="bottom"/>
          </w:tcPr>
          <w:p w:rsidR="00826B8F" w:rsidRPr="00DA20F5" w:rsidRDefault="00826B8F" w:rsidP="00D36FB8">
            <w:pPr>
              <w:ind w:right="555"/>
              <w:jc w:val="right"/>
            </w:pPr>
            <w:r w:rsidRPr="00DA20F5">
              <w:t>374</w:t>
            </w:r>
          </w:p>
        </w:tc>
        <w:tc>
          <w:tcPr>
            <w:tcW w:w="1619" w:type="dxa"/>
            <w:noWrap/>
            <w:vAlign w:val="bottom"/>
          </w:tcPr>
          <w:p w:rsidR="00826B8F" w:rsidRPr="00DA20F5" w:rsidRDefault="00826B8F" w:rsidP="00D36FB8">
            <w:pPr>
              <w:ind w:right="555"/>
              <w:jc w:val="right"/>
            </w:pPr>
            <w:r w:rsidRPr="00DA20F5">
              <w:t>1 370</w:t>
            </w:r>
          </w:p>
        </w:tc>
        <w:tc>
          <w:tcPr>
            <w:tcW w:w="1725" w:type="dxa"/>
            <w:noWrap/>
            <w:vAlign w:val="bottom"/>
          </w:tcPr>
          <w:p w:rsidR="00826B8F" w:rsidRPr="00DA20F5" w:rsidRDefault="00826B8F" w:rsidP="00D36FB8">
            <w:pPr>
              <w:ind w:right="555"/>
              <w:jc w:val="right"/>
            </w:pPr>
            <w:r w:rsidRPr="00DA20F5">
              <w:t>512,4</w:t>
            </w:r>
          </w:p>
        </w:tc>
      </w:tr>
      <w:tr w:rsidR="005D380C" w:rsidRPr="00DA20F5" w:rsidTr="00B45797">
        <w:trPr>
          <w:trHeight w:val="275"/>
          <w:jc w:val="center"/>
        </w:trPr>
        <w:tc>
          <w:tcPr>
            <w:tcW w:w="2022" w:type="dxa"/>
            <w:noWrap/>
            <w:vAlign w:val="bottom"/>
          </w:tcPr>
          <w:p w:rsidR="00826B8F" w:rsidRPr="00DA20F5" w:rsidRDefault="00826B8F" w:rsidP="00D36FB8">
            <w:bookmarkStart w:id="584" w:name="_Toc294019745"/>
            <w:bookmarkStart w:id="585" w:name="_Toc294027069"/>
            <w:bookmarkStart w:id="586" w:name="_Toc294029308"/>
            <w:bookmarkStart w:id="587" w:name="_Toc313878799"/>
            <w:r w:rsidRPr="00DA20F5">
              <w:t>Marec</w:t>
            </w:r>
            <w:bookmarkEnd w:id="584"/>
            <w:bookmarkEnd w:id="585"/>
            <w:bookmarkEnd w:id="586"/>
            <w:bookmarkEnd w:id="587"/>
          </w:p>
        </w:tc>
        <w:tc>
          <w:tcPr>
            <w:tcW w:w="1618" w:type="dxa"/>
            <w:noWrap/>
            <w:vAlign w:val="bottom"/>
          </w:tcPr>
          <w:p w:rsidR="00826B8F" w:rsidRPr="00DA20F5" w:rsidRDefault="00826B8F" w:rsidP="00D36FB8">
            <w:pPr>
              <w:ind w:right="555"/>
              <w:jc w:val="right"/>
            </w:pPr>
            <w:r w:rsidRPr="00DA20F5">
              <w:t>374</w:t>
            </w:r>
          </w:p>
        </w:tc>
        <w:tc>
          <w:tcPr>
            <w:tcW w:w="1619" w:type="dxa"/>
            <w:noWrap/>
            <w:vAlign w:val="bottom"/>
          </w:tcPr>
          <w:p w:rsidR="00826B8F" w:rsidRPr="00DA20F5" w:rsidRDefault="00826B8F" w:rsidP="00D36FB8">
            <w:pPr>
              <w:ind w:right="555"/>
              <w:jc w:val="right"/>
            </w:pPr>
            <w:bookmarkStart w:id="588" w:name="_Toc294019747"/>
            <w:bookmarkStart w:id="589" w:name="_Toc294027071"/>
            <w:bookmarkStart w:id="590" w:name="_Toc294029310"/>
            <w:bookmarkStart w:id="591" w:name="_Toc313878801"/>
            <w:r w:rsidRPr="00DA20F5">
              <w:t>1 3</w:t>
            </w:r>
            <w:bookmarkEnd w:id="588"/>
            <w:bookmarkEnd w:id="589"/>
            <w:bookmarkEnd w:id="590"/>
            <w:bookmarkEnd w:id="591"/>
            <w:r w:rsidRPr="00DA20F5">
              <w:t>70</w:t>
            </w:r>
          </w:p>
        </w:tc>
        <w:tc>
          <w:tcPr>
            <w:tcW w:w="1725" w:type="dxa"/>
            <w:noWrap/>
            <w:vAlign w:val="bottom"/>
          </w:tcPr>
          <w:p w:rsidR="00826B8F" w:rsidRPr="00DA20F5" w:rsidRDefault="00826B8F" w:rsidP="00D36FB8">
            <w:pPr>
              <w:ind w:right="555"/>
              <w:jc w:val="right"/>
            </w:pPr>
            <w:r w:rsidRPr="00DA20F5">
              <w:t>313,0</w:t>
            </w:r>
          </w:p>
        </w:tc>
      </w:tr>
      <w:tr w:rsidR="005D380C" w:rsidRPr="00DA20F5" w:rsidTr="00B45797">
        <w:trPr>
          <w:trHeight w:val="275"/>
          <w:jc w:val="center"/>
        </w:trPr>
        <w:tc>
          <w:tcPr>
            <w:tcW w:w="2022" w:type="dxa"/>
            <w:noWrap/>
            <w:vAlign w:val="bottom"/>
          </w:tcPr>
          <w:p w:rsidR="00826B8F" w:rsidRPr="00DA20F5" w:rsidRDefault="00826B8F" w:rsidP="00D36FB8">
            <w:bookmarkStart w:id="592" w:name="_Toc294019749"/>
            <w:bookmarkStart w:id="593" w:name="_Toc294027073"/>
            <w:bookmarkStart w:id="594" w:name="_Toc294029312"/>
            <w:bookmarkStart w:id="595" w:name="_Toc313878803"/>
            <w:r w:rsidRPr="00DA20F5">
              <w:t>Apríl</w:t>
            </w:r>
            <w:bookmarkEnd w:id="592"/>
            <w:bookmarkEnd w:id="593"/>
            <w:bookmarkEnd w:id="594"/>
            <w:bookmarkEnd w:id="595"/>
          </w:p>
        </w:tc>
        <w:tc>
          <w:tcPr>
            <w:tcW w:w="1618" w:type="dxa"/>
            <w:noWrap/>
            <w:vAlign w:val="bottom"/>
          </w:tcPr>
          <w:p w:rsidR="00826B8F" w:rsidRPr="00DA20F5" w:rsidRDefault="00826B8F" w:rsidP="00D36FB8">
            <w:pPr>
              <w:ind w:right="555"/>
              <w:jc w:val="right"/>
            </w:pPr>
            <w:r w:rsidRPr="00DA20F5">
              <w:t>235</w:t>
            </w:r>
          </w:p>
        </w:tc>
        <w:tc>
          <w:tcPr>
            <w:tcW w:w="1619" w:type="dxa"/>
            <w:noWrap/>
            <w:vAlign w:val="bottom"/>
          </w:tcPr>
          <w:p w:rsidR="00826B8F" w:rsidRPr="00DA20F5" w:rsidRDefault="00826B8F" w:rsidP="00D36FB8">
            <w:pPr>
              <w:ind w:right="555"/>
              <w:jc w:val="right"/>
            </w:pPr>
            <w:bookmarkStart w:id="596" w:name="_Toc294019751"/>
            <w:bookmarkStart w:id="597" w:name="_Toc294027075"/>
            <w:bookmarkStart w:id="598" w:name="_Toc294029314"/>
            <w:bookmarkStart w:id="599" w:name="_Toc313878805"/>
            <w:r w:rsidRPr="00DA20F5">
              <w:t xml:space="preserve">1 </w:t>
            </w:r>
            <w:bookmarkEnd w:id="596"/>
            <w:bookmarkEnd w:id="597"/>
            <w:bookmarkEnd w:id="598"/>
            <w:bookmarkEnd w:id="599"/>
            <w:r w:rsidRPr="00DA20F5">
              <w:t>071</w:t>
            </w:r>
          </w:p>
        </w:tc>
        <w:tc>
          <w:tcPr>
            <w:tcW w:w="1725" w:type="dxa"/>
            <w:noWrap/>
            <w:vAlign w:val="bottom"/>
          </w:tcPr>
          <w:p w:rsidR="00826B8F" w:rsidRPr="00DA20F5" w:rsidRDefault="00826B8F" w:rsidP="00D36FB8">
            <w:pPr>
              <w:ind w:right="555"/>
              <w:jc w:val="right"/>
            </w:pPr>
            <w:r w:rsidRPr="00DA20F5">
              <w:t>251,7</w:t>
            </w:r>
          </w:p>
        </w:tc>
      </w:tr>
      <w:tr w:rsidR="005D380C" w:rsidRPr="00DA20F5" w:rsidTr="00B45797">
        <w:trPr>
          <w:trHeight w:val="275"/>
          <w:jc w:val="center"/>
        </w:trPr>
        <w:tc>
          <w:tcPr>
            <w:tcW w:w="2022" w:type="dxa"/>
            <w:noWrap/>
            <w:vAlign w:val="bottom"/>
          </w:tcPr>
          <w:p w:rsidR="00826B8F" w:rsidRPr="00DA20F5" w:rsidRDefault="00826B8F" w:rsidP="00D36FB8">
            <w:bookmarkStart w:id="600" w:name="_Toc294019753"/>
            <w:bookmarkStart w:id="601" w:name="_Toc294027077"/>
            <w:bookmarkStart w:id="602" w:name="_Toc294029316"/>
            <w:bookmarkStart w:id="603" w:name="_Toc313878807"/>
            <w:r w:rsidRPr="00DA20F5">
              <w:t>Máj</w:t>
            </w:r>
            <w:bookmarkEnd w:id="600"/>
            <w:bookmarkEnd w:id="601"/>
            <w:bookmarkEnd w:id="602"/>
            <w:bookmarkEnd w:id="603"/>
          </w:p>
        </w:tc>
        <w:tc>
          <w:tcPr>
            <w:tcW w:w="1618" w:type="dxa"/>
            <w:noWrap/>
            <w:vAlign w:val="bottom"/>
          </w:tcPr>
          <w:p w:rsidR="00826B8F" w:rsidRPr="00DA20F5" w:rsidRDefault="00826B8F" w:rsidP="00D36FB8">
            <w:pPr>
              <w:ind w:right="555"/>
              <w:jc w:val="right"/>
            </w:pPr>
            <w:r w:rsidRPr="00DA20F5">
              <w:t>221</w:t>
            </w:r>
          </w:p>
        </w:tc>
        <w:tc>
          <w:tcPr>
            <w:tcW w:w="1619" w:type="dxa"/>
            <w:noWrap/>
            <w:vAlign w:val="bottom"/>
          </w:tcPr>
          <w:p w:rsidR="00826B8F" w:rsidRPr="00DA20F5" w:rsidRDefault="00826B8F" w:rsidP="00D36FB8">
            <w:pPr>
              <w:ind w:right="555"/>
              <w:jc w:val="right"/>
            </w:pPr>
            <w:bookmarkStart w:id="604" w:name="_Toc294019755"/>
            <w:bookmarkStart w:id="605" w:name="_Toc294027079"/>
            <w:bookmarkStart w:id="606" w:name="_Toc294029318"/>
            <w:bookmarkStart w:id="607" w:name="_Toc313878809"/>
            <w:r w:rsidRPr="00DA20F5">
              <w:t xml:space="preserve">1 </w:t>
            </w:r>
            <w:bookmarkEnd w:id="604"/>
            <w:bookmarkEnd w:id="605"/>
            <w:bookmarkEnd w:id="606"/>
            <w:bookmarkEnd w:id="607"/>
            <w:r w:rsidRPr="00DA20F5">
              <w:t>572</w:t>
            </w:r>
          </w:p>
        </w:tc>
        <w:tc>
          <w:tcPr>
            <w:tcW w:w="1725" w:type="dxa"/>
            <w:noWrap/>
            <w:vAlign w:val="bottom"/>
          </w:tcPr>
          <w:p w:rsidR="00826B8F" w:rsidRPr="00DA20F5" w:rsidRDefault="00826B8F" w:rsidP="00D36FB8">
            <w:pPr>
              <w:ind w:right="555"/>
              <w:jc w:val="right"/>
            </w:pPr>
            <w:r w:rsidRPr="00DA20F5">
              <w:t>344,3</w:t>
            </w:r>
          </w:p>
        </w:tc>
      </w:tr>
      <w:tr w:rsidR="005D380C" w:rsidRPr="00DA20F5" w:rsidTr="00B45797">
        <w:trPr>
          <w:trHeight w:val="275"/>
          <w:jc w:val="center"/>
        </w:trPr>
        <w:tc>
          <w:tcPr>
            <w:tcW w:w="2022" w:type="dxa"/>
            <w:noWrap/>
            <w:vAlign w:val="bottom"/>
          </w:tcPr>
          <w:p w:rsidR="00826B8F" w:rsidRPr="00DA20F5" w:rsidRDefault="00826B8F" w:rsidP="00D36FB8">
            <w:bookmarkStart w:id="608" w:name="_Toc294019757"/>
            <w:bookmarkStart w:id="609" w:name="_Toc294027081"/>
            <w:bookmarkStart w:id="610" w:name="_Toc294029320"/>
            <w:bookmarkStart w:id="611" w:name="_Toc313878811"/>
            <w:r w:rsidRPr="00DA20F5">
              <w:t>Jún</w:t>
            </w:r>
            <w:bookmarkEnd w:id="608"/>
            <w:bookmarkEnd w:id="609"/>
            <w:bookmarkEnd w:id="610"/>
            <w:bookmarkEnd w:id="611"/>
          </w:p>
        </w:tc>
        <w:tc>
          <w:tcPr>
            <w:tcW w:w="1618" w:type="dxa"/>
            <w:noWrap/>
            <w:vAlign w:val="bottom"/>
          </w:tcPr>
          <w:p w:rsidR="00826B8F" w:rsidRPr="00DA20F5" w:rsidRDefault="00826B8F" w:rsidP="00D36FB8">
            <w:pPr>
              <w:ind w:right="555"/>
              <w:jc w:val="right"/>
            </w:pPr>
            <w:r w:rsidRPr="00DA20F5">
              <w:t>384</w:t>
            </w:r>
          </w:p>
        </w:tc>
        <w:tc>
          <w:tcPr>
            <w:tcW w:w="1619" w:type="dxa"/>
            <w:noWrap/>
            <w:vAlign w:val="bottom"/>
          </w:tcPr>
          <w:p w:rsidR="00826B8F" w:rsidRPr="00DA20F5" w:rsidRDefault="00826B8F" w:rsidP="00D36FB8">
            <w:pPr>
              <w:ind w:right="555"/>
              <w:jc w:val="right"/>
            </w:pPr>
            <w:bookmarkStart w:id="612" w:name="_Toc294019759"/>
            <w:bookmarkStart w:id="613" w:name="_Toc294027083"/>
            <w:bookmarkStart w:id="614" w:name="_Toc294029322"/>
            <w:bookmarkStart w:id="615" w:name="_Toc313878813"/>
            <w:r w:rsidRPr="00DA20F5">
              <w:t xml:space="preserve">1 </w:t>
            </w:r>
            <w:bookmarkEnd w:id="612"/>
            <w:bookmarkEnd w:id="613"/>
            <w:bookmarkEnd w:id="614"/>
            <w:bookmarkEnd w:id="615"/>
            <w:r w:rsidRPr="00DA20F5">
              <w:t>561</w:t>
            </w:r>
          </w:p>
        </w:tc>
        <w:tc>
          <w:tcPr>
            <w:tcW w:w="1725" w:type="dxa"/>
            <w:noWrap/>
            <w:vAlign w:val="bottom"/>
          </w:tcPr>
          <w:p w:rsidR="00826B8F" w:rsidRPr="00DA20F5" w:rsidRDefault="00826B8F" w:rsidP="00D36FB8">
            <w:pPr>
              <w:ind w:right="555"/>
              <w:jc w:val="right"/>
            </w:pPr>
            <w:r w:rsidRPr="00DA20F5">
              <w:t>598,0</w:t>
            </w:r>
          </w:p>
        </w:tc>
      </w:tr>
      <w:tr w:rsidR="005D380C" w:rsidRPr="00DA20F5" w:rsidTr="00B45797">
        <w:trPr>
          <w:trHeight w:val="275"/>
          <w:jc w:val="center"/>
        </w:trPr>
        <w:tc>
          <w:tcPr>
            <w:tcW w:w="2022" w:type="dxa"/>
            <w:noWrap/>
            <w:vAlign w:val="bottom"/>
          </w:tcPr>
          <w:p w:rsidR="00826B8F" w:rsidRPr="00DA20F5" w:rsidRDefault="00826B8F" w:rsidP="00D36FB8">
            <w:bookmarkStart w:id="616" w:name="_Toc294019761"/>
            <w:bookmarkStart w:id="617" w:name="_Toc294027085"/>
            <w:bookmarkStart w:id="618" w:name="_Toc294029324"/>
            <w:bookmarkStart w:id="619" w:name="_Toc313878815"/>
            <w:r w:rsidRPr="00DA20F5">
              <w:t>Júl</w:t>
            </w:r>
            <w:bookmarkEnd w:id="616"/>
            <w:bookmarkEnd w:id="617"/>
            <w:bookmarkEnd w:id="618"/>
            <w:bookmarkEnd w:id="619"/>
          </w:p>
        </w:tc>
        <w:tc>
          <w:tcPr>
            <w:tcW w:w="1618" w:type="dxa"/>
            <w:noWrap/>
            <w:vAlign w:val="bottom"/>
          </w:tcPr>
          <w:p w:rsidR="00826B8F" w:rsidRPr="00DA20F5" w:rsidRDefault="00826B8F" w:rsidP="00D36FB8">
            <w:pPr>
              <w:ind w:right="555"/>
              <w:jc w:val="right"/>
            </w:pPr>
            <w:r w:rsidRPr="00DA20F5">
              <w:t>473</w:t>
            </w:r>
          </w:p>
        </w:tc>
        <w:tc>
          <w:tcPr>
            <w:tcW w:w="1619" w:type="dxa"/>
            <w:noWrap/>
            <w:vAlign w:val="bottom"/>
          </w:tcPr>
          <w:p w:rsidR="00826B8F" w:rsidRPr="00DA20F5" w:rsidRDefault="00826B8F" w:rsidP="00D36FB8">
            <w:pPr>
              <w:ind w:right="555"/>
              <w:jc w:val="right"/>
            </w:pPr>
            <w:bookmarkStart w:id="620" w:name="_Toc294019763"/>
            <w:bookmarkStart w:id="621" w:name="_Toc294027087"/>
            <w:bookmarkStart w:id="622" w:name="_Toc294029326"/>
            <w:bookmarkStart w:id="623" w:name="_Toc313878817"/>
            <w:r w:rsidRPr="00DA20F5">
              <w:t xml:space="preserve">1 </w:t>
            </w:r>
            <w:bookmarkEnd w:id="620"/>
            <w:bookmarkEnd w:id="621"/>
            <w:bookmarkEnd w:id="622"/>
            <w:bookmarkEnd w:id="623"/>
            <w:r w:rsidRPr="00DA20F5">
              <w:t>452</w:t>
            </w:r>
          </w:p>
        </w:tc>
        <w:tc>
          <w:tcPr>
            <w:tcW w:w="1725" w:type="dxa"/>
            <w:noWrap/>
            <w:vAlign w:val="bottom"/>
          </w:tcPr>
          <w:p w:rsidR="00826B8F" w:rsidRPr="00DA20F5" w:rsidRDefault="00826B8F" w:rsidP="00D36FB8">
            <w:pPr>
              <w:ind w:right="555"/>
              <w:jc w:val="right"/>
            </w:pPr>
            <w:r w:rsidRPr="00DA20F5">
              <w:t>679,1</w:t>
            </w:r>
          </w:p>
        </w:tc>
      </w:tr>
      <w:tr w:rsidR="005D380C" w:rsidRPr="00DA20F5" w:rsidTr="00B45797">
        <w:trPr>
          <w:trHeight w:val="275"/>
          <w:jc w:val="center"/>
        </w:trPr>
        <w:tc>
          <w:tcPr>
            <w:tcW w:w="2022" w:type="dxa"/>
            <w:noWrap/>
            <w:vAlign w:val="bottom"/>
          </w:tcPr>
          <w:p w:rsidR="00826B8F" w:rsidRPr="00DA20F5" w:rsidRDefault="00826B8F" w:rsidP="00D36FB8">
            <w:bookmarkStart w:id="624" w:name="_Toc294019765"/>
            <w:bookmarkStart w:id="625" w:name="_Toc294027089"/>
            <w:bookmarkStart w:id="626" w:name="_Toc294029328"/>
            <w:bookmarkStart w:id="627" w:name="_Toc313878819"/>
            <w:r w:rsidRPr="00DA20F5">
              <w:t>August</w:t>
            </w:r>
            <w:bookmarkEnd w:id="624"/>
            <w:bookmarkEnd w:id="625"/>
            <w:bookmarkEnd w:id="626"/>
            <w:bookmarkEnd w:id="627"/>
          </w:p>
        </w:tc>
        <w:tc>
          <w:tcPr>
            <w:tcW w:w="1618" w:type="dxa"/>
            <w:noWrap/>
            <w:vAlign w:val="bottom"/>
          </w:tcPr>
          <w:p w:rsidR="00826B8F" w:rsidRPr="00DA20F5" w:rsidRDefault="00826B8F" w:rsidP="00D36FB8">
            <w:pPr>
              <w:ind w:right="555"/>
              <w:jc w:val="right"/>
            </w:pPr>
            <w:r w:rsidRPr="00DA20F5">
              <w:t>371</w:t>
            </w:r>
          </w:p>
        </w:tc>
        <w:tc>
          <w:tcPr>
            <w:tcW w:w="1619" w:type="dxa"/>
            <w:noWrap/>
            <w:vAlign w:val="bottom"/>
          </w:tcPr>
          <w:p w:rsidR="00826B8F" w:rsidRPr="00DA20F5" w:rsidRDefault="00826B8F" w:rsidP="00D36FB8">
            <w:pPr>
              <w:ind w:right="555"/>
              <w:jc w:val="right"/>
            </w:pPr>
            <w:bookmarkStart w:id="628" w:name="_Toc294019767"/>
            <w:bookmarkStart w:id="629" w:name="_Toc294027091"/>
            <w:bookmarkStart w:id="630" w:name="_Toc294029330"/>
            <w:bookmarkStart w:id="631" w:name="_Toc313878821"/>
            <w:r w:rsidRPr="00DA20F5">
              <w:t xml:space="preserve">1 </w:t>
            </w:r>
            <w:bookmarkEnd w:id="628"/>
            <w:bookmarkEnd w:id="629"/>
            <w:bookmarkEnd w:id="630"/>
            <w:bookmarkEnd w:id="631"/>
            <w:r w:rsidRPr="00DA20F5">
              <w:t>364</w:t>
            </w:r>
          </w:p>
        </w:tc>
        <w:tc>
          <w:tcPr>
            <w:tcW w:w="1725" w:type="dxa"/>
            <w:noWrap/>
            <w:vAlign w:val="bottom"/>
          </w:tcPr>
          <w:p w:rsidR="00826B8F" w:rsidRPr="00DA20F5" w:rsidRDefault="00826B8F" w:rsidP="00D36FB8">
            <w:pPr>
              <w:ind w:right="555"/>
              <w:jc w:val="right"/>
            </w:pPr>
            <w:r w:rsidRPr="00DA20F5">
              <w:t>513,5</w:t>
            </w:r>
          </w:p>
        </w:tc>
      </w:tr>
      <w:tr w:rsidR="005D380C" w:rsidRPr="00DA20F5" w:rsidTr="00B45797">
        <w:trPr>
          <w:trHeight w:val="275"/>
          <w:jc w:val="center"/>
        </w:trPr>
        <w:tc>
          <w:tcPr>
            <w:tcW w:w="2022" w:type="dxa"/>
            <w:noWrap/>
            <w:vAlign w:val="bottom"/>
          </w:tcPr>
          <w:p w:rsidR="00826B8F" w:rsidRPr="00DA20F5" w:rsidRDefault="00826B8F" w:rsidP="00D36FB8">
            <w:bookmarkStart w:id="632" w:name="_Toc294019769"/>
            <w:bookmarkStart w:id="633" w:name="_Toc294027093"/>
            <w:bookmarkStart w:id="634" w:name="_Toc294029332"/>
            <w:bookmarkStart w:id="635" w:name="_Toc313878823"/>
            <w:r w:rsidRPr="00DA20F5">
              <w:t>September</w:t>
            </w:r>
            <w:bookmarkEnd w:id="632"/>
            <w:bookmarkEnd w:id="633"/>
            <w:bookmarkEnd w:id="634"/>
            <w:bookmarkEnd w:id="635"/>
          </w:p>
        </w:tc>
        <w:tc>
          <w:tcPr>
            <w:tcW w:w="1618" w:type="dxa"/>
            <w:noWrap/>
            <w:vAlign w:val="bottom"/>
          </w:tcPr>
          <w:p w:rsidR="00826B8F" w:rsidRPr="00DA20F5" w:rsidRDefault="00826B8F" w:rsidP="00D36FB8">
            <w:pPr>
              <w:ind w:right="555"/>
              <w:jc w:val="right"/>
            </w:pPr>
            <w:r w:rsidRPr="00DA20F5">
              <w:t>348</w:t>
            </w:r>
          </w:p>
        </w:tc>
        <w:tc>
          <w:tcPr>
            <w:tcW w:w="1619" w:type="dxa"/>
            <w:noWrap/>
            <w:vAlign w:val="bottom"/>
          </w:tcPr>
          <w:p w:rsidR="00826B8F" w:rsidRPr="00DA20F5" w:rsidRDefault="00826B8F" w:rsidP="00D36FB8">
            <w:pPr>
              <w:ind w:right="555"/>
              <w:jc w:val="right"/>
            </w:pPr>
            <w:bookmarkStart w:id="636" w:name="_Toc294019771"/>
            <w:bookmarkStart w:id="637" w:name="_Toc294027095"/>
            <w:bookmarkStart w:id="638" w:name="_Toc294029334"/>
            <w:bookmarkStart w:id="639" w:name="_Toc313878825"/>
            <w:r w:rsidRPr="00DA20F5">
              <w:t xml:space="preserve">1 </w:t>
            </w:r>
            <w:bookmarkEnd w:id="636"/>
            <w:bookmarkEnd w:id="637"/>
            <w:bookmarkEnd w:id="638"/>
            <w:bookmarkEnd w:id="639"/>
            <w:r w:rsidRPr="00DA20F5">
              <w:t>276</w:t>
            </w:r>
          </w:p>
        </w:tc>
        <w:tc>
          <w:tcPr>
            <w:tcW w:w="1725" w:type="dxa"/>
            <w:noWrap/>
            <w:vAlign w:val="bottom"/>
          </w:tcPr>
          <w:p w:rsidR="00826B8F" w:rsidRPr="00DA20F5" w:rsidRDefault="00826B8F" w:rsidP="00D36FB8">
            <w:pPr>
              <w:ind w:right="555"/>
              <w:jc w:val="right"/>
            </w:pPr>
            <w:r w:rsidRPr="00DA20F5">
              <w:t>436,5</w:t>
            </w:r>
          </w:p>
        </w:tc>
      </w:tr>
      <w:tr w:rsidR="005D380C" w:rsidRPr="00DA20F5" w:rsidTr="00B45797">
        <w:trPr>
          <w:trHeight w:val="275"/>
          <w:jc w:val="center"/>
        </w:trPr>
        <w:tc>
          <w:tcPr>
            <w:tcW w:w="2022" w:type="dxa"/>
            <w:noWrap/>
            <w:vAlign w:val="bottom"/>
          </w:tcPr>
          <w:p w:rsidR="00826B8F" w:rsidRPr="00DA20F5" w:rsidRDefault="00826B8F" w:rsidP="00D36FB8">
            <w:bookmarkStart w:id="640" w:name="_Toc294019773"/>
            <w:bookmarkStart w:id="641" w:name="_Toc294027097"/>
            <w:bookmarkStart w:id="642" w:name="_Toc294029336"/>
            <w:bookmarkStart w:id="643" w:name="_Toc313878827"/>
            <w:r w:rsidRPr="00DA20F5">
              <w:t>Október</w:t>
            </w:r>
            <w:bookmarkEnd w:id="640"/>
            <w:bookmarkEnd w:id="641"/>
            <w:bookmarkEnd w:id="642"/>
            <w:bookmarkEnd w:id="643"/>
          </w:p>
        </w:tc>
        <w:tc>
          <w:tcPr>
            <w:tcW w:w="1618" w:type="dxa"/>
            <w:noWrap/>
            <w:vAlign w:val="bottom"/>
          </w:tcPr>
          <w:p w:rsidR="00826B8F" w:rsidRPr="00DA20F5" w:rsidRDefault="00826B8F" w:rsidP="00D36FB8">
            <w:pPr>
              <w:ind w:right="555"/>
              <w:jc w:val="right"/>
            </w:pPr>
            <w:r w:rsidRPr="00DA20F5">
              <w:t>371</w:t>
            </w:r>
          </w:p>
        </w:tc>
        <w:tc>
          <w:tcPr>
            <w:tcW w:w="1619" w:type="dxa"/>
            <w:noWrap/>
            <w:vAlign w:val="bottom"/>
          </w:tcPr>
          <w:p w:rsidR="00826B8F" w:rsidRPr="00DA20F5" w:rsidRDefault="00826B8F" w:rsidP="00D36FB8">
            <w:pPr>
              <w:ind w:right="555"/>
              <w:jc w:val="right"/>
            </w:pPr>
            <w:bookmarkStart w:id="644" w:name="_Toc294019775"/>
            <w:bookmarkStart w:id="645" w:name="_Toc294027099"/>
            <w:bookmarkStart w:id="646" w:name="_Toc294029338"/>
            <w:bookmarkStart w:id="647" w:name="_Toc313878829"/>
            <w:r w:rsidRPr="00DA20F5">
              <w:t xml:space="preserve">1 </w:t>
            </w:r>
            <w:bookmarkEnd w:id="644"/>
            <w:bookmarkEnd w:id="645"/>
            <w:bookmarkEnd w:id="646"/>
            <w:bookmarkEnd w:id="647"/>
            <w:r w:rsidRPr="00DA20F5">
              <w:t>306</w:t>
            </w:r>
          </w:p>
        </w:tc>
        <w:tc>
          <w:tcPr>
            <w:tcW w:w="1725" w:type="dxa"/>
            <w:noWrap/>
            <w:vAlign w:val="bottom"/>
          </w:tcPr>
          <w:p w:rsidR="00826B8F" w:rsidRPr="00DA20F5" w:rsidRDefault="00826B8F" w:rsidP="00D36FB8">
            <w:pPr>
              <w:ind w:right="555"/>
              <w:jc w:val="right"/>
            </w:pPr>
            <w:r w:rsidRPr="00DA20F5">
              <w:t>484,4</w:t>
            </w:r>
          </w:p>
        </w:tc>
      </w:tr>
      <w:tr w:rsidR="005D380C" w:rsidRPr="00DA20F5" w:rsidTr="00B45797">
        <w:trPr>
          <w:trHeight w:val="275"/>
          <w:jc w:val="center"/>
        </w:trPr>
        <w:tc>
          <w:tcPr>
            <w:tcW w:w="2022" w:type="dxa"/>
            <w:noWrap/>
            <w:vAlign w:val="bottom"/>
          </w:tcPr>
          <w:p w:rsidR="00826B8F" w:rsidRPr="00DA20F5" w:rsidRDefault="00826B8F" w:rsidP="00D36FB8">
            <w:bookmarkStart w:id="648" w:name="_Toc294019777"/>
            <w:bookmarkStart w:id="649" w:name="_Toc294027101"/>
            <w:bookmarkStart w:id="650" w:name="_Toc294029340"/>
            <w:bookmarkStart w:id="651" w:name="_Toc313878831"/>
            <w:r w:rsidRPr="00DA20F5">
              <w:t>November</w:t>
            </w:r>
            <w:bookmarkEnd w:id="648"/>
            <w:bookmarkEnd w:id="649"/>
            <w:bookmarkEnd w:id="650"/>
            <w:bookmarkEnd w:id="651"/>
          </w:p>
        </w:tc>
        <w:tc>
          <w:tcPr>
            <w:tcW w:w="1618" w:type="dxa"/>
            <w:noWrap/>
            <w:vAlign w:val="bottom"/>
          </w:tcPr>
          <w:p w:rsidR="00826B8F" w:rsidRPr="00DA20F5" w:rsidRDefault="00826B8F" w:rsidP="00D36FB8">
            <w:pPr>
              <w:ind w:right="555"/>
              <w:jc w:val="right"/>
            </w:pPr>
            <w:r w:rsidRPr="00DA20F5">
              <w:t>1 804</w:t>
            </w:r>
          </w:p>
        </w:tc>
        <w:tc>
          <w:tcPr>
            <w:tcW w:w="1619" w:type="dxa"/>
            <w:noWrap/>
            <w:vAlign w:val="bottom"/>
          </w:tcPr>
          <w:p w:rsidR="00826B8F" w:rsidRPr="00DA20F5" w:rsidRDefault="00826B8F" w:rsidP="00D36FB8">
            <w:pPr>
              <w:ind w:right="555"/>
              <w:jc w:val="right"/>
            </w:pPr>
            <w:bookmarkStart w:id="652" w:name="_Toc294019779"/>
            <w:bookmarkStart w:id="653" w:name="_Toc294027103"/>
            <w:bookmarkStart w:id="654" w:name="_Toc294029342"/>
            <w:bookmarkStart w:id="655" w:name="_Toc313878833"/>
            <w:r w:rsidRPr="00DA20F5">
              <w:t xml:space="preserve">1 </w:t>
            </w:r>
            <w:bookmarkEnd w:id="652"/>
            <w:bookmarkEnd w:id="653"/>
            <w:bookmarkEnd w:id="654"/>
            <w:bookmarkEnd w:id="655"/>
            <w:r w:rsidRPr="00DA20F5">
              <w:t>019</w:t>
            </w:r>
          </w:p>
        </w:tc>
        <w:tc>
          <w:tcPr>
            <w:tcW w:w="1725" w:type="dxa"/>
            <w:noWrap/>
            <w:vAlign w:val="bottom"/>
          </w:tcPr>
          <w:p w:rsidR="00826B8F" w:rsidRPr="00DA20F5" w:rsidRDefault="00826B8F" w:rsidP="00D36FB8">
            <w:pPr>
              <w:ind w:right="555"/>
              <w:jc w:val="right"/>
            </w:pPr>
            <w:r w:rsidRPr="00DA20F5">
              <w:t>1 804,5</w:t>
            </w:r>
          </w:p>
        </w:tc>
      </w:tr>
      <w:tr w:rsidR="005D380C" w:rsidRPr="00DA20F5" w:rsidTr="00B45797">
        <w:trPr>
          <w:trHeight w:val="275"/>
          <w:jc w:val="center"/>
        </w:trPr>
        <w:tc>
          <w:tcPr>
            <w:tcW w:w="2022" w:type="dxa"/>
            <w:noWrap/>
            <w:vAlign w:val="bottom"/>
          </w:tcPr>
          <w:p w:rsidR="00826B8F" w:rsidRPr="00DA20F5" w:rsidRDefault="00826B8F" w:rsidP="00D36FB8">
            <w:bookmarkStart w:id="656" w:name="_Toc294019781"/>
            <w:bookmarkStart w:id="657" w:name="_Toc294027105"/>
            <w:bookmarkStart w:id="658" w:name="_Toc294029344"/>
            <w:bookmarkStart w:id="659" w:name="_Toc313878835"/>
            <w:r w:rsidRPr="00DA20F5">
              <w:t>December</w:t>
            </w:r>
            <w:bookmarkEnd w:id="656"/>
            <w:bookmarkEnd w:id="657"/>
            <w:bookmarkEnd w:id="658"/>
            <w:bookmarkEnd w:id="659"/>
          </w:p>
        </w:tc>
        <w:tc>
          <w:tcPr>
            <w:tcW w:w="1618" w:type="dxa"/>
            <w:noWrap/>
            <w:vAlign w:val="bottom"/>
          </w:tcPr>
          <w:p w:rsidR="00826B8F" w:rsidRPr="00DA20F5" w:rsidRDefault="00826B8F" w:rsidP="00D36FB8">
            <w:pPr>
              <w:ind w:right="555"/>
              <w:jc w:val="right"/>
            </w:pPr>
            <w:r w:rsidRPr="00DA20F5">
              <w:t>436</w:t>
            </w:r>
          </w:p>
        </w:tc>
        <w:tc>
          <w:tcPr>
            <w:tcW w:w="1619" w:type="dxa"/>
            <w:noWrap/>
            <w:vAlign w:val="bottom"/>
          </w:tcPr>
          <w:p w:rsidR="00826B8F" w:rsidRPr="00DA20F5" w:rsidRDefault="00826B8F" w:rsidP="00D36FB8">
            <w:pPr>
              <w:ind w:right="555"/>
              <w:jc w:val="right"/>
            </w:pPr>
            <w:bookmarkStart w:id="660" w:name="_Toc294019783"/>
            <w:bookmarkStart w:id="661" w:name="_Toc294027107"/>
            <w:bookmarkStart w:id="662" w:name="_Toc294029346"/>
            <w:bookmarkStart w:id="663" w:name="_Toc313878837"/>
            <w:r w:rsidRPr="00DA20F5">
              <w:t>1 3</w:t>
            </w:r>
            <w:bookmarkEnd w:id="660"/>
            <w:bookmarkEnd w:id="661"/>
            <w:bookmarkEnd w:id="662"/>
            <w:bookmarkEnd w:id="663"/>
            <w:r w:rsidRPr="00DA20F5">
              <w:t>77</w:t>
            </w:r>
          </w:p>
        </w:tc>
        <w:tc>
          <w:tcPr>
            <w:tcW w:w="1725" w:type="dxa"/>
            <w:noWrap/>
            <w:vAlign w:val="bottom"/>
          </w:tcPr>
          <w:p w:rsidR="00826B8F" w:rsidRPr="00DA20F5" w:rsidRDefault="00826B8F" w:rsidP="00D36FB8">
            <w:pPr>
              <w:ind w:right="555"/>
              <w:jc w:val="right"/>
            </w:pPr>
            <w:r w:rsidRPr="00DA20F5">
              <w:t>590,9</w:t>
            </w:r>
          </w:p>
        </w:tc>
      </w:tr>
      <w:tr w:rsidR="005D380C" w:rsidRPr="00DA20F5" w:rsidTr="00B45797">
        <w:trPr>
          <w:trHeight w:val="275"/>
          <w:jc w:val="center"/>
        </w:trPr>
        <w:tc>
          <w:tcPr>
            <w:tcW w:w="2022" w:type="dxa"/>
            <w:noWrap/>
            <w:vAlign w:val="bottom"/>
          </w:tcPr>
          <w:p w:rsidR="00826B8F" w:rsidRPr="00DA20F5" w:rsidRDefault="00826B8F" w:rsidP="00D36FB8">
            <w:pPr>
              <w:rPr>
                <w:b/>
              </w:rPr>
            </w:pPr>
            <w:bookmarkStart w:id="664" w:name="_Toc294019785"/>
            <w:bookmarkStart w:id="665" w:name="_Toc294027109"/>
            <w:bookmarkStart w:id="666" w:name="_Toc294029348"/>
            <w:bookmarkStart w:id="667" w:name="_Toc313878839"/>
            <w:r w:rsidRPr="00DA20F5">
              <w:rPr>
                <w:b/>
              </w:rPr>
              <w:t>Celkom</w:t>
            </w:r>
            <w:bookmarkEnd w:id="664"/>
            <w:bookmarkEnd w:id="665"/>
            <w:bookmarkEnd w:id="666"/>
            <w:bookmarkEnd w:id="667"/>
          </w:p>
        </w:tc>
        <w:tc>
          <w:tcPr>
            <w:tcW w:w="1618" w:type="dxa"/>
            <w:noWrap/>
            <w:vAlign w:val="bottom"/>
          </w:tcPr>
          <w:p w:rsidR="00826B8F" w:rsidRPr="00DA20F5" w:rsidRDefault="00826B8F" w:rsidP="00D36FB8">
            <w:pPr>
              <w:ind w:right="555"/>
              <w:jc w:val="right"/>
              <w:rPr>
                <w:b/>
              </w:rPr>
            </w:pPr>
            <w:bookmarkStart w:id="668" w:name="_Toc294019786"/>
            <w:bookmarkStart w:id="669" w:name="_Toc294027110"/>
            <w:bookmarkStart w:id="670" w:name="_Toc294029349"/>
            <w:bookmarkStart w:id="671" w:name="_Toc313878840"/>
            <w:r w:rsidRPr="00DA20F5">
              <w:rPr>
                <w:b/>
              </w:rPr>
              <w:t xml:space="preserve">6 </w:t>
            </w:r>
            <w:bookmarkEnd w:id="668"/>
            <w:bookmarkEnd w:id="669"/>
            <w:bookmarkEnd w:id="670"/>
            <w:bookmarkEnd w:id="671"/>
            <w:r w:rsidRPr="00DA20F5">
              <w:rPr>
                <w:b/>
              </w:rPr>
              <w:t>531</w:t>
            </w:r>
          </w:p>
        </w:tc>
        <w:tc>
          <w:tcPr>
            <w:tcW w:w="1619" w:type="dxa"/>
            <w:noWrap/>
            <w:vAlign w:val="bottom"/>
          </w:tcPr>
          <w:p w:rsidR="00826B8F" w:rsidRPr="00DA20F5" w:rsidRDefault="000E7A62" w:rsidP="00B45797">
            <w:pPr>
              <w:ind w:right="659"/>
              <w:jc w:val="right"/>
              <w:rPr>
                <w:b/>
              </w:rPr>
            </w:pPr>
            <w:r w:rsidRPr="00DA20F5">
              <w:rPr>
                <w:b/>
              </w:rPr>
              <w:t>x</w:t>
            </w:r>
          </w:p>
        </w:tc>
        <w:tc>
          <w:tcPr>
            <w:tcW w:w="1725" w:type="dxa"/>
            <w:noWrap/>
            <w:vAlign w:val="bottom"/>
          </w:tcPr>
          <w:p w:rsidR="00826B8F" w:rsidRPr="00DA20F5" w:rsidRDefault="00826B8F" w:rsidP="00D36FB8">
            <w:pPr>
              <w:ind w:right="555"/>
              <w:jc w:val="right"/>
              <w:rPr>
                <w:b/>
              </w:rPr>
            </w:pPr>
            <w:r w:rsidRPr="00DA20F5">
              <w:rPr>
                <w:b/>
              </w:rPr>
              <w:t>6 888,4</w:t>
            </w:r>
          </w:p>
        </w:tc>
      </w:tr>
      <w:tr w:rsidR="005D380C" w:rsidRPr="00DA20F5" w:rsidTr="00B45797">
        <w:trPr>
          <w:trHeight w:val="275"/>
          <w:jc w:val="center"/>
        </w:trPr>
        <w:tc>
          <w:tcPr>
            <w:tcW w:w="2022" w:type="dxa"/>
            <w:noWrap/>
            <w:vAlign w:val="bottom"/>
          </w:tcPr>
          <w:p w:rsidR="00826B8F" w:rsidRPr="00DA20F5" w:rsidRDefault="00826B8F" w:rsidP="00D36FB8">
            <w:pPr>
              <w:rPr>
                <w:b/>
              </w:rPr>
            </w:pPr>
            <w:bookmarkStart w:id="672" w:name="_Toc294019789"/>
            <w:bookmarkStart w:id="673" w:name="_Toc294027113"/>
            <w:bookmarkStart w:id="674" w:name="_Toc294029352"/>
            <w:bookmarkStart w:id="675" w:name="_Toc313878843"/>
            <w:r w:rsidRPr="00DA20F5">
              <w:rPr>
                <w:b/>
              </w:rPr>
              <w:t>Priemer</w:t>
            </w:r>
            <w:bookmarkEnd w:id="672"/>
            <w:bookmarkEnd w:id="673"/>
            <w:bookmarkEnd w:id="674"/>
            <w:bookmarkEnd w:id="675"/>
            <w:r w:rsidRPr="00DA20F5">
              <w:rPr>
                <w:b/>
              </w:rPr>
              <w:t xml:space="preserve"> </w:t>
            </w:r>
          </w:p>
        </w:tc>
        <w:tc>
          <w:tcPr>
            <w:tcW w:w="1618" w:type="dxa"/>
            <w:noWrap/>
            <w:vAlign w:val="bottom"/>
          </w:tcPr>
          <w:p w:rsidR="00826B8F" w:rsidRPr="00DA20F5" w:rsidRDefault="00826B8F" w:rsidP="00D36FB8">
            <w:pPr>
              <w:ind w:right="555"/>
              <w:jc w:val="right"/>
              <w:rPr>
                <w:b/>
              </w:rPr>
            </w:pPr>
            <w:bookmarkStart w:id="676" w:name="_Toc294019790"/>
            <w:bookmarkStart w:id="677" w:name="_Toc294027114"/>
            <w:bookmarkStart w:id="678" w:name="_Toc294029353"/>
            <w:bookmarkStart w:id="679" w:name="_Toc313878844"/>
            <w:r w:rsidRPr="00DA20F5">
              <w:rPr>
                <w:b/>
              </w:rPr>
              <w:t>544</w:t>
            </w:r>
            <w:bookmarkEnd w:id="676"/>
            <w:bookmarkEnd w:id="677"/>
            <w:bookmarkEnd w:id="678"/>
            <w:bookmarkEnd w:id="679"/>
          </w:p>
        </w:tc>
        <w:tc>
          <w:tcPr>
            <w:tcW w:w="1619" w:type="dxa"/>
            <w:noWrap/>
            <w:vAlign w:val="bottom"/>
          </w:tcPr>
          <w:p w:rsidR="00826B8F" w:rsidRPr="00DA20F5" w:rsidRDefault="00826B8F" w:rsidP="00D36FB8">
            <w:pPr>
              <w:ind w:right="555"/>
              <w:jc w:val="right"/>
              <w:rPr>
                <w:b/>
              </w:rPr>
            </w:pPr>
            <w:bookmarkStart w:id="680" w:name="_Toc294019791"/>
            <w:bookmarkStart w:id="681" w:name="_Toc294027115"/>
            <w:bookmarkStart w:id="682" w:name="_Toc294029354"/>
            <w:bookmarkStart w:id="683" w:name="_Toc313878845"/>
            <w:r w:rsidRPr="00DA20F5">
              <w:rPr>
                <w:b/>
              </w:rPr>
              <w:t xml:space="preserve">1 </w:t>
            </w:r>
            <w:bookmarkEnd w:id="680"/>
            <w:bookmarkEnd w:id="681"/>
            <w:bookmarkEnd w:id="682"/>
            <w:bookmarkEnd w:id="683"/>
            <w:r w:rsidRPr="00DA20F5">
              <w:rPr>
                <w:b/>
              </w:rPr>
              <w:t>078</w:t>
            </w:r>
          </w:p>
        </w:tc>
        <w:tc>
          <w:tcPr>
            <w:tcW w:w="1725" w:type="dxa"/>
            <w:noWrap/>
            <w:vAlign w:val="bottom"/>
          </w:tcPr>
          <w:p w:rsidR="00826B8F" w:rsidRPr="00DA20F5" w:rsidRDefault="00826B8F" w:rsidP="00D36FB8">
            <w:pPr>
              <w:ind w:right="555"/>
              <w:jc w:val="right"/>
              <w:rPr>
                <w:b/>
              </w:rPr>
            </w:pPr>
            <w:r w:rsidRPr="00DA20F5">
              <w:rPr>
                <w:b/>
              </w:rPr>
              <w:t>574,0</w:t>
            </w:r>
          </w:p>
        </w:tc>
      </w:tr>
    </w:tbl>
    <w:p w:rsidR="00826B8F" w:rsidRPr="00DA20F5" w:rsidRDefault="00E9467A" w:rsidP="00D36FB8">
      <w:pPr>
        <w:pStyle w:val="zdroj"/>
        <w:ind w:left="153"/>
      </w:pPr>
      <w:r w:rsidRPr="00DA20F5">
        <w:t xml:space="preserve">        </w:t>
      </w:r>
      <w:r w:rsidR="00826B8F" w:rsidRPr="00DA20F5">
        <w:t>Zdroj: Sociálna poisťovňa</w:t>
      </w:r>
    </w:p>
    <w:p w:rsidR="00826B8F" w:rsidRPr="00DA20F5" w:rsidRDefault="00826B8F" w:rsidP="00D36FB8">
      <w:pPr>
        <w:pStyle w:val="zdroj"/>
        <w:rPr>
          <w:color w:val="4F81BD" w:themeColor="accent1"/>
        </w:rPr>
      </w:pPr>
    </w:p>
    <w:p w:rsidR="00826B8F" w:rsidRPr="00DA20F5" w:rsidRDefault="00826B8F" w:rsidP="000B4550">
      <w:pPr>
        <w:pStyle w:val="Nadpis6"/>
      </w:pPr>
      <w:bookmarkStart w:id="684" w:name="_Toc326217013"/>
      <w:r w:rsidRPr="00DA20F5">
        <w:t>Poistenie v nezamestnanosti</w:t>
      </w:r>
      <w:bookmarkEnd w:id="684"/>
    </w:p>
    <w:p w:rsidR="00826B8F" w:rsidRPr="00DA20F5" w:rsidRDefault="00826B8F" w:rsidP="00D36FB8">
      <w:pPr>
        <w:pStyle w:val="Normlnysozarkami12"/>
        <w:ind w:firstLine="426"/>
        <w:rPr>
          <w:bCs/>
          <w:szCs w:val="22"/>
        </w:rPr>
      </w:pPr>
      <w:r w:rsidRPr="00DA20F5">
        <w:rPr>
          <w:bCs/>
          <w:szCs w:val="22"/>
        </w:rPr>
        <w:t>Poistenie v nezamestnanosti je poistením pre prípad straty príjmu z činnosti zamestnanca v dôsledku straty zamestnania a na zabezpečenie príjmu v dôsledku nezamestnanosti. Z poistenia v nezamestnanosti sa vypláca dávka v nezamestnanosti.</w:t>
      </w:r>
    </w:p>
    <w:p w:rsidR="00826B8F" w:rsidRPr="00DA20F5" w:rsidRDefault="00826B8F" w:rsidP="00D36FB8">
      <w:pPr>
        <w:pStyle w:val="Normlnysozarkami12"/>
        <w:ind w:firstLine="426"/>
      </w:pPr>
      <w:r w:rsidRPr="00DA20F5">
        <w:t>V roku 2011 predstavoval priemerný mesačný počet poberateľov dávky</w:t>
      </w:r>
      <w:r w:rsidRPr="00DA20F5">
        <w:rPr>
          <w:vertAlign w:val="superscript"/>
        </w:rPr>
        <w:footnoteReference w:id="17"/>
      </w:r>
      <w:r w:rsidRPr="00DA20F5">
        <w:t xml:space="preserve"> v nezamestnanosti 42 153 osôb, t. j. približne 2 % pokles oproti priemernému mesačnému počtu v roku 2010. Počet osôb, </w:t>
      </w:r>
      <w:r w:rsidRPr="00DA20F5">
        <w:lastRenderedPageBreak/>
        <w:t>ktoré v roku 2011 boli poberateľmi dávky v nezamestnanosti predstavuje 142 865, z čoho bolo 70</w:t>
      </w:r>
      <w:r w:rsidR="00B45797" w:rsidRPr="00DA20F5">
        <w:t> </w:t>
      </w:r>
      <w:r w:rsidRPr="00DA20F5">
        <w:t>798</w:t>
      </w:r>
      <w:r w:rsidR="00B45797" w:rsidRPr="00DA20F5">
        <w:t> </w:t>
      </w:r>
      <w:r w:rsidRPr="00DA20F5">
        <w:t>žien (49,6 %) a 72 067 mužov (50,4 %). Z hľadiska vekovej štruktúry bol najväčší podiel poberateľov dávky v nezamestnanosti vo vekovej skupine 30 - 34 ročných (najväčšia skupina mužov poberateľov dávky v nezamestnanosti bola vo veku 25 – 34 rokov a najväčšia skupina žien poberateľov dávky v nezamestnanosti bola vo veku 45-54 rokov).</w:t>
      </w:r>
    </w:p>
    <w:p w:rsidR="00826B8F" w:rsidRPr="00DA20F5" w:rsidRDefault="00826B8F" w:rsidP="00D36FB8">
      <w:pPr>
        <w:pStyle w:val="Normlnysozarkami12"/>
      </w:pPr>
      <w:r w:rsidRPr="00DA20F5">
        <w:t>Výdavky na dávky v nezamestnanosti v roku 2011 dosiahli v sumu 163,5 mil. €, t. j. 8,5 % nárast výdavkov oproti roku 2010. Priemerná mesačná výška dávky v roku 2011 bola 292 €, čo je o 11,9 % viac ako v roku 2010.</w:t>
      </w:r>
    </w:p>
    <w:p w:rsidR="0028665F" w:rsidRPr="00DA20F5" w:rsidRDefault="0028665F" w:rsidP="00D36FB8">
      <w:pPr>
        <w:pStyle w:val="Normlnysozarkami12"/>
      </w:pPr>
    </w:p>
    <w:p w:rsidR="00826B8F" w:rsidRPr="00DA20F5" w:rsidRDefault="00826B8F" w:rsidP="00D36FB8">
      <w:pPr>
        <w:pStyle w:val="nadpis2"/>
      </w:pPr>
      <w:bookmarkStart w:id="685" w:name="_Toc326217014"/>
      <w:r w:rsidRPr="00DA20F5">
        <w:t>Dôchodkové sporenie</w:t>
      </w:r>
      <w:bookmarkEnd w:id="685"/>
    </w:p>
    <w:p w:rsidR="00826B8F" w:rsidRPr="00DA20F5" w:rsidRDefault="00826B8F" w:rsidP="00D36FB8">
      <w:pPr>
        <w:ind w:firstLine="426"/>
      </w:pPr>
      <w:r w:rsidRPr="00DA20F5">
        <w:t>Dôchodkové sporenie v súčasnosti tvorí starobné dôchodkové sporenie a doplnkové dôchodkové sporenie:</w:t>
      </w:r>
    </w:p>
    <w:p w:rsidR="00826B8F" w:rsidRPr="00DA20F5" w:rsidRDefault="00826B8F" w:rsidP="00D36FB8"/>
    <w:p w:rsidR="00826B8F" w:rsidRPr="00DA20F5" w:rsidRDefault="00826B8F" w:rsidP="00D36FB8">
      <w:pPr>
        <w:ind w:left="360" w:hanging="360"/>
      </w:pPr>
      <w:r w:rsidRPr="00DA20F5">
        <w:rPr>
          <w:b/>
        </w:rPr>
        <w:t>II. pilier - starobné dôchodkové sporenie</w:t>
      </w:r>
      <w:r w:rsidRPr="00DA20F5">
        <w:t>, príspevkovo definované, financované prostredníctvom kapitalizácie, vykonávané dôchodkovými správcovskými spoločnosťami na základe zákona č</w:t>
      </w:r>
      <w:r w:rsidR="00B45797" w:rsidRPr="00DA20F5">
        <w:t>. </w:t>
      </w:r>
      <w:r w:rsidRPr="00DA20F5">
        <w:t>43/2004 Z. z. o starobnom dôchodkovom sporení a o zmene a doplnení niektorých zákonov v znení neskorších predpisov (ďalej len „zákon o starobnom dôchodkovom sporení“), ktorý nadobudol účinnosť 1. januára 2005.</w:t>
      </w:r>
    </w:p>
    <w:p w:rsidR="00826B8F" w:rsidRPr="00DA20F5" w:rsidRDefault="00826B8F" w:rsidP="00D36FB8">
      <w:pPr>
        <w:ind w:left="360" w:hanging="360"/>
      </w:pPr>
      <w:r w:rsidRPr="00DA20F5">
        <w:rPr>
          <w:b/>
        </w:rPr>
        <w:t>III. pilier - doplnkové dôchodkové sporenie</w:t>
      </w:r>
      <w:r w:rsidRPr="00DA20F5">
        <w:t>, príspevkovo definované, financované prostredníctvom kapitalizácie, vykonávané doplnkovými dôchodkovými spoločnosťami na základe zákona č</w:t>
      </w:r>
      <w:r w:rsidR="00B45797" w:rsidRPr="00DA20F5">
        <w:t>. </w:t>
      </w:r>
      <w:r w:rsidRPr="00DA20F5">
        <w:t>650/2004 Z. z. o doplnkovom dôchodkovom sporení a o zmene a doplnení niektorých zákonov v znení neskorších predpisov (ďalej len „zákon o doplnkovom dôchodkovom sporení“), ktorý nadobudol účinnosť 1. januára 2005.</w:t>
      </w:r>
      <w:bookmarkStart w:id="686" w:name="_Toc165882926"/>
    </w:p>
    <w:p w:rsidR="00826B8F" w:rsidRPr="00DA20F5" w:rsidRDefault="00826B8F" w:rsidP="000B4550">
      <w:pPr>
        <w:pStyle w:val="Nadpis6"/>
      </w:pPr>
      <w:bookmarkStart w:id="687" w:name="_Toc326217015"/>
      <w:r w:rsidRPr="00DA20F5">
        <w:t>Starobné dôchodkové sporenie</w:t>
      </w:r>
      <w:bookmarkEnd w:id="686"/>
      <w:bookmarkEnd w:id="687"/>
    </w:p>
    <w:p w:rsidR="00826B8F" w:rsidRPr="00DA20F5" w:rsidRDefault="00826B8F" w:rsidP="00D36FB8">
      <w:pPr>
        <w:ind w:firstLine="426"/>
      </w:pPr>
      <w:r w:rsidRPr="00DA20F5">
        <w:t>Cieľom zavedenia starobného dôchodkového sporenia, ktorý je súčasťou povinného dôchodkového systému bolo diverzifikovať riziká jednotlivých spôsobov financovania dôchodkových dávok, t. j. priebežného spôsobu financovania a kapitalizačného spôsobu financovania.</w:t>
      </w:r>
    </w:p>
    <w:p w:rsidR="00826B8F" w:rsidRPr="00DA20F5" w:rsidRDefault="00826B8F" w:rsidP="00D36FB8">
      <w:pPr>
        <w:ind w:firstLine="426"/>
      </w:pPr>
      <w:r w:rsidRPr="00DA20F5">
        <w:t>Starobné dôchodkové sporenie (II. pilier) je príspevkovo definované a financované z príspevkov na starobné dôchodkové sporenie (ďalej len „príspevky“) odvádzaných na osobné dôchodkové účty sporiteľov. V priebehu roka 2011 bol prijatý zákon č. 334/2011 Z. z., ktorým sa mení a dopĺňa zákon č. 43/2004 Z. z. o starobnom dôchodkovom sporení a o zmene a doplnení niektorých zákonov v znení neskorších predpisov a o zmene a doplnení zákona č. 461/2003 Z. z. o sociálnom poistení v znení neskorších predpisov s delenou účinnosťou (od 1.11.2011 a 1.4.2012) (ďalej len „zákon č. 334/2011 Z. z.“)</w:t>
      </w:r>
    </w:p>
    <w:p w:rsidR="00826B8F" w:rsidRPr="00DA20F5" w:rsidRDefault="00826B8F" w:rsidP="00D36FB8">
      <w:pPr>
        <w:ind w:firstLine="357"/>
        <w:rPr>
          <w:color w:val="4F81BD" w:themeColor="accent1"/>
        </w:rPr>
      </w:pPr>
    </w:p>
    <w:p w:rsidR="00826B8F" w:rsidRPr="00DA20F5" w:rsidRDefault="00826B8F" w:rsidP="00D36FB8">
      <w:pPr>
        <w:jc w:val="left"/>
        <w:rPr>
          <w:b/>
        </w:rPr>
      </w:pPr>
      <w:r w:rsidRPr="00DA20F5">
        <w:rPr>
          <w:b/>
        </w:rPr>
        <w:t>Podstatné zmeny zákona č. 334/2011 Z. z. účinné od 1.11.2011 boli nasledovné:</w:t>
      </w:r>
    </w:p>
    <w:p w:rsidR="00826B8F" w:rsidRPr="00DA20F5" w:rsidRDefault="00826B8F" w:rsidP="00D36FB8">
      <w:pPr>
        <w:shd w:val="clear" w:color="auto" w:fill="FFFFFF"/>
        <w:ind w:firstLine="426"/>
      </w:pPr>
      <w:r w:rsidRPr="00DA20F5">
        <w:t>Dôchodková správcovská spoločnosť</w:t>
      </w:r>
      <w:r w:rsidR="00F22F50" w:rsidRPr="00DA20F5">
        <w:t xml:space="preserve"> (DSS)</w:t>
      </w:r>
      <w:r w:rsidRPr="00DA20F5">
        <w:t xml:space="preserve"> je povinná bezplatne poskytnúť raz ročne sporiteľovi písomné vysvetlenie k výpisu z osobného dôchodkového účtu, ak oň sporiteľ požiada. </w:t>
      </w:r>
    </w:p>
    <w:p w:rsidR="00826B8F" w:rsidRPr="00DA20F5" w:rsidRDefault="00826B8F" w:rsidP="00D36FB8">
      <w:pPr>
        <w:shd w:val="clear" w:color="auto" w:fill="FFFFFF"/>
        <w:ind w:firstLine="426"/>
      </w:pPr>
      <w:r w:rsidRPr="00DA20F5">
        <w:t>Ďalšou zmenou, ktorú priniesol zákon č. 334/2011 Z. z., sa skrátilo obdobie potrebné na získanie starobného dôchodku z II. piliera z 15 rokov na 10 rokov sporenia.</w:t>
      </w:r>
    </w:p>
    <w:p w:rsidR="00826B8F" w:rsidRPr="00DA20F5" w:rsidRDefault="00826B8F" w:rsidP="00D36FB8">
      <w:pPr>
        <w:shd w:val="clear" w:color="auto" w:fill="FFFFFF"/>
        <w:ind w:firstLine="426"/>
      </w:pPr>
      <w:r w:rsidRPr="00DA20F5">
        <w:t>Dôchodková správcovská spoločnosť bola povinná do 15. januára 2012 zaslať sporiteľovi v inom ako konzervatívnom dôchodkovom fonde písomné oznámenie o zrušení povinnosti dopĺňať majetok podľa § 63d vo vyváženom dôchodkovom fonde a v rastovom dôchodkovom fonde, ako aj o zmene názvov týchto fondov od 1. apríla 2012 s poučením, že ak má sporiteľ záujem na zachovaní povinnosti dôchodkovej správcovskej spoločnosti dopĺňať majetok do dôchodkového fondu v prípade poklesu hodnoty dôchodkovej jednotky v starobnom dôchodk</w:t>
      </w:r>
      <w:r w:rsidR="00B45797" w:rsidRPr="00DA20F5">
        <w:t>ovom sporení, môže prestúpiť do </w:t>
      </w:r>
      <w:r w:rsidRPr="00DA20F5">
        <w:t>konzervatívneho dôchodkového fondu; súčasťou listovej zásielky tohto oznámenia musela byť aj návratka na prestup sporiteľa do konzervatívneho dôchodkového fondu. Dôchodková správcovská spoločnosť bola povinná do 15. januára 2012 zaslať sporiteľovi písomné oznámenie obsahujúce informáciu o základných zmenách podľa tohto zákona.</w:t>
      </w:r>
    </w:p>
    <w:p w:rsidR="00826B8F" w:rsidRPr="00DA20F5" w:rsidRDefault="00826B8F" w:rsidP="00D36FB8"/>
    <w:p w:rsidR="00826B8F" w:rsidRPr="00DA20F5" w:rsidRDefault="00826B8F" w:rsidP="00D36FB8">
      <w:pPr>
        <w:ind w:firstLine="426"/>
      </w:pPr>
      <w:r w:rsidRPr="00DA20F5">
        <w:lastRenderedPageBreak/>
        <w:t>K 31. decembru 2011 pôsobilo na trhu starobného dôchodkového sporenia 6 dôchodkových správcovských spoločností, ktoré spravovali celkom 18 dôchodkových fondov.</w:t>
      </w:r>
    </w:p>
    <w:p w:rsidR="00826B8F" w:rsidRPr="00DA20F5" w:rsidRDefault="00826B8F" w:rsidP="00DB509D">
      <w:pPr>
        <w:pStyle w:val="Odsekzoznamu"/>
        <w:numPr>
          <w:ilvl w:val="0"/>
          <w:numId w:val="19"/>
        </w:numPr>
        <w:ind w:firstLine="426"/>
        <w:contextualSpacing/>
      </w:pPr>
      <w:r w:rsidRPr="00DA20F5">
        <w:t>Aegon, d.s.s., a.s., Bratislava,</w:t>
      </w:r>
    </w:p>
    <w:p w:rsidR="00826B8F" w:rsidRPr="00DA20F5" w:rsidRDefault="00826B8F" w:rsidP="00DB509D">
      <w:pPr>
        <w:pStyle w:val="Odsekzoznamu"/>
        <w:numPr>
          <w:ilvl w:val="0"/>
          <w:numId w:val="19"/>
        </w:numPr>
        <w:ind w:firstLine="426"/>
        <w:contextualSpacing/>
      </w:pPr>
      <w:r w:rsidRPr="00DA20F5">
        <w:t>Allianz – Slovenská dôchodková správcovská spoločnosť, a.s., Bratislava,</w:t>
      </w:r>
    </w:p>
    <w:p w:rsidR="00826B8F" w:rsidRPr="00DA20F5" w:rsidRDefault="00826B8F" w:rsidP="00DB509D">
      <w:pPr>
        <w:pStyle w:val="Odsekzoznamu"/>
        <w:numPr>
          <w:ilvl w:val="0"/>
          <w:numId w:val="19"/>
        </w:numPr>
        <w:ind w:firstLine="426"/>
        <w:contextualSpacing/>
      </w:pPr>
      <w:r w:rsidRPr="00DA20F5">
        <w:t>Axa d.s.s., a.s., Bratislava,</w:t>
      </w:r>
    </w:p>
    <w:p w:rsidR="00826B8F" w:rsidRPr="00DA20F5" w:rsidRDefault="00826B8F" w:rsidP="00DB509D">
      <w:pPr>
        <w:pStyle w:val="Odsekzoznamu"/>
        <w:numPr>
          <w:ilvl w:val="0"/>
          <w:numId w:val="19"/>
        </w:numPr>
        <w:ind w:left="1701" w:hanging="555"/>
        <w:contextualSpacing/>
      </w:pPr>
      <w:r w:rsidRPr="00DA20F5">
        <w:t>Dôchodková správcovská spoločnosť Poštovej banky, a.s., Bratislava (v priebehu roka 2011 došlo k zmene vlastníka aj k zmene názvu, právny predchodca bola ČSOB, d.s.s., a.s.),</w:t>
      </w:r>
    </w:p>
    <w:p w:rsidR="00826B8F" w:rsidRPr="00DA20F5" w:rsidRDefault="00826B8F" w:rsidP="00DB509D">
      <w:pPr>
        <w:pStyle w:val="Odsekzoznamu"/>
        <w:numPr>
          <w:ilvl w:val="0"/>
          <w:numId w:val="19"/>
        </w:numPr>
        <w:ind w:firstLine="426"/>
        <w:contextualSpacing/>
      </w:pPr>
      <w:r w:rsidRPr="00DA20F5">
        <w:t>ING dôchodková správcovská spoločnosť, a.s., Bratislava,</w:t>
      </w:r>
    </w:p>
    <w:p w:rsidR="00826B8F" w:rsidRPr="00DA20F5" w:rsidRDefault="00826B8F" w:rsidP="00DB509D">
      <w:pPr>
        <w:pStyle w:val="Odsekzoznamu"/>
        <w:numPr>
          <w:ilvl w:val="0"/>
          <w:numId w:val="19"/>
        </w:numPr>
        <w:ind w:firstLine="426"/>
        <w:contextualSpacing/>
      </w:pPr>
      <w:r w:rsidRPr="00DA20F5">
        <w:t>VÚB Generali, d.s.s., a.s., Bratislava.</w:t>
      </w:r>
    </w:p>
    <w:p w:rsidR="00826B8F" w:rsidRPr="00DA20F5" w:rsidRDefault="00826B8F" w:rsidP="00D36FB8">
      <w:pPr>
        <w:ind w:left="360" w:firstLine="426"/>
      </w:pPr>
    </w:p>
    <w:p w:rsidR="00826B8F" w:rsidRPr="00DA20F5" w:rsidRDefault="00826B8F" w:rsidP="00D36FB8">
      <w:pPr>
        <w:ind w:firstLine="426"/>
      </w:pPr>
      <w:r w:rsidRPr="00DA20F5">
        <w:t>Nasledujúce tabuľky ukazujú čistú hodnotu majetku spravovaného jednotlivými dôchodkovými správcovskými spoločnosťami podľa druhu fondu a rozdelenie sporiteľov podľa fondov a dôchodkových správcovských spoločností.</w:t>
      </w:r>
    </w:p>
    <w:p w:rsidR="00826B8F" w:rsidRPr="00DA20F5" w:rsidRDefault="00826B8F" w:rsidP="00D36FB8">
      <w:pPr>
        <w:pStyle w:val="Nadpis7"/>
        <w:rPr>
          <w:lang w:eastAsia="cs-CZ"/>
        </w:rPr>
      </w:pPr>
      <w:bookmarkStart w:id="688" w:name="_Toc313878850"/>
      <w:bookmarkStart w:id="689" w:name="_Toc294029359"/>
      <w:bookmarkStart w:id="690" w:name="_Toc294027120"/>
      <w:bookmarkStart w:id="691" w:name="_Toc325438173"/>
      <w:bookmarkStart w:id="692" w:name="_Toc325440942"/>
      <w:bookmarkStart w:id="693" w:name="_Toc325626755"/>
      <w:bookmarkStart w:id="694" w:name="_Toc326217016"/>
      <w:r w:rsidRPr="00DA20F5">
        <w:rPr>
          <w:lang w:eastAsia="cs-CZ"/>
        </w:rPr>
        <w:t>Tab. 3.5</w:t>
      </w:r>
      <w:r w:rsidR="00AC5AAB" w:rsidRPr="00DA20F5">
        <w:rPr>
          <w:lang w:eastAsia="cs-CZ"/>
        </w:rPr>
        <w:t xml:space="preserve"> </w:t>
      </w:r>
      <w:r w:rsidRPr="00DA20F5">
        <w:rPr>
          <w:lang w:eastAsia="cs-CZ"/>
        </w:rPr>
        <w:t>Rozdelenie majetku v dôchodkových fondoch k 31.12.201</w:t>
      </w:r>
      <w:bookmarkEnd w:id="688"/>
      <w:bookmarkEnd w:id="689"/>
      <w:bookmarkEnd w:id="690"/>
      <w:r w:rsidRPr="00DA20F5">
        <w:rPr>
          <w:lang w:eastAsia="cs-CZ"/>
        </w:rPr>
        <w:t>1</w:t>
      </w:r>
      <w:bookmarkEnd w:id="691"/>
      <w:bookmarkEnd w:id="692"/>
      <w:bookmarkEnd w:id="693"/>
      <w:bookmarkEnd w:id="694"/>
    </w:p>
    <w:tbl>
      <w:tblPr>
        <w:tblW w:w="9400" w:type="dxa"/>
        <w:jc w:val="center"/>
        <w:tblInd w:w="-18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A0" w:firstRow="1" w:lastRow="0" w:firstColumn="1" w:lastColumn="0" w:noHBand="0" w:noVBand="0"/>
      </w:tblPr>
      <w:tblGrid>
        <w:gridCol w:w="2865"/>
        <w:gridCol w:w="1411"/>
        <w:gridCol w:w="1219"/>
        <w:gridCol w:w="1276"/>
        <w:gridCol w:w="1134"/>
        <w:gridCol w:w="1495"/>
      </w:tblGrid>
      <w:tr w:rsidR="00B61DB1" w:rsidRPr="00DA20F5" w:rsidTr="006F40D2">
        <w:trPr>
          <w:trHeight w:val="300"/>
          <w:jc w:val="center"/>
        </w:trPr>
        <w:tc>
          <w:tcPr>
            <w:tcW w:w="2865"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695" w:name="_Toc294019796"/>
            <w:bookmarkStart w:id="696" w:name="_Toc294027121"/>
            <w:bookmarkStart w:id="697" w:name="_Toc294029360"/>
            <w:bookmarkStart w:id="698" w:name="_Toc313878851"/>
            <w:r w:rsidRPr="00DA20F5">
              <w:rPr>
                <w:b/>
                <w:color w:val="FFFFFF" w:themeColor="background1"/>
                <w:sz w:val="20"/>
                <w:lang w:eastAsia="cs-CZ"/>
              </w:rPr>
              <w:t>Dôchodková správcovská spoločnosť</w:t>
            </w:r>
            <w:bookmarkEnd w:id="695"/>
            <w:bookmarkEnd w:id="696"/>
            <w:bookmarkEnd w:id="697"/>
            <w:bookmarkEnd w:id="698"/>
          </w:p>
        </w:tc>
        <w:tc>
          <w:tcPr>
            <w:tcW w:w="1411"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699" w:name="_Toc294019797"/>
            <w:bookmarkStart w:id="700" w:name="_Toc294027122"/>
            <w:bookmarkStart w:id="701" w:name="_Toc294029361"/>
            <w:bookmarkStart w:id="702" w:name="_Toc313878852"/>
            <w:r w:rsidRPr="00DA20F5">
              <w:rPr>
                <w:b/>
                <w:color w:val="FFFFFF" w:themeColor="background1"/>
                <w:sz w:val="20"/>
                <w:lang w:eastAsia="cs-CZ"/>
              </w:rPr>
              <w:t>konzervatívny dôchodkový fond</w:t>
            </w:r>
            <w:bookmarkEnd w:id="699"/>
            <w:bookmarkEnd w:id="700"/>
            <w:bookmarkEnd w:id="701"/>
            <w:bookmarkEnd w:id="702"/>
          </w:p>
        </w:tc>
        <w:tc>
          <w:tcPr>
            <w:tcW w:w="1219"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703" w:name="_Toc294019798"/>
            <w:bookmarkStart w:id="704" w:name="_Toc294027123"/>
            <w:bookmarkStart w:id="705" w:name="_Toc294029362"/>
            <w:bookmarkStart w:id="706" w:name="_Toc313878853"/>
            <w:r w:rsidRPr="00DA20F5">
              <w:rPr>
                <w:b/>
                <w:color w:val="FFFFFF" w:themeColor="background1"/>
                <w:sz w:val="20"/>
                <w:lang w:eastAsia="cs-CZ"/>
              </w:rPr>
              <w:t>vyvážený dôchodkový fond</w:t>
            </w:r>
            <w:bookmarkEnd w:id="703"/>
            <w:bookmarkEnd w:id="704"/>
            <w:bookmarkEnd w:id="705"/>
            <w:bookmarkEnd w:id="706"/>
          </w:p>
        </w:tc>
        <w:tc>
          <w:tcPr>
            <w:tcW w:w="1276"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707" w:name="_Toc294019799"/>
            <w:bookmarkStart w:id="708" w:name="_Toc294027124"/>
            <w:bookmarkStart w:id="709" w:name="_Toc294029363"/>
            <w:bookmarkStart w:id="710" w:name="_Toc313878854"/>
            <w:r w:rsidRPr="00DA20F5">
              <w:rPr>
                <w:b/>
                <w:color w:val="FFFFFF" w:themeColor="background1"/>
                <w:sz w:val="20"/>
                <w:lang w:eastAsia="cs-CZ"/>
              </w:rPr>
              <w:t>rastový dôchodkový fond</w:t>
            </w:r>
            <w:bookmarkEnd w:id="707"/>
            <w:bookmarkEnd w:id="708"/>
            <w:bookmarkEnd w:id="709"/>
            <w:bookmarkEnd w:id="710"/>
          </w:p>
        </w:tc>
        <w:tc>
          <w:tcPr>
            <w:tcW w:w="1134"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711" w:name="_Toc294019800"/>
            <w:bookmarkStart w:id="712" w:name="_Toc294027125"/>
            <w:bookmarkStart w:id="713" w:name="_Toc294029364"/>
            <w:bookmarkStart w:id="714" w:name="_Toc313878855"/>
            <w:r w:rsidRPr="00DA20F5">
              <w:rPr>
                <w:b/>
                <w:color w:val="FFFFFF" w:themeColor="background1"/>
                <w:sz w:val="20"/>
                <w:lang w:eastAsia="cs-CZ"/>
              </w:rPr>
              <w:t>Spolu k 31.12.201</w:t>
            </w:r>
            <w:bookmarkEnd w:id="711"/>
            <w:bookmarkEnd w:id="712"/>
            <w:bookmarkEnd w:id="713"/>
            <w:bookmarkEnd w:id="714"/>
            <w:r w:rsidRPr="00DA20F5">
              <w:rPr>
                <w:b/>
                <w:color w:val="FFFFFF" w:themeColor="background1"/>
                <w:sz w:val="20"/>
                <w:lang w:eastAsia="cs-CZ"/>
              </w:rPr>
              <w:t>1</w:t>
            </w:r>
          </w:p>
        </w:tc>
        <w:tc>
          <w:tcPr>
            <w:tcW w:w="1495"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715" w:name="_Toc294019801"/>
            <w:bookmarkStart w:id="716" w:name="_Toc294027126"/>
            <w:bookmarkStart w:id="717" w:name="_Toc294029365"/>
            <w:bookmarkStart w:id="718" w:name="_Toc313878856"/>
            <w:r w:rsidRPr="00DA20F5">
              <w:rPr>
                <w:b/>
                <w:color w:val="FFFFFF" w:themeColor="background1"/>
                <w:sz w:val="20"/>
                <w:lang w:eastAsia="cs-CZ"/>
              </w:rPr>
              <w:t>Percentuálny podiel majetku</w:t>
            </w:r>
            <w:bookmarkEnd w:id="715"/>
            <w:bookmarkEnd w:id="716"/>
            <w:bookmarkEnd w:id="717"/>
            <w:bookmarkEnd w:id="718"/>
          </w:p>
        </w:tc>
      </w:tr>
      <w:tr w:rsidR="00B61DB1" w:rsidRPr="00DA20F5" w:rsidTr="006F40D2">
        <w:trPr>
          <w:trHeight w:val="300"/>
          <w:jc w:val="center"/>
        </w:trPr>
        <w:tc>
          <w:tcPr>
            <w:tcW w:w="2865" w:type="dxa"/>
            <w:noWrap/>
            <w:vAlign w:val="center"/>
          </w:tcPr>
          <w:p w:rsidR="00826B8F" w:rsidRPr="00DA20F5" w:rsidRDefault="00826B8F" w:rsidP="00D36FB8">
            <w:pPr>
              <w:rPr>
                <w:sz w:val="20"/>
              </w:rPr>
            </w:pPr>
            <w:bookmarkStart w:id="719" w:name="_Toc294019802"/>
            <w:bookmarkStart w:id="720" w:name="_Toc294027127"/>
            <w:bookmarkStart w:id="721" w:name="_Toc294029366"/>
            <w:bookmarkStart w:id="722" w:name="_Toc313878857"/>
            <w:r w:rsidRPr="00DA20F5">
              <w:rPr>
                <w:sz w:val="20"/>
              </w:rPr>
              <w:t>AEGON, d.s.s., a.s.</w:t>
            </w:r>
            <w:bookmarkEnd w:id="719"/>
            <w:bookmarkEnd w:id="720"/>
            <w:bookmarkEnd w:id="721"/>
            <w:bookmarkEnd w:id="722"/>
          </w:p>
        </w:tc>
        <w:tc>
          <w:tcPr>
            <w:tcW w:w="1411" w:type="dxa"/>
            <w:noWrap/>
            <w:vAlign w:val="center"/>
          </w:tcPr>
          <w:p w:rsidR="00826B8F" w:rsidRPr="00DA20F5" w:rsidRDefault="00826B8F" w:rsidP="00D36FB8">
            <w:pPr>
              <w:ind w:right="355"/>
              <w:jc w:val="right"/>
              <w:rPr>
                <w:sz w:val="20"/>
                <w:szCs w:val="20"/>
              </w:rPr>
            </w:pPr>
            <w:r w:rsidRPr="00DA20F5">
              <w:rPr>
                <w:sz w:val="20"/>
                <w:szCs w:val="20"/>
              </w:rPr>
              <w:t>24,93</w:t>
            </w:r>
          </w:p>
        </w:tc>
        <w:tc>
          <w:tcPr>
            <w:tcW w:w="1219" w:type="dxa"/>
            <w:noWrap/>
            <w:vAlign w:val="center"/>
          </w:tcPr>
          <w:p w:rsidR="00826B8F" w:rsidRPr="00DA20F5" w:rsidRDefault="00826B8F" w:rsidP="00D36FB8">
            <w:pPr>
              <w:ind w:right="355"/>
              <w:jc w:val="right"/>
              <w:rPr>
                <w:sz w:val="20"/>
                <w:szCs w:val="20"/>
              </w:rPr>
            </w:pPr>
            <w:r w:rsidRPr="00DA20F5">
              <w:rPr>
                <w:sz w:val="20"/>
                <w:szCs w:val="20"/>
              </w:rPr>
              <w:t>119,89</w:t>
            </w:r>
          </w:p>
        </w:tc>
        <w:tc>
          <w:tcPr>
            <w:tcW w:w="1276" w:type="dxa"/>
            <w:noWrap/>
          </w:tcPr>
          <w:p w:rsidR="00826B8F" w:rsidRPr="00DA20F5" w:rsidRDefault="00826B8F" w:rsidP="00D36FB8">
            <w:pPr>
              <w:ind w:right="355"/>
              <w:jc w:val="right"/>
              <w:rPr>
                <w:sz w:val="20"/>
                <w:szCs w:val="20"/>
              </w:rPr>
            </w:pPr>
            <w:r w:rsidRPr="00DA20F5">
              <w:rPr>
                <w:sz w:val="20"/>
                <w:szCs w:val="20"/>
              </w:rPr>
              <w:t>323,17</w:t>
            </w:r>
          </w:p>
        </w:tc>
        <w:tc>
          <w:tcPr>
            <w:tcW w:w="1134" w:type="dxa"/>
            <w:noWrap/>
          </w:tcPr>
          <w:p w:rsidR="00826B8F" w:rsidRPr="00DA20F5" w:rsidRDefault="00826B8F" w:rsidP="00D36FB8">
            <w:pPr>
              <w:ind w:right="157"/>
              <w:jc w:val="right"/>
              <w:rPr>
                <w:sz w:val="20"/>
                <w:szCs w:val="20"/>
              </w:rPr>
            </w:pPr>
            <w:r w:rsidRPr="00DA20F5">
              <w:rPr>
                <w:sz w:val="20"/>
                <w:szCs w:val="20"/>
              </w:rPr>
              <w:t>467,99</w:t>
            </w:r>
          </w:p>
        </w:tc>
        <w:tc>
          <w:tcPr>
            <w:tcW w:w="1495" w:type="dxa"/>
            <w:noWrap/>
          </w:tcPr>
          <w:p w:rsidR="00826B8F" w:rsidRPr="00DA20F5" w:rsidRDefault="00826B8F" w:rsidP="00D36FB8">
            <w:pPr>
              <w:ind w:right="355"/>
              <w:jc w:val="right"/>
              <w:rPr>
                <w:sz w:val="20"/>
                <w:szCs w:val="20"/>
              </w:rPr>
            </w:pPr>
            <w:r w:rsidRPr="00DA20F5">
              <w:rPr>
                <w:sz w:val="20"/>
                <w:szCs w:val="20"/>
              </w:rPr>
              <w:t>10,19 %</w:t>
            </w:r>
          </w:p>
        </w:tc>
      </w:tr>
      <w:tr w:rsidR="00B61DB1" w:rsidRPr="00DA20F5" w:rsidTr="006F40D2">
        <w:trPr>
          <w:trHeight w:val="300"/>
          <w:jc w:val="center"/>
        </w:trPr>
        <w:tc>
          <w:tcPr>
            <w:tcW w:w="2865" w:type="dxa"/>
            <w:noWrap/>
            <w:vAlign w:val="center"/>
          </w:tcPr>
          <w:p w:rsidR="00826B8F" w:rsidRPr="00DA20F5" w:rsidRDefault="00826B8F" w:rsidP="00D36FB8">
            <w:pPr>
              <w:rPr>
                <w:sz w:val="20"/>
              </w:rPr>
            </w:pPr>
            <w:bookmarkStart w:id="723" w:name="_Toc294019808"/>
            <w:bookmarkStart w:id="724" w:name="_Toc294027133"/>
            <w:bookmarkStart w:id="725" w:name="_Toc294029372"/>
            <w:bookmarkStart w:id="726" w:name="_Toc313878863"/>
            <w:r w:rsidRPr="00DA20F5">
              <w:rPr>
                <w:sz w:val="20"/>
              </w:rPr>
              <w:t>Allianz - Slovenská d.s.s., a.s.</w:t>
            </w:r>
            <w:bookmarkEnd w:id="723"/>
            <w:bookmarkEnd w:id="724"/>
            <w:bookmarkEnd w:id="725"/>
            <w:bookmarkEnd w:id="726"/>
          </w:p>
        </w:tc>
        <w:tc>
          <w:tcPr>
            <w:tcW w:w="1411" w:type="dxa"/>
            <w:noWrap/>
            <w:vAlign w:val="center"/>
          </w:tcPr>
          <w:p w:rsidR="00826B8F" w:rsidRPr="00DA20F5" w:rsidRDefault="00826B8F" w:rsidP="00D36FB8">
            <w:pPr>
              <w:ind w:right="355"/>
              <w:jc w:val="right"/>
              <w:rPr>
                <w:sz w:val="20"/>
                <w:szCs w:val="20"/>
              </w:rPr>
            </w:pPr>
            <w:r w:rsidRPr="00DA20F5">
              <w:rPr>
                <w:sz w:val="20"/>
                <w:szCs w:val="20"/>
              </w:rPr>
              <w:t>72,89</w:t>
            </w:r>
          </w:p>
        </w:tc>
        <w:tc>
          <w:tcPr>
            <w:tcW w:w="1219" w:type="dxa"/>
            <w:noWrap/>
            <w:vAlign w:val="center"/>
          </w:tcPr>
          <w:p w:rsidR="00826B8F" w:rsidRPr="00DA20F5" w:rsidRDefault="00826B8F" w:rsidP="00D36FB8">
            <w:pPr>
              <w:ind w:right="355"/>
              <w:jc w:val="right"/>
              <w:rPr>
                <w:sz w:val="20"/>
                <w:szCs w:val="20"/>
              </w:rPr>
            </w:pPr>
            <w:r w:rsidRPr="00DA20F5">
              <w:rPr>
                <w:sz w:val="20"/>
                <w:szCs w:val="20"/>
              </w:rPr>
              <w:t>473,21</w:t>
            </w:r>
          </w:p>
        </w:tc>
        <w:tc>
          <w:tcPr>
            <w:tcW w:w="1276" w:type="dxa"/>
            <w:noWrap/>
          </w:tcPr>
          <w:p w:rsidR="00826B8F" w:rsidRPr="00DA20F5" w:rsidRDefault="00826B8F" w:rsidP="00D36FB8">
            <w:pPr>
              <w:ind w:right="355"/>
              <w:jc w:val="right"/>
              <w:rPr>
                <w:sz w:val="20"/>
                <w:szCs w:val="20"/>
              </w:rPr>
            </w:pPr>
            <w:r w:rsidRPr="00DA20F5">
              <w:rPr>
                <w:sz w:val="20"/>
                <w:szCs w:val="20"/>
              </w:rPr>
              <w:t>918,42</w:t>
            </w:r>
          </w:p>
        </w:tc>
        <w:tc>
          <w:tcPr>
            <w:tcW w:w="1134" w:type="dxa"/>
            <w:noWrap/>
          </w:tcPr>
          <w:p w:rsidR="00826B8F" w:rsidRPr="00DA20F5" w:rsidRDefault="00826B8F" w:rsidP="00D36FB8">
            <w:pPr>
              <w:ind w:right="157"/>
              <w:jc w:val="right"/>
              <w:rPr>
                <w:sz w:val="20"/>
                <w:szCs w:val="20"/>
              </w:rPr>
            </w:pPr>
            <w:r w:rsidRPr="00DA20F5">
              <w:rPr>
                <w:sz w:val="20"/>
                <w:szCs w:val="20"/>
              </w:rPr>
              <w:t>1 464,52</w:t>
            </w:r>
          </w:p>
        </w:tc>
        <w:tc>
          <w:tcPr>
            <w:tcW w:w="1495" w:type="dxa"/>
            <w:noWrap/>
          </w:tcPr>
          <w:p w:rsidR="00826B8F" w:rsidRPr="00DA20F5" w:rsidRDefault="00826B8F" w:rsidP="00D36FB8">
            <w:pPr>
              <w:ind w:right="355"/>
              <w:jc w:val="right"/>
              <w:rPr>
                <w:sz w:val="20"/>
                <w:szCs w:val="20"/>
              </w:rPr>
            </w:pPr>
            <w:r w:rsidRPr="00DA20F5">
              <w:rPr>
                <w:sz w:val="20"/>
                <w:szCs w:val="20"/>
              </w:rPr>
              <w:t>31,90 %</w:t>
            </w:r>
          </w:p>
        </w:tc>
      </w:tr>
      <w:tr w:rsidR="00B61DB1" w:rsidRPr="00DA20F5" w:rsidTr="006F40D2">
        <w:trPr>
          <w:trHeight w:val="300"/>
          <w:jc w:val="center"/>
        </w:trPr>
        <w:tc>
          <w:tcPr>
            <w:tcW w:w="2865" w:type="dxa"/>
            <w:noWrap/>
            <w:vAlign w:val="center"/>
          </w:tcPr>
          <w:p w:rsidR="00826B8F" w:rsidRPr="00DA20F5" w:rsidRDefault="00826B8F" w:rsidP="00D36FB8">
            <w:pPr>
              <w:rPr>
                <w:sz w:val="20"/>
              </w:rPr>
            </w:pPr>
            <w:bookmarkStart w:id="727" w:name="_Toc294019814"/>
            <w:bookmarkStart w:id="728" w:name="_Toc294027139"/>
            <w:bookmarkStart w:id="729" w:name="_Toc294029378"/>
            <w:bookmarkStart w:id="730" w:name="_Toc313878869"/>
            <w:r w:rsidRPr="00DA20F5">
              <w:rPr>
                <w:sz w:val="20"/>
              </w:rPr>
              <w:t>AXA d.s.s., a.s.</w:t>
            </w:r>
            <w:bookmarkEnd w:id="727"/>
            <w:bookmarkEnd w:id="728"/>
            <w:bookmarkEnd w:id="729"/>
            <w:bookmarkEnd w:id="730"/>
          </w:p>
        </w:tc>
        <w:tc>
          <w:tcPr>
            <w:tcW w:w="1411" w:type="dxa"/>
            <w:noWrap/>
            <w:vAlign w:val="center"/>
          </w:tcPr>
          <w:p w:rsidR="00826B8F" w:rsidRPr="00DA20F5" w:rsidRDefault="00826B8F" w:rsidP="00D36FB8">
            <w:pPr>
              <w:ind w:right="355"/>
              <w:jc w:val="right"/>
              <w:rPr>
                <w:sz w:val="20"/>
                <w:szCs w:val="20"/>
              </w:rPr>
            </w:pPr>
            <w:r w:rsidRPr="00DA20F5">
              <w:rPr>
                <w:sz w:val="20"/>
                <w:szCs w:val="20"/>
              </w:rPr>
              <w:t>48,81</w:t>
            </w:r>
          </w:p>
        </w:tc>
        <w:tc>
          <w:tcPr>
            <w:tcW w:w="1219" w:type="dxa"/>
            <w:noWrap/>
            <w:vAlign w:val="center"/>
          </w:tcPr>
          <w:p w:rsidR="00826B8F" w:rsidRPr="00DA20F5" w:rsidRDefault="00826B8F" w:rsidP="00D36FB8">
            <w:pPr>
              <w:ind w:right="355"/>
              <w:jc w:val="right"/>
              <w:rPr>
                <w:sz w:val="20"/>
                <w:szCs w:val="20"/>
              </w:rPr>
            </w:pPr>
            <w:r w:rsidRPr="00DA20F5">
              <w:rPr>
                <w:sz w:val="20"/>
                <w:szCs w:val="20"/>
              </w:rPr>
              <w:t>326,01</w:t>
            </w:r>
          </w:p>
        </w:tc>
        <w:tc>
          <w:tcPr>
            <w:tcW w:w="1276" w:type="dxa"/>
            <w:noWrap/>
          </w:tcPr>
          <w:p w:rsidR="00826B8F" w:rsidRPr="00DA20F5" w:rsidRDefault="00826B8F" w:rsidP="00D36FB8">
            <w:pPr>
              <w:ind w:right="355"/>
              <w:jc w:val="right"/>
              <w:rPr>
                <w:sz w:val="20"/>
                <w:szCs w:val="20"/>
              </w:rPr>
            </w:pPr>
            <w:r w:rsidRPr="00DA20F5">
              <w:rPr>
                <w:sz w:val="20"/>
                <w:szCs w:val="20"/>
              </w:rPr>
              <w:t>858,43</w:t>
            </w:r>
          </w:p>
        </w:tc>
        <w:tc>
          <w:tcPr>
            <w:tcW w:w="1134" w:type="dxa"/>
            <w:noWrap/>
          </w:tcPr>
          <w:p w:rsidR="00826B8F" w:rsidRPr="00DA20F5" w:rsidRDefault="00826B8F" w:rsidP="00D36FB8">
            <w:pPr>
              <w:ind w:right="157"/>
              <w:jc w:val="right"/>
              <w:rPr>
                <w:sz w:val="20"/>
                <w:szCs w:val="20"/>
              </w:rPr>
            </w:pPr>
            <w:r w:rsidRPr="00DA20F5">
              <w:rPr>
                <w:sz w:val="20"/>
                <w:szCs w:val="20"/>
              </w:rPr>
              <w:t>1 233,25</w:t>
            </w:r>
          </w:p>
        </w:tc>
        <w:tc>
          <w:tcPr>
            <w:tcW w:w="1495" w:type="dxa"/>
            <w:noWrap/>
          </w:tcPr>
          <w:p w:rsidR="00826B8F" w:rsidRPr="00DA20F5" w:rsidRDefault="00826B8F" w:rsidP="00D36FB8">
            <w:pPr>
              <w:ind w:right="355"/>
              <w:jc w:val="right"/>
              <w:rPr>
                <w:sz w:val="20"/>
                <w:szCs w:val="20"/>
              </w:rPr>
            </w:pPr>
            <w:r w:rsidRPr="00DA20F5">
              <w:rPr>
                <w:sz w:val="20"/>
                <w:szCs w:val="20"/>
              </w:rPr>
              <w:t>26,86 %</w:t>
            </w:r>
          </w:p>
        </w:tc>
      </w:tr>
      <w:tr w:rsidR="00B61DB1" w:rsidRPr="00DA20F5" w:rsidTr="006F40D2">
        <w:trPr>
          <w:trHeight w:val="300"/>
          <w:jc w:val="center"/>
        </w:trPr>
        <w:tc>
          <w:tcPr>
            <w:tcW w:w="2865" w:type="dxa"/>
            <w:noWrap/>
            <w:vAlign w:val="center"/>
          </w:tcPr>
          <w:p w:rsidR="00826B8F" w:rsidRPr="00DA20F5" w:rsidRDefault="00826B8F" w:rsidP="00D36FB8">
            <w:pPr>
              <w:rPr>
                <w:sz w:val="20"/>
              </w:rPr>
            </w:pPr>
            <w:r w:rsidRPr="00DA20F5">
              <w:rPr>
                <w:sz w:val="20"/>
              </w:rPr>
              <w:t>DSS Poštovej banky d.s.s. a.s.*</w:t>
            </w:r>
          </w:p>
        </w:tc>
        <w:tc>
          <w:tcPr>
            <w:tcW w:w="1411" w:type="dxa"/>
            <w:noWrap/>
            <w:vAlign w:val="center"/>
          </w:tcPr>
          <w:p w:rsidR="00826B8F" w:rsidRPr="00DA20F5" w:rsidRDefault="00826B8F" w:rsidP="00D36FB8">
            <w:pPr>
              <w:ind w:right="355"/>
              <w:jc w:val="right"/>
              <w:rPr>
                <w:sz w:val="20"/>
                <w:szCs w:val="20"/>
              </w:rPr>
            </w:pPr>
            <w:r w:rsidRPr="00DA20F5">
              <w:rPr>
                <w:sz w:val="20"/>
                <w:szCs w:val="20"/>
              </w:rPr>
              <w:t>13,62</w:t>
            </w:r>
          </w:p>
        </w:tc>
        <w:tc>
          <w:tcPr>
            <w:tcW w:w="1219" w:type="dxa"/>
            <w:noWrap/>
            <w:vAlign w:val="center"/>
          </w:tcPr>
          <w:p w:rsidR="00826B8F" w:rsidRPr="00DA20F5" w:rsidRDefault="00826B8F" w:rsidP="00D36FB8">
            <w:pPr>
              <w:ind w:right="355"/>
              <w:jc w:val="right"/>
              <w:rPr>
                <w:sz w:val="20"/>
                <w:szCs w:val="20"/>
              </w:rPr>
            </w:pPr>
            <w:r w:rsidRPr="00DA20F5">
              <w:rPr>
                <w:sz w:val="20"/>
                <w:szCs w:val="20"/>
              </w:rPr>
              <w:t>76,16</w:t>
            </w:r>
          </w:p>
        </w:tc>
        <w:tc>
          <w:tcPr>
            <w:tcW w:w="1276" w:type="dxa"/>
            <w:noWrap/>
          </w:tcPr>
          <w:p w:rsidR="00826B8F" w:rsidRPr="00DA20F5" w:rsidRDefault="00826B8F" w:rsidP="00D36FB8">
            <w:pPr>
              <w:ind w:right="355"/>
              <w:jc w:val="right"/>
              <w:rPr>
                <w:sz w:val="20"/>
                <w:szCs w:val="20"/>
              </w:rPr>
            </w:pPr>
            <w:r w:rsidRPr="00DA20F5">
              <w:rPr>
                <w:sz w:val="20"/>
                <w:szCs w:val="20"/>
              </w:rPr>
              <w:t>163,99</w:t>
            </w:r>
          </w:p>
        </w:tc>
        <w:tc>
          <w:tcPr>
            <w:tcW w:w="1134" w:type="dxa"/>
            <w:noWrap/>
          </w:tcPr>
          <w:p w:rsidR="00826B8F" w:rsidRPr="00DA20F5" w:rsidRDefault="00826B8F" w:rsidP="00D36FB8">
            <w:pPr>
              <w:ind w:right="157"/>
              <w:jc w:val="right"/>
              <w:rPr>
                <w:sz w:val="20"/>
                <w:szCs w:val="20"/>
              </w:rPr>
            </w:pPr>
            <w:r w:rsidRPr="00DA20F5">
              <w:rPr>
                <w:sz w:val="20"/>
                <w:szCs w:val="20"/>
              </w:rPr>
              <w:t>253,77</w:t>
            </w:r>
          </w:p>
        </w:tc>
        <w:tc>
          <w:tcPr>
            <w:tcW w:w="1495" w:type="dxa"/>
            <w:noWrap/>
          </w:tcPr>
          <w:p w:rsidR="00826B8F" w:rsidRPr="00DA20F5" w:rsidRDefault="00826B8F" w:rsidP="00D36FB8">
            <w:pPr>
              <w:ind w:right="355"/>
              <w:jc w:val="right"/>
              <w:rPr>
                <w:sz w:val="20"/>
                <w:szCs w:val="20"/>
              </w:rPr>
            </w:pPr>
            <w:r w:rsidRPr="00DA20F5">
              <w:rPr>
                <w:sz w:val="20"/>
                <w:szCs w:val="20"/>
              </w:rPr>
              <w:t>5,53 %</w:t>
            </w:r>
          </w:p>
        </w:tc>
      </w:tr>
      <w:tr w:rsidR="00B61DB1" w:rsidRPr="00DA20F5" w:rsidTr="006F40D2">
        <w:trPr>
          <w:trHeight w:val="300"/>
          <w:jc w:val="center"/>
        </w:trPr>
        <w:tc>
          <w:tcPr>
            <w:tcW w:w="2865" w:type="dxa"/>
            <w:noWrap/>
            <w:vAlign w:val="center"/>
          </w:tcPr>
          <w:p w:rsidR="00826B8F" w:rsidRPr="00DA20F5" w:rsidRDefault="00826B8F" w:rsidP="00D36FB8">
            <w:pPr>
              <w:rPr>
                <w:sz w:val="20"/>
              </w:rPr>
            </w:pPr>
            <w:bookmarkStart w:id="731" w:name="_Toc294019826"/>
            <w:bookmarkStart w:id="732" w:name="_Toc294027151"/>
            <w:bookmarkStart w:id="733" w:name="_Toc294029390"/>
            <w:bookmarkStart w:id="734" w:name="_Toc313878881"/>
            <w:r w:rsidRPr="00DA20F5">
              <w:rPr>
                <w:sz w:val="20"/>
              </w:rPr>
              <w:t>ING d.s.s., a.s.</w:t>
            </w:r>
            <w:bookmarkEnd w:id="731"/>
            <w:bookmarkEnd w:id="732"/>
            <w:bookmarkEnd w:id="733"/>
            <w:bookmarkEnd w:id="734"/>
          </w:p>
        </w:tc>
        <w:tc>
          <w:tcPr>
            <w:tcW w:w="1411" w:type="dxa"/>
            <w:noWrap/>
            <w:vAlign w:val="center"/>
          </w:tcPr>
          <w:p w:rsidR="00826B8F" w:rsidRPr="00DA20F5" w:rsidRDefault="00826B8F" w:rsidP="00D36FB8">
            <w:pPr>
              <w:ind w:right="355"/>
              <w:jc w:val="right"/>
              <w:rPr>
                <w:sz w:val="20"/>
                <w:szCs w:val="20"/>
              </w:rPr>
            </w:pPr>
            <w:r w:rsidRPr="00DA20F5">
              <w:rPr>
                <w:sz w:val="20"/>
                <w:szCs w:val="20"/>
              </w:rPr>
              <w:t>21,20</w:t>
            </w:r>
          </w:p>
        </w:tc>
        <w:tc>
          <w:tcPr>
            <w:tcW w:w="1219" w:type="dxa"/>
            <w:noWrap/>
            <w:vAlign w:val="center"/>
          </w:tcPr>
          <w:p w:rsidR="00826B8F" w:rsidRPr="00DA20F5" w:rsidRDefault="00826B8F" w:rsidP="00D36FB8">
            <w:pPr>
              <w:ind w:right="355"/>
              <w:jc w:val="right"/>
              <w:rPr>
                <w:sz w:val="20"/>
                <w:szCs w:val="20"/>
              </w:rPr>
            </w:pPr>
            <w:r w:rsidRPr="00DA20F5">
              <w:rPr>
                <w:sz w:val="20"/>
                <w:szCs w:val="20"/>
              </w:rPr>
              <w:t>161,92</w:t>
            </w:r>
          </w:p>
        </w:tc>
        <w:tc>
          <w:tcPr>
            <w:tcW w:w="1276" w:type="dxa"/>
            <w:noWrap/>
          </w:tcPr>
          <w:p w:rsidR="00826B8F" w:rsidRPr="00DA20F5" w:rsidRDefault="00826B8F" w:rsidP="00D36FB8">
            <w:pPr>
              <w:ind w:right="355"/>
              <w:jc w:val="right"/>
              <w:rPr>
                <w:sz w:val="20"/>
                <w:szCs w:val="20"/>
              </w:rPr>
            </w:pPr>
            <w:r w:rsidRPr="00DA20F5">
              <w:rPr>
                <w:sz w:val="20"/>
                <w:szCs w:val="20"/>
              </w:rPr>
              <w:t>322,28</w:t>
            </w:r>
          </w:p>
        </w:tc>
        <w:tc>
          <w:tcPr>
            <w:tcW w:w="1134" w:type="dxa"/>
            <w:noWrap/>
          </w:tcPr>
          <w:p w:rsidR="00826B8F" w:rsidRPr="00DA20F5" w:rsidRDefault="00826B8F" w:rsidP="00D36FB8">
            <w:pPr>
              <w:ind w:right="157"/>
              <w:jc w:val="right"/>
              <w:rPr>
                <w:sz w:val="20"/>
                <w:szCs w:val="20"/>
              </w:rPr>
            </w:pPr>
            <w:r w:rsidRPr="00DA20F5">
              <w:rPr>
                <w:sz w:val="20"/>
                <w:szCs w:val="20"/>
              </w:rPr>
              <w:t>505,40</w:t>
            </w:r>
          </w:p>
        </w:tc>
        <w:tc>
          <w:tcPr>
            <w:tcW w:w="1495" w:type="dxa"/>
            <w:noWrap/>
          </w:tcPr>
          <w:p w:rsidR="00826B8F" w:rsidRPr="00DA20F5" w:rsidRDefault="00826B8F" w:rsidP="00D36FB8">
            <w:pPr>
              <w:ind w:right="355"/>
              <w:jc w:val="right"/>
              <w:rPr>
                <w:sz w:val="20"/>
                <w:szCs w:val="20"/>
              </w:rPr>
            </w:pPr>
            <w:r w:rsidRPr="00DA20F5">
              <w:rPr>
                <w:sz w:val="20"/>
                <w:szCs w:val="20"/>
              </w:rPr>
              <w:t>11,01 %</w:t>
            </w:r>
          </w:p>
        </w:tc>
      </w:tr>
      <w:tr w:rsidR="00B61DB1" w:rsidRPr="00DA20F5" w:rsidTr="006F40D2">
        <w:trPr>
          <w:trHeight w:val="300"/>
          <w:jc w:val="center"/>
        </w:trPr>
        <w:tc>
          <w:tcPr>
            <w:tcW w:w="2865" w:type="dxa"/>
            <w:noWrap/>
            <w:vAlign w:val="center"/>
          </w:tcPr>
          <w:p w:rsidR="00826B8F" w:rsidRPr="00DA20F5" w:rsidRDefault="00826B8F" w:rsidP="00D36FB8">
            <w:pPr>
              <w:rPr>
                <w:sz w:val="20"/>
              </w:rPr>
            </w:pPr>
            <w:bookmarkStart w:id="735" w:name="_Toc294019832"/>
            <w:bookmarkStart w:id="736" w:name="_Toc294027157"/>
            <w:bookmarkStart w:id="737" w:name="_Toc294029396"/>
            <w:bookmarkStart w:id="738" w:name="_Toc313878887"/>
            <w:r w:rsidRPr="00DA20F5">
              <w:rPr>
                <w:sz w:val="20"/>
              </w:rPr>
              <w:t>VÚB Generali d.s.s., a.s.</w:t>
            </w:r>
            <w:bookmarkEnd w:id="735"/>
            <w:bookmarkEnd w:id="736"/>
            <w:bookmarkEnd w:id="737"/>
            <w:bookmarkEnd w:id="738"/>
          </w:p>
        </w:tc>
        <w:tc>
          <w:tcPr>
            <w:tcW w:w="1411" w:type="dxa"/>
            <w:noWrap/>
            <w:vAlign w:val="center"/>
          </w:tcPr>
          <w:p w:rsidR="00826B8F" w:rsidRPr="00DA20F5" w:rsidRDefault="00826B8F" w:rsidP="00D36FB8">
            <w:pPr>
              <w:ind w:right="355"/>
              <w:jc w:val="right"/>
              <w:rPr>
                <w:sz w:val="20"/>
                <w:szCs w:val="20"/>
              </w:rPr>
            </w:pPr>
            <w:r w:rsidRPr="00DA20F5">
              <w:rPr>
                <w:sz w:val="20"/>
                <w:szCs w:val="20"/>
              </w:rPr>
              <w:t>42,86</w:t>
            </w:r>
          </w:p>
        </w:tc>
        <w:tc>
          <w:tcPr>
            <w:tcW w:w="1219" w:type="dxa"/>
            <w:noWrap/>
            <w:vAlign w:val="center"/>
          </w:tcPr>
          <w:p w:rsidR="00826B8F" w:rsidRPr="00DA20F5" w:rsidRDefault="00826B8F" w:rsidP="00D36FB8">
            <w:pPr>
              <w:ind w:right="355"/>
              <w:jc w:val="right"/>
              <w:rPr>
                <w:sz w:val="20"/>
                <w:szCs w:val="20"/>
              </w:rPr>
            </w:pPr>
            <w:r w:rsidRPr="00DA20F5">
              <w:rPr>
                <w:sz w:val="20"/>
                <w:szCs w:val="20"/>
              </w:rPr>
              <w:t>249,74</w:t>
            </w:r>
          </w:p>
        </w:tc>
        <w:tc>
          <w:tcPr>
            <w:tcW w:w="1276" w:type="dxa"/>
            <w:noWrap/>
          </w:tcPr>
          <w:p w:rsidR="00826B8F" w:rsidRPr="00DA20F5" w:rsidRDefault="00826B8F" w:rsidP="00D36FB8">
            <w:pPr>
              <w:ind w:right="355"/>
              <w:jc w:val="right"/>
              <w:rPr>
                <w:sz w:val="20"/>
                <w:szCs w:val="20"/>
              </w:rPr>
            </w:pPr>
            <w:r w:rsidRPr="00DA20F5">
              <w:rPr>
                <w:sz w:val="20"/>
                <w:szCs w:val="20"/>
              </w:rPr>
              <w:t>373,86</w:t>
            </w:r>
          </w:p>
        </w:tc>
        <w:tc>
          <w:tcPr>
            <w:tcW w:w="1134" w:type="dxa"/>
            <w:noWrap/>
          </w:tcPr>
          <w:p w:rsidR="00826B8F" w:rsidRPr="00DA20F5" w:rsidRDefault="00826B8F" w:rsidP="00D36FB8">
            <w:pPr>
              <w:ind w:right="157"/>
              <w:jc w:val="right"/>
              <w:rPr>
                <w:sz w:val="20"/>
                <w:szCs w:val="20"/>
              </w:rPr>
            </w:pPr>
            <w:r w:rsidRPr="00DA20F5">
              <w:rPr>
                <w:sz w:val="20"/>
                <w:szCs w:val="20"/>
              </w:rPr>
              <w:t>666,46</w:t>
            </w:r>
          </w:p>
        </w:tc>
        <w:tc>
          <w:tcPr>
            <w:tcW w:w="1495" w:type="dxa"/>
            <w:noWrap/>
          </w:tcPr>
          <w:p w:rsidR="00826B8F" w:rsidRPr="00DA20F5" w:rsidRDefault="00826B8F" w:rsidP="00D36FB8">
            <w:pPr>
              <w:ind w:right="355"/>
              <w:jc w:val="right"/>
              <w:rPr>
                <w:sz w:val="20"/>
                <w:szCs w:val="20"/>
              </w:rPr>
            </w:pPr>
            <w:r w:rsidRPr="00DA20F5">
              <w:rPr>
                <w:sz w:val="20"/>
                <w:szCs w:val="20"/>
              </w:rPr>
              <w:t>14,52 %</w:t>
            </w:r>
          </w:p>
        </w:tc>
      </w:tr>
      <w:tr w:rsidR="00B61DB1" w:rsidRPr="00DA20F5" w:rsidTr="006F40D2">
        <w:trPr>
          <w:trHeight w:val="300"/>
          <w:jc w:val="center"/>
        </w:trPr>
        <w:tc>
          <w:tcPr>
            <w:tcW w:w="2865" w:type="dxa"/>
            <w:noWrap/>
            <w:vAlign w:val="center"/>
          </w:tcPr>
          <w:p w:rsidR="00826B8F" w:rsidRPr="00DA20F5" w:rsidRDefault="00826B8F" w:rsidP="00D36FB8">
            <w:pPr>
              <w:rPr>
                <w:sz w:val="20"/>
              </w:rPr>
            </w:pPr>
            <w:bookmarkStart w:id="739" w:name="_Toc294019838"/>
            <w:bookmarkStart w:id="740" w:name="_Toc294027163"/>
            <w:bookmarkStart w:id="741" w:name="_Toc294029402"/>
            <w:bookmarkStart w:id="742" w:name="_Toc313878893"/>
            <w:r w:rsidRPr="00DA20F5">
              <w:rPr>
                <w:sz w:val="20"/>
              </w:rPr>
              <w:t>Spolu</w:t>
            </w:r>
            <w:bookmarkEnd w:id="739"/>
            <w:bookmarkEnd w:id="740"/>
            <w:bookmarkEnd w:id="741"/>
            <w:bookmarkEnd w:id="742"/>
          </w:p>
        </w:tc>
        <w:tc>
          <w:tcPr>
            <w:tcW w:w="1411" w:type="dxa"/>
            <w:noWrap/>
            <w:vAlign w:val="center"/>
          </w:tcPr>
          <w:p w:rsidR="00826B8F" w:rsidRPr="00DA20F5" w:rsidRDefault="00826B8F" w:rsidP="00D36FB8">
            <w:pPr>
              <w:ind w:right="355"/>
              <w:jc w:val="right"/>
              <w:rPr>
                <w:sz w:val="20"/>
                <w:szCs w:val="20"/>
              </w:rPr>
            </w:pPr>
            <w:r w:rsidRPr="00DA20F5">
              <w:rPr>
                <w:sz w:val="20"/>
                <w:szCs w:val="20"/>
              </w:rPr>
              <w:t>224,31</w:t>
            </w:r>
          </w:p>
        </w:tc>
        <w:tc>
          <w:tcPr>
            <w:tcW w:w="1219" w:type="dxa"/>
            <w:noWrap/>
            <w:vAlign w:val="center"/>
          </w:tcPr>
          <w:p w:rsidR="00826B8F" w:rsidRPr="00DA20F5" w:rsidRDefault="00826B8F" w:rsidP="00D36FB8">
            <w:pPr>
              <w:ind w:right="355"/>
              <w:jc w:val="right"/>
              <w:rPr>
                <w:sz w:val="20"/>
                <w:szCs w:val="20"/>
              </w:rPr>
            </w:pPr>
            <w:r w:rsidRPr="00DA20F5">
              <w:rPr>
                <w:sz w:val="20"/>
                <w:szCs w:val="20"/>
              </w:rPr>
              <w:t>1 406,93</w:t>
            </w:r>
          </w:p>
        </w:tc>
        <w:tc>
          <w:tcPr>
            <w:tcW w:w="1276" w:type="dxa"/>
            <w:noWrap/>
          </w:tcPr>
          <w:p w:rsidR="00826B8F" w:rsidRPr="00DA20F5" w:rsidRDefault="00826B8F" w:rsidP="00D36FB8">
            <w:pPr>
              <w:ind w:right="355"/>
              <w:jc w:val="right"/>
              <w:rPr>
                <w:sz w:val="20"/>
                <w:szCs w:val="20"/>
              </w:rPr>
            </w:pPr>
            <w:r w:rsidRPr="00DA20F5">
              <w:rPr>
                <w:sz w:val="20"/>
                <w:szCs w:val="20"/>
              </w:rPr>
              <w:t>2 960,15</w:t>
            </w:r>
          </w:p>
        </w:tc>
        <w:tc>
          <w:tcPr>
            <w:tcW w:w="1134" w:type="dxa"/>
            <w:noWrap/>
          </w:tcPr>
          <w:p w:rsidR="00826B8F" w:rsidRPr="00DA20F5" w:rsidRDefault="00826B8F" w:rsidP="00D36FB8">
            <w:pPr>
              <w:ind w:right="157"/>
              <w:jc w:val="right"/>
              <w:rPr>
                <w:sz w:val="20"/>
                <w:szCs w:val="20"/>
              </w:rPr>
            </w:pPr>
            <w:r w:rsidRPr="00DA20F5">
              <w:rPr>
                <w:sz w:val="20"/>
                <w:szCs w:val="20"/>
              </w:rPr>
              <w:t>4 591,39</w:t>
            </w:r>
          </w:p>
        </w:tc>
        <w:tc>
          <w:tcPr>
            <w:tcW w:w="1495" w:type="dxa"/>
            <w:noWrap/>
            <w:vAlign w:val="center"/>
          </w:tcPr>
          <w:p w:rsidR="00826B8F" w:rsidRPr="00DA20F5" w:rsidRDefault="00826B8F" w:rsidP="00D36FB8">
            <w:pPr>
              <w:ind w:right="355"/>
              <w:jc w:val="right"/>
              <w:rPr>
                <w:sz w:val="20"/>
                <w:szCs w:val="20"/>
              </w:rPr>
            </w:pPr>
            <w:r w:rsidRPr="00DA20F5">
              <w:rPr>
                <w:sz w:val="20"/>
                <w:szCs w:val="20"/>
              </w:rPr>
              <w:t>100,0 %</w:t>
            </w:r>
          </w:p>
        </w:tc>
      </w:tr>
      <w:tr w:rsidR="00B61DB1" w:rsidRPr="00DA20F5" w:rsidTr="006F40D2">
        <w:trPr>
          <w:trHeight w:val="314"/>
          <w:jc w:val="center"/>
        </w:trPr>
        <w:tc>
          <w:tcPr>
            <w:tcW w:w="2865" w:type="dxa"/>
            <w:noWrap/>
            <w:vAlign w:val="center"/>
          </w:tcPr>
          <w:p w:rsidR="00826B8F" w:rsidRPr="00DA20F5" w:rsidRDefault="00826B8F" w:rsidP="00D36FB8">
            <w:pPr>
              <w:rPr>
                <w:sz w:val="20"/>
              </w:rPr>
            </w:pPr>
            <w:bookmarkStart w:id="743" w:name="_Toc294019844"/>
            <w:bookmarkStart w:id="744" w:name="_Toc294027169"/>
            <w:bookmarkStart w:id="745" w:name="_Toc294029408"/>
            <w:bookmarkStart w:id="746" w:name="_Toc313878899"/>
            <w:r w:rsidRPr="00DA20F5">
              <w:rPr>
                <w:sz w:val="20"/>
              </w:rPr>
              <w:t>Percentuálny podiel majetku</w:t>
            </w:r>
            <w:bookmarkEnd w:id="743"/>
            <w:bookmarkEnd w:id="744"/>
            <w:bookmarkEnd w:id="745"/>
            <w:bookmarkEnd w:id="746"/>
          </w:p>
        </w:tc>
        <w:tc>
          <w:tcPr>
            <w:tcW w:w="1411" w:type="dxa"/>
            <w:noWrap/>
            <w:vAlign w:val="center"/>
          </w:tcPr>
          <w:p w:rsidR="00826B8F" w:rsidRPr="00DA20F5" w:rsidRDefault="00826B8F" w:rsidP="00D36FB8">
            <w:pPr>
              <w:ind w:right="355"/>
              <w:jc w:val="right"/>
              <w:rPr>
                <w:sz w:val="20"/>
                <w:szCs w:val="20"/>
              </w:rPr>
            </w:pPr>
            <w:r w:rsidRPr="00DA20F5">
              <w:rPr>
                <w:sz w:val="20"/>
                <w:szCs w:val="20"/>
              </w:rPr>
              <w:t>4,9 %</w:t>
            </w:r>
          </w:p>
        </w:tc>
        <w:tc>
          <w:tcPr>
            <w:tcW w:w="1219" w:type="dxa"/>
            <w:noWrap/>
            <w:vAlign w:val="center"/>
          </w:tcPr>
          <w:p w:rsidR="00826B8F" w:rsidRPr="00DA20F5" w:rsidRDefault="00826B8F" w:rsidP="00D36FB8">
            <w:pPr>
              <w:ind w:right="355"/>
              <w:jc w:val="right"/>
              <w:rPr>
                <w:sz w:val="20"/>
                <w:szCs w:val="20"/>
              </w:rPr>
            </w:pPr>
            <w:r w:rsidRPr="00DA20F5">
              <w:rPr>
                <w:sz w:val="20"/>
                <w:szCs w:val="20"/>
              </w:rPr>
              <w:t>30,6 %</w:t>
            </w:r>
          </w:p>
        </w:tc>
        <w:tc>
          <w:tcPr>
            <w:tcW w:w="1276" w:type="dxa"/>
            <w:noWrap/>
          </w:tcPr>
          <w:p w:rsidR="00826B8F" w:rsidRPr="00DA20F5" w:rsidRDefault="00826B8F" w:rsidP="00D36FB8">
            <w:pPr>
              <w:ind w:right="355"/>
              <w:jc w:val="right"/>
              <w:rPr>
                <w:sz w:val="20"/>
                <w:szCs w:val="20"/>
              </w:rPr>
            </w:pPr>
            <w:r w:rsidRPr="00DA20F5">
              <w:rPr>
                <w:sz w:val="20"/>
                <w:szCs w:val="20"/>
              </w:rPr>
              <w:t>64,5 %</w:t>
            </w:r>
          </w:p>
        </w:tc>
        <w:tc>
          <w:tcPr>
            <w:tcW w:w="1134" w:type="dxa"/>
            <w:noWrap/>
          </w:tcPr>
          <w:p w:rsidR="00826B8F" w:rsidRPr="00DA20F5" w:rsidRDefault="00826B8F" w:rsidP="00D36FB8">
            <w:pPr>
              <w:ind w:right="157"/>
              <w:jc w:val="right"/>
              <w:rPr>
                <w:sz w:val="20"/>
                <w:szCs w:val="20"/>
              </w:rPr>
            </w:pPr>
            <w:r w:rsidRPr="00DA20F5">
              <w:rPr>
                <w:sz w:val="20"/>
                <w:szCs w:val="20"/>
              </w:rPr>
              <w:t>100,0%</w:t>
            </w:r>
          </w:p>
        </w:tc>
        <w:tc>
          <w:tcPr>
            <w:tcW w:w="1495" w:type="dxa"/>
            <w:noWrap/>
            <w:vAlign w:val="center"/>
          </w:tcPr>
          <w:p w:rsidR="00826B8F" w:rsidRPr="00DA20F5" w:rsidRDefault="00826B8F" w:rsidP="00D36FB8">
            <w:pPr>
              <w:ind w:right="355"/>
              <w:jc w:val="right"/>
              <w:rPr>
                <w:sz w:val="20"/>
                <w:szCs w:val="20"/>
              </w:rPr>
            </w:pPr>
          </w:p>
        </w:tc>
      </w:tr>
    </w:tbl>
    <w:p w:rsidR="00826B8F" w:rsidRPr="00DA20F5" w:rsidRDefault="00826B8F" w:rsidP="00D36FB8">
      <w:pPr>
        <w:pStyle w:val="zdroj"/>
        <w:spacing w:after="0"/>
      </w:pPr>
      <w:r w:rsidRPr="00DA20F5">
        <w:t>* do 16.5.2011 ČSOB d.s.s, a.s.</w:t>
      </w:r>
    </w:p>
    <w:p w:rsidR="00826B8F" w:rsidRPr="00DA20F5" w:rsidRDefault="00826B8F" w:rsidP="00D36FB8">
      <w:pPr>
        <w:pStyle w:val="zdroj"/>
        <w:spacing w:before="0"/>
      </w:pPr>
      <w:r w:rsidRPr="00DA20F5">
        <w:t>Výpočet: MPSVR SR</w:t>
      </w:r>
    </w:p>
    <w:p w:rsidR="00826B8F" w:rsidRPr="00DA20F5" w:rsidRDefault="00826B8F" w:rsidP="00D36FB8">
      <w:pPr>
        <w:ind w:firstLine="426"/>
      </w:pPr>
      <w:r w:rsidRPr="00DA20F5">
        <w:t xml:space="preserve">Sociálna poisťovňa postúpila v priebehu roka 2011 do dôchodkových fondov </w:t>
      </w:r>
      <w:r w:rsidRPr="00DA20F5">
        <w:rPr>
          <w:b/>
        </w:rPr>
        <w:t>príspevky</w:t>
      </w:r>
      <w:r w:rsidRPr="00DA20F5">
        <w:t xml:space="preserve"> v hodnote </w:t>
      </w:r>
      <w:r w:rsidRPr="00DA20F5">
        <w:rPr>
          <w:b/>
        </w:rPr>
        <w:t>840 mil. €</w:t>
      </w:r>
      <w:r w:rsidRPr="00DA20F5">
        <w:t>, čo predstavuje oproti roku 2010 nárast o 5 %. Najväčší podiel na slovenskom trhu starobného dôchodkového sporenia v roku 2011 si zachovali spoločnosti Allianz – Slovenská d.s.s., a. s. a Axa d.s.s., a. s. Dominancia rastových fondov vo výške spravovanéh</w:t>
      </w:r>
      <w:r w:rsidR="00EF37D0" w:rsidRPr="00DA20F5">
        <w:t>o majetku (64,5 %, pozri tabuľku</w:t>
      </w:r>
      <w:r w:rsidRPr="00DA20F5">
        <w:t xml:space="preserve"> č. 3.5) vyplýva najmä z najväčšieho počtu sporiteľov v týchto fondoch (</w:t>
      </w:r>
      <w:r w:rsidR="00EF37D0" w:rsidRPr="00DA20F5">
        <w:t>67 %, pozri tabuľku</w:t>
      </w:r>
      <w:r w:rsidRPr="00DA20F5">
        <w:t xml:space="preserve"> č. 3.7). Výsledky investovania majetku v dôchodkových fondoch boli aj v roku 2011 nízke z dôvodu konzervatívneho investovania. Dôchodkové správcovské spoločnosti sa takýmto spôsobom zabezpečili, aby im nevznikla povinnosť doplniť majetok do dôchodkových fondov v prípade znehodnotenia dôchodkovej jednotky. Miera zhodnotenia majetku v jednotlivých dôchodkových fondoch sa pohybovala od 1,19 % do 2,15 % v nominálnom vyjadrení za posledný rok. V roku 2011 sa štruktúra aktív v dôchodkových fondoch starobného dôchodkového sporenia nezmenila (grafy sú v prílohe ku kapitole 3), prevládali najmä krátkodobé investície (ako napr. krátkodobé cenné papiere a termínované vklady).</w:t>
      </w:r>
    </w:p>
    <w:p w:rsidR="00826B8F" w:rsidRPr="00DA20F5" w:rsidRDefault="00826B8F" w:rsidP="00D36FB8">
      <w:pPr>
        <w:ind w:firstLine="426"/>
      </w:pPr>
      <w:r w:rsidRPr="00DA20F5">
        <w:t>Vyššie uvedená legislatívna zmena sa prejavila aj na výkonnosti dôchodkových fondov. Na nasledujúcom grafe, ktorý zobrazuje vývoj aktuálnej hodnoty dôchodkovej jednotky, je od účinnosti predmetnej zmeny zrejmá zmena investičných stratégií dôchodkových fondov a ich zjednotenie. Celková výkonnosť je uvedená v tabuľke č. 3.6, ktorá z</w:t>
      </w:r>
      <w:r w:rsidR="00B45797" w:rsidRPr="00DA20F5">
        <w:t>obrazuje nominálne a reálne (po </w:t>
      </w:r>
      <w:r w:rsidRPr="00DA20F5">
        <w:t>zohľadnení inflácie) zhodnotenie dôchodkových fondov.</w:t>
      </w:r>
    </w:p>
    <w:p w:rsidR="00B45797" w:rsidRPr="00DA20F5" w:rsidRDefault="00B45797">
      <w:pPr>
        <w:jc w:val="left"/>
        <w:rPr>
          <w:b/>
          <w:lang w:eastAsia="cs-CZ"/>
        </w:rPr>
      </w:pPr>
      <w:bookmarkStart w:id="747" w:name="_Toc313878904"/>
      <w:bookmarkStart w:id="748" w:name="_Toc294029413"/>
      <w:bookmarkStart w:id="749" w:name="_Toc294027174"/>
      <w:bookmarkStart w:id="750" w:name="_Toc325438174"/>
      <w:bookmarkStart w:id="751" w:name="_Toc325440943"/>
      <w:bookmarkStart w:id="752" w:name="_Toc325626756"/>
      <w:bookmarkStart w:id="753" w:name="_Toc326217017"/>
      <w:r w:rsidRPr="00DA20F5">
        <w:rPr>
          <w:lang w:eastAsia="cs-CZ"/>
        </w:rPr>
        <w:br w:type="page"/>
      </w:r>
    </w:p>
    <w:p w:rsidR="00826B8F" w:rsidRPr="00DA20F5" w:rsidRDefault="00826B8F" w:rsidP="00D36FB8">
      <w:pPr>
        <w:pStyle w:val="Nadpis7"/>
        <w:rPr>
          <w:b w:val="0"/>
          <w:lang w:eastAsia="cs-CZ"/>
        </w:rPr>
      </w:pPr>
      <w:r w:rsidRPr="00DA20F5">
        <w:rPr>
          <w:lang w:eastAsia="cs-CZ"/>
        </w:rPr>
        <w:lastRenderedPageBreak/>
        <w:t>Graf 3.1</w:t>
      </w:r>
      <w:r w:rsidR="00AC5AAB" w:rsidRPr="00DA20F5">
        <w:rPr>
          <w:lang w:eastAsia="cs-CZ"/>
        </w:rPr>
        <w:t xml:space="preserve"> </w:t>
      </w:r>
      <w:r w:rsidRPr="00DA20F5">
        <w:rPr>
          <w:lang w:eastAsia="cs-CZ"/>
        </w:rPr>
        <w:t>Nominálne zhodnotenie dôchodkovej jednotky k 31.12.2011 (od marca 2005)</w:t>
      </w:r>
      <w:bookmarkEnd w:id="747"/>
      <w:bookmarkEnd w:id="748"/>
      <w:bookmarkEnd w:id="749"/>
      <w:bookmarkEnd w:id="750"/>
      <w:bookmarkEnd w:id="751"/>
      <w:bookmarkEnd w:id="752"/>
      <w:bookmarkEnd w:id="753"/>
    </w:p>
    <w:p w:rsidR="00826B8F" w:rsidRPr="00DA20F5" w:rsidRDefault="00826B8F" w:rsidP="00D36FB8">
      <w:pPr>
        <w:rPr>
          <w:noProof/>
          <w:color w:val="4F81BD" w:themeColor="accent1"/>
        </w:rPr>
      </w:pPr>
      <w:r w:rsidRPr="00DA20F5">
        <w:rPr>
          <w:noProof/>
          <w:color w:val="4F81BD" w:themeColor="accent1"/>
        </w:rPr>
        <w:drawing>
          <wp:inline distT="0" distB="0" distL="0" distR="0" wp14:anchorId="1D31AC86" wp14:editId="15B44D73">
            <wp:extent cx="5452298" cy="1940118"/>
            <wp:effectExtent l="0" t="0" r="0" b="317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52454" cy="1940174"/>
                    </a:xfrm>
                    <a:prstGeom prst="rect">
                      <a:avLst/>
                    </a:prstGeom>
                    <a:noFill/>
                    <a:ln>
                      <a:noFill/>
                    </a:ln>
                  </pic:spPr>
                </pic:pic>
              </a:graphicData>
            </a:graphic>
          </wp:inline>
        </w:drawing>
      </w:r>
    </w:p>
    <w:p w:rsidR="00826B8F" w:rsidRPr="00DA20F5" w:rsidRDefault="00826B8F" w:rsidP="00D36FB8">
      <w:pPr>
        <w:pStyle w:val="zdroj"/>
      </w:pPr>
      <w:r w:rsidRPr="00DA20F5">
        <w:t>Výpočet: MPSVR SR</w:t>
      </w:r>
    </w:p>
    <w:p w:rsidR="00826B8F" w:rsidRPr="00DA20F5" w:rsidRDefault="00826B8F" w:rsidP="00D36FB8">
      <w:pPr>
        <w:pStyle w:val="Nadpis7"/>
        <w:rPr>
          <w:lang w:eastAsia="cs-CZ"/>
        </w:rPr>
      </w:pPr>
      <w:bookmarkStart w:id="754" w:name="_Toc313878905"/>
      <w:bookmarkStart w:id="755" w:name="_Toc294029414"/>
      <w:bookmarkStart w:id="756" w:name="_Toc294027175"/>
      <w:bookmarkStart w:id="757" w:name="_Toc325438175"/>
      <w:bookmarkStart w:id="758" w:name="_Toc325440944"/>
      <w:bookmarkStart w:id="759" w:name="_Toc325626757"/>
      <w:bookmarkStart w:id="760" w:name="_Toc326217018"/>
      <w:r w:rsidRPr="00DA20F5">
        <w:rPr>
          <w:lang w:eastAsia="cs-CZ"/>
        </w:rPr>
        <w:t>Tab. 3.6</w:t>
      </w:r>
      <w:r w:rsidR="00AC5AAB" w:rsidRPr="00DA20F5">
        <w:rPr>
          <w:lang w:eastAsia="cs-CZ"/>
        </w:rPr>
        <w:t xml:space="preserve"> </w:t>
      </w:r>
      <w:r w:rsidRPr="00DA20F5">
        <w:rPr>
          <w:lang w:eastAsia="cs-CZ"/>
        </w:rPr>
        <w:t>Nominálne a reálne zhodnotenie dôchodkových fondov od marca 2005</w:t>
      </w:r>
      <w:bookmarkEnd w:id="754"/>
      <w:bookmarkEnd w:id="755"/>
      <w:bookmarkEnd w:id="756"/>
      <w:bookmarkEnd w:id="757"/>
      <w:bookmarkEnd w:id="758"/>
      <w:bookmarkEnd w:id="759"/>
      <w:bookmarkEnd w:id="760"/>
    </w:p>
    <w:tbl>
      <w:tblPr>
        <w:tblW w:w="6124" w:type="dxa"/>
        <w:jc w:val="center"/>
        <w:tblInd w:w="17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2148"/>
        <w:gridCol w:w="1981"/>
        <w:gridCol w:w="1995"/>
      </w:tblGrid>
      <w:tr w:rsidR="00B61DB1" w:rsidRPr="00DA20F5" w:rsidTr="006F40D2">
        <w:trPr>
          <w:trHeight w:val="294"/>
          <w:jc w:val="center"/>
        </w:trPr>
        <w:tc>
          <w:tcPr>
            <w:tcW w:w="2148" w:type="dxa"/>
            <w:vMerge w:val="restart"/>
            <w:shd w:val="clear" w:color="auto" w:fill="4F81BD"/>
            <w:vAlign w:val="center"/>
          </w:tcPr>
          <w:p w:rsidR="00826B8F" w:rsidRPr="00DA20F5" w:rsidRDefault="00826B8F" w:rsidP="00D36FB8">
            <w:pPr>
              <w:jc w:val="center"/>
              <w:rPr>
                <w:b/>
                <w:color w:val="FFFFFF" w:themeColor="background1"/>
                <w:lang w:eastAsia="cs-CZ"/>
              </w:rPr>
            </w:pPr>
            <w:bookmarkStart w:id="761" w:name="_Toc294019849"/>
            <w:bookmarkStart w:id="762" w:name="_Toc294027176"/>
            <w:bookmarkStart w:id="763" w:name="_Toc294029415"/>
            <w:bookmarkStart w:id="764" w:name="_Toc313878906"/>
            <w:r w:rsidRPr="00DA20F5">
              <w:rPr>
                <w:b/>
                <w:color w:val="FFFFFF" w:themeColor="background1"/>
                <w:lang w:eastAsia="cs-CZ"/>
              </w:rPr>
              <w:t>Typ dôchodkového fondu</w:t>
            </w:r>
            <w:bookmarkEnd w:id="761"/>
            <w:bookmarkEnd w:id="762"/>
            <w:bookmarkEnd w:id="763"/>
            <w:bookmarkEnd w:id="764"/>
          </w:p>
        </w:tc>
        <w:tc>
          <w:tcPr>
            <w:tcW w:w="3976" w:type="dxa"/>
            <w:gridSpan w:val="2"/>
            <w:shd w:val="clear" w:color="auto" w:fill="4F81BD"/>
            <w:vAlign w:val="center"/>
          </w:tcPr>
          <w:p w:rsidR="00826B8F" w:rsidRPr="00DA20F5" w:rsidRDefault="00826B8F" w:rsidP="00D36FB8">
            <w:pPr>
              <w:jc w:val="center"/>
              <w:rPr>
                <w:b/>
                <w:color w:val="FFFFFF" w:themeColor="background1"/>
                <w:lang w:eastAsia="cs-CZ"/>
              </w:rPr>
            </w:pPr>
            <w:bookmarkStart w:id="765" w:name="_Toc294019850"/>
            <w:bookmarkStart w:id="766" w:name="_Toc294027177"/>
            <w:bookmarkStart w:id="767" w:name="_Toc294029416"/>
            <w:bookmarkStart w:id="768" w:name="_Toc313878907"/>
            <w:r w:rsidRPr="00DA20F5">
              <w:rPr>
                <w:b/>
                <w:color w:val="FFFFFF" w:themeColor="background1"/>
                <w:lang w:eastAsia="cs-CZ"/>
              </w:rPr>
              <w:t>Zhodnotenie dôchodkových fondov k 31.12.201</w:t>
            </w:r>
            <w:bookmarkEnd w:id="765"/>
            <w:bookmarkEnd w:id="766"/>
            <w:bookmarkEnd w:id="767"/>
            <w:bookmarkEnd w:id="768"/>
            <w:r w:rsidRPr="00DA20F5">
              <w:rPr>
                <w:b/>
                <w:color w:val="FFFFFF" w:themeColor="background1"/>
                <w:lang w:eastAsia="cs-CZ"/>
              </w:rPr>
              <w:t>1</w:t>
            </w:r>
          </w:p>
        </w:tc>
      </w:tr>
      <w:tr w:rsidR="00B61DB1" w:rsidRPr="00DA20F5" w:rsidTr="006F40D2">
        <w:trPr>
          <w:trHeight w:val="294"/>
          <w:jc w:val="center"/>
        </w:trPr>
        <w:tc>
          <w:tcPr>
            <w:tcW w:w="0" w:type="auto"/>
            <w:vMerge/>
            <w:vAlign w:val="center"/>
          </w:tcPr>
          <w:p w:rsidR="00826B8F" w:rsidRPr="00DA20F5" w:rsidRDefault="00826B8F" w:rsidP="00D36FB8">
            <w:pPr>
              <w:jc w:val="center"/>
              <w:rPr>
                <w:b/>
                <w:color w:val="FFFFFF" w:themeColor="background1"/>
                <w:lang w:eastAsia="cs-CZ"/>
              </w:rPr>
            </w:pPr>
          </w:p>
        </w:tc>
        <w:tc>
          <w:tcPr>
            <w:tcW w:w="1981" w:type="dxa"/>
            <w:shd w:val="clear" w:color="auto" w:fill="4F81BD"/>
            <w:vAlign w:val="center"/>
          </w:tcPr>
          <w:p w:rsidR="00826B8F" w:rsidRPr="00DA20F5" w:rsidRDefault="00826B8F" w:rsidP="00D36FB8">
            <w:pPr>
              <w:jc w:val="center"/>
              <w:rPr>
                <w:b/>
                <w:color w:val="FFFFFF" w:themeColor="background1"/>
                <w:lang w:eastAsia="cs-CZ"/>
              </w:rPr>
            </w:pPr>
            <w:bookmarkStart w:id="769" w:name="_Toc294019851"/>
            <w:bookmarkStart w:id="770" w:name="_Toc294027178"/>
            <w:bookmarkStart w:id="771" w:name="_Toc294029417"/>
            <w:bookmarkStart w:id="772" w:name="_Toc313878908"/>
            <w:r w:rsidRPr="00DA20F5">
              <w:rPr>
                <w:b/>
                <w:color w:val="FFFFFF" w:themeColor="background1"/>
                <w:lang w:eastAsia="cs-CZ"/>
              </w:rPr>
              <w:t>nominálne</w:t>
            </w:r>
            <w:bookmarkEnd w:id="769"/>
            <w:bookmarkEnd w:id="770"/>
            <w:bookmarkEnd w:id="771"/>
            <w:bookmarkEnd w:id="772"/>
          </w:p>
        </w:tc>
        <w:tc>
          <w:tcPr>
            <w:tcW w:w="1995" w:type="dxa"/>
            <w:shd w:val="clear" w:color="auto" w:fill="4F81BD"/>
            <w:vAlign w:val="center"/>
          </w:tcPr>
          <w:p w:rsidR="00826B8F" w:rsidRPr="00DA20F5" w:rsidRDefault="00826B8F" w:rsidP="00D36FB8">
            <w:pPr>
              <w:jc w:val="center"/>
              <w:rPr>
                <w:b/>
                <w:color w:val="FFFFFF" w:themeColor="background1"/>
                <w:lang w:eastAsia="cs-CZ"/>
              </w:rPr>
            </w:pPr>
            <w:bookmarkStart w:id="773" w:name="_Toc294019852"/>
            <w:bookmarkStart w:id="774" w:name="_Toc294027179"/>
            <w:bookmarkStart w:id="775" w:name="_Toc294029418"/>
            <w:bookmarkStart w:id="776" w:name="_Toc313878909"/>
            <w:r w:rsidRPr="00DA20F5">
              <w:rPr>
                <w:b/>
                <w:color w:val="FFFFFF" w:themeColor="background1"/>
                <w:lang w:eastAsia="cs-CZ"/>
              </w:rPr>
              <w:t>reálne</w:t>
            </w:r>
            <w:bookmarkEnd w:id="773"/>
            <w:bookmarkEnd w:id="774"/>
            <w:bookmarkEnd w:id="775"/>
            <w:bookmarkEnd w:id="776"/>
          </w:p>
        </w:tc>
      </w:tr>
      <w:tr w:rsidR="00B61DB1" w:rsidRPr="00DA20F5" w:rsidTr="006F40D2">
        <w:trPr>
          <w:trHeight w:val="294"/>
          <w:jc w:val="center"/>
        </w:trPr>
        <w:tc>
          <w:tcPr>
            <w:tcW w:w="2148" w:type="dxa"/>
            <w:vAlign w:val="center"/>
          </w:tcPr>
          <w:p w:rsidR="00826B8F" w:rsidRPr="00DA20F5" w:rsidRDefault="00826B8F" w:rsidP="00D36FB8">
            <w:bookmarkStart w:id="777" w:name="_Toc294019853"/>
            <w:bookmarkStart w:id="778" w:name="_Toc294027180"/>
            <w:bookmarkStart w:id="779" w:name="_Toc294029419"/>
            <w:bookmarkStart w:id="780" w:name="_Toc313878910"/>
            <w:r w:rsidRPr="00DA20F5">
              <w:t>Konzervatívny</w:t>
            </w:r>
            <w:bookmarkEnd w:id="777"/>
            <w:bookmarkEnd w:id="778"/>
            <w:bookmarkEnd w:id="779"/>
            <w:bookmarkEnd w:id="780"/>
          </w:p>
        </w:tc>
        <w:tc>
          <w:tcPr>
            <w:tcW w:w="1981" w:type="dxa"/>
            <w:vAlign w:val="center"/>
          </w:tcPr>
          <w:p w:rsidR="00826B8F" w:rsidRPr="00DA20F5" w:rsidRDefault="00826B8F" w:rsidP="00D36FB8">
            <w:pPr>
              <w:ind w:right="674"/>
              <w:jc w:val="right"/>
            </w:pPr>
            <w:bookmarkStart w:id="781" w:name="_Toc294019854"/>
            <w:bookmarkStart w:id="782" w:name="_Toc294027181"/>
            <w:bookmarkStart w:id="783" w:name="_Toc294029420"/>
            <w:bookmarkStart w:id="784" w:name="_Toc313878911"/>
            <w:r w:rsidRPr="00DA20F5">
              <w:t>18,8 %</w:t>
            </w:r>
            <w:bookmarkEnd w:id="781"/>
            <w:bookmarkEnd w:id="782"/>
            <w:bookmarkEnd w:id="783"/>
            <w:bookmarkEnd w:id="784"/>
          </w:p>
        </w:tc>
        <w:tc>
          <w:tcPr>
            <w:tcW w:w="1995" w:type="dxa"/>
            <w:vAlign w:val="center"/>
          </w:tcPr>
          <w:p w:rsidR="00826B8F" w:rsidRPr="00DA20F5" w:rsidRDefault="00826B8F" w:rsidP="00D36FB8">
            <w:pPr>
              <w:ind w:right="674"/>
              <w:jc w:val="right"/>
            </w:pPr>
            <w:bookmarkStart w:id="785" w:name="_Toc294019855"/>
            <w:bookmarkStart w:id="786" w:name="_Toc294027182"/>
            <w:bookmarkStart w:id="787" w:name="_Toc294029421"/>
            <w:bookmarkStart w:id="788" w:name="_Toc313878912"/>
            <w:r w:rsidRPr="00DA20F5">
              <w:t>-3,0 %</w:t>
            </w:r>
            <w:bookmarkEnd w:id="785"/>
            <w:bookmarkEnd w:id="786"/>
            <w:bookmarkEnd w:id="787"/>
            <w:bookmarkEnd w:id="788"/>
          </w:p>
        </w:tc>
      </w:tr>
      <w:tr w:rsidR="00B61DB1" w:rsidRPr="00DA20F5" w:rsidTr="006F40D2">
        <w:trPr>
          <w:trHeight w:val="294"/>
          <w:jc w:val="center"/>
        </w:trPr>
        <w:tc>
          <w:tcPr>
            <w:tcW w:w="2148" w:type="dxa"/>
            <w:vAlign w:val="center"/>
          </w:tcPr>
          <w:p w:rsidR="00826B8F" w:rsidRPr="00DA20F5" w:rsidRDefault="00826B8F" w:rsidP="00D36FB8">
            <w:bookmarkStart w:id="789" w:name="_Toc294019856"/>
            <w:bookmarkStart w:id="790" w:name="_Toc294027183"/>
            <w:bookmarkStart w:id="791" w:name="_Toc294029422"/>
            <w:bookmarkStart w:id="792" w:name="_Toc313878913"/>
            <w:r w:rsidRPr="00DA20F5">
              <w:t>Vyvážený</w:t>
            </w:r>
            <w:bookmarkEnd w:id="789"/>
            <w:bookmarkEnd w:id="790"/>
            <w:bookmarkEnd w:id="791"/>
            <w:bookmarkEnd w:id="792"/>
          </w:p>
        </w:tc>
        <w:tc>
          <w:tcPr>
            <w:tcW w:w="1981" w:type="dxa"/>
            <w:vAlign w:val="center"/>
          </w:tcPr>
          <w:p w:rsidR="00826B8F" w:rsidRPr="00DA20F5" w:rsidRDefault="00826B8F" w:rsidP="00D36FB8">
            <w:pPr>
              <w:ind w:right="674"/>
              <w:jc w:val="right"/>
            </w:pPr>
            <w:bookmarkStart w:id="793" w:name="_Toc294019857"/>
            <w:bookmarkStart w:id="794" w:name="_Toc294027184"/>
            <w:bookmarkStart w:id="795" w:name="_Toc294029423"/>
            <w:bookmarkStart w:id="796" w:name="_Toc313878914"/>
            <w:r w:rsidRPr="00DA20F5">
              <w:t>9,8 %</w:t>
            </w:r>
            <w:bookmarkEnd w:id="793"/>
            <w:bookmarkEnd w:id="794"/>
            <w:bookmarkEnd w:id="795"/>
            <w:bookmarkEnd w:id="796"/>
          </w:p>
        </w:tc>
        <w:tc>
          <w:tcPr>
            <w:tcW w:w="1995" w:type="dxa"/>
            <w:vAlign w:val="center"/>
          </w:tcPr>
          <w:p w:rsidR="00826B8F" w:rsidRPr="00DA20F5" w:rsidRDefault="00826B8F" w:rsidP="00D36FB8">
            <w:pPr>
              <w:ind w:right="674"/>
              <w:jc w:val="right"/>
            </w:pPr>
            <w:bookmarkStart w:id="797" w:name="_Toc294019858"/>
            <w:bookmarkStart w:id="798" w:name="_Toc294027185"/>
            <w:bookmarkStart w:id="799" w:name="_Toc294029424"/>
            <w:bookmarkStart w:id="800" w:name="_Toc313878915"/>
            <w:r w:rsidRPr="00DA20F5">
              <w:t>-10,3 %</w:t>
            </w:r>
            <w:bookmarkEnd w:id="797"/>
            <w:bookmarkEnd w:id="798"/>
            <w:bookmarkEnd w:id="799"/>
            <w:bookmarkEnd w:id="800"/>
          </w:p>
        </w:tc>
      </w:tr>
      <w:tr w:rsidR="00B61DB1" w:rsidRPr="00DA20F5" w:rsidTr="006F40D2">
        <w:trPr>
          <w:trHeight w:val="294"/>
          <w:jc w:val="center"/>
        </w:trPr>
        <w:tc>
          <w:tcPr>
            <w:tcW w:w="2148" w:type="dxa"/>
            <w:vAlign w:val="center"/>
          </w:tcPr>
          <w:p w:rsidR="00826B8F" w:rsidRPr="00DA20F5" w:rsidRDefault="00826B8F" w:rsidP="00D36FB8">
            <w:bookmarkStart w:id="801" w:name="_Toc294019859"/>
            <w:bookmarkStart w:id="802" w:name="_Toc294027186"/>
            <w:bookmarkStart w:id="803" w:name="_Toc294029425"/>
            <w:bookmarkStart w:id="804" w:name="_Toc313878916"/>
            <w:r w:rsidRPr="00DA20F5">
              <w:t>Rastový</w:t>
            </w:r>
            <w:bookmarkEnd w:id="801"/>
            <w:bookmarkEnd w:id="802"/>
            <w:bookmarkEnd w:id="803"/>
            <w:bookmarkEnd w:id="804"/>
          </w:p>
        </w:tc>
        <w:tc>
          <w:tcPr>
            <w:tcW w:w="1981" w:type="dxa"/>
            <w:vAlign w:val="center"/>
          </w:tcPr>
          <w:p w:rsidR="00826B8F" w:rsidRPr="00DA20F5" w:rsidRDefault="00826B8F" w:rsidP="00D36FB8">
            <w:pPr>
              <w:ind w:right="674"/>
              <w:jc w:val="right"/>
            </w:pPr>
            <w:bookmarkStart w:id="805" w:name="_Toc294019860"/>
            <w:bookmarkStart w:id="806" w:name="_Toc294027187"/>
            <w:bookmarkStart w:id="807" w:name="_Toc294029426"/>
            <w:bookmarkStart w:id="808" w:name="_Toc313878917"/>
            <w:r w:rsidRPr="00DA20F5">
              <w:t>7,5 %</w:t>
            </w:r>
            <w:bookmarkEnd w:id="805"/>
            <w:bookmarkEnd w:id="806"/>
            <w:bookmarkEnd w:id="807"/>
            <w:bookmarkEnd w:id="808"/>
          </w:p>
        </w:tc>
        <w:tc>
          <w:tcPr>
            <w:tcW w:w="1995" w:type="dxa"/>
            <w:vAlign w:val="center"/>
          </w:tcPr>
          <w:p w:rsidR="00826B8F" w:rsidRPr="00DA20F5" w:rsidRDefault="00826B8F" w:rsidP="00D36FB8">
            <w:pPr>
              <w:ind w:right="674"/>
              <w:jc w:val="right"/>
            </w:pPr>
            <w:bookmarkStart w:id="809" w:name="_Toc294019861"/>
            <w:bookmarkStart w:id="810" w:name="_Toc294027188"/>
            <w:bookmarkStart w:id="811" w:name="_Toc294029427"/>
            <w:bookmarkStart w:id="812" w:name="_Toc313878918"/>
            <w:r w:rsidRPr="00DA20F5">
              <w:t>-12,3 %</w:t>
            </w:r>
            <w:bookmarkEnd w:id="809"/>
            <w:bookmarkEnd w:id="810"/>
            <w:bookmarkEnd w:id="811"/>
            <w:bookmarkEnd w:id="812"/>
          </w:p>
        </w:tc>
      </w:tr>
    </w:tbl>
    <w:p w:rsidR="00826B8F" w:rsidRPr="00DA20F5" w:rsidRDefault="00826B8F" w:rsidP="00D36FB8">
      <w:pPr>
        <w:pStyle w:val="zdroj"/>
        <w:ind w:left="1134"/>
      </w:pPr>
      <w:r w:rsidRPr="00DA20F5">
        <w:t>Výpočet: MPSVR SR</w:t>
      </w:r>
    </w:p>
    <w:p w:rsidR="00826B8F" w:rsidRPr="00DA20F5" w:rsidRDefault="00826B8F" w:rsidP="00D36FB8">
      <w:pPr>
        <w:ind w:firstLine="426"/>
      </w:pPr>
      <w:r w:rsidRPr="00DA20F5">
        <w:t>V priebehu roka 2011 sa priemerná ročná výnosnosť dôchodkových fondov pohybovala na úrovni 1,5 %.</w:t>
      </w:r>
    </w:p>
    <w:p w:rsidR="00826B8F" w:rsidRPr="00DA20F5" w:rsidRDefault="00826B8F" w:rsidP="00D36FB8">
      <w:pPr>
        <w:pStyle w:val="Nadpis7"/>
        <w:rPr>
          <w:lang w:eastAsia="cs-CZ"/>
        </w:rPr>
      </w:pPr>
      <w:bookmarkStart w:id="813" w:name="_Toc313878919"/>
      <w:bookmarkStart w:id="814" w:name="_Toc294029428"/>
      <w:bookmarkStart w:id="815" w:name="_Toc294027189"/>
      <w:bookmarkStart w:id="816" w:name="_Toc325438176"/>
      <w:bookmarkStart w:id="817" w:name="_Toc325440945"/>
      <w:bookmarkStart w:id="818" w:name="_Toc325626758"/>
      <w:bookmarkStart w:id="819" w:name="_Toc326217019"/>
      <w:r w:rsidRPr="00DA20F5">
        <w:rPr>
          <w:lang w:eastAsia="cs-CZ"/>
        </w:rPr>
        <w:t>Graf 3.2</w:t>
      </w:r>
      <w:r w:rsidR="00AC5AAB" w:rsidRPr="00DA20F5">
        <w:rPr>
          <w:lang w:eastAsia="cs-CZ"/>
        </w:rPr>
        <w:t xml:space="preserve"> </w:t>
      </w:r>
      <w:r w:rsidRPr="00DA20F5">
        <w:rPr>
          <w:lang w:eastAsia="cs-CZ"/>
        </w:rPr>
        <w:t>Medziročné nominálne zhodnotenie dôchodkovej jednotky v roku 2011</w:t>
      </w:r>
      <w:bookmarkEnd w:id="813"/>
      <w:bookmarkEnd w:id="814"/>
      <w:bookmarkEnd w:id="815"/>
      <w:bookmarkEnd w:id="816"/>
      <w:bookmarkEnd w:id="817"/>
      <w:bookmarkEnd w:id="818"/>
      <w:bookmarkEnd w:id="819"/>
    </w:p>
    <w:p w:rsidR="00826B8F" w:rsidRPr="00DA20F5" w:rsidRDefault="00826B8F" w:rsidP="00D36FB8">
      <w:pPr>
        <w:jc w:val="center"/>
        <w:rPr>
          <w:color w:val="4F81BD" w:themeColor="accent1"/>
        </w:rPr>
      </w:pPr>
      <w:r w:rsidRPr="00DA20F5">
        <w:rPr>
          <w:noProof/>
          <w:color w:val="4F81BD" w:themeColor="accent1"/>
        </w:rPr>
        <w:drawing>
          <wp:inline distT="0" distB="0" distL="0" distR="0" wp14:anchorId="410BF42B" wp14:editId="02A2E2BA">
            <wp:extent cx="5513438" cy="2220944"/>
            <wp:effectExtent l="0" t="0" r="0" b="825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25805" cy="2225926"/>
                    </a:xfrm>
                    <a:prstGeom prst="rect">
                      <a:avLst/>
                    </a:prstGeom>
                    <a:noFill/>
                    <a:ln>
                      <a:noFill/>
                    </a:ln>
                  </pic:spPr>
                </pic:pic>
              </a:graphicData>
            </a:graphic>
          </wp:inline>
        </w:drawing>
      </w:r>
    </w:p>
    <w:p w:rsidR="00826B8F" w:rsidRPr="00DA20F5" w:rsidRDefault="00826B8F" w:rsidP="00D36FB8">
      <w:pPr>
        <w:pStyle w:val="zdroj"/>
      </w:pPr>
      <w:r w:rsidRPr="00DA20F5">
        <w:t>Výpočet: MPSVR SR</w:t>
      </w:r>
    </w:p>
    <w:p w:rsidR="00826B8F" w:rsidRPr="00DA20F5" w:rsidRDefault="00826B8F" w:rsidP="00D36FB8">
      <w:r w:rsidRPr="00DA20F5">
        <w:t>Počet sporiteľov starobného dôchodkového sporenia k 31.12.2011 bol 1 450 705 (tabuľka</w:t>
      </w:r>
      <w:r w:rsidR="00EF37D0" w:rsidRPr="00DA20F5">
        <w:t xml:space="preserve"> č.</w:t>
      </w:r>
      <w:r w:rsidRPr="00DA20F5">
        <w:t xml:space="preserve"> 3.7).</w:t>
      </w:r>
    </w:p>
    <w:p w:rsidR="00B45797" w:rsidRPr="00DA20F5" w:rsidRDefault="00B45797">
      <w:pPr>
        <w:jc w:val="left"/>
        <w:rPr>
          <w:b/>
          <w:lang w:eastAsia="cs-CZ"/>
        </w:rPr>
      </w:pPr>
      <w:bookmarkStart w:id="820" w:name="_Toc313878920"/>
      <w:bookmarkStart w:id="821" w:name="_Toc294029429"/>
      <w:bookmarkStart w:id="822" w:name="_Toc294027190"/>
      <w:bookmarkStart w:id="823" w:name="_Toc325438177"/>
      <w:bookmarkStart w:id="824" w:name="_Toc325440946"/>
      <w:bookmarkStart w:id="825" w:name="_Toc325626759"/>
      <w:bookmarkStart w:id="826" w:name="_Toc326217020"/>
      <w:r w:rsidRPr="00DA20F5">
        <w:rPr>
          <w:lang w:eastAsia="cs-CZ"/>
        </w:rPr>
        <w:br w:type="page"/>
      </w:r>
    </w:p>
    <w:p w:rsidR="00826B8F" w:rsidRPr="00DA20F5" w:rsidRDefault="00826B8F" w:rsidP="00D36FB8">
      <w:pPr>
        <w:pStyle w:val="Nadpis7"/>
        <w:rPr>
          <w:lang w:eastAsia="cs-CZ"/>
        </w:rPr>
      </w:pPr>
      <w:r w:rsidRPr="00DA20F5">
        <w:rPr>
          <w:lang w:eastAsia="cs-CZ"/>
        </w:rPr>
        <w:lastRenderedPageBreak/>
        <w:t>Tab. 3.7</w:t>
      </w:r>
      <w:r w:rsidR="00AC5AAB" w:rsidRPr="00DA20F5">
        <w:rPr>
          <w:lang w:eastAsia="cs-CZ"/>
        </w:rPr>
        <w:t xml:space="preserve"> </w:t>
      </w:r>
      <w:r w:rsidRPr="00DA20F5">
        <w:rPr>
          <w:lang w:eastAsia="cs-CZ"/>
        </w:rPr>
        <w:t>Počet sporiteľov v dôchodkových fondoch starobného dôchodkového sporenia k 31.12.</w:t>
      </w:r>
      <w:bookmarkEnd w:id="820"/>
      <w:bookmarkEnd w:id="821"/>
      <w:bookmarkEnd w:id="822"/>
      <w:r w:rsidRPr="00DA20F5">
        <w:rPr>
          <w:lang w:eastAsia="cs-CZ"/>
        </w:rPr>
        <w:t>2011</w:t>
      </w:r>
      <w:bookmarkEnd w:id="823"/>
      <w:bookmarkEnd w:id="824"/>
      <w:bookmarkEnd w:id="825"/>
      <w:bookmarkEnd w:id="826"/>
    </w:p>
    <w:tbl>
      <w:tblPr>
        <w:tblW w:w="9013" w:type="dxa"/>
        <w:jc w:val="center"/>
        <w:tblInd w:w="-1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A0" w:firstRow="1" w:lastRow="0" w:firstColumn="1" w:lastColumn="0" w:noHBand="0" w:noVBand="0"/>
      </w:tblPr>
      <w:tblGrid>
        <w:gridCol w:w="2687"/>
        <w:gridCol w:w="1414"/>
        <w:gridCol w:w="1190"/>
        <w:gridCol w:w="1175"/>
        <w:gridCol w:w="1064"/>
        <w:gridCol w:w="1483"/>
      </w:tblGrid>
      <w:tr w:rsidR="00B61DB1" w:rsidRPr="00DA20F5" w:rsidTr="00B61DB1">
        <w:trPr>
          <w:trHeight w:val="300"/>
          <w:jc w:val="center"/>
        </w:trPr>
        <w:tc>
          <w:tcPr>
            <w:tcW w:w="2687"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827" w:name="_Toc294019862"/>
            <w:bookmarkStart w:id="828" w:name="_Toc294027191"/>
            <w:bookmarkStart w:id="829" w:name="_Toc294029430"/>
            <w:bookmarkStart w:id="830" w:name="_Toc313878921"/>
            <w:r w:rsidRPr="00DA20F5">
              <w:rPr>
                <w:b/>
                <w:color w:val="FFFFFF" w:themeColor="background1"/>
                <w:sz w:val="20"/>
                <w:lang w:eastAsia="cs-CZ"/>
              </w:rPr>
              <w:t>Dôchodková správcovská spoločnosť</w:t>
            </w:r>
            <w:bookmarkEnd w:id="827"/>
            <w:bookmarkEnd w:id="828"/>
            <w:bookmarkEnd w:id="829"/>
            <w:bookmarkEnd w:id="830"/>
          </w:p>
        </w:tc>
        <w:tc>
          <w:tcPr>
            <w:tcW w:w="1414"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831" w:name="_Toc294019863"/>
            <w:bookmarkStart w:id="832" w:name="_Toc294027192"/>
            <w:bookmarkStart w:id="833" w:name="_Toc294029431"/>
            <w:bookmarkStart w:id="834" w:name="_Toc313878922"/>
            <w:r w:rsidRPr="00DA20F5">
              <w:rPr>
                <w:b/>
                <w:color w:val="FFFFFF" w:themeColor="background1"/>
                <w:sz w:val="20"/>
                <w:lang w:eastAsia="cs-CZ"/>
              </w:rPr>
              <w:t>konzervatívny dôchodkový fond</w:t>
            </w:r>
            <w:bookmarkEnd w:id="831"/>
            <w:bookmarkEnd w:id="832"/>
            <w:bookmarkEnd w:id="833"/>
            <w:bookmarkEnd w:id="834"/>
          </w:p>
        </w:tc>
        <w:tc>
          <w:tcPr>
            <w:tcW w:w="1190"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835" w:name="_Toc294019864"/>
            <w:bookmarkStart w:id="836" w:name="_Toc294027193"/>
            <w:bookmarkStart w:id="837" w:name="_Toc294029432"/>
            <w:bookmarkStart w:id="838" w:name="_Toc313878923"/>
            <w:r w:rsidRPr="00DA20F5">
              <w:rPr>
                <w:b/>
                <w:color w:val="FFFFFF" w:themeColor="background1"/>
                <w:sz w:val="20"/>
                <w:lang w:eastAsia="cs-CZ"/>
              </w:rPr>
              <w:t>vyvážený dôchodkový fond</w:t>
            </w:r>
            <w:bookmarkEnd w:id="835"/>
            <w:bookmarkEnd w:id="836"/>
            <w:bookmarkEnd w:id="837"/>
            <w:bookmarkEnd w:id="838"/>
          </w:p>
        </w:tc>
        <w:tc>
          <w:tcPr>
            <w:tcW w:w="1175"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839" w:name="_Toc294019865"/>
            <w:bookmarkStart w:id="840" w:name="_Toc294027194"/>
            <w:bookmarkStart w:id="841" w:name="_Toc294029433"/>
            <w:bookmarkStart w:id="842" w:name="_Toc313878924"/>
            <w:r w:rsidRPr="00DA20F5">
              <w:rPr>
                <w:b/>
                <w:color w:val="FFFFFF" w:themeColor="background1"/>
                <w:sz w:val="20"/>
                <w:lang w:eastAsia="cs-CZ"/>
              </w:rPr>
              <w:t>rastový dôchodkový fond</w:t>
            </w:r>
            <w:bookmarkEnd w:id="839"/>
            <w:bookmarkEnd w:id="840"/>
            <w:bookmarkEnd w:id="841"/>
            <w:bookmarkEnd w:id="842"/>
          </w:p>
        </w:tc>
        <w:tc>
          <w:tcPr>
            <w:tcW w:w="1064"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843" w:name="_Toc294019866"/>
            <w:bookmarkStart w:id="844" w:name="_Toc294027195"/>
            <w:bookmarkStart w:id="845" w:name="_Toc294029434"/>
            <w:bookmarkStart w:id="846" w:name="_Toc313878925"/>
            <w:r w:rsidRPr="00DA20F5">
              <w:rPr>
                <w:b/>
                <w:color w:val="FFFFFF" w:themeColor="background1"/>
                <w:sz w:val="20"/>
                <w:lang w:eastAsia="cs-CZ"/>
              </w:rPr>
              <w:t>Spolu k 31.12.201</w:t>
            </w:r>
            <w:bookmarkEnd w:id="843"/>
            <w:bookmarkEnd w:id="844"/>
            <w:bookmarkEnd w:id="845"/>
            <w:bookmarkEnd w:id="846"/>
            <w:r w:rsidRPr="00DA20F5">
              <w:rPr>
                <w:b/>
                <w:color w:val="FFFFFF" w:themeColor="background1"/>
                <w:sz w:val="20"/>
                <w:lang w:eastAsia="cs-CZ"/>
              </w:rPr>
              <w:t>1</w:t>
            </w:r>
          </w:p>
        </w:tc>
        <w:tc>
          <w:tcPr>
            <w:tcW w:w="1483" w:type="dxa"/>
            <w:shd w:val="clear" w:color="auto" w:fill="4F81BD"/>
            <w:noWrap/>
            <w:vAlign w:val="center"/>
          </w:tcPr>
          <w:p w:rsidR="00826B8F" w:rsidRPr="00DA20F5" w:rsidRDefault="00826B8F" w:rsidP="00D36FB8">
            <w:pPr>
              <w:jc w:val="center"/>
              <w:rPr>
                <w:b/>
                <w:color w:val="FFFFFF" w:themeColor="background1"/>
                <w:sz w:val="20"/>
                <w:lang w:eastAsia="cs-CZ"/>
              </w:rPr>
            </w:pPr>
            <w:bookmarkStart w:id="847" w:name="_Toc294019867"/>
            <w:bookmarkStart w:id="848" w:name="_Toc294027196"/>
            <w:bookmarkStart w:id="849" w:name="_Toc294029435"/>
            <w:bookmarkStart w:id="850" w:name="_Toc313878926"/>
            <w:r w:rsidRPr="00DA20F5">
              <w:rPr>
                <w:b/>
                <w:color w:val="FFFFFF" w:themeColor="background1"/>
                <w:sz w:val="20"/>
                <w:lang w:eastAsia="cs-CZ"/>
              </w:rPr>
              <w:t xml:space="preserve">Percentuálny podiel </w:t>
            </w:r>
            <w:bookmarkEnd w:id="847"/>
            <w:bookmarkEnd w:id="848"/>
            <w:bookmarkEnd w:id="849"/>
            <w:bookmarkEnd w:id="850"/>
            <w:r w:rsidRPr="00DA20F5">
              <w:rPr>
                <w:b/>
                <w:color w:val="FFFFFF" w:themeColor="background1"/>
                <w:sz w:val="20"/>
                <w:lang w:eastAsia="cs-CZ"/>
              </w:rPr>
              <w:t>sporiteľov</w:t>
            </w:r>
          </w:p>
        </w:tc>
      </w:tr>
      <w:tr w:rsidR="00B61DB1" w:rsidRPr="00DA20F5" w:rsidTr="00B61DB1">
        <w:trPr>
          <w:trHeight w:val="300"/>
          <w:jc w:val="center"/>
        </w:trPr>
        <w:tc>
          <w:tcPr>
            <w:tcW w:w="2687" w:type="dxa"/>
            <w:noWrap/>
            <w:vAlign w:val="center"/>
          </w:tcPr>
          <w:p w:rsidR="00826B8F" w:rsidRPr="00DA20F5" w:rsidRDefault="00826B8F" w:rsidP="00D36FB8">
            <w:pPr>
              <w:rPr>
                <w:sz w:val="20"/>
              </w:rPr>
            </w:pPr>
            <w:bookmarkStart w:id="851" w:name="_Toc294019868"/>
            <w:bookmarkStart w:id="852" w:name="_Toc294027197"/>
            <w:bookmarkStart w:id="853" w:name="_Toc294029436"/>
            <w:bookmarkStart w:id="854" w:name="_Toc313878927"/>
            <w:r w:rsidRPr="00DA20F5">
              <w:rPr>
                <w:sz w:val="20"/>
              </w:rPr>
              <w:t>AEGON, d.s.s., a.s.</w:t>
            </w:r>
            <w:bookmarkEnd w:id="851"/>
            <w:bookmarkEnd w:id="852"/>
            <w:bookmarkEnd w:id="853"/>
            <w:bookmarkEnd w:id="854"/>
          </w:p>
        </w:tc>
        <w:tc>
          <w:tcPr>
            <w:tcW w:w="1414" w:type="dxa"/>
            <w:noWrap/>
          </w:tcPr>
          <w:p w:rsidR="00826B8F" w:rsidRPr="00DA20F5" w:rsidRDefault="00826B8F" w:rsidP="00D36FB8">
            <w:pPr>
              <w:ind w:right="373"/>
              <w:jc w:val="right"/>
              <w:rPr>
                <w:sz w:val="20"/>
                <w:szCs w:val="20"/>
              </w:rPr>
            </w:pPr>
            <w:r w:rsidRPr="00DA20F5">
              <w:rPr>
                <w:sz w:val="20"/>
                <w:szCs w:val="20"/>
              </w:rPr>
              <w:t>13 699</w:t>
            </w:r>
          </w:p>
        </w:tc>
        <w:tc>
          <w:tcPr>
            <w:tcW w:w="1190" w:type="dxa"/>
            <w:noWrap/>
          </w:tcPr>
          <w:p w:rsidR="00826B8F" w:rsidRPr="00DA20F5" w:rsidRDefault="00826B8F" w:rsidP="0028665F">
            <w:pPr>
              <w:ind w:right="287"/>
              <w:jc w:val="right"/>
              <w:rPr>
                <w:sz w:val="20"/>
                <w:szCs w:val="20"/>
              </w:rPr>
            </w:pPr>
            <w:r w:rsidRPr="00DA20F5">
              <w:rPr>
                <w:sz w:val="20"/>
                <w:szCs w:val="20"/>
              </w:rPr>
              <w:t>40 122</w:t>
            </w:r>
          </w:p>
        </w:tc>
        <w:tc>
          <w:tcPr>
            <w:tcW w:w="1175" w:type="dxa"/>
            <w:noWrap/>
          </w:tcPr>
          <w:p w:rsidR="00826B8F" w:rsidRPr="00DA20F5" w:rsidRDefault="00826B8F" w:rsidP="0028665F">
            <w:pPr>
              <w:ind w:right="187"/>
              <w:jc w:val="right"/>
              <w:rPr>
                <w:sz w:val="20"/>
                <w:szCs w:val="20"/>
              </w:rPr>
            </w:pPr>
            <w:r w:rsidRPr="00DA20F5">
              <w:rPr>
                <w:sz w:val="20"/>
                <w:szCs w:val="20"/>
              </w:rPr>
              <w:t>130 965</w:t>
            </w:r>
          </w:p>
        </w:tc>
        <w:tc>
          <w:tcPr>
            <w:tcW w:w="1064" w:type="dxa"/>
            <w:noWrap/>
          </w:tcPr>
          <w:p w:rsidR="00826B8F" w:rsidRPr="00DA20F5" w:rsidRDefault="00826B8F" w:rsidP="00D36FB8">
            <w:pPr>
              <w:ind w:right="117"/>
              <w:jc w:val="right"/>
              <w:rPr>
                <w:sz w:val="20"/>
                <w:szCs w:val="20"/>
              </w:rPr>
            </w:pPr>
            <w:r w:rsidRPr="00DA20F5">
              <w:rPr>
                <w:sz w:val="20"/>
                <w:szCs w:val="20"/>
              </w:rPr>
              <w:t>184 786</w:t>
            </w:r>
          </w:p>
        </w:tc>
        <w:tc>
          <w:tcPr>
            <w:tcW w:w="1483" w:type="dxa"/>
            <w:noWrap/>
          </w:tcPr>
          <w:p w:rsidR="00826B8F" w:rsidRPr="00DA20F5" w:rsidRDefault="00826B8F" w:rsidP="00D36FB8">
            <w:pPr>
              <w:ind w:right="373"/>
              <w:jc w:val="right"/>
              <w:rPr>
                <w:sz w:val="20"/>
                <w:szCs w:val="20"/>
              </w:rPr>
            </w:pPr>
            <w:r w:rsidRPr="00DA20F5">
              <w:rPr>
                <w:sz w:val="20"/>
                <w:szCs w:val="20"/>
              </w:rPr>
              <w:t>12,7%</w:t>
            </w:r>
          </w:p>
        </w:tc>
      </w:tr>
      <w:tr w:rsidR="00B61DB1" w:rsidRPr="00DA20F5" w:rsidTr="00B61DB1">
        <w:trPr>
          <w:trHeight w:val="300"/>
          <w:jc w:val="center"/>
        </w:trPr>
        <w:tc>
          <w:tcPr>
            <w:tcW w:w="2687" w:type="dxa"/>
            <w:noWrap/>
            <w:vAlign w:val="center"/>
          </w:tcPr>
          <w:p w:rsidR="00826B8F" w:rsidRPr="00DA20F5" w:rsidRDefault="00826B8F" w:rsidP="00D36FB8">
            <w:pPr>
              <w:rPr>
                <w:sz w:val="20"/>
              </w:rPr>
            </w:pPr>
            <w:bookmarkStart w:id="855" w:name="_Toc294019874"/>
            <w:bookmarkStart w:id="856" w:name="_Toc294027203"/>
            <w:bookmarkStart w:id="857" w:name="_Toc294029442"/>
            <w:bookmarkStart w:id="858" w:name="_Toc313878933"/>
            <w:r w:rsidRPr="00DA20F5">
              <w:rPr>
                <w:sz w:val="20"/>
              </w:rPr>
              <w:t>Allianz - Slovenská d.s.s., a.s.</w:t>
            </w:r>
            <w:bookmarkEnd w:id="855"/>
            <w:bookmarkEnd w:id="856"/>
            <w:bookmarkEnd w:id="857"/>
            <w:bookmarkEnd w:id="858"/>
          </w:p>
        </w:tc>
        <w:tc>
          <w:tcPr>
            <w:tcW w:w="1414" w:type="dxa"/>
            <w:noWrap/>
          </w:tcPr>
          <w:p w:rsidR="00826B8F" w:rsidRPr="00DA20F5" w:rsidRDefault="00826B8F" w:rsidP="00D36FB8">
            <w:pPr>
              <w:ind w:right="373"/>
              <w:jc w:val="right"/>
              <w:rPr>
                <w:sz w:val="20"/>
                <w:szCs w:val="20"/>
              </w:rPr>
            </w:pPr>
            <w:r w:rsidRPr="00DA20F5">
              <w:rPr>
                <w:sz w:val="20"/>
                <w:szCs w:val="20"/>
              </w:rPr>
              <w:t>23 010</w:t>
            </w:r>
          </w:p>
        </w:tc>
        <w:tc>
          <w:tcPr>
            <w:tcW w:w="1190" w:type="dxa"/>
            <w:noWrap/>
          </w:tcPr>
          <w:p w:rsidR="00826B8F" w:rsidRPr="00DA20F5" w:rsidRDefault="00826B8F" w:rsidP="0028665F">
            <w:pPr>
              <w:ind w:right="287"/>
              <w:jc w:val="right"/>
              <w:rPr>
                <w:sz w:val="20"/>
                <w:szCs w:val="20"/>
              </w:rPr>
            </w:pPr>
            <w:r w:rsidRPr="00DA20F5">
              <w:rPr>
                <w:sz w:val="20"/>
                <w:szCs w:val="20"/>
              </w:rPr>
              <w:t>133 209</w:t>
            </w:r>
          </w:p>
        </w:tc>
        <w:tc>
          <w:tcPr>
            <w:tcW w:w="1175" w:type="dxa"/>
            <w:noWrap/>
          </w:tcPr>
          <w:p w:rsidR="00826B8F" w:rsidRPr="00DA20F5" w:rsidRDefault="00826B8F" w:rsidP="0028665F">
            <w:pPr>
              <w:ind w:right="187"/>
              <w:jc w:val="right"/>
              <w:rPr>
                <w:sz w:val="20"/>
                <w:szCs w:val="20"/>
              </w:rPr>
            </w:pPr>
            <w:r w:rsidRPr="00DA20F5">
              <w:rPr>
                <w:sz w:val="20"/>
                <w:szCs w:val="20"/>
              </w:rPr>
              <w:t>294 249</w:t>
            </w:r>
          </w:p>
        </w:tc>
        <w:tc>
          <w:tcPr>
            <w:tcW w:w="1064" w:type="dxa"/>
            <w:noWrap/>
          </w:tcPr>
          <w:p w:rsidR="00826B8F" w:rsidRPr="00DA20F5" w:rsidRDefault="00826B8F" w:rsidP="00D36FB8">
            <w:pPr>
              <w:ind w:right="117"/>
              <w:jc w:val="right"/>
              <w:rPr>
                <w:sz w:val="20"/>
                <w:szCs w:val="20"/>
              </w:rPr>
            </w:pPr>
            <w:r w:rsidRPr="00DA20F5">
              <w:rPr>
                <w:sz w:val="20"/>
                <w:szCs w:val="20"/>
              </w:rPr>
              <w:t>450 468</w:t>
            </w:r>
          </w:p>
        </w:tc>
        <w:tc>
          <w:tcPr>
            <w:tcW w:w="1483" w:type="dxa"/>
            <w:noWrap/>
          </w:tcPr>
          <w:p w:rsidR="00826B8F" w:rsidRPr="00DA20F5" w:rsidRDefault="00826B8F" w:rsidP="00D36FB8">
            <w:pPr>
              <w:ind w:right="373"/>
              <w:jc w:val="right"/>
              <w:rPr>
                <w:sz w:val="20"/>
                <w:szCs w:val="20"/>
              </w:rPr>
            </w:pPr>
            <w:r w:rsidRPr="00DA20F5">
              <w:rPr>
                <w:sz w:val="20"/>
                <w:szCs w:val="20"/>
              </w:rPr>
              <w:t>31,1%</w:t>
            </w:r>
          </w:p>
        </w:tc>
      </w:tr>
      <w:tr w:rsidR="00B61DB1" w:rsidRPr="00DA20F5" w:rsidTr="00B61DB1">
        <w:trPr>
          <w:trHeight w:val="300"/>
          <w:jc w:val="center"/>
        </w:trPr>
        <w:tc>
          <w:tcPr>
            <w:tcW w:w="2687" w:type="dxa"/>
            <w:noWrap/>
            <w:vAlign w:val="center"/>
          </w:tcPr>
          <w:p w:rsidR="00826B8F" w:rsidRPr="00DA20F5" w:rsidRDefault="00826B8F" w:rsidP="00D36FB8">
            <w:pPr>
              <w:rPr>
                <w:sz w:val="20"/>
              </w:rPr>
            </w:pPr>
            <w:bookmarkStart w:id="859" w:name="_Toc294019880"/>
            <w:bookmarkStart w:id="860" w:name="_Toc294027209"/>
            <w:bookmarkStart w:id="861" w:name="_Toc294029448"/>
            <w:bookmarkStart w:id="862" w:name="_Toc313878939"/>
            <w:r w:rsidRPr="00DA20F5">
              <w:rPr>
                <w:sz w:val="20"/>
              </w:rPr>
              <w:t>AXA d.s.s., a.s.</w:t>
            </w:r>
            <w:bookmarkEnd w:id="859"/>
            <w:bookmarkEnd w:id="860"/>
            <w:bookmarkEnd w:id="861"/>
            <w:bookmarkEnd w:id="862"/>
          </w:p>
        </w:tc>
        <w:tc>
          <w:tcPr>
            <w:tcW w:w="1414" w:type="dxa"/>
            <w:noWrap/>
          </w:tcPr>
          <w:p w:rsidR="00826B8F" w:rsidRPr="00DA20F5" w:rsidRDefault="00826B8F" w:rsidP="00D36FB8">
            <w:pPr>
              <w:ind w:right="373"/>
              <w:jc w:val="right"/>
              <w:rPr>
                <w:sz w:val="20"/>
                <w:szCs w:val="20"/>
              </w:rPr>
            </w:pPr>
            <w:r w:rsidRPr="00DA20F5">
              <w:rPr>
                <w:sz w:val="20"/>
                <w:szCs w:val="20"/>
              </w:rPr>
              <w:t>14 781</w:t>
            </w:r>
          </w:p>
        </w:tc>
        <w:tc>
          <w:tcPr>
            <w:tcW w:w="1190" w:type="dxa"/>
            <w:noWrap/>
          </w:tcPr>
          <w:p w:rsidR="00826B8F" w:rsidRPr="00DA20F5" w:rsidRDefault="00826B8F" w:rsidP="0028665F">
            <w:pPr>
              <w:ind w:right="287"/>
              <w:jc w:val="right"/>
              <w:rPr>
                <w:sz w:val="20"/>
                <w:szCs w:val="20"/>
              </w:rPr>
            </w:pPr>
            <w:r w:rsidRPr="00DA20F5">
              <w:rPr>
                <w:sz w:val="20"/>
                <w:szCs w:val="20"/>
              </w:rPr>
              <w:t>88 513</w:t>
            </w:r>
          </w:p>
        </w:tc>
        <w:tc>
          <w:tcPr>
            <w:tcW w:w="1175" w:type="dxa"/>
            <w:noWrap/>
          </w:tcPr>
          <w:p w:rsidR="00826B8F" w:rsidRPr="00DA20F5" w:rsidRDefault="00826B8F" w:rsidP="0028665F">
            <w:pPr>
              <w:ind w:right="187"/>
              <w:jc w:val="right"/>
              <w:rPr>
                <w:sz w:val="20"/>
                <w:szCs w:val="20"/>
              </w:rPr>
            </w:pPr>
            <w:r w:rsidRPr="00DA20F5">
              <w:rPr>
                <w:sz w:val="20"/>
                <w:szCs w:val="20"/>
              </w:rPr>
              <w:t>270 396</w:t>
            </w:r>
          </w:p>
        </w:tc>
        <w:tc>
          <w:tcPr>
            <w:tcW w:w="1064" w:type="dxa"/>
            <w:noWrap/>
          </w:tcPr>
          <w:p w:rsidR="00826B8F" w:rsidRPr="00DA20F5" w:rsidRDefault="00826B8F" w:rsidP="00D36FB8">
            <w:pPr>
              <w:ind w:right="117"/>
              <w:jc w:val="right"/>
              <w:rPr>
                <w:sz w:val="20"/>
                <w:szCs w:val="20"/>
              </w:rPr>
            </w:pPr>
            <w:r w:rsidRPr="00DA20F5">
              <w:rPr>
                <w:sz w:val="20"/>
                <w:szCs w:val="20"/>
              </w:rPr>
              <w:t>373 690</w:t>
            </w:r>
          </w:p>
        </w:tc>
        <w:tc>
          <w:tcPr>
            <w:tcW w:w="1483" w:type="dxa"/>
            <w:noWrap/>
          </w:tcPr>
          <w:p w:rsidR="00826B8F" w:rsidRPr="00DA20F5" w:rsidRDefault="00826B8F" w:rsidP="00D36FB8">
            <w:pPr>
              <w:ind w:right="373"/>
              <w:jc w:val="right"/>
              <w:rPr>
                <w:sz w:val="20"/>
                <w:szCs w:val="20"/>
              </w:rPr>
            </w:pPr>
            <w:r w:rsidRPr="00DA20F5">
              <w:rPr>
                <w:sz w:val="20"/>
                <w:szCs w:val="20"/>
              </w:rPr>
              <w:t>25,8%</w:t>
            </w:r>
          </w:p>
        </w:tc>
      </w:tr>
      <w:tr w:rsidR="00B61DB1" w:rsidRPr="00DA20F5" w:rsidTr="00B61DB1">
        <w:trPr>
          <w:trHeight w:val="300"/>
          <w:jc w:val="center"/>
        </w:trPr>
        <w:tc>
          <w:tcPr>
            <w:tcW w:w="2687" w:type="dxa"/>
            <w:noWrap/>
            <w:vAlign w:val="center"/>
          </w:tcPr>
          <w:p w:rsidR="00826B8F" w:rsidRPr="00DA20F5" w:rsidRDefault="00826B8F" w:rsidP="00D36FB8">
            <w:pPr>
              <w:rPr>
                <w:sz w:val="20"/>
              </w:rPr>
            </w:pPr>
            <w:r w:rsidRPr="00DA20F5">
              <w:rPr>
                <w:sz w:val="20"/>
              </w:rPr>
              <w:t>DSS Poštovej banky d.s.s. a.s.*</w:t>
            </w:r>
          </w:p>
        </w:tc>
        <w:tc>
          <w:tcPr>
            <w:tcW w:w="1414" w:type="dxa"/>
            <w:noWrap/>
          </w:tcPr>
          <w:p w:rsidR="00826B8F" w:rsidRPr="00DA20F5" w:rsidRDefault="00826B8F" w:rsidP="00D36FB8">
            <w:pPr>
              <w:ind w:right="373"/>
              <w:jc w:val="right"/>
              <w:rPr>
                <w:sz w:val="20"/>
                <w:szCs w:val="20"/>
              </w:rPr>
            </w:pPr>
            <w:r w:rsidRPr="00DA20F5">
              <w:rPr>
                <w:sz w:val="20"/>
                <w:szCs w:val="20"/>
              </w:rPr>
              <w:t>8 621</w:t>
            </w:r>
          </w:p>
        </w:tc>
        <w:tc>
          <w:tcPr>
            <w:tcW w:w="1190" w:type="dxa"/>
            <w:noWrap/>
          </w:tcPr>
          <w:p w:rsidR="00826B8F" w:rsidRPr="00DA20F5" w:rsidRDefault="00826B8F" w:rsidP="0028665F">
            <w:pPr>
              <w:ind w:right="287"/>
              <w:jc w:val="right"/>
              <w:rPr>
                <w:sz w:val="20"/>
                <w:szCs w:val="20"/>
              </w:rPr>
            </w:pPr>
            <w:r w:rsidRPr="00DA20F5">
              <w:rPr>
                <w:sz w:val="20"/>
                <w:szCs w:val="20"/>
              </w:rPr>
              <w:t>22 672</w:t>
            </w:r>
          </w:p>
        </w:tc>
        <w:tc>
          <w:tcPr>
            <w:tcW w:w="1175" w:type="dxa"/>
            <w:noWrap/>
          </w:tcPr>
          <w:p w:rsidR="00826B8F" w:rsidRPr="00DA20F5" w:rsidRDefault="00826B8F" w:rsidP="0028665F">
            <w:pPr>
              <w:ind w:right="187"/>
              <w:jc w:val="right"/>
              <w:rPr>
                <w:sz w:val="20"/>
                <w:szCs w:val="20"/>
              </w:rPr>
            </w:pPr>
            <w:r w:rsidRPr="00DA20F5">
              <w:rPr>
                <w:sz w:val="20"/>
                <w:szCs w:val="20"/>
              </w:rPr>
              <w:t>62 022</w:t>
            </w:r>
          </w:p>
        </w:tc>
        <w:tc>
          <w:tcPr>
            <w:tcW w:w="1064" w:type="dxa"/>
            <w:noWrap/>
          </w:tcPr>
          <w:p w:rsidR="00826B8F" w:rsidRPr="00DA20F5" w:rsidRDefault="00826B8F" w:rsidP="00D36FB8">
            <w:pPr>
              <w:ind w:right="117"/>
              <w:jc w:val="right"/>
              <w:rPr>
                <w:sz w:val="20"/>
                <w:szCs w:val="20"/>
              </w:rPr>
            </w:pPr>
            <w:r w:rsidRPr="00DA20F5">
              <w:rPr>
                <w:sz w:val="20"/>
                <w:szCs w:val="20"/>
              </w:rPr>
              <w:t>93 315</w:t>
            </w:r>
          </w:p>
        </w:tc>
        <w:tc>
          <w:tcPr>
            <w:tcW w:w="1483" w:type="dxa"/>
            <w:noWrap/>
          </w:tcPr>
          <w:p w:rsidR="00826B8F" w:rsidRPr="00DA20F5" w:rsidRDefault="00826B8F" w:rsidP="00D36FB8">
            <w:pPr>
              <w:ind w:right="373"/>
              <w:jc w:val="right"/>
              <w:rPr>
                <w:sz w:val="20"/>
                <w:szCs w:val="20"/>
              </w:rPr>
            </w:pPr>
            <w:r w:rsidRPr="00DA20F5">
              <w:rPr>
                <w:sz w:val="20"/>
                <w:szCs w:val="20"/>
              </w:rPr>
              <w:t>6,4%</w:t>
            </w:r>
          </w:p>
        </w:tc>
      </w:tr>
      <w:tr w:rsidR="00B61DB1" w:rsidRPr="00DA20F5" w:rsidTr="00B61DB1">
        <w:trPr>
          <w:trHeight w:val="300"/>
          <w:jc w:val="center"/>
        </w:trPr>
        <w:tc>
          <w:tcPr>
            <w:tcW w:w="2687" w:type="dxa"/>
            <w:noWrap/>
            <w:vAlign w:val="center"/>
          </w:tcPr>
          <w:p w:rsidR="00826B8F" w:rsidRPr="00DA20F5" w:rsidRDefault="00826B8F" w:rsidP="00D36FB8">
            <w:pPr>
              <w:rPr>
                <w:sz w:val="20"/>
              </w:rPr>
            </w:pPr>
            <w:bookmarkStart w:id="863" w:name="_Toc294019892"/>
            <w:bookmarkStart w:id="864" w:name="_Toc294027221"/>
            <w:bookmarkStart w:id="865" w:name="_Toc294029460"/>
            <w:bookmarkStart w:id="866" w:name="_Toc313878951"/>
            <w:r w:rsidRPr="00DA20F5">
              <w:rPr>
                <w:sz w:val="20"/>
              </w:rPr>
              <w:t>ING d.s.s., a.s.</w:t>
            </w:r>
            <w:bookmarkEnd w:id="863"/>
            <w:bookmarkEnd w:id="864"/>
            <w:bookmarkEnd w:id="865"/>
            <w:bookmarkEnd w:id="866"/>
          </w:p>
        </w:tc>
        <w:tc>
          <w:tcPr>
            <w:tcW w:w="1414" w:type="dxa"/>
            <w:noWrap/>
          </w:tcPr>
          <w:p w:rsidR="00826B8F" w:rsidRPr="00DA20F5" w:rsidRDefault="00826B8F" w:rsidP="00D36FB8">
            <w:pPr>
              <w:ind w:right="373"/>
              <w:jc w:val="right"/>
              <w:rPr>
                <w:sz w:val="20"/>
                <w:szCs w:val="20"/>
              </w:rPr>
            </w:pPr>
            <w:r w:rsidRPr="00DA20F5">
              <w:rPr>
                <w:sz w:val="20"/>
                <w:szCs w:val="20"/>
              </w:rPr>
              <w:t>7 939</w:t>
            </w:r>
          </w:p>
        </w:tc>
        <w:tc>
          <w:tcPr>
            <w:tcW w:w="1190" w:type="dxa"/>
            <w:noWrap/>
          </w:tcPr>
          <w:p w:rsidR="00826B8F" w:rsidRPr="00DA20F5" w:rsidRDefault="00826B8F" w:rsidP="0028665F">
            <w:pPr>
              <w:ind w:right="287"/>
              <w:jc w:val="right"/>
              <w:rPr>
                <w:sz w:val="20"/>
                <w:szCs w:val="20"/>
              </w:rPr>
            </w:pPr>
            <w:r w:rsidRPr="00DA20F5">
              <w:rPr>
                <w:sz w:val="20"/>
                <w:szCs w:val="20"/>
              </w:rPr>
              <w:t>40 905</w:t>
            </w:r>
          </w:p>
        </w:tc>
        <w:tc>
          <w:tcPr>
            <w:tcW w:w="1175" w:type="dxa"/>
            <w:noWrap/>
          </w:tcPr>
          <w:p w:rsidR="00826B8F" w:rsidRPr="00DA20F5" w:rsidRDefault="00826B8F" w:rsidP="0028665F">
            <w:pPr>
              <w:ind w:right="187"/>
              <w:jc w:val="right"/>
              <w:rPr>
                <w:sz w:val="20"/>
                <w:szCs w:val="20"/>
              </w:rPr>
            </w:pPr>
            <w:r w:rsidRPr="00DA20F5">
              <w:rPr>
                <w:sz w:val="20"/>
                <w:szCs w:val="20"/>
              </w:rPr>
              <w:t>98 839</w:t>
            </w:r>
          </w:p>
        </w:tc>
        <w:tc>
          <w:tcPr>
            <w:tcW w:w="1064" w:type="dxa"/>
            <w:noWrap/>
          </w:tcPr>
          <w:p w:rsidR="00826B8F" w:rsidRPr="00DA20F5" w:rsidRDefault="00826B8F" w:rsidP="00D36FB8">
            <w:pPr>
              <w:ind w:right="117"/>
              <w:jc w:val="right"/>
              <w:rPr>
                <w:sz w:val="20"/>
                <w:szCs w:val="20"/>
              </w:rPr>
            </w:pPr>
            <w:r w:rsidRPr="00DA20F5">
              <w:rPr>
                <w:sz w:val="20"/>
                <w:szCs w:val="20"/>
              </w:rPr>
              <w:t>147 683</w:t>
            </w:r>
          </w:p>
        </w:tc>
        <w:tc>
          <w:tcPr>
            <w:tcW w:w="1483" w:type="dxa"/>
            <w:noWrap/>
          </w:tcPr>
          <w:p w:rsidR="00826B8F" w:rsidRPr="00DA20F5" w:rsidRDefault="00826B8F" w:rsidP="00D36FB8">
            <w:pPr>
              <w:ind w:right="373"/>
              <w:jc w:val="right"/>
              <w:rPr>
                <w:sz w:val="20"/>
                <w:szCs w:val="20"/>
              </w:rPr>
            </w:pPr>
            <w:r w:rsidRPr="00DA20F5">
              <w:rPr>
                <w:sz w:val="20"/>
                <w:szCs w:val="20"/>
              </w:rPr>
              <w:t>10,2%</w:t>
            </w:r>
          </w:p>
        </w:tc>
      </w:tr>
      <w:tr w:rsidR="00B61DB1" w:rsidRPr="00DA20F5" w:rsidTr="00B61DB1">
        <w:trPr>
          <w:trHeight w:val="300"/>
          <w:jc w:val="center"/>
        </w:trPr>
        <w:tc>
          <w:tcPr>
            <w:tcW w:w="2687" w:type="dxa"/>
            <w:noWrap/>
            <w:vAlign w:val="center"/>
          </w:tcPr>
          <w:p w:rsidR="00826B8F" w:rsidRPr="00DA20F5" w:rsidRDefault="00826B8F" w:rsidP="00D36FB8">
            <w:pPr>
              <w:rPr>
                <w:sz w:val="20"/>
              </w:rPr>
            </w:pPr>
            <w:bookmarkStart w:id="867" w:name="_Toc294019898"/>
            <w:bookmarkStart w:id="868" w:name="_Toc294027227"/>
            <w:bookmarkStart w:id="869" w:name="_Toc294029466"/>
            <w:bookmarkStart w:id="870" w:name="_Toc313878957"/>
            <w:r w:rsidRPr="00DA20F5">
              <w:rPr>
                <w:sz w:val="20"/>
              </w:rPr>
              <w:t>VÚB Generali d.s.s., a.s.</w:t>
            </w:r>
            <w:bookmarkEnd w:id="867"/>
            <w:bookmarkEnd w:id="868"/>
            <w:bookmarkEnd w:id="869"/>
            <w:bookmarkEnd w:id="870"/>
          </w:p>
        </w:tc>
        <w:tc>
          <w:tcPr>
            <w:tcW w:w="1414" w:type="dxa"/>
            <w:noWrap/>
          </w:tcPr>
          <w:p w:rsidR="00826B8F" w:rsidRPr="00DA20F5" w:rsidRDefault="00826B8F" w:rsidP="00D36FB8">
            <w:pPr>
              <w:ind w:right="373"/>
              <w:jc w:val="right"/>
              <w:rPr>
                <w:sz w:val="20"/>
                <w:szCs w:val="20"/>
              </w:rPr>
            </w:pPr>
            <w:r w:rsidRPr="00DA20F5">
              <w:rPr>
                <w:sz w:val="20"/>
                <w:szCs w:val="20"/>
              </w:rPr>
              <w:t>15 651</w:t>
            </w:r>
          </w:p>
        </w:tc>
        <w:tc>
          <w:tcPr>
            <w:tcW w:w="1190" w:type="dxa"/>
            <w:noWrap/>
          </w:tcPr>
          <w:p w:rsidR="00826B8F" w:rsidRPr="00DA20F5" w:rsidRDefault="00826B8F" w:rsidP="0028665F">
            <w:pPr>
              <w:ind w:right="287"/>
              <w:jc w:val="right"/>
              <w:rPr>
                <w:sz w:val="20"/>
                <w:szCs w:val="20"/>
              </w:rPr>
            </w:pPr>
            <w:r w:rsidRPr="00DA20F5">
              <w:rPr>
                <w:sz w:val="20"/>
                <w:szCs w:val="20"/>
              </w:rPr>
              <w:t>68 918</w:t>
            </w:r>
          </w:p>
        </w:tc>
        <w:tc>
          <w:tcPr>
            <w:tcW w:w="1175" w:type="dxa"/>
            <w:noWrap/>
          </w:tcPr>
          <w:p w:rsidR="00826B8F" w:rsidRPr="00DA20F5" w:rsidRDefault="00826B8F" w:rsidP="0028665F">
            <w:pPr>
              <w:ind w:right="187"/>
              <w:jc w:val="right"/>
              <w:rPr>
                <w:sz w:val="20"/>
                <w:szCs w:val="20"/>
              </w:rPr>
            </w:pPr>
            <w:r w:rsidRPr="00DA20F5">
              <w:rPr>
                <w:sz w:val="20"/>
                <w:szCs w:val="20"/>
              </w:rPr>
              <w:t>116 194</w:t>
            </w:r>
          </w:p>
        </w:tc>
        <w:tc>
          <w:tcPr>
            <w:tcW w:w="1064" w:type="dxa"/>
            <w:noWrap/>
          </w:tcPr>
          <w:p w:rsidR="00826B8F" w:rsidRPr="00DA20F5" w:rsidRDefault="00826B8F" w:rsidP="00D36FB8">
            <w:pPr>
              <w:ind w:right="117"/>
              <w:jc w:val="right"/>
              <w:rPr>
                <w:sz w:val="20"/>
                <w:szCs w:val="20"/>
              </w:rPr>
            </w:pPr>
            <w:r w:rsidRPr="00DA20F5">
              <w:rPr>
                <w:sz w:val="20"/>
                <w:szCs w:val="20"/>
              </w:rPr>
              <w:t>200 763</w:t>
            </w:r>
          </w:p>
        </w:tc>
        <w:tc>
          <w:tcPr>
            <w:tcW w:w="1483" w:type="dxa"/>
            <w:noWrap/>
          </w:tcPr>
          <w:p w:rsidR="00826B8F" w:rsidRPr="00DA20F5" w:rsidRDefault="00826B8F" w:rsidP="00D36FB8">
            <w:pPr>
              <w:ind w:right="373"/>
              <w:jc w:val="right"/>
              <w:rPr>
                <w:sz w:val="20"/>
                <w:szCs w:val="20"/>
              </w:rPr>
            </w:pPr>
            <w:r w:rsidRPr="00DA20F5">
              <w:rPr>
                <w:sz w:val="20"/>
                <w:szCs w:val="20"/>
              </w:rPr>
              <w:t>13,8%</w:t>
            </w:r>
          </w:p>
        </w:tc>
      </w:tr>
      <w:tr w:rsidR="00B61DB1" w:rsidRPr="00DA20F5" w:rsidTr="00B61DB1">
        <w:trPr>
          <w:trHeight w:val="300"/>
          <w:jc w:val="center"/>
        </w:trPr>
        <w:tc>
          <w:tcPr>
            <w:tcW w:w="2687" w:type="dxa"/>
            <w:noWrap/>
            <w:vAlign w:val="center"/>
          </w:tcPr>
          <w:p w:rsidR="00826B8F" w:rsidRPr="00DA20F5" w:rsidRDefault="00826B8F" w:rsidP="00D36FB8">
            <w:pPr>
              <w:rPr>
                <w:sz w:val="20"/>
              </w:rPr>
            </w:pPr>
            <w:bookmarkStart w:id="871" w:name="_Toc294019904"/>
            <w:bookmarkStart w:id="872" w:name="_Toc294027233"/>
            <w:bookmarkStart w:id="873" w:name="_Toc294029472"/>
            <w:bookmarkStart w:id="874" w:name="_Toc313878963"/>
            <w:r w:rsidRPr="00DA20F5">
              <w:rPr>
                <w:sz w:val="20"/>
              </w:rPr>
              <w:t>Spolu</w:t>
            </w:r>
            <w:bookmarkEnd w:id="871"/>
            <w:bookmarkEnd w:id="872"/>
            <w:bookmarkEnd w:id="873"/>
            <w:bookmarkEnd w:id="874"/>
          </w:p>
        </w:tc>
        <w:tc>
          <w:tcPr>
            <w:tcW w:w="1414" w:type="dxa"/>
            <w:noWrap/>
          </w:tcPr>
          <w:p w:rsidR="00826B8F" w:rsidRPr="00DA20F5" w:rsidRDefault="00826B8F" w:rsidP="00D36FB8">
            <w:pPr>
              <w:ind w:right="373"/>
              <w:jc w:val="right"/>
              <w:rPr>
                <w:sz w:val="20"/>
                <w:szCs w:val="20"/>
              </w:rPr>
            </w:pPr>
            <w:r w:rsidRPr="00DA20F5">
              <w:rPr>
                <w:sz w:val="20"/>
                <w:szCs w:val="20"/>
              </w:rPr>
              <w:t>83 701</w:t>
            </w:r>
          </w:p>
        </w:tc>
        <w:tc>
          <w:tcPr>
            <w:tcW w:w="1190" w:type="dxa"/>
            <w:noWrap/>
          </w:tcPr>
          <w:p w:rsidR="00826B8F" w:rsidRPr="00DA20F5" w:rsidRDefault="00826B8F" w:rsidP="0028665F">
            <w:pPr>
              <w:ind w:right="287"/>
              <w:jc w:val="right"/>
              <w:rPr>
                <w:sz w:val="20"/>
                <w:szCs w:val="20"/>
              </w:rPr>
            </w:pPr>
            <w:r w:rsidRPr="00DA20F5">
              <w:rPr>
                <w:sz w:val="20"/>
                <w:szCs w:val="20"/>
              </w:rPr>
              <w:t>394 339</w:t>
            </w:r>
          </w:p>
        </w:tc>
        <w:tc>
          <w:tcPr>
            <w:tcW w:w="1175" w:type="dxa"/>
            <w:noWrap/>
          </w:tcPr>
          <w:p w:rsidR="00826B8F" w:rsidRPr="00DA20F5" w:rsidRDefault="00826B8F" w:rsidP="0028665F">
            <w:pPr>
              <w:ind w:right="187"/>
              <w:jc w:val="right"/>
              <w:rPr>
                <w:sz w:val="20"/>
                <w:szCs w:val="20"/>
              </w:rPr>
            </w:pPr>
            <w:r w:rsidRPr="00DA20F5">
              <w:rPr>
                <w:sz w:val="20"/>
                <w:szCs w:val="20"/>
              </w:rPr>
              <w:t>972 665</w:t>
            </w:r>
          </w:p>
        </w:tc>
        <w:tc>
          <w:tcPr>
            <w:tcW w:w="1064" w:type="dxa"/>
            <w:noWrap/>
          </w:tcPr>
          <w:p w:rsidR="00826B8F" w:rsidRPr="00DA20F5" w:rsidRDefault="00826B8F" w:rsidP="00D36FB8">
            <w:pPr>
              <w:ind w:right="117"/>
              <w:jc w:val="right"/>
              <w:rPr>
                <w:sz w:val="20"/>
                <w:szCs w:val="20"/>
              </w:rPr>
            </w:pPr>
            <w:r w:rsidRPr="00DA20F5">
              <w:rPr>
                <w:sz w:val="20"/>
                <w:szCs w:val="20"/>
              </w:rPr>
              <w:t>1 450 705</w:t>
            </w:r>
          </w:p>
        </w:tc>
        <w:tc>
          <w:tcPr>
            <w:tcW w:w="1483" w:type="dxa"/>
            <w:noWrap/>
          </w:tcPr>
          <w:p w:rsidR="00826B8F" w:rsidRPr="00DA20F5" w:rsidRDefault="00826B8F" w:rsidP="00D36FB8">
            <w:pPr>
              <w:ind w:right="373"/>
              <w:jc w:val="right"/>
              <w:rPr>
                <w:sz w:val="20"/>
                <w:szCs w:val="20"/>
              </w:rPr>
            </w:pPr>
            <w:r w:rsidRPr="00DA20F5">
              <w:rPr>
                <w:sz w:val="20"/>
                <w:szCs w:val="20"/>
              </w:rPr>
              <w:t>100,0%</w:t>
            </w:r>
          </w:p>
        </w:tc>
      </w:tr>
      <w:tr w:rsidR="00B61DB1" w:rsidRPr="00DA20F5" w:rsidTr="00B61DB1">
        <w:trPr>
          <w:trHeight w:val="314"/>
          <w:jc w:val="center"/>
        </w:trPr>
        <w:tc>
          <w:tcPr>
            <w:tcW w:w="2687" w:type="dxa"/>
            <w:noWrap/>
            <w:vAlign w:val="center"/>
          </w:tcPr>
          <w:p w:rsidR="00826B8F" w:rsidRPr="00DA20F5" w:rsidRDefault="00826B8F" w:rsidP="00D36FB8">
            <w:pPr>
              <w:rPr>
                <w:sz w:val="20"/>
              </w:rPr>
            </w:pPr>
            <w:bookmarkStart w:id="875" w:name="_Toc294019910"/>
            <w:bookmarkStart w:id="876" w:name="_Toc294027239"/>
            <w:bookmarkStart w:id="877" w:name="_Toc294029478"/>
            <w:bookmarkStart w:id="878" w:name="_Toc313878969"/>
            <w:r w:rsidRPr="00DA20F5">
              <w:rPr>
                <w:sz w:val="20"/>
              </w:rPr>
              <w:t xml:space="preserve">Percentuálny podiel </w:t>
            </w:r>
            <w:bookmarkEnd w:id="875"/>
            <w:bookmarkEnd w:id="876"/>
            <w:bookmarkEnd w:id="877"/>
            <w:bookmarkEnd w:id="878"/>
            <w:r w:rsidRPr="00DA20F5">
              <w:rPr>
                <w:sz w:val="20"/>
              </w:rPr>
              <w:t>sporiteľov</w:t>
            </w:r>
          </w:p>
        </w:tc>
        <w:tc>
          <w:tcPr>
            <w:tcW w:w="1414" w:type="dxa"/>
            <w:noWrap/>
          </w:tcPr>
          <w:p w:rsidR="00826B8F" w:rsidRPr="00DA20F5" w:rsidRDefault="00826B8F" w:rsidP="00D36FB8">
            <w:pPr>
              <w:ind w:right="373"/>
              <w:jc w:val="right"/>
              <w:rPr>
                <w:sz w:val="20"/>
                <w:szCs w:val="20"/>
              </w:rPr>
            </w:pPr>
            <w:r w:rsidRPr="00DA20F5">
              <w:rPr>
                <w:sz w:val="20"/>
                <w:szCs w:val="20"/>
              </w:rPr>
              <w:t>5,8%</w:t>
            </w:r>
          </w:p>
        </w:tc>
        <w:tc>
          <w:tcPr>
            <w:tcW w:w="1190" w:type="dxa"/>
            <w:noWrap/>
          </w:tcPr>
          <w:p w:rsidR="00826B8F" w:rsidRPr="00DA20F5" w:rsidRDefault="00826B8F" w:rsidP="0028665F">
            <w:pPr>
              <w:ind w:right="287"/>
              <w:jc w:val="right"/>
              <w:rPr>
                <w:sz w:val="20"/>
                <w:szCs w:val="20"/>
              </w:rPr>
            </w:pPr>
            <w:r w:rsidRPr="00DA20F5">
              <w:rPr>
                <w:sz w:val="20"/>
                <w:szCs w:val="20"/>
              </w:rPr>
              <w:t>27,2%</w:t>
            </w:r>
          </w:p>
        </w:tc>
        <w:tc>
          <w:tcPr>
            <w:tcW w:w="1175" w:type="dxa"/>
            <w:noWrap/>
          </w:tcPr>
          <w:p w:rsidR="00826B8F" w:rsidRPr="00DA20F5" w:rsidRDefault="00826B8F" w:rsidP="0028665F">
            <w:pPr>
              <w:ind w:right="187"/>
              <w:jc w:val="right"/>
              <w:rPr>
                <w:sz w:val="20"/>
                <w:szCs w:val="20"/>
              </w:rPr>
            </w:pPr>
            <w:r w:rsidRPr="00DA20F5">
              <w:rPr>
                <w:sz w:val="20"/>
                <w:szCs w:val="20"/>
              </w:rPr>
              <w:t>67,0%</w:t>
            </w:r>
          </w:p>
        </w:tc>
        <w:tc>
          <w:tcPr>
            <w:tcW w:w="1064" w:type="dxa"/>
            <w:noWrap/>
          </w:tcPr>
          <w:p w:rsidR="00826B8F" w:rsidRPr="00DA20F5" w:rsidRDefault="00826B8F" w:rsidP="00D36FB8">
            <w:pPr>
              <w:ind w:right="117"/>
              <w:jc w:val="right"/>
              <w:rPr>
                <w:sz w:val="20"/>
                <w:szCs w:val="20"/>
              </w:rPr>
            </w:pPr>
            <w:r w:rsidRPr="00DA20F5">
              <w:rPr>
                <w:sz w:val="20"/>
                <w:szCs w:val="20"/>
              </w:rPr>
              <w:t>100,0%</w:t>
            </w:r>
          </w:p>
        </w:tc>
        <w:tc>
          <w:tcPr>
            <w:tcW w:w="1483" w:type="dxa"/>
            <w:noWrap/>
          </w:tcPr>
          <w:p w:rsidR="00826B8F" w:rsidRPr="00DA20F5" w:rsidRDefault="00826B8F" w:rsidP="00D36FB8">
            <w:pPr>
              <w:ind w:right="373"/>
              <w:jc w:val="right"/>
              <w:rPr>
                <w:sz w:val="20"/>
                <w:szCs w:val="20"/>
              </w:rPr>
            </w:pPr>
          </w:p>
        </w:tc>
      </w:tr>
    </w:tbl>
    <w:p w:rsidR="00826B8F" w:rsidRPr="00DA20F5" w:rsidRDefault="00826B8F" w:rsidP="00D36FB8">
      <w:pPr>
        <w:pStyle w:val="zdroj"/>
        <w:spacing w:after="0"/>
      </w:pPr>
      <w:r w:rsidRPr="00DA20F5">
        <w:t>* do 16.5.2011 ČSOB d.s.s, a.s.</w:t>
      </w:r>
    </w:p>
    <w:p w:rsidR="00826B8F" w:rsidRPr="00DA20F5" w:rsidRDefault="00826B8F" w:rsidP="00D36FB8">
      <w:pPr>
        <w:pStyle w:val="zdroj"/>
        <w:spacing w:before="0"/>
      </w:pPr>
      <w:r w:rsidRPr="00DA20F5">
        <w:t>Výpočet: MPSVR SR</w:t>
      </w:r>
    </w:p>
    <w:p w:rsidR="00826B8F" w:rsidRPr="00DA20F5" w:rsidRDefault="00826B8F" w:rsidP="00D36FB8">
      <w:pPr>
        <w:ind w:firstLine="426"/>
      </w:pPr>
      <w:r w:rsidRPr="00DA20F5">
        <w:t>Z hľadiska vekovej štruktúry sporiteľov</w:t>
      </w:r>
      <w:r w:rsidRPr="00DA20F5">
        <w:rPr>
          <w:vertAlign w:val="superscript"/>
        </w:rPr>
        <w:footnoteReference w:id="18"/>
      </w:r>
      <w:r w:rsidRPr="00DA20F5">
        <w:t xml:space="preserve"> v systéme starobného dôchodkového sporenia najväčšie zastúpenie majú sporitelia vo veku od 31 do 40 rokov, a to 43,2 % z celkového počtu sporiteľov, oproti roku 2010 sa veková štruktúra zásadne nezmenila, keďže systém starobného dôchodkového sporenia bol v roku 2011 uzavretý (vstup do systému bol umožnený iba prvopoistencom).</w:t>
      </w:r>
    </w:p>
    <w:p w:rsidR="00826B8F" w:rsidRPr="00DA20F5" w:rsidRDefault="00826B8F" w:rsidP="00D36FB8">
      <w:pPr>
        <w:pStyle w:val="Nadpis7"/>
        <w:spacing w:before="120"/>
        <w:rPr>
          <w:b w:val="0"/>
          <w:lang w:eastAsia="cs-CZ"/>
        </w:rPr>
      </w:pPr>
      <w:bookmarkStart w:id="879" w:name="_Toc313878974"/>
      <w:bookmarkStart w:id="880" w:name="_Toc294029483"/>
      <w:bookmarkStart w:id="881" w:name="_Toc294027244"/>
      <w:bookmarkStart w:id="882" w:name="_Toc325438178"/>
      <w:bookmarkStart w:id="883" w:name="_Toc325440947"/>
      <w:bookmarkStart w:id="884" w:name="_Toc325626760"/>
      <w:bookmarkStart w:id="885" w:name="_Toc326217021"/>
      <w:r w:rsidRPr="00DA20F5">
        <w:rPr>
          <w:lang w:eastAsia="cs-CZ"/>
        </w:rPr>
        <w:t>Tab. 3.8</w:t>
      </w:r>
      <w:r w:rsidR="00AC5AAB" w:rsidRPr="00DA20F5">
        <w:rPr>
          <w:lang w:eastAsia="cs-CZ"/>
        </w:rPr>
        <w:t xml:space="preserve"> </w:t>
      </w:r>
      <w:r w:rsidRPr="00DA20F5">
        <w:rPr>
          <w:lang w:eastAsia="cs-CZ"/>
        </w:rPr>
        <w:t>Rozdelenie sporiteľov podľa veku k 31. decembru 201</w:t>
      </w:r>
      <w:bookmarkEnd w:id="879"/>
      <w:bookmarkEnd w:id="880"/>
      <w:bookmarkEnd w:id="881"/>
      <w:r w:rsidRPr="00DA20F5">
        <w:rPr>
          <w:lang w:eastAsia="cs-CZ"/>
        </w:rPr>
        <w:t>1</w:t>
      </w:r>
      <w:bookmarkEnd w:id="882"/>
      <w:bookmarkEnd w:id="883"/>
      <w:bookmarkEnd w:id="884"/>
      <w:bookmarkEnd w:id="885"/>
    </w:p>
    <w:tbl>
      <w:tblPr>
        <w:tblW w:w="442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A0" w:firstRow="1" w:lastRow="0" w:firstColumn="1" w:lastColumn="0" w:noHBand="0" w:noVBand="0"/>
      </w:tblPr>
      <w:tblGrid>
        <w:gridCol w:w="1844"/>
        <w:gridCol w:w="1329"/>
        <w:gridCol w:w="1247"/>
      </w:tblGrid>
      <w:tr w:rsidR="00872540" w:rsidRPr="00DA20F5" w:rsidTr="006F40D2">
        <w:trPr>
          <w:trHeight w:val="306"/>
          <w:jc w:val="center"/>
        </w:trPr>
        <w:tc>
          <w:tcPr>
            <w:tcW w:w="1844" w:type="dxa"/>
            <w:shd w:val="clear" w:color="auto" w:fill="4F81BD"/>
            <w:noWrap/>
            <w:vAlign w:val="center"/>
          </w:tcPr>
          <w:p w:rsidR="00826B8F" w:rsidRPr="00DA20F5" w:rsidRDefault="00826B8F" w:rsidP="00D36FB8">
            <w:pPr>
              <w:jc w:val="center"/>
              <w:rPr>
                <w:b/>
                <w:color w:val="FFFFFF" w:themeColor="background1"/>
                <w:lang w:eastAsia="cs-CZ"/>
              </w:rPr>
            </w:pPr>
            <w:bookmarkStart w:id="886" w:name="_Toc294019915"/>
            <w:bookmarkStart w:id="887" w:name="_Toc294027245"/>
            <w:bookmarkStart w:id="888" w:name="_Toc294029484"/>
            <w:bookmarkStart w:id="889" w:name="_Toc313878975"/>
            <w:r w:rsidRPr="00DA20F5">
              <w:rPr>
                <w:b/>
                <w:color w:val="FFFFFF" w:themeColor="background1"/>
                <w:lang w:eastAsia="cs-CZ"/>
              </w:rPr>
              <w:t>veková hranica</w:t>
            </w:r>
            <w:bookmarkEnd w:id="886"/>
            <w:bookmarkEnd w:id="887"/>
            <w:bookmarkEnd w:id="888"/>
            <w:bookmarkEnd w:id="889"/>
          </w:p>
        </w:tc>
        <w:tc>
          <w:tcPr>
            <w:tcW w:w="1329" w:type="dxa"/>
            <w:shd w:val="clear" w:color="auto" w:fill="4F81BD"/>
            <w:noWrap/>
            <w:vAlign w:val="center"/>
          </w:tcPr>
          <w:p w:rsidR="00826B8F" w:rsidRPr="00DA20F5" w:rsidRDefault="00826B8F" w:rsidP="00D36FB8">
            <w:pPr>
              <w:jc w:val="center"/>
              <w:rPr>
                <w:b/>
                <w:color w:val="FFFFFF" w:themeColor="background1"/>
                <w:lang w:eastAsia="cs-CZ"/>
              </w:rPr>
            </w:pPr>
            <w:bookmarkStart w:id="890" w:name="_Toc294019916"/>
            <w:bookmarkStart w:id="891" w:name="_Toc294027246"/>
            <w:bookmarkStart w:id="892" w:name="_Toc294029485"/>
            <w:bookmarkStart w:id="893" w:name="_Toc313878976"/>
            <w:r w:rsidRPr="00DA20F5">
              <w:rPr>
                <w:b/>
                <w:color w:val="FFFFFF" w:themeColor="background1"/>
                <w:lang w:eastAsia="cs-CZ"/>
              </w:rPr>
              <w:t>počet sporiteľov</w:t>
            </w:r>
            <w:bookmarkEnd w:id="890"/>
            <w:bookmarkEnd w:id="891"/>
            <w:bookmarkEnd w:id="892"/>
            <w:bookmarkEnd w:id="893"/>
          </w:p>
        </w:tc>
        <w:tc>
          <w:tcPr>
            <w:tcW w:w="1247" w:type="dxa"/>
            <w:shd w:val="clear" w:color="auto" w:fill="4F81BD"/>
            <w:vAlign w:val="center"/>
          </w:tcPr>
          <w:p w:rsidR="00826B8F" w:rsidRPr="00DA20F5" w:rsidRDefault="00826B8F" w:rsidP="00D36FB8">
            <w:pPr>
              <w:jc w:val="center"/>
              <w:rPr>
                <w:b/>
                <w:color w:val="FFFFFF" w:themeColor="background1"/>
                <w:lang w:eastAsia="cs-CZ"/>
              </w:rPr>
            </w:pPr>
            <w:bookmarkStart w:id="894" w:name="_Toc294019917"/>
            <w:bookmarkStart w:id="895" w:name="_Toc294027247"/>
            <w:bookmarkStart w:id="896" w:name="_Toc294029486"/>
            <w:bookmarkStart w:id="897" w:name="_Toc313878977"/>
            <w:r w:rsidRPr="00DA20F5">
              <w:rPr>
                <w:b/>
                <w:color w:val="FFFFFF" w:themeColor="background1"/>
                <w:lang w:eastAsia="cs-CZ"/>
              </w:rPr>
              <w:t>% podiel</w:t>
            </w:r>
            <w:bookmarkEnd w:id="894"/>
            <w:bookmarkEnd w:id="895"/>
            <w:bookmarkEnd w:id="896"/>
            <w:bookmarkEnd w:id="897"/>
          </w:p>
        </w:tc>
      </w:tr>
      <w:tr w:rsidR="00872540" w:rsidRPr="00DA20F5" w:rsidTr="006F40D2">
        <w:trPr>
          <w:trHeight w:val="306"/>
          <w:jc w:val="center"/>
        </w:trPr>
        <w:tc>
          <w:tcPr>
            <w:tcW w:w="1844" w:type="dxa"/>
            <w:noWrap/>
            <w:vAlign w:val="center"/>
          </w:tcPr>
          <w:p w:rsidR="00826B8F" w:rsidRPr="00DA20F5" w:rsidRDefault="00826B8F" w:rsidP="00D36FB8">
            <w:bookmarkStart w:id="898" w:name="_Toc294019918"/>
            <w:bookmarkStart w:id="899" w:name="_Toc294027248"/>
            <w:bookmarkStart w:id="900" w:name="_Toc294029487"/>
            <w:bookmarkStart w:id="901" w:name="_Toc313878978"/>
            <w:r w:rsidRPr="00DA20F5">
              <w:t>do 20</w:t>
            </w:r>
            <w:bookmarkEnd w:id="898"/>
            <w:bookmarkEnd w:id="899"/>
            <w:bookmarkEnd w:id="900"/>
            <w:bookmarkEnd w:id="901"/>
          </w:p>
        </w:tc>
        <w:tc>
          <w:tcPr>
            <w:tcW w:w="1329" w:type="dxa"/>
            <w:noWrap/>
            <w:vAlign w:val="center"/>
          </w:tcPr>
          <w:p w:rsidR="00826B8F" w:rsidRPr="00DA20F5" w:rsidRDefault="00826B8F" w:rsidP="00D36FB8">
            <w:r w:rsidRPr="00DA20F5">
              <w:t>1 124</w:t>
            </w:r>
          </w:p>
        </w:tc>
        <w:tc>
          <w:tcPr>
            <w:tcW w:w="1247" w:type="dxa"/>
            <w:noWrap/>
            <w:vAlign w:val="center"/>
          </w:tcPr>
          <w:p w:rsidR="00826B8F" w:rsidRPr="00DA20F5" w:rsidRDefault="00826B8F" w:rsidP="00D36FB8">
            <w:r w:rsidRPr="00DA20F5">
              <w:t>0,08%</w:t>
            </w:r>
          </w:p>
        </w:tc>
      </w:tr>
      <w:tr w:rsidR="00872540" w:rsidRPr="00DA20F5" w:rsidTr="006F40D2">
        <w:trPr>
          <w:trHeight w:val="306"/>
          <w:jc w:val="center"/>
        </w:trPr>
        <w:tc>
          <w:tcPr>
            <w:tcW w:w="1844" w:type="dxa"/>
            <w:noWrap/>
            <w:vAlign w:val="center"/>
          </w:tcPr>
          <w:p w:rsidR="00826B8F" w:rsidRPr="00DA20F5" w:rsidRDefault="00826B8F" w:rsidP="00D36FB8">
            <w:bookmarkStart w:id="902" w:name="_Toc294019921"/>
            <w:bookmarkStart w:id="903" w:name="_Toc294027251"/>
            <w:bookmarkStart w:id="904" w:name="_Toc294029490"/>
            <w:bookmarkStart w:id="905" w:name="_Toc313878981"/>
            <w:r w:rsidRPr="00DA20F5">
              <w:t>od 21 do 30</w:t>
            </w:r>
            <w:bookmarkEnd w:id="902"/>
            <w:bookmarkEnd w:id="903"/>
            <w:bookmarkEnd w:id="904"/>
            <w:bookmarkEnd w:id="905"/>
          </w:p>
        </w:tc>
        <w:tc>
          <w:tcPr>
            <w:tcW w:w="1329" w:type="dxa"/>
            <w:noWrap/>
            <w:vAlign w:val="center"/>
          </w:tcPr>
          <w:p w:rsidR="00826B8F" w:rsidRPr="00DA20F5" w:rsidRDefault="00826B8F" w:rsidP="00D36FB8">
            <w:r w:rsidRPr="00DA20F5">
              <w:t>313 309</w:t>
            </w:r>
          </w:p>
        </w:tc>
        <w:tc>
          <w:tcPr>
            <w:tcW w:w="1247" w:type="dxa"/>
            <w:noWrap/>
            <w:vAlign w:val="center"/>
          </w:tcPr>
          <w:p w:rsidR="00826B8F" w:rsidRPr="00DA20F5" w:rsidRDefault="00826B8F" w:rsidP="00D36FB8">
            <w:r w:rsidRPr="00DA20F5">
              <w:t>21,60%</w:t>
            </w:r>
          </w:p>
        </w:tc>
      </w:tr>
      <w:tr w:rsidR="00872540" w:rsidRPr="00DA20F5" w:rsidTr="006F40D2">
        <w:trPr>
          <w:trHeight w:val="306"/>
          <w:jc w:val="center"/>
        </w:trPr>
        <w:tc>
          <w:tcPr>
            <w:tcW w:w="1844" w:type="dxa"/>
            <w:noWrap/>
            <w:vAlign w:val="center"/>
          </w:tcPr>
          <w:p w:rsidR="00826B8F" w:rsidRPr="00DA20F5" w:rsidRDefault="00826B8F" w:rsidP="00D36FB8">
            <w:bookmarkStart w:id="906" w:name="_Toc294019924"/>
            <w:bookmarkStart w:id="907" w:name="_Toc294027254"/>
            <w:bookmarkStart w:id="908" w:name="_Toc294029493"/>
            <w:bookmarkStart w:id="909" w:name="_Toc313878984"/>
            <w:r w:rsidRPr="00DA20F5">
              <w:t>od 31 do 40</w:t>
            </w:r>
            <w:bookmarkEnd w:id="906"/>
            <w:bookmarkEnd w:id="907"/>
            <w:bookmarkEnd w:id="908"/>
            <w:bookmarkEnd w:id="909"/>
          </w:p>
        </w:tc>
        <w:tc>
          <w:tcPr>
            <w:tcW w:w="1329" w:type="dxa"/>
            <w:noWrap/>
            <w:vAlign w:val="center"/>
          </w:tcPr>
          <w:p w:rsidR="00826B8F" w:rsidRPr="00DA20F5" w:rsidRDefault="00826B8F" w:rsidP="00D36FB8">
            <w:r w:rsidRPr="00DA20F5">
              <w:t>627 289</w:t>
            </w:r>
          </w:p>
        </w:tc>
        <w:tc>
          <w:tcPr>
            <w:tcW w:w="1247" w:type="dxa"/>
            <w:noWrap/>
            <w:vAlign w:val="center"/>
          </w:tcPr>
          <w:p w:rsidR="00826B8F" w:rsidRPr="00DA20F5" w:rsidRDefault="00826B8F" w:rsidP="00D36FB8">
            <w:r w:rsidRPr="00DA20F5">
              <w:t>43,24%</w:t>
            </w:r>
          </w:p>
        </w:tc>
      </w:tr>
      <w:tr w:rsidR="00872540" w:rsidRPr="00DA20F5" w:rsidTr="006F40D2">
        <w:trPr>
          <w:trHeight w:val="306"/>
          <w:jc w:val="center"/>
        </w:trPr>
        <w:tc>
          <w:tcPr>
            <w:tcW w:w="1844" w:type="dxa"/>
            <w:noWrap/>
            <w:vAlign w:val="center"/>
          </w:tcPr>
          <w:p w:rsidR="00826B8F" w:rsidRPr="00DA20F5" w:rsidRDefault="00826B8F" w:rsidP="00D36FB8">
            <w:bookmarkStart w:id="910" w:name="_Toc294019927"/>
            <w:bookmarkStart w:id="911" w:name="_Toc294027257"/>
            <w:bookmarkStart w:id="912" w:name="_Toc294029496"/>
            <w:bookmarkStart w:id="913" w:name="_Toc313878987"/>
            <w:r w:rsidRPr="00DA20F5">
              <w:t>od 41 do 50</w:t>
            </w:r>
            <w:bookmarkEnd w:id="910"/>
            <w:bookmarkEnd w:id="911"/>
            <w:bookmarkEnd w:id="912"/>
            <w:bookmarkEnd w:id="913"/>
          </w:p>
        </w:tc>
        <w:tc>
          <w:tcPr>
            <w:tcW w:w="1329" w:type="dxa"/>
            <w:noWrap/>
            <w:vAlign w:val="center"/>
          </w:tcPr>
          <w:p w:rsidR="00826B8F" w:rsidRPr="00DA20F5" w:rsidRDefault="00826B8F" w:rsidP="00D36FB8">
            <w:r w:rsidRPr="00DA20F5">
              <w:t>409 708</w:t>
            </w:r>
          </w:p>
        </w:tc>
        <w:tc>
          <w:tcPr>
            <w:tcW w:w="1247" w:type="dxa"/>
            <w:noWrap/>
            <w:vAlign w:val="center"/>
          </w:tcPr>
          <w:p w:rsidR="00826B8F" w:rsidRPr="00DA20F5" w:rsidRDefault="00826B8F" w:rsidP="00D36FB8">
            <w:r w:rsidRPr="00DA20F5">
              <w:t>28,24%</w:t>
            </w:r>
          </w:p>
        </w:tc>
      </w:tr>
      <w:tr w:rsidR="00872540" w:rsidRPr="00DA20F5" w:rsidTr="006F40D2">
        <w:trPr>
          <w:trHeight w:val="306"/>
          <w:jc w:val="center"/>
        </w:trPr>
        <w:tc>
          <w:tcPr>
            <w:tcW w:w="1844" w:type="dxa"/>
            <w:noWrap/>
            <w:vAlign w:val="center"/>
          </w:tcPr>
          <w:p w:rsidR="00826B8F" w:rsidRPr="00DA20F5" w:rsidRDefault="00826B8F" w:rsidP="00D36FB8">
            <w:bookmarkStart w:id="914" w:name="_Toc294019930"/>
            <w:bookmarkStart w:id="915" w:name="_Toc294027260"/>
            <w:bookmarkStart w:id="916" w:name="_Toc294029499"/>
            <w:bookmarkStart w:id="917" w:name="_Toc313878990"/>
            <w:r w:rsidRPr="00DA20F5">
              <w:t>od 51</w:t>
            </w:r>
            <w:bookmarkEnd w:id="914"/>
            <w:bookmarkEnd w:id="915"/>
            <w:bookmarkEnd w:id="916"/>
            <w:bookmarkEnd w:id="917"/>
          </w:p>
        </w:tc>
        <w:tc>
          <w:tcPr>
            <w:tcW w:w="1329" w:type="dxa"/>
            <w:noWrap/>
            <w:vAlign w:val="center"/>
          </w:tcPr>
          <w:p w:rsidR="00826B8F" w:rsidRPr="00DA20F5" w:rsidRDefault="00826B8F" w:rsidP="00D36FB8">
            <w:r w:rsidRPr="00DA20F5">
              <w:t>99 275</w:t>
            </w:r>
          </w:p>
        </w:tc>
        <w:tc>
          <w:tcPr>
            <w:tcW w:w="1247" w:type="dxa"/>
            <w:noWrap/>
            <w:vAlign w:val="center"/>
          </w:tcPr>
          <w:p w:rsidR="00826B8F" w:rsidRPr="00DA20F5" w:rsidRDefault="00826B8F" w:rsidP="00D36FB8">
            <w:r w:rsidRPr="00DA20F5">
              <w:t>6,84%</w:t>
            </w:r>
          </w:p>
        </w:tc>
      </w:tr>
      <w:tr w:rsidR="00872540" w:rsidRPr="00DA20F5" w:rsidTr="006F40D2">
        <w:trPr>
          <w:trHeight w:val="306"/>
          <w:jc w:val="center"/>
        </w:trPr>
        <w:tc>
          <w:tcPr>
            <w:tcW w:w="1844" w:type="dxa"/>
            <w:noWrap/>
            <w:vAlign w:val="center"/>
          </w:tcPr>
          <w:p w:rsidR="00826B8F" w:rsidRPr="00DA20F5" w:rsidRDefault="00826B8F" w:rsidP="00D36FB8">
            <w:bookmarkStart w:id="918" w:name="_Toc294019933"/>
            <w:bookmarkStart w:id="919" w:name="_Toc294027263"/>
            <w:bookmarkStart w:id="920" w:name="_Toc294029502"/>
            <w:bookmarkStart w:id="921" w:name="_Toc313878993"/>
            <w:r w:rsidRPr="00DA20F5">
              <w:t>Spolu</w:t>
            </w:r>
            <w:bookmarkEnd w:id="918"/>
            <w:bookmarkEnd w:id="919"/>
            <w:bookmarkEnd w:id="920"/>
            <w:bookmarkEnd w:id="921"/>
          </w:p>
        </w:tc>
        <w:tc>
          <w:tcPr>
            <w:tcW w:w="1329" w:type="dxa"/>
            <w:noWrap/>
            <w:vAlign w:val="center"/>
          </w:tcPr>
          <w:p w:rsidR="00826B8F" w:rsidRPr="00DA20F5" w:rsidRDefault="00826B8F" w:rsidP="00D36FB8">
            <w:r w:rsidRPr="00DA20F5">
              <w:t>1 450 705</w:t>
            </w:r>
          </w:p>
        </w:tc>
        <w:tc>
          <w:tcPr>
            <w:tcW w:w="1247" w:type="dxa"/>
            <w:noWrap/>
            <w:vAlign w:val="center"/>
          </w:tcPr>
          <w:p w:rsidR="00826B8F" w:rsidRPr="00DA20F5" w:rsidRDefault="00826B8F" w:rsidP="00D36FB8">
            <w:r w:rsidRPr="00DA20F5">
              <w:t>100,00%</w:t>
            </w:r>
          </w:p>
        </w:tc>
      </w:tr>
    </w:tbl>
    <w:p w:rsidR="00826B8F" w:rsidRPr="00DA20F5" w:rsidRDefault="00826B8F" w:rsidP="00D36FB8">
      <w:pPr>
        <w:pStyle w:val="zdroj"/>
        <w:ind w:left="1701"/>
      </w:pPr>
      <w:r w:rsidRPr="00DA20F5">
        <w:t>Výpočet: MPSVR SR</w:t>
      </w:r>
    </w:p>
    <w:p w:rsidR="00826B8F" w:rsidRPr="00DA20F5" w:rsidRDefault="00826B8F" w:rsidP="00D36FB8">
      <w:pPr>
        <w:ind w:firstLine="426"/>
      </w:pPr>
      <w:r w:rsidRPr="00DA20F5">
        <w:t>Sporiteľov s vymeriavacím základom do 663,88 € bolo k 31. 12. 2011 približne 625 tisíc, čo predstavovalo 53,4 % z tzv. aktívnych sporiteľov.</w:t>
      </w:r>
    </w:p>
    <w:p w:rsidR="00826B8F" w:rsidRPr="00DA20F5" w:rsidRDefault="00826B8F" w:rsidP="00D36FB8">
      <w:pPr>
        <w:pStyle w:val="Nadpis7"/>
        <w:rPr>
          <w:lang w:eastAsia="cs-CZ"/>
        </w:rPr>
      </w:pPr>
      <w:bookmarkStart w:id="922" w:name="_Toc313878996"/>
      <w:bookmarkStart w:id="923" w:name="_Toc294029505"/>
      <w:bookmarkStart w:id="924" w:name="_Toc294027266"/>
      <w:bookmarkStart w:id="925" w:name="_Toc325438179"/>
      <w:bookmarkStart w:id="926" w:name="_Toc325440948"/>
      <w:bookmarkStart w:id="927" w:name="_Toc325626761"/>
      <w:bookmarkStart w:id="928" w:name="_Toc326217022"/>
      <w:r w:rsidRPr="00DA20F5">
        <w:rPr>
          <w:lang w:eastAsia="cs-CZ"/>
        </w:rPr>
        <w:t>Tab. 3.9</w:t>
      </w:r>
      <w:r w:rsidR="00AC5AAB" w:rsidRPr="00DA20F5">
        <w:rPr>
          <w:lang w:eastAsia="cs-CZ"/>
        </w:rPr>
        <w:t xml:space="preserve"> </w:t>
      </w:r>
      <w:r w:rsidRPr="00DA20F5">
        <w:rPr>
          <w:lang w:eastAsia="cs-CZ"/>
        </w:rPr>
        <w:t>Počet aktívnych sporiteľov podľa vymeriavacieho základu k 31.12.201</w:t>
      </w:r>
      <w:bookmarkEnd w:id="922"/>
      <w:bookmarkEnd w:id="923"/>
      <w:bookmarkEnd w:id="924"/>
      <w:r w:rsidRPr="00DA20F5">
        <w:rPr>
          <w:lang w:eastAsia="cs-CZ"/>
        </w:rPr>
        <w:t>1</w:t>
      </w:r>
      <w:bookmarkEnd w:id="925"/>
      <w:bookmarkEnd w:id="926"/>
      <w:bookmarkEnd w:id="927"/>
      <w:bookmarkEnd w:id="928"/>
    </w:p>
    <w:tbl>
      <w:tblPr>
        <w:tblW w:w="5181"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A0" w:firstRow="1" w:lastRow="0" w:firstColumn="1" w:lastColumn="0" w:noHBand="0" w:noVBand="0"/>
      </w:tblPr>
      <w:tblGrid>
        <w:gridCol w:w="2479"/>
        <w:gridCol w:w="1477"/>
        <w:gridCol w:w="1225"/>
      </w:tblGrid>
      <w:tr w:rsidR="00CD0AEF" w:rsidRPr="00DA20F5" w:rsidTr="00CD0AEF">
        <w:trPr>
          <w:trHeight w:val="721"/>
          <w:jc w:val="center"/>
        </w:trPr>
        <w:tc>
          <w:tcPr>
            <w:tcW w:w="2479" w:type="dxa"/>
            <w:shd w:val="clear" w:color="auto" w:fill="4F81BD"/>
            <w:vAlign w:val="center"/>
          </w:tcPr>
          <w:p w:rsidR="00826B8F" w:rsidRPr="00DA20F5" w:rsidRDefault="00826B8F" w:rsidP="00D36FB8">
            <w:pPr>
              <w:jc w:val="center"/>
              <w:rPr>
                <w:b/>
                <w:color w:val="FFFFFF" w:themeColor="background1"/>
                <w:lang w:eastAsia="cs-CZ"/>
              </w:rPr>
            </w:pPr>
            <w:bookmarkStart w:id="929" w:name="_Toc294019936"/>
            <w:bookmarkStart w:id="930" w:name="_Toc294027267"/>
            <w:bookmarkStart w:id="931" w:name="_Toc294029506"/>
            <w:bookmarkStart w:id="932" w:name="_Toc313878997"/>
            <w:r w:rsidRPr="00DA20F5">
              <w:rPr>
                <w:b/>
                <w:color w:val="FFFFFF" w:themeColor="background1"/>
                <w:lang w:eastAsia="cs-CZ"/>
              </w:rPr>
              <w:t>Rozsah vymeriavacieho základu v €</w:t>
            </w:r>
            <w:bookmarkEnd w:id="929"/>
            <w:bookmarkEnd w:id="930"/>
            <w:bookmarkEnd w:id="931"/>
            <w:bookmarkEnd w:id="932"/>
          </w:p>
        </w:tc>
        <w:tc>
          <w:tcPr>
            <w:tcW w:w="1477" w:type="dxa"/>
            <w:shd w:val="clear" w:color="auto" w:fill="4F81BD"/>
            <w:vAlign w:val="center"/>
          </w:tcPr>
          <w:p w:rsidR="00826B8F" w:rsidRPr="00DA20F5" w:rsidRDefault="00826B8F" w:rsidP="00D36FB8">
            <w:pPr>
              <w:jc w:val="center"/>
              <w:rPr>
                <w:b/>
                <w:color w:val="FFFFFF" w:themeColor="background1"/>
                <w:lang w:eastAsia="cs-CZ"/>
              </w:rPr>
            </w:pPr>
            <w:bookmarkStart w:id="933" w:name="_Toc294019937"/>
            <w:bookmarkStart w:id="934" w:name="_Toc294027268"/>
            <w:bookmarkStart w:id="935" w:name="_Toc294029507"/>
            <w:bookmarkStart w:id="936" w:name="_Toc313878998"/>
            <w:r w:rsidRPr="00DA20F5">
              <w:rPr>
                <w:b/>
                <w:color w:val="FFFFFF" w:themeColor="background1"/>
                <w:lang w:eastAsia="cs-CZ"/>
              </w:rPr>
              <w:t>Spolu k 31.12.201</w:t>
            </w:r>
            <w:bookmarkEnd w:id="933"/>
            <w:bookmarkEnd w:id="934"/>
            <w:bookmarkEnd w:id="935"/>
            <w:bookmarkEnd w:id="936"/>
            <w:r w:rsidRPr="00DA20F5">
              <w:rPr>
                <w:b/>
                <w:color w:val="FFFFFF" w:themeColor="background1"/>
                <w:lang w:eastAsia="cs-CZ"/>
              </w:rPr>
              <w:t>1</w:t>
            </w:r>
          </w:p>
        </w:tc>
        <w:tc>
          <w:tcPr>
            <w:tcW w:w="1225" w:type="dxa"/>
            <w:shd w:val="clear" w:color="auto" w:fill="4F81BD"/>
            <w:vAlign w:val="center"/>
          </w:tcPr>
          <w:p w:rsidR="00826B8F" w:rsidRPr="00DA20F5" w:rsidRDefault="00826B8F" w:rsidP="00D36FB8">
            <w:pPr>
              <w:jc w:val="center"/>
              <w:rPr>
                <w:b/>
                <w:color w:val="FFFFFF" w:themeColor="background1"/>
                <w:lang w:eastAsia="cs-CZ"/>
              </w:rPr>
            </w:pPr>
            <w:bookmarkStart w:id="937" w:name="_Toc294019938"/>
            <w:bookmarkStart w:id="938" w:name="_Toc294027269"/>
            <w:bookmarkStart w:id="939" w:name="_Toc294029508"/>
            <w:bookmarkStart w:id="940" w:name="_Toc313878999"/>
            <w:r w:rsidRPr="00DA20F5">
              <w:rPr>
                <w:b/>
                <w:color w:val="FFFFFF" w:themeColor="background1"/>
                <w:lang w:eastAsia="cs-CZ"/>
              </w:rPr>
              <w:t>% podiel</w:t>
            </w:r>
            <w:bookmarkEnd w:id="937"/>
            <w:bookmarkEnd w:id="938"/>
            <w:bookmarkEnd w:id="939"/>
            <w:bookmarkEnd w:id="940"/>
          </w:p>
        </w:tc>
      </w:tr>
      <w:tr w:rsidR="00CD0AEF" w:rsidRPr="00DA20F5" w:rsidTr="00CD0AEF">
        <w:trPr>
          <w:trHeight w:val="343"/>
          <w:jc w:val="center"/>
        </w:trPr>
        <w:tc>
          <w:tcPr>
            <w:tcW w:w="2479" w:type="dxa"/>
            <w:noWrap/>
            <w:vAlign w:val="center"/>
          </w:tcPr>
          <w:p w:rsidR="00826B8F" w:rsidRPr="00DA20F5" w:rsidRDefault="00826B8F" w:rsidP="00D36FB8">
            <w:bookmarkStart w:id="941" w:name="_Toc294019939"/>
            <w:bookmarkStart w:id="942" w:name="_Toc294027270"/>
            <w:bookmarkStart w:id="943" w:name="_Toc294029509"/>
            <w:bookmarkStart w:id="944" w:name="_Toc313879000"/>
            <w:r w:rsidRPr="00DA20F5">
              <w:t>do 331,94</w:t>
            </w:r>
            <w:bookmarkEnd w:id="941"/>
            <w:bookmarkEnd w:id="942"/>
            <w:bookmarkEnd w:id="943"/>
            <w:bookmarkEnd w:id="944"/>
          </w:p>
        </w:tc>
        <w:tc>
          <w:tcPr>
            <w:tcW w:w="1477" w:type="dxa"/>
            <w:noWrap/>
            <w:vAlign w:val="center"/>
          </w:tcPr>
          <w:p w:rsidR="00826B8F" w:rsidRPr="00DA20F5" w:rsidRDefault="00826B8F" w:rsidP="00D36FB8">
            <w:pPr>
              <w:ind w:right="301"/>
              <w:jc w:val="right"/>
              <w:rPr>
                <w:szCs w:val="20"/>
              </w:rPr>
            </w:pPr>
            <w:r w:rsidRPr="00DA20F5">
              <w:rPr>
                <w:szCs w:val="20"/>
              </w:rPr>
              <w:t>213 391</w:t>
            </w:r>
          </w:p>
        </w:tc>
        <w:tc>
          <w:tcPr>
            <w:tcW w:w="1225" w:type="dxa"/>
            <w:vAlign w:val="center"/>
          </w:tcPr>
          <w:p w:rsidR="00826B8F" w:rsidRPr="00DA20F5" w:rsidRDefault="00826B8F" w:rsidP="00D36FB8">
            <w:pPr>
              <w:ind w:right="301"/>
              <w:jc w:val="right"/>
              <w:rPr>
                <w:szCs w:val="20"/>
              </w:rPr>
            </w:pPr>
            <w:r w:rsidRPr="00DA20F5">
              <w:rPr>
                <w:szCs w:val="20"/>
              </w:rPr>
              <w:t>19,7%</w:t>
            </w:r>
          </w:p>
        </w:tc>
      </w:tr>
      <w:tr w:rsidR="00CD0AEF" w:rsidRPr="00DA20F5" w:rsidTr="00CD0AEF">
        <w:trPr>
          <w:trHeight w:val="343"/>
          <w:jc w:val="center"/>
        </w:trPr>
        <w:tc>
          <w:tcPr>
            <w:tcW w:w="2479" w:type="dxa"/>
            <w:noWrap/>
            <w:vAlign w:val="center"/>
          </w:tcPr>
          <w:p w:rsidR="00826B8F" w:rsidRPr="00DA20F5" w:rsidRDefault="00826B8F" w:rsidP="00D36FB8">
            <w:bookmarkStart w:id="945" w:name="_Toc294019942"/>
            <w:bookmarkStart w:id="946" w:name="_Toc294027273"/>
            <w:bookmarkStart w:id="947" w:name="_Toc294029512"/>
            <w:bookmarkStart w:id="948" w:name="_Toc313879003"/>
            <w:r w:rsidRPr="00DA20F5">
              <w:t>331,98 - 663,88</w:t>
            </w:r>
            <w:bookmarkEnd w:id="945"/>
            <w:bookmarkEnd w:id="946"/>
            <w:bookmarkEnd w:id="947"/>
            <w:bookmarkEnd w:id="948"/>
          </w:p>
        </w:tc>
        <w:tc>
          <w:tcPr>
            <w:tcW w:w="1477" w:type="dxa"/>
            <w:noWrap/>
            <w:vAlign w:val="center"/>
          </w:tcPr>
          <w:p w:rsidR="00826B8F" w:rsidRPr="00DA20F5" w:rsidRDefault="00826B8F" w:rsidP="00D36FB8">
            <w:pPr>
              <w:ind w:right="301"/>
              <w:jc w:val="right"/>
              <w:rPr>
                <w:szCs w:val="20"/>
              </w:rPr>
            </w:pPr>
            <w:r w:rsidRPr="00DA20F5">
              <w:rPr>
                <w:szCs w:val="20"/>
              </w:rPr>
              <w:t>411 909</w:t>
            </w:r>
          </w:p>
        </w:tc>
        <w:tc>
          <w:tcPr>
            <w:tcW w:w="1225" w:type="dxa"/>
            <w:vAlign w:val="center"/>
          </w:tcPr>
          <w:p w:rsidR="00826B8F" w:rsidRPr="00DA20F5" w:rsidRDefault="00826B8F" w:rsidP="00D36FB8">
            <w:pPr>
              <w:ind w:right="301"/>
              <w:jc w:val="right"/>
              <w:rPr>
                <w:szCs w:val="20"/>
              </w:rPr>
            </w:pPr>
            <w:r w:rsidRPr="00DA20F5">
              <w:rPr>
                <w:szCs w:val="20"/>
              </w:rPr>
              <w:t>38,1%</w:t>
            </w:r>
          </w:p>
        </w:tc>
      </w:tr>
      <w:tr w:rsidR="00CD0AEF" w:rsidRPr="00DA20F5" w:rsidTr="00CD0AEF">
        <w:trPr>
          <w:trHeight w:val="343"/>
          <w:jc w:val="center"/>
        </w:trPr>
        <w:tc>
          <w:tcPr>
            <w:tcW w:w="2479" w:type="dxa"/>
            <w:noWrap/>
            <w:vAlign w:val="center"/>
          </w:tcPr>
          <w:p w:rsidR="00826B8F" w:rsidRPr="00DA20F5" w:rsidRDefault="00826B8F" w:rsidP="00D36FB8">
            <w:bookmarkStart w:id="949" w:name="_Toc294019945"/>
            <w:bookmarkStart w:id="950" w:name="_Toc294027276"/>
            <w:bookmarkStart w:id="951" w:name="_Toc294029515"/>
            <w:bookmarkStart w:id="952" w:name="_Toc313879006"/>
            <w:r w:rsidRPr="00DA20F5">
              <w:t>663,92 - 995,82</w:t>
            </w:r>
            <w:bookmarkEnd w:id="949"/>
            <w:bookmarkEnd w:id="950"/>
            <w:bookmarkEnd w:id="951"/>
            <w:bookmarkEnd w:id="952"/>
          </w:p>
        </w:tc>
        <w:tc>
          <w:tcPr>
            <w:tcW w:w="1477" w:type="dxa"/>
            <w:noWrap/>
            <w:vAlign w:val="center"/>
          </w:tcPr>
          <w:p w:rsidR="00826B8F" w:rsidRPr="00DA20F5" w:rsidRDefault="00826B8F" w:rsidP="00D36FB8">
            <w:pPr>
              <w:ind w:right="301"/>
              <w:jc w:val="right"/>
              <w:rPr>
                <w:szCs w:val="20"/>
              </w:rPr>
            </w:pPr>
            <w:r w:rsidRPr="00DA20F5">
              <w:rPr>
                <w:szCs w:val="20"/>
              </w:rPr>
              <w:t>238 244</w:t>
            </w:r>
          </w:p>
        </w:tc>
        <w:tc>
          <w:tcPr>
            <w:tcW w:w="1225" w:type="dxa"/>
            <w:vAlign w:val="center"/>
          </w:tcPr>
          <w:p w:rsidR="00826B8F" w:rsidRPr="00DA20F5" w:rsidRDefault="00826B8F" w:rsidP="00D36FB8">
            <w:pPr>
              <w:ind w:right="301"/>
              <w:jc w:val="right"/>
              <w:rPr>
                <w:szCs w:val="20"/>
              </w:rPr>
            </w:pPr>
            <w:r w:rsidRPr="00DA20F5">
              <w:rPr>
                <w:szCs w:val="20"/>
              </w:rPr>
              <w:t>22,0%</w:t>
            </w:r>
          </w:p>
        </w:tc>
      </w:tr>
      <w:tr w:rsidR="00CD0AEF" w:rsidRPr="00DA20F5" w:rsidTr="00CD0AEF">
        <w:trPr>
          <w:trHeight w:val="343"/>
          <w:jc w:val="center"/>
        </w:trPr>
        <w:tc>
          <w:tcPr>
            <w:tcW w:w="2479" w:type="dxa"/>
            <w:noWrap/>
            <w:vAlign w:val="center"/>
          </w:tcPr>
          <w:p w:rsidR="00826B8F" w:rsidRPr="00DA20F5" w:rsidRDefault="00826B8F" w:rsidP="00D36FB8">
            <w:bookmarkStart w:id="953" w:name="_Toc294019948"/>
            <w:bookmarkStart w:id="954" w:name="_Toc294027279"/>
            <w:bookmarkStart w:id="955" w:name="_Toc294029518"/>
            <w:bookmarkStart w:id="956" w:name="_Toc313879009"/>
            <w:r w:rsidRPr="00DA20F5">
              <w:t>995,86 - 1 327,76</w:t>
            </w:r>
            <w:bookmarkEnd w:id="953"/>
            <w:bookmarkEnd w:id="954"/>
            <w:bookmarkEnd w:id="955"/>
            <w:bookmarkEnd w:id="956"/>
          </w:p>
        </w:tc>
        <w:tc>
          <w:tcPr>
            <w:tcW w:w="1477" w:type="dxa"/>
            <w:noWrap/>
            <w:vAlign w:val="center"/>
          </w:tcPr>
          <w:p w:rsidR="00826B8F" w:rsidRPr="00DA20F5" w:rsidRDefault="00826B8F" w:rsidP="00D36FB8">
            <w:pPr>
              <w:ind w:right="301"/>
              <w:jc w:val="right"/>
              <w:rPr>
                <w:szCs w:val="20"/>
              </w:rPr>
            </w:pPr>
            <w:r w:rsidRPr="00DA20F5">
              <w:rPr>
                <w:szCs w:val="20"/>
              </w:rPr>
              <w:t>104 270</w:t>
            </w:r>
          </w:p>
        </w:tc>
        <w:tc>
          <w:tcPr>
            <w:tcW w:w="1225" w:type="dxa"/>
            <w:vAlign w:val="center"/>
          </w:tcPr>
          <w:p w:rsidR="00826B8F" w:rsidRPr="00DA20F5" w:rsidRDefault="00826B8F" w:rsidP="00D36FB8">
            <w:pPr>
              <w:ind w:right="301"/>
              <w:jc w:val="right"/>
              <w:rPr>
                <w:szCs w:val="20"/>
              </w:rPr>
            </w:pPr>
            <w:r w:rsidRPr="00DA20F5">
              <w:rPr>
                <w:szCs w:val="20"/>
              </w:rPr>
              <w:t>9,6%</w:t>
            </w:r>
          </w:p>
        </w:tc>
      </w:tr>
      <w:tr w:rsidR="00CD0AEF" w:rsidRPr="00DA20F5" w:rsidTr="00CD0AEF">
        <w:trPr>
          <w:trHeight w:val="343"/>
          <w:jc w:val="center"/>
        </w:trPr>
        <w:tc>
          <w:tcPr>
            <w:tcW w:w="2479" w:type="dxa"/>
            <w:noWrap/>
            <w:vAlign w:val="center"/>
          </w:tcPr>
          <w:p w:rsidR="00826B8F" w:rsidRPr="00DA20F5" w:rsidRDefault="00826B8F" w:rsidP="00D36FB8">
            <w:bookmarkStart w:id="957" w:name="_Toc294019951"/>
            <w:bookmarkStart w:id="958" w:name="_Toc294027282"/>
            <w:bookmarkStart w:id="959" w:name="_Toc294029521"/>
            <w:bookmarkStart w:id="960" w:name="_Toc313879012"/>
            <w:r w:rsidRPr="00DA20F5">
              <w:t>1 327,79 - 1 659,70</w:t>
            </w:r>
            <w:bookmarkEnd w:id="957"/>
            <w:bookmarkEnd w:id="958"/>
            <w:bookmarkEnd w:id="959"/>
            <w:bookmarkEnd w:id="960"/>
          </w:p>
        </w:tc>
        <w:tc>
          <w:tcPr>
            <w:tcW w:w="1477" w:type="dxa"/>
            <w:noWrap/>
            <w:vAlign w:val="center"/>
          </w:tcPr>
          <w:p w:rsidR="00826B8F" w:rsidRPr="00DA20F5" w:rsidRDefault="00826B8F" w:rsidP="00D36FB8">
            <w:pPr>
              <w:ind w:right="301"/>
              <w:jc w:val="right"/>
              <w:rPr>
                <w:szCs w:val="20"/>
              </w:rPr>
            </w:pPr>
            <w:r w:rsidRPr="00DA20F5">
              <w:rPr>
                <w:szCs w:val="20"/>
              </w:rPr>
              <w:t>47 025</w:t>
            </w:r>
          </w:p>
        </w:tc>
        <w:tc>
          <w:tcPr>
            <w:tcW w:w="1225" w:type="dxa"/>
            <w:vAlign w:val="center"/>
          </w:tcPr>
          <w:p w:rsidR="00826B8F" w:rsidRPr="00DA20F5" w:rsidRDefault="00826B8F" w:rsidP="00D36FB8">
            <w:pPr>
              <w:ind w:right="301"/>
              <w:jc w:val="right"/>
              <w:rPr>
                <w:szCs w:val="20"/>
              </w:rPr>
            </w:pPr>
            <w:r w:rsidRPr="00DA20F5">
              <w:rPr>
                <w:szCs w:val="20"/>
              </w:rPr>
              <w:t>4,4%</w:t>
            </w:r>
          </w:p>
        </w:tc>
      </w:tr>
      <w:tr w:rsidR="00CD0AEF" w:rsidRPr="00DA20F5" w:rsidTr="00CD0AEF">
        <w:trPr>
          <w:trHeight w:val="343"/>
          <w:jc w:val="center"/>
        </w:trPr>
        <w:tc>
          <w:tcPr>
            <w:tcW w:w="2479" w:type="dxa"/>
            <w:noWrap/>
            <w:vAlign w:val="center"/>
          </w:tcPr>
          <w:p w:rsidR="00826B8F" w:rsidRPr="00DA20F5" w:rsidRDefault="00826B8F" w:rsidP="00D36FB8">
            <w:bookmarkStart w:id="961" w:name="_Toc294019954"/>
            <w:bookmarkStart w:id="962" w:name="_Toc294027285"/>
            <w:bookmarkStart w:id="963" w:name="_Toc294029524"/>
            <w:bookmarkStart w:id="964" w:name="_Toc313879015"/>
            <w:smartTag w:uri="urn:schemas-microsoft-com:office:smarttags" w:element="metricconverter">
              <w:smartTagPr>
                <w:attr w:name="ProductID" w:val="1 659,73 a"/>
              </w:smartTagPr>
              <w:r w:rsidRPr="00DA20F5">
                <w:t>1 659,73 a</w:t>
              </w:r>
            </w:smartTag>
            <w:r w:rsidRPr="00DA20F5">
              <w:t xml:space="preserve"> viac</w:t>
            </w:r>
            <w:bookmarkEnd w:id="961"/>
            <w:bookmarkEnd w:id="962"/>
            <w:bookmarkEnd w:id="963"/>
            <w:bookmarkEnd w:id="964"/>
          </w:p>
        </w:tc>
        <w:tc>
          <w:tcPr>
            <w:tcW w:w="1477" w:type="dxa"/>
            <w:noWrap/>
            <w:vAlign w:val="center"/>
          </w:tcPr>
          <w:p w:rsidR="00826B8F" w:rsidRPr="00DA20F5" w:rsidRDefault="00826B8F" w:rsidP="00D36FB8">
            <w:pPr>
              <w:ind w:right="301"/>
              <w:jc w:val="right"/>
              <w:rPr>
                <w:szCs w:val="20"/>
              </w:rPr>
            </w:pPr>
            <w:r w:rsidRPr="00DA20F5">
              <w:rPr>
                <w:szCs w:val="20"/>
              </w:rPr>
              <w:t>65 808</w:t>
            </w:r>
          </w:p>
        </w:tc>
        <w:tc>
          <w:tcPr>
            <w:tcW w:w="1225" w:type="dxa"/>
            <w:vAlign w:val="center"/>
          </w:tcPr>
          <w:p w:rsidR="00826B8F" w:rsidRPr="00DA20F5" w:rsidRDefault="00826B8F" w:rsidP="00D36FB8">
            <w:pPr>
              <w:ind w:right="301"/>
              <w:jc w:val="right"/>
              <w:rPr>
                <w:szCs w:val="20"/>
              </w:rPr>
            </w:pPr>
            <w:r w:rsidRPr="00DA20F5">
              <w:rPr>
                <w:szCs w:val="20"/>
              </w:rPr>
              <w:t>6,1%</w:t>
            </w:r>
          </w:p>
        </w:tc>
      </w:tr>
      <w:tr w:rsidR="00CD0AEF" w:rsidRPr="00DA20F5" w:rsidTr="00CD0AEF">
        <w:trPr>
          <w:trHeight w:val="343"/>
          <w:jc w:val="center"/>
        </w:trPr>
        <w:tc>
          <w:tcPr>
            <w:tcW w:w="2479" w:type="dxa"/>
            <w:noWrap/>
            <w:vAlign w:val="center"/>
          </w:tcPr>
          <w:p w:rsidR="00826B8F" w:rsidRPr="00DA20F5" w:rsidRDefault="00826B8F" w:rsidP="00D36FB8">
            <w:bookmarkStart w:id="965" w:name="_Toc294019957"/>
            <w:bookmarkStart w:id="966" w:name="_Toc294027288"/>
            <w:bookmarkStart w:id="967" w:name="_Toc294029527"/>
            <w:bookmarkStart w:id="968" w:name="_Toc313879018"/>
            <w:r w:rsidRPr="00DA20F5">
              <w:t>Aktívni sporitelia</w:t>
            </w:r>
            <w:bookmarkEnd w:id="965"/>
            <w:bookmarkEnd w:id="966"/>
            <w:bookmarkEnd w:id="967"/>
            <w:bookmarkEnd w:id="968"/>
            <w:r w:rsidRPr="00DA20F5">
              <w:t xml:space="preserve"> spolu</w:t>
            </w:r>
          </w:p>
        </w:tc>
        <w:tc>
          <w:tcPr>
            <w:tcW w:w="1477" w:type="dxa"/>
            <w:noWrap/>
            <w:vAlign w:val="center"/>
          </w:tcPr>
          <w:p w:rsidR="00826B8F" w:rsidRPr="00DA20F5" w:rsidRDefault="00826B8F" w:rsidP="00D36FB8">
            <w:pPr>
              <w:ind w:right="301"/>
              <w:jc w:val="right"/>
              <w:rPr>
                <w:szCs w:val="20"/>
              </w:rPr>
            </w:pPr>
            <w:r w:rsidRPr="00DA20F5">
              <w:rPr>
                <w:szCs w:val="20"/>
              </w:rPr>
              <w:t>1 080 647</w:t>
            </w:r>
          </w:p>
        </w:tc>
        <w:tc>
          <w:tcPr>
            <w:tcW w:w="1225" w:type="dxa"/>
            <w:vAlign w:val="center"/>
          </w:tcPr>
          <w:p w:rsidR="00826B8F" w:rsidRPr="00DA20F5" w:rsidRDefault="00826B8F" w:rsidP="00D36FB8">
            <w:pPr>
              <w:ind w:right="301"/>
              <w:jc w:val="right"/>
              <w:rPr>
                <w:szCs w:val="20"/>
              </w:rPr>
            </w:pPr>
            <w:r w:rsidRPr="00DA20F5">
              <w:rPr>
                <w:szCs w:val="20"/>
              </w:rPr>
              <w:t>100,0%</w:t>
            </w:r>
          </w:p>
        </w:tc>
      </w:tr>
    </w:tbl>
    <w:p w:rsidR="00826B8F" w:rsidRPr="00DA20F5" w:rsidRDefault="00826B8F" w:rsidP="00D36FB8">
      <w:pPr>
        <w:pStyle w:val="zdroj"/>
        <w:ind w:left="1134"/>
      </w:pPr>
      <w:r w:rsidRPr="00DA20F5">
        <w:t>Výpočet: MPSVR SR</w:t>
      </w:r>
    </w:p>
    <w:p w:rsidR="00826B8F" w:rsidRPr="00DA20F5" w:rsidRDefault="00826B8F" w:rsidP="00D36FB8">
      <w:pPr>
        <w:ind w:firstLine="426"/>
      </w:pPr>
      <w:r w:rsidRPr="00DA20F5">
        <w:lastRenderedPageBreak/>
        <w:t xml:space="preserve">Rozdiel medzi počtom sporiteľov v tabuľke 3.7 a 3.9 predstavuje približne 370 tisíc osôb – tieto fyzické osoby možno označiť ako tzv. </w:t>
      </w:r>
      <w:r w:rsidRPr="00DA20F5">
        <w:rPr>
          <w:b/>
        </w:rPr>
        <w:t xml:space="preserve">neaktívnych sporiteľov, </w:t>
      </w:r>
      <w:r w:rsidRPr="00DA20F5">
        <w:t>to znamená, že k 31. decembru 2011 si neplatili príspevky na starobné dôchodkové sporenie z titulu zamestnanca, povinne poistenej samostatne zárobkovo činnej osoby alebo dobrovoľne poistenej osoby a neplatil za nich príspevky ani štát z dôvodu výkonu zákonom vymedzených činností (starostlivosť o dieťa, opatrovanie) ani Sociálna poisťovňa, oproti roku 2010 tento počet klesol o približne 14 %.</w:t>
      </w:r>
    </w:p>
    <w:p w:rsidR="00826B8F" w:rsidRPr="00DA20F5" w:rsidRDefault="00826B8F" w:rsidP="000B4550">
      <w:pPr>
        <w:pStyle w:val="Nadpis6"/>
      </w:pPr>
      <w:bookmarkStart w:id="969" w:name="_Toc326217023"/>
      <w:r w:rsidRPr="00DA20F5">
        <w:t>Doplnkové dôchodkové sporenie</w:t>
      </w:r>
      <w:bookmarkEnd w:id="969"/>
      <w:r w:rsidRPr="00DA20F5">
        <w:t xml:space="preserve"> </w:t>
      </w:r>
    </w:p>
    <w:p w:rsidR="00826B8F" w:rsidRPr="00DA20F5" w:rsidRDefault="00826B8F" w:rsidP="00D36FB8">
      <w:pPr>
        <w:ind w:firstLine="426"/>
      </w:pPr>
      <w:r w:rsidRPr="00DA20F5">
        <w:t>Doplnkové (</w:t>
      </w:r>
      <w:r w:rsidR="00142125" w:rsidRPr="00DA20F5">
        <w:t>dobrovoľné) dôchodkové sporenie predstavuje</w:t>
      </w:r>
      <w:r w:rsidRPr="00DA20F5">
        <w:t xml:space="preserve"> tzv. tretí pilier dôchodkového systému, v ktorom sú finančné prostriedky účastníkov spravované doplnkovými dôchodkovými spoločnosťami (ďalej len „DDS“).</w:t>
      </w:r>
    </w:p>
    <w:p w:rsidR="00826B8F" w:rsidRPr="00DA20F5" w:rsidRDefault="00826B8F" w:rsidP="00D36FB8">
      <w:pPr>
        <w:ind w:firstLine="426"/>
      </w:pPr>
      <w:r w:rsidRPr="00DA20F5">
        <w:t>Účelom doplnkového dôchodkového sporenia je umožniť účastníkovi doplnkového dôchodkového sporenia (ďalej len „účastník“) získať doplnkový dôchodkový príjem v starobe a doplnkový dôchodkový príjem v prípade skončenia výkonu prác, ktoré sú zaradené na základe rozhodnutia orgánu na ochranu zdravia do kategórie 3 alebo 4 alebo skončenia výkonu prác zamestnanca, ktorý je tanečný umelec alebo hudobný umelec, k</w:t>
      </w:r>
      <w:r w:rsidR="00B45797" w:rsidRPr="00DA20F5">
        <w:t>torý vykonáva profesiu hráča na </w:t>
      </w:r>
      <w:r w:rsidRPr="00DA20F5">
        <w:t>dychový nástroj.</w:t>
      </w:r>
    </w:p>
    <w:p w:rsidR="00826B8F" w:rsidRPr="00DA20F5" w:rsidRDefault="00826B8F" w:rsidP="00D36FB8">
      <w:pPr>
        <w:ind w:firstLine="426"/>
        <w:rPr>
          <w:sz w:val="20"/>
          <w:szCs w:val="20"/>
        </w:rPr>
      </w:pPr>
      <w:r w:rsidRPr="00DA20F5">
        <w:t>Účastníkom je zamestnanec, ktorý uzatvoril zmluvu o doplnkovom dôchodkovom sporení s doplnkovou dôchodkovou spoločnosťou (ďalej len "účastnícka zmluva"); alebo iná fyzická osoba, ktorá ku dňu uzatvorenia účastníckej zmluvy dovŕšila najmenej 18 rokov veku</w:t>
      </w:r>
      <w:r w:rsidRPr="00DA20F5">
        <w:rPr>
          <w:sz w:val="20"/>
          <w:szCs w:val="20"/>
        </w:rPr>
        <w:t>.</w:t>
      </w:r>
    </w:p>
    <w:p w:rsidR="00826B8F" w:rsidRPr="00DA20F5" w:rsidRDefault="00826B8F" w:rsidP="00D36FB8">
      <w:pPr>
        <w:ind w:firstLine="426"/>
        <w:rPr>
          <w:sz w:val="20"/>
          <w:szCs w:val="20"/>
        </w:rPr>
      </w:pPr>
      <w:r w:rsidRPr="00DA20F5">
        <w:t xml:space="preserve">Zamestnanec, ktorý vykonáva práce zaradené na základe rozhodnutia orgánu na ochranu zdravia do kategórie 3 alebo </w:t>
      </w:r>
      <w:smartTag w:uri="urn:schemas-microsoft-com:office:smarttags" w:element="metricconverter">
        <w:smartTagPr>
          <w:attr w:name="ProductID" w:val="4 a"/>
        </w:smartTagPr>
        <w:r w:rsidRPr="00DA20F5">
          <w:t>4 a</w:t>
        </w:r>
      </w:smartTag>
      <w:r w:rsidRPr="00DA20F5">
        <w:t xml:space="preserve"> zamestnanec, ktorý vykonáva práce </w:t>
      </w:r>
      <w:r w:rsidR="00B45797" w:rsidRPr="00DA20F5">
        <w:t>tanečného umelca alebo hráča na </w:t>
      </w:r>
      <w:r w:rsidRPr="00DA20F5">
        <w:t>dychový nástroj, sú povinní uzatvoriť účastnícku zmluvu a ich zamestnávatelia sú povinní uzatvoriť zamestnávateľskú zmluvu, a to do ôsmich dní od začatia výkonu týchto prác.</w:t>
      </w:r>
    </w:p>
    <w:p w:rsidR="00826B8F" w:rsidRPr="00DA20F5" w:rsidRDefault="00826B8F" w:rsidP="00D36FB8">
      <w:pPr>
        <w:ind w:firstLine="426"/>
      </w:pPr>
      <w:r w:rsidRPr="00DA20F5">
        <w:t>Prostredníctvom doplnkového dôchodkového sporenia si účastník sporí finančné prostriedky v DDS, ktorá tieto prostriedky investuje za účelom ich zhodnotenia. Výsledná suma dávky doplnkového dôchodkového sporenia závisí od výšky</w:t>
      </w:r>
      <w:r w:rsidRPr="00DA20F5">
        <w:rPr>
          <w:b/>
        </w:rPr>
        <w:t xml:space="preserve"> </w:t>
      </w:r>
      <w:r w:rsidRPr="00DA20F5">
        <w:t>finančných prostriedkov, ktoré účastník a jeho zamestnávateľ počas celého obdobia sporenia do DDS odviedli a od miery ich zhodnotenia.</w:t>
      </w:r>
    </w:p>
    <w:p w:rsidR="00826B8F" w:rsidRPr="00DA20F5" w:rsidRDefault="00826B8F" w:rsidP="00D36FB8">
      <w:pPr>
        <w:ind w:firstLine="426"/>
      </w:pPr>
      <w:r w:rsidRPr="00DA20F5">
        <w:t>Z doplnkového dôchodkového sporenia sa po splnení podmienok ustanovených zákonom o doplnkovom dôchodkovom sporení a dávkovým plánom, ktorý je prílohou účastníckej zmluvy, vyplácajú tieto dávky doplnkového dôchodkového sporenia:</w:t>
      </w:r>
    </w:p>
    <w:p w:rsidR="00826B8F" w:rsidRPr="00DA20F5" w:rsidRDefault="00826B8F" w:rsidP="00DB509D">
      <w:pPr>
        <w:pStyle w:val="Odsekzoznamu"/>
        <w:numPr>
          <w:ilvl w:val="0"/>
          <w:numId w:val="31"/>
        </w:numPr>
        <w:tabs>
          <w:tab w:val="left" w:pos="1418"/>
        </w:tabs>
        <w:contextualSpacing/>
      </w:pPr>
      <w:r w:rsidRPr="00DA20F5">
        <w:t>doplnkový starobný dôchodok, a to vo forme</w:t>
      </w:r>
    </w:p>
    <w:p w:rsidR="00826B8F" w:rsidRPr="00DA20F5" w:rsidRDefault="00826B8F" w:rsidP="00DB509D">
      <w:pPr>
        <w:numPr>
          <w:ilvl w:val="1"/>
          <w:numId w:val="32"/>
        </w:numPr>
      </w:pPr>
      <w:r w:rsidRPr="00DA20F5">
        <w:t>doživotného doplnkového starobného dôchodku,</w:t>
      </w:r>
    </w:p>
    <w:p w:rsidR="00826B8F" w:rsidRPr="00DA20F5" w:rsidRDefault="00826B8F" w:rsidP="00DB509D">
      <w:pPr>
        <w:numPr>
          <w:ilvl w:val="1"/>
          <w:numId w:val="32"/>
        </w:numPr>
      </w:pPr>
      <w:r w:rsidRPr="00DA20F5">
        <w:t>dočasného doplnkového starobného dôchodku,</w:t>
      </w:r>
    </w:p>
    <w:p w:rsidR="00826B8F" w:rsidRPr="00DA20F5" w:rsidRDefault="00826B8F" w:rsidP="00DB509D">
      <w:pPr>
        <w:pStyle w:val="Odsekzoznamu"/>
        <w:numPr>
          <w:ilvl w:val="0"/>
          <w:numId w:val="31"/>
        </w:numPr>
        <w:tabs>
          <w:tab w:val="left" w:pos="1418"/>
        </w:tabs>
        <w:contextualSpacing/>
      </w:pPr>
      <w:r w:rsidRPr="00DA20F5">
        <w:t xml:space="preserve">doplnkový výsluhový dôchodok, a to vo forme </w:t>
      </w:r>
    </w:p>
    <w:p w:rsidR="00826B8F" w:rsidRPr="00DA20F5" w:rsidRDefault="00826B8F" w:rsidP="00DB509D">
      <w:pPr>
        <w:numPr>
          <w:ilvl w:val="1"/>
          <w:numId w:val="33"/>
        </w:numPr>
      </w:pPr>
      <w:r w:rsidRPr="00DA20F5">
        <w:t>doživotného doplnkového výsluhového dôchodku,</w:t>
      </w:r>
    </w:p>
    <w:p w:rsidR="00826B8F" w:rsidRPr="00DA20F5" w:rsidRDefault="00826B8F" w:rsidP="00DB509D">
      <w:pPr>
        <w:numPr>
          <w:ilvl w:val="1"/>
          <w:numId w:val="33"/>
        </w:numPr>
      </w:pPr>
      <w:r w:rsidRPr="00DA20F5">
        <w:t>dočasného doplnkového výsluhového dôchodku,</w:t>
      </w:r>
    </w:p>
    <w:p w:rsidR="00826B8F" w:rsidRPr="00DA20F5" w:rsidRDefault="00826B8F" w:rsidP="00DB509D">
      <w:pPr>
        <w:pStyle w:val="Odsekzoznamu"/>
        <w:numPr>
          <w:ilvl w:val="0"/>
          <w:numId w:val="31"/>
        </w:numPr>
        <w:tabs>
          <w:tab w:val="left" w:pos="1418"/>
        </w:tabs>
        <w:contextualSpacing/>
      </w:pPr>
      <w:r w:rsidRPr="00DA20F5">
        <w:t xml:space="preserve">jednorazové vyrovnanie, </w:t>
      </w:r>
    </w:p>
    <w:p w:rsidR="00826B8F" w:rsidRPr="00DA20F5" w:rsidRDefault="00826B8F" w:rsidP="00DB509D">
      <w:pPr>
        <w:pStyle w:val="Odsekzoznamu"/>
        <w:numPr>
          <w:ilvl w:val="0"/>
          <w:numId w:val="31"/>
        </w:numPr>
        <w:tabs>
          <w:tab w:val="left" w:pos="1418"/>
        </w:tabs>
        <w:contextualSpacing/>
        <w:rPr>
          <w:lang w:eastAsia="cs-CZ"/>
        </w:rPr>
      </w:pPr>
      <w:r w:rsidRPr="00DA20F5">
        <w:rPr>
          <w:lang w:eastAsia="cs-CZ"/>
        </w:rPr>
        <w:t>odstupné.</w:t>
      </w:r>
    </w:p>
    <w:p w:rsidR="00826B8F" w:rsidRPr="00DA20F5" w:rsidRDefault="00826B8F" w:rsidP="00D36FB8">
      <w:pPr>
        <w:ind w:left="708" w:firstLine="426"/>
        <w:rPr>
          <w:color w:val="4F81BD" w:themeColor="accent1"/>
          <w:lang w:eastAsia="cs-CZ"/>
        </w:rPr>
      </w:pPr>
    </w:p>
    <w:p w:rsidR="00826B8F" w:rsidRPr="00DA20F5" w:rsidRDefault="00826B8F" w:rsidP="00D36FB8">
      <w:pPr>
        <w:ind w:firstLine="426"/>
      </w:pPr>
      <w:r w:rsidRPr="00DA20F5">
        <w:t>Od 1. januára 2011 bola zákonom zrušená možnosť účastníka doplnkového dôchodkového</w:t>
      </w:r>
      <w:r w:rsidR="0064545B" w:rsidRPr="00DA20F5">
        <w:t xml:space="preserve"> sporenia odpočítať si príspevky</w:t>
      </w:r>
      <w:r w:rsidRPr="00DA20F5">
        <w:t xml:space="preserve"> na doplnkové dôchodkové sporenie zo základu dane, tak ako v minulosti. Príspevok zamestnávateľa bol v roku 2011 oslobodený od povinného platenia poistného na sociálne poistenie.</w:t>
      </w:r>
    </w:p>
    <w:p w:rsidR="00826B8F" w:rsidRPr="00DA20F5" w:rsidRDefault="00826B8F" w:rsidP="00D36FB8">
      <w:pPr>
        <w:ind w:firstLine="426"/>
      </w:pPr>
      <w:r w:rsidRPr="00DA20F5">
        <w:t xml:space="preserve">Koeficient výšky odplaty za zhodnotenie majetku v doplnkovom dôchodkovom fonde bol v roku 2011 zákonom určený na maximálne 0,11. Ide o premenlivú odplatu, </w:t>
      </w:r>
      <w:r w:rsidR="00B45797" w:rsidRPr="00DA20F5">
        <w:t>ktorá bude postupne narastať do </w:t>
      </w:r>
      <w:r w:rsidRPr="00DA20F5">
        <w:t>roku 2020, kedy by mala dosiahnuť výšku maximálne 0,2.</w:t>
      </w:r>
    </w:p>
    <w:p w:rsidR="00826B8F" w:rsidRPr="00DA20F5" w:rsidRDefault="00826B8F" w:rsidP="00D36FB8">
      <w:pPr>
        <w:ind w:firstLine="426"/>
      </w:pPr>
      <w:r w:rsidRPr="00DA20F5">
        <w:t>Odplata za správu príspevkového doplnkového dôchodkového fondu bola v roku 2011 zákonom určená na maximálne 0,205 % (približne 2,46 % ročne) z priemernej mesačnej čistej hodnoty majetku v doplnkovom dôchodkovom fonde, pričom všetky doplnkové dôchodkové spoločnosti okrem jednej si stanovili výšku tejto odplaty nižšiu ako zákonom povolené maximum.</w:t>
      </w:r>
    </w:p>
    <w:p w:rsidR="00826B8F" w:rsidRPr="00DA20F5" w:rsidRDefault="00826B8F" w:rsidP="00D36FB8">
      <w:pPr>
        <w:ind w:firstLine="426"/>
      </w:pPr>
      <w:r w:rsidRPr="00DA20F5">
        <w:t>K 31. decembru 2011 pôsobili na trhu doplnkového dôchodkového sporenia 4 doplnkové dôchodkové spoločnosti, a to:</w:t>
      </w:r>
    </w:p>
    <w:p w:rsidR="00826B8F" w:rsidRPr="00DA20F5" w:rsidRDefault="00826B8F" w:rsidP="00DB509D">
      <w:pPr>
        <w:pStyle w:val="Odsekzoznamu"/>
        <w:numPr>
          <w:ilvl w:val="0"/>
          <w:numId w:val="20"/>
        </w:numPr>
        <w:ind w:firstLine="426"/>
        <w:contextualSpacing/>
      </w:pPr>
      <w:r w:rsidRPr="00DA20F5">
        <w:t>AXA d.d.s., a.s., Bratislava,</w:t>
      </w:r>
    </w:p>
    <w:p w:rsidR="00826B8F" w:rsidRPr="00DA20F5" w:rsidRDefault="00826B8F" w:rsidP="00DB509D">
      <w:pPr>
        <w:pStyle w:val="Odsekzoznamu"/>
        <w:numPr>
          <w:ilvl w:val="0"/>
          <w:numId w:val="20"/>
        </w:numPr>
        <w:ind w:firstLine="426"/>
        <w:contextualSpacing/>
      </w:pPr>
      <w:r w:rsidRPr="00DA20F5">
        <w:lastRenderedPageBreak/>
        <w:t>Doplnková dôchodková spoločnosť Tatra banky, a.s., Bratislava,</w:t>
      </w:r>
    </w:p>
    <w:p w:rsidR="00826B8F" w:rsidRPr="00DA20F5" w:rsidRDefault="00826B8F" w:rsidP="00DB509D">
      <w:pPr>
        <w:pStyle w:val="Odsekzoznamu"/>
        <w:numPr>
          <w:ilvl w:val="0"/>
          <w:numId w:val="20"/>
        </w:numPr>
        <w:ind w:firstLine="426"/>
        <w:contextualSpacing/>
      </w:pPr>
      <w:r w:rsidRPr="00DA20F5">
        <w:t>ING Tatry – Sympatia d.d.s., a.s., Bratislava,</w:t>
      </w:r>
    </w:p>
    <w:p w:rsidR="00826B8F" w:rsidRPr="00DA20F5" w:rsidRDefault="00826B8F" w:rsidP="00DB509D">
      <w:pPr>
        <w:pStyle w:val="Odsekzoznamu"/>
        <w:numPr>
          <w:ilvl w:val="0"/>
          <w:numId w:val="20"/>
        </w:numPr>
        <w:ind w:firstLine="426"/>
        <w:contextualSpacing/>
      </w:pPr>
      <w:r w:rsidRPr="00DA20F5">
        <w:t>Stabilita, d.d.s., a. s., Košice.</w:t>
      </w:r>
    </w:p>
    <w:p w:rsidR="00826B8F" w:rsidRPr="00DA20F5" w:rsidRDefault="00826B8F" w:rsidP="00D36FB8">
      <w:pPr>
        <w:pStyle w:val="Odsekzoznamu"/>
        <w:ind w:firstLine="426"/>
      </w:pPr>
    </w:p>
    <w:p w:rsidR="00826B8F" w:rsidRPr="00DA20F5" w:rsidRDefault="00826B8F" w:rsidP="00D36FB8">
      <w:pPr>
        <w:ind w:firstLine="426"/>
      </w:pPr>
      <w:r w:rsidRPr="00DA20F5">
        <w:t>V druhej polovici roku 2011 ukončila svoju činnosť doplnková dôchodková spoločnosť AEGON d.d.s., a.s., pričom v súvislosti s týmto ukončením činnosti vyplatila približne 5 000 účastníkom, sporiacim si v tejto správcovskej spoločnosti 100 % ich úspor.</w:t>
      </w:r>
    </w:p>
    <w:p w:rsidR="00826B8F" w:rsidRPr="00DA20F5" w:rsidRDefault="00826B8F" w:rsidP="00D36FB8">
      <w:pPr>
        <w:ind w:firstLine="426"/>
      </w:pPr>
      <w:r w:rsidRPr="00DA20F5">
        <w:t>V sledovanom období roku 2011 neboli vykonané legislatívne zmeny v systéme doplnkového dôchodkového sporenia.</w:t>
      </w:r>
    </w:p>
    <w:p w:rsidR="00826B8F" w:rsidRPr="00DA20F5" w:rsidRDefault="00826B8F" w:rsidP="00D36FB8">
      <w:pPr>
        <w:ind w:firstLine="426"/>
      </w:pPr>
      <w:r w:rsidRPr="00DA20F5">
        <w:t>Počet účastníkov v doplnkových dôchodkových fondoch s nenulovým dôchodkovým účtom bol k 31.12.2011 približne 708 tisíc, čo predstavuje oproti roku 2010 pokles približne o 2 %. Tento vývoj počtu účastníkov</w:t>
      </w:r>
      <w:r w:rsidR="009E1875" w:rsidRPr="00DA20F5">
        <w:t xml:space="preserve"> poukazuje na určitú nasýtenosť</w:t>
      </w:r>
      <w:r w:rsidRPr="00DA20F5">
        <w:t xml:space="preserve"> trhu.</w:t>
      </w:r>
    </w:p>
    <w:p w:rsidR="00826B8F" w:rsidRPr="00DA20F5" w:rsidRDefault="00826B8F" w:rsidP="00D36FB8">
      <w:pPr>
        <w:ind w:firstLine="426"/>
        <w:rPr>
          <w:color w:val="000000" w:themeColor="text1"/>
        </w:rPr>
      </w:pPr>
      <w:r w:rsidRPr="00DA20F5">
        <w:t xml:space="preserve">Účastníci predčasne ukončovali svoju účasť z viacerých dôvodov (najmä hospodárska kríza, zvýšená miera </w:t>
      </w:r>
      <w:r w:rsidRPr="00DA20F5">
        <w:rPr>
          <w:color w:val="000000" w:themeColor="text1"/>
        </w:rPr>
        <w:t>nezamestnanosti); v súvislosti s predčasným ukončením využili účast</w:t>
      </w:r>
      <w:r w:rsidR="003E71C5" w:rsidRPr="00DA20F5">
        <w:rPr>
          <w:color w:val="000000" w:themeColor="text1"/>
        </w:rPr>
        <w:t>níci inštitút odstupného</w:t>
      </w:r>
      <w:r w:rsidRPr="00DA20F5">
        <w:rPr>
          <w:color w:val="000000" w:themeColor="text1"/>
        </w:rPr>
        <w:t xml:space="preserve"> </w:t>
      </w:r>
      <w:r w:rsidR="003E71C5" w:rsidRPr="00DA20F5">
        <w:rPr>
          <w:color w:val="000000" w:themeColor="text1"/>
        </w:rPr>
        <w:t>napriek tomu, že im prostredníctvom tejto dávky mohla byť vypl</w:t>
      </w:r>
      <w:r w:rsidR="005A5B6B" w:rsidRPr="00DA20F5">
        <w:rPr>
          <w:color w:val="000000" w:themeColor="text1"/>
        </w:rPr>
        <w:t xml:space="preserve">atená suma zodpovedajúca len 80-tim </w:t>
      </w:r>
      <w:r w:rsidR="003E71C5" w:rsidRPr="00DA20F5">
        <w:rPr>
          <w:color w:val="000000" w:themeColor="text1"/>
        </w:rPr>
        <w:t>% aktuálnej hodnoty ich osobného účtu.</w:t>
      </w:r>
    </w:p>
    <w:p w:rsidR="00826B8F" w:rsidRPr="00DA20F5" w:rsidRDefault="00826B8F" w:rsidP="00D36FB8">
      <w:pPr>
        <w:ind w:firstLine="426"/>
      </w:pPr>
      <w:r w:rsidRPr="00DA20F5">
        <w:rPr>
          <w:color w:val="000000" w:themeColor="text1"/>
        </w:rPr>
        <w:t>Napriek poklesu počtu účastníkov v doplnkových dôchodkových fondoch čistá hodnota spravovaného majetku vzrástla oproti roku 2010 na 1,17 mld. € k 31.12.2011 (nárast o 2,5 %). Jedným z dôvodov atraktivity účasti na doplnkovom dôchodkovom sporení bola a je participácia zamestnávateľov na príspevkoch svojich zamestnancov</w:t>
      </w:r>
      <w:r w:rsidRPr="00DA20F5">
        <w:t>; k 31. decembru 2011 prispievali zamestnávatelia na doplnkové dôchodkové sporenie až 554 tisícom účastníkov oproti 166 tisícom účastníkov, ktorí si príspevky platili sami (bez príspevku zamestnávateľa).</w:t>
      </w:r>
    </w:p>
    <w:p w:rsidR="00826B8F" w:rsidRPr="00DA20F5" w:rsidRDefault="00826B8F" w:rsidP="00D36FB8">
      <w:pPr>
        <w:ind w:firstLine="426"/>
      </w:pPr>
      <w:r w:rsidRPr="00DA20F5">
        <w:t>Príspevkové doplnkové dôchodkové fondy zaznamenali v roku 2011 len pomerne nízke priemerné zhodnotenie (tabuľka</w:t>
      </w:r>
      <w:r w:rsidR="00AC5AAB" w:rsidRPr="00DA20F5">
        <w:t xml:space="preserve"> </w:t>
      </w:r>
      <w:r w:rsidRPr="00DA20F5">
        <w:t>3.10), čo je dôsledkom počítania priemernej výnosnosti z viacerých typov dôchodkových fondov. Výkonnosť jednotlivých príspevkových doplnkových dôchodkových fondov dosiahla ročnú úroveň vo výške od -11,8 % do 2,45 % (tabuľka 12 v </w:t>
      </w:r>
      <w:r w:rsidR="00C83676" w:rsidRPr="00DA20F5">
        <w:t>p</w:t>
      </w:r>
      <w:r w:rsidRPr="00DA20F5">
        <w:t>rílohe ku kapitole 3).</w:t>
      </w:r>
    </w:p>
    <w:p w:rsidR="00826B8F" w:rsidRPr="00DA20F5" w:rsidRDefault="00826B8F" w:rsidP="00D36FB8">
      <w:pPr>
        <w:pStyle w:val="Nadpis7"/>
        <w:rPr>
          <w:lang w:eastAsia="cs-CZ"/>
        </w:rPr>
      </w:pPr>
      <w:bookmarkStart w:id="970" w:name="_Toc313879022"/>
      <w:bookmarkStart w:id="971" w:name="_Toc294029531"/>
      <w:bookmarkStart w:id="972" w:name="_Toc294027292"/>
      <w:bookmarkStart w:id="973" w:name="_Toc325438181"/>
      <w:bookmarkStart w:id="974" w:name="_Toc325440950"/>
      <w:bookmarkStart w:id="975" w:name="_Toc325626763"/>
      <w:bookmarkStart w:id="976" w:name="_Toc326217024"/>
      <w:r w:rsidRPr="00DA20F5">
        <w:rPr>
          <w:lang w:eastAsia="cs-CZ"/>
        </w:rPr>
        <w:t>Tab. 3.10</w:t>
      </w:r>
      <w:r w:rsidR="00AC5AAB" w:rsidRPr="00DA20F5">
        <w:rPr>
          <w:lang w:eastAsia="cs-CZ"/>
        </w:rPr>
        <w:t xml:space="preserve"> </w:t>
      </w:r>
      <w:r w:rsidRPr="00DA20F5">
        <w:rPr>
          <w:lang w:eastAsia="cs-CZ"/>
        </w:rPr>
        <w:t>Prehľad údajov o doplnkových dôchodkových fondoch k 31. decembru 201</w:t>
      </w:r>
      <w:bookmarkEnd w:id="970"/>
      <w:bookmarkEnd w:id="971"/>
      <w:bookmarkEnd w:id="972"/>
      <w:r w:rsidRPr="00DA20F5">
        <w:rPr>
          <w:lang w:eastAsia="cs-CZ"/>
        </w:rPr>
        <w:t>1</w:t>
      </w:r>
      <w:bookmarkEnd w:id="973"/>
      <w:bookmarkEnd w:id="974"/>
      <w:bookmarkEnd w:id="975"/>
      <w:bookmarkEnd w:id="976"/>
    </w:p>
    <w:tbl>
      <w:tblPr>
        <w:tblW w:w="9199"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A0" w:firstRow="1" w:lastRow="0" w:firstColumn="1" w:lastColumn="0" w:noHBand="0" w:noVBand="0"/>
      </w:tblPr>
      <w:tblGrid>
        <w:gridCol w:w="2480"/>
        <w:gridCol w:w="1487"/>
        <w:gridCol w:w="1418"/>
        <w:gridCol w:w="1366"/>
        <w:gridCol w:w="1385"/>
        <w:gridCol w:w="1063"/>
      </w:tblGrid>
      <w:tr w:rsidR="00B45797" w:rsidRPr="00DA20F5" w:rsidTr="00C51124">
        <w:trPr>
          <w:trHeight w:val="428"/>
          <w:jc w:val="center"/>
        </w:trPr>
        <w:tc>
          <w:tcPr>
            <w:tcW w:w="2480" w:type="dxa"/>
            <w:shd w:val="clear" w:color="auto" w:fill="4F81BD"/>
            <w:noWrap/>
            <w:vAlign w:val="center"/>
          </w:tcPr>
          <w:p w:rsidR="00B45797" w:rsidRPr="00DA20F5" w:rsidRDefault="00B45797" w:rsidP="00D36FB8">
            <w:pPr>
              <w:jc w:val="center"/>
              <w:rPr>
                <w:color w:val="FFFFFF" w:themeColor="background1"/>
              </w:rPr>
            </w:pPr>
          </w:p>
        </w:tc>
        <w:tc>
          <w:tcPr>
            <w:tcW w:w="4271" w:type="dxa"/>
            <w:gridSpan w:val="3"/>
            <w:shd w:val="clear" w:color="auto" w:fill="4F81BD"/>
            <w:vAlign w:val="center"/>
          </w:tcPr>
          <w:p w:rsidR="00B45797" w:rsidRPr="00DA20F5" w:rsidRDefault="00B45797" w:rsidP="00D36FB8">
            <w:pPr>
              <w:jc w:val="center"/>
              <w:rPr>
                <w:b/>
                <w:bCs/>
                <w:iCs/>
                <w:color w:val="FFFFFF" w:themeColor="background1"/>
                <w:sz w:val="20"/>
                <w:szCs w:val="28"/>
                <w:lang w:eastAsia="cs-CZ"/>
              </w:rPr>
            </w:pPr>
            <w:bookmarkStart w:id="977" w:name="_Toc294019961"/>
            <w:bookmarkStart w:id="978" w:name="_Toc294027293"/>
            <w:bookmarkStart w:id="979" w:name="_Toc294029532"/>
            <w:bookmarkStart w:id="980" w:name="_Toc313879023"/>
            <w:r w:rsidRPr="00DA20F5">
              <w:rPr>
                <w:b/>
                <w:bCs/>
                <w:iCs/>
                <w:color w:val="FFFFFF" w:themeColor="background1"/>
                <w:sz w:val="20"/>
                <w:szCs w:val="28"/>
                <w:lang w:eastAsia="cs-CZ"/>
              </w:rPr>
              <w:t>Čistá hodnota majetku v doplnkových dôchodkových fondoch</w:t>
            </w:r>
            <w:bookmarkEnd w:id="977"/>
            <w:bookmarkEnd w:id="978"/>
            <w:bookmarkEnd w:id="979"/>
            <w:bookmarkEnd w:id="980"/>
          </w:p>
        </w:tc>
        <w:tc>
          <w:tcPr>
            <w:tcW w:w="1385" w:type="dxa"/>
            <w:vMerge w:val="restart"/>
            <w:shd w:val="clear" w:color="auto" w:fill="4F81BD"/>
            <w:noWrap/>
            <w:vAlign w:val="center"/>
          </w:tcPr>
          <w:p w:rsidR="00B45797" w:rsidRPr="00DA20F5" w:rsidRDefault="00B45797" w:rsidP="00D36FB8">
            <w:pPr>
              <w:jc w:val="center"/>
              <w:rPr>
                <w:b/>
                <w:bCs/>
                <w:iCs/>
                <w:color w:val="FFFFFF" w:themeColor="background1"/>
                <w:sz w:val="20"/>
                <w:szCs w:val="28"/>
                <w:lang w:eastAsia="cs-CZ"/>
              </w:rPr>
            </w:pPr>
            <w:bookmarkStart w:id="981" w:name="_Toc294019962"/>
            <w:bookmarkStart w:id="982" w:name="_Toc294027294"/>
            <w:bookmarkStart w:id="983" w:name="_Toc294029533"/>
            <w:bookmarkStart w:id="984" w:name="_Toc313879024"/>
            <w:r w:rsidRPr="00DA20F5">
              <w:rPr>
                <w:b/>
                <w:bCs/>
                <w:iCs/>
                <w:color w:val="FFFFFF" w:themeColor="background1"/>
                <w:sz w:val="20"/>
                <w:szCs w:val="28"/>
                <w:lang w:eastAsia="cs-CZ"/>
              </w:rPr>
              <w:t>Výnosnosť príspevkových doplnkových dôchodkových fondov</w:t>
            </w:r>
            <w:bookmarkEnd w:id="981"/>
            <w:bookmarkEnd w:id="982"/>
            <w:bookmarkEnd w:id="983"/>
            <w:bookmarkEnd w:id="984"/>
          </w:p>
        </w:tc>
        <w:tc>
          <w:tcPr>
            <w:tcW w:w="1063" w:type="dxa"/>
            <w:vMerge w:val="restart"/>
            <w:shd w:val="clear" w:color="auto" w:fill="4F81BD"/>
            <w:vAlign w:val="center"/>
          </w:tcPr>
          <w:p w:rsidR="00B45797" w:rsidRPr="00DA20F5" w:rsidRDefault="00B45797" w:rsidP="00B45797">
            <w:pPr>
              <w:jc w:val="center"/>
              <w:rPr>
                <w:b/>
                <w:bCs/>
                <w:iCs/>
                <w:color w:val="FFFFFF" w:themeColor="background1"/>
                <w:sz w:val="20"/>
                <w:szCs w:val="28"/>
                <w:lang w:eastAsia="cs-CZ"/>
              </w:rPr>
            </w:pPr>
            <w:bookmarkStart w:id="985" w:name="_Toc294019967"/>
            <w:bookmarkStart w:id="986" w:name="_Toc294027299"/>
            <w:bookmarkStart w:id="987" w:name="_Toc294029538"/>
            <w:bookmarkStart w:id="988" w:name="_Toc313879029"/>
            <w:r w:rsidRPr="00DA20F5">
              <w:rPr>
                <w:b/>
                <w:bCs/>
                <w:iCs/>
                <w:color w:val="FFFFFF" w:themeColor="background1"/>
                <w:sz w:val="20"/>
                <w:szCs w:val="28"/>
                <w:lang w:eastAsia="cs-CZ"/>
              </w:rPr>
              <w:t>Počet účastníkov</w:t>
            </w:r>
            <w:bookmarkEnd w:id="985"/>
            <w:bookmarkEnd w:id="986"/>
            <w:bookmarkEnd w:id="987"/>
            <w:bookmarkEnd w:id="988"/>
          </w:p>
        </w:tc>
      </w:tr>
      <w:tr w:rsidR="00B45797" w:rsidRPr="00DA20F5" w:rsidTr="00B45797">
        <w:trPr>
          <w:trHeight w:val="839"/>
          <w:jc w:val="center"/>
        </w:trPr>
        <w:tc>
          <w:tcPr>
            <w:tcW w:w="2480" w:type="dxa"/>
            <w:shd w:val="clear" w:color="auto" w:fill="4F81BD"/>
            <w:noWrap/>
            <w:vAlign w:val="center"/>
          </w:tcPr>
          <w:p w:rsidR="00B45797" w:rsidRPr="00DA20F5" w:rsidRDefault="00B45797" w:rsidP="00D36FB8">
            <w:pPr>
              <w:jc w:val="center"/>
              <w:rPr>
                <w:b/>
                <w:bCs/>
                <w:iCs/>
                <w:color w:val="FFFFFF" w:themeColor="background1"/>
                <w:sz w:val="20"/>
                <w:szCs w:val="28"/>
                <w:lang w:eastAsia="cs-CZ"/>
              </w:rPr>
            </w:pPr>
            <w:bookmarkStart w:id="989" w:name="_Toc294019963"/>
            <w:bookmarkStart w:id="990" w:name="_Toc294027295"/>
            <w:bookmarkStart w:id="991" w:name="_Toc294029534"/>
            <w:bookmarkStart w:id="992" w:name="_Toc313879025"/>
            <w:r w:rsidRPr="00DA20F5">
              <w:rPr>
                <w:b/>
                <w:bCs/>
                <w:iCs/>
                <w:color w:val="FFFFFF" w:themeColor="background1"/>
                <w:sz w:val="20"/>
                <w:szCs w:val="28"/>
                <w:lang w:eastAsia="cs-CZ"/>
              </w:rPr>
              <w:t>Spoločnosť</w:t>
            </w:r>
            <w:bookmarkEnd w:id="989"/>
            <w:bookmarkEnd w:id="990"/>
            <w:bookmarkEnd w:id="991"/>
            <w:bookmarkEnd w:id="992"/>
          </w:p>
        </w:tc>
        <w:tc>
          <w:tcPr>
            <w:tcW w:w="1487" w:type="dxa"/>
            <w:shd w:val="clear" w:color="auto" w:fill="4F81BD"/>
            <w:vAlign w:val="center"/>
          </w:tcPr>
          <w:p w:rsidR="00B45797" w:rsidRPr="00DA20F5" w:rsidRDefault="00B45797" w:rsidP="00D36FB8">
            <w:pPr>
              <w:jc w:val="center"/>
              <w:rPr>
                <w:b/>
                <w:bCs/>
                <w:iCs/>
                <w:color w:val="FFFFFF" w:themeColor="background1"/>
                <w:sz w:val="20"/>
                <w:szCs w:val="28"/>
                <w:lang w:eastAsia="cs-CZ"/>
              </w:rPr>
            </w:pPr>
            <w:bookmarkStart w:id="993" w:name="_Toc294019964"/>
            <w:bookmarkStart w:id="994" w:name="_Toc294027296"/>
            <w:bookmarkStart w:id="995" w:name="_Toc294029535"/>
            <w:bookmarkStart w:id="996" w:name="_Toc313879026"/>
            <w:r w:rsidRPr="00DA20F5">
              <w:rPr>
                <w:b/>
                <w:bCs/>
                <w:iCs/>
                <w:color w:val="FFFFFF" w:themeColor="background1"/>
                <w:sz w:val="20"/>
                <w:szCs w:val="28"/>
                <w:lang w:eastAsia="cs-CZ"/>
              </w:rPr>
              <w:t>Príspevkové doplnkové dôchodkové fondy (mil. €)</w:t>
            </w:r>
            <w:bookmarkEnd w:id="993"/>
            <w:bookmarkEnd w:id="994"/>
            <w:bookmarkEnd w:id="995"/>
            <w:bookmarkEnd w:id="996"/>
          </w:p>
        </w:tc>
        <w:tc>
          <w:tcPr>
            <w:tcW w:w="1418" w:type="dxa"/>
            <w:shd w:val="clear" w:color="auto" w:fill="4F81BD"/>
            <w:vAlign w:val="center"/>
          </w:tcPr>
          <w:p w:rsidR="00B45797" w:rsidRPr="00DA20F5" w:rsidRDefault="00B45797" w:rsidP="00D36FB8">
            <w:pPr>
              <w:jc w:val="center"/>
              <w:rPr>
                <w:b/>
                <w:bCs/>
                <w:iCs/>
                <w:color w:val="FFFFFF" w:themeColor="background1"/>
                <w:sz w:val="20"/>
                <w:szCs w:val="28"/>
                <w:lang w:eastAsia="cs-CZ"/>
              </w:rPr>
            </w:pPr>
            <w:bookmarkStart w:id="997" w:name="_Toc294019965"/>
            <w:bookmarkStart w:id="998" w:name="_Toc294027297"/>
            <w:bookmarkStart w:id="999" w:name="_Toc294029536"/>
            <w:bookmarkStart w:id="1000" w:name="_Toc313879027"/>
            <w:r w:rsidRPr="00DA20F5">
              <w:rPr>
                <w:b/>
                <w:bCs/>
                <w:iCs/>
                <w:color w:val="FFFFFF" w:themeColor="background1"/>
                <w:sz w:val="20"/>
                <w:szCs w:val="28"/>
                <w:lang w:eastAsia="cs-CZ"/>
              </w:rPr>
              <w:t>Výplatné doplnkové dôchodkové fondy (mil. €)</w:t>
            </w:r>
            <w:bookmarkEnd w:id="997"/>
            <w:bookmarkEnd w:id="998"/>
            <w:bookmarkEnd w:id="999"/>
            <w:bookmarkEnd w:id="1000"/>
          </w:p>
        </w:tc>
        <w:tc>
          <w:tcPr>
            <w:tcW w:w="1366" w:type="dxa"/>
            <w:shd w:val="clear" w:color="auto" w:fill="4F81BD"/>
            <w:vAlign w:val="center"/>
          </w:tcPr>
          <w:p w:rsidR="00B45797" w:rsidRPr="00DA20F5" w:rsidRDefault="00B45797" w:rsidP="00D36FB8">
            <w:pPr>
              <w:jc w:val="center"/>
              <w:rPr>
                <w:b/>
                <w:bCs/>
                <w:iCs/>
                <w:color w:val="FFFFFF" w:themeColor="background1"/>
                <w:sz w:val="20"/>
                <w:szCs w:val="28"/>
                <w:lang w:eastAsia="cs-CZ"/>
              </w:rPr>
            </w:pPr>
            <w:bookmarkStart w:id="1001" w:name="_Toc294019966"/>
            <w:bookmarkStart w:id="1002" w:name="_Toc294027298"/>
            <w:bookmarkStart w:id="1003" w:name="_Toc294029537"/>
            <w:bookmarkStart w:id="1004" w:name="_Toc313879028"/>
            <w:r w:rsidRPr="00DA20F5">
              <w:rPr>
                <w:b/>
                <w:bCs/>
                <w:iCs/>
                <w:color w:val="FFFFFF" w:themeColor="background1"/>
                <w:sz w:val="20"/>
                <w:szCs w:val="28"/>
                <w:lang w:eastAsia="cs-CZ"/>
              </w:rPr>
              <w:t>Spolu doplnkové dôchodkové fondy (mil. €)</w:t>
            </w:r>
            <w:bookmarkEnd w:id="1001"/>
            <w:bookmarkEnd w:id="1002"/>
            <w:bookmarkEnd w:id="1003"/>
            <w:bookmarkEnd w:id="1004"/>
          </w:p>
        </w:tc>
        <w:tc>
          <w:tcPr>
            <w:tcW w:w="0" w:type="auto"/>
            <w:vMerge/>
            <w:vAlign w:val="center"/>
          </w:tcPr>
          <w:p w:rsidR="00B45797" w:rsidRPr="00DA20F5" w:rsidRDefault="00B45797" w:rsidP="00D36FB8">
            <w:pPr>
              <w:jc w:val="center"/>
              <w:rPr>
                <w:b/>
                <w:bCs/>
                <w:iCs/>
                <w:color w:val="FFFFFF" w:themeColor="background1"/>
                <w:sz w:val="20"/>
                <w:szCs w:val="28"/>
                <w:lang w:eastAsia="cs-CZ"/>
              </w:rPr>
            </w:pPr>
          </w:p>
        </w:tc>
        <w:tc>
          <w:tcPr>
            <w:tcW w:w="1063" w:type="dxa"/>
            <w:vMerge/>
            <w:shd w:val="clear" w:color="auto" w:fill="4F81BD"/>
            <w:vAlign w:val="center"/>
          </w:tcPr>
          <w:p w:rsidR="00B45797" w:rsidRPr="00DA20F5" w:rsidRDefault="00B45797" w:rsidP="00B45797">
            <w:pPr>
              <w:jc w:val="center"/>
              <w:rPr>
                <w:b/>
                <w:bCs/>
                <w:iCs/>
                <w:color w:val="FFFFFF" w:themeColor="background1"/>
                <w:sz w:val="20"/>
                <w:szCs w:val="28"/>
                <w:lang w:eastAsia="cs-CZ"/>
              </w:rPr>
            </w:pPr>
          </w:p>
        </w:tc>
      </w:tr>
      <w:tr w:rsidR="006F40D2" w:rsidRPr="00DA20F5" w:rsidTr="00C51124">
        <w:trPr>
          <w:trHeight w:val="360"/>
          <w:jc w:val="center"/>
        </w:trPr>
        <w:tc>
          <w:tcPr>
            <w:tcW w:w="2480" w:type="dxa"/>
            <w:noWrap/>
            <w:vAlign w:val="center"/>
          </w:tcPr>
          <w:p w:rsidR="00826B8F" w:rsidRPr="00DA20F5" w:rsidRDefault="00826B8F" w:rsidP="00D36FB8">
            <w:pPr>
              <w:rPr>
                <w:bCs/>
                <w:sz w:val="20"/>
                <w:szCs w:val="20"/>
              </w:rPr>
            </w:pPr>
            <w:bookmarkStart w:id="1005" w:name="_Toc294019974"/>
            <w:bookmarkStart w:id="1006" w:name="_Toc294027306"/>
            <w:bookmarkStart w:id="1007" w:name="_Toc294029545"/>
            <w:bookmarkStart w:id="1008" w:name="_Toc313879036"/>
            <w:r w:rsidRPr="00DA20F5">
              <w:rPr>
                <w:bCs/>
                <w:sz w:val="20"/>
                <w:szCs w:val="20"/>
              </w:rPr>
              <w:t>Axa d.d.s., a.s.</w:t>
            </w:r>
            <w:bookmarkEnd w:id="1005"/>
            <w:bookmarkEnd w:id="1006"/>
            <w:bookmarkEnd w:id="1007"/>
            <w:bookmarkEnd w:id="1008"/>
          </w:p>
        </w:tc>
        <w:tc>
          <w:tcPr>
            <w:tcW w:w="1487" w:type="dxa"/>
            <w:noWrap/>
            <w:vAlign w:val="center"/>
          </w:tcPr>
          <w:p w:rsidR="00826B8F" w:rsidRPr="00DA20F5" w:rsidRDefault="00826B8F" w:rsidP="00D36FB8">
            <w:pPr>
              <w:ind w:right="288"/>
              <w:jc w:val="right"/>
              <w:rPr>
                <w:sz w:val="20"/>
                <w:szCs w:val="20"/>
              </w:rPr>
            </w:pPr>
            <w:r w:rsidRPr="00DA20F5">
              <w:rPr>
                <w:sz w:val="20"/>
                <w:szCs w:val="20"/>
              </w:rPr>
              <w:t>150,3</w:t>
            </w:r>
          </w:p>
        </w:tc>
        <w:tc>
          <w:tcPr>
            <w:tcW w:w="1418" w:type="dxa"/>
            <w:noWrap/>
            <w:vAlign w:val="center"/>
          </w:tcPr>
          <w:p w:rsidR="00826B8F" w:rsidRPr="00DA20F5" w:rsidRDefault="00826B8F" w:rsidP="00D36FB8">
            <w:pPr>
              <w:ind w:right="288"/>
              <w:jc w:val="right"/>
              <w:rPr>
                <w:sz w:val="20"/>
                <w:szCs w:val="20"/>
              </w:rPr>
            </w:pPr>
            <w:r w:rsidRPr="00DA20F5">
              <w:rPr>
                <w:sz w:val="20"/>
                <w:szCs w:val="20"/>
              </w:rPr>
              <w:t>0,26</w:t>
            </w:r>
          </w:p>
        </w:tc>
        <w:tc>
          <w:tcPr>
            <w:tcW w:w="1366" w:type="dxa"/>
            <w:noWrap/>
            <w:vAlign w:val="center"/>
          </w:tcPr>
          <w:p w:rsidR="00826B8F" w:rsidRPr="00DA20F5" w:rsidRDefault="00826B8F" w:rsidP="00D36FB8">
            <w:pPr>
              <w:ind w:right="288"/>
              <w:jc w:val="right"/>
              <w:rPr>
                <w:sz w:val="20"/>
                <w:szCs w:val="20"/>
              </w:rPr>
            </w:pPr>
            <w:r w:rsidRPr="00DA20F5">
              <w:rPr>
                <w:sz w:val="20"/>
                <w:szCs w:val="20"/>
              </w:rPr>
              <w:t>150,5</w:t>
            </w:r>
          </w:p>
        </w:tc>
        <w:tc>
          <w:tcPr>
            <w:tcW w:w="1385" w:type="dxa"/>
            <w:noWrap/>
            <w:vAlign w:val="center"/>
          </w:tcPr>
          <w:p w:rsidR="00826B8F" w:rsidRPr="00DA20F5" w:rsidRDefault="00826B8F" w:rsidP="00D36FB8">
            <w:pPr>
              <w:ind w:right="288"/>
              <w:jc w:val="right"/>
              <w:rPr>
                <w:sz w:val="20"/>
                <w:szCs w:val="20"/>
              </w:rPr>
            </w:pPr>
            <w:r w:rsidRPr="00DA20F5">
              <w:rPr>
                <w:sz w:val="20"/>
                <w:szCs w:val="20"/>
              </w:rPr>
              <w:t>-0,38%</w:t>
            </w:r>
          </w:p>
        </w:tc>
        <w:tc>
          <w:tcPr>
            <w:tcW w:w="1063" w:type="dxa"/>
            <w:vAlign w:val="center"/>
          </w:tcPr>
          <w:p w:rsidR="00826B8F" w:rsidRPr="00DA20F5" w:rsidRDefault="00826B8F" w:rsidP="00D36FB8">
            <w:pPr>
              <w:jc w:val="right"/>
              <w:rPr>
                <w:sz w:val="20"/>
                <w:szCs w:val="20"/>
              </w:rPr>
            </w:pPr>
            <w:r w:rsidRPr="00DA20F5">
              <w:rPr>
                <w:sz w:val="20"/>
                <w:szCs w:val="20"/>
              </w:rPr>
              <w:t>128 111</w:t>
            </w:r>
          </w:p>
        </w:tc>
      </w:tr>
      <w:tr w:rsidR="006F40D2" w:rsidRPr="00DA20F5" w:rsidTr="00C51124">
        <w:trPr>
          <w:trHeight w:val="360"/>
          <w:jc w:val="center"/>
        </w:trPr>
        <w:tc>
          <w:tcPr>
            <w:tcW w:w="2480" w:type="dxa"/>
            <w:vAlign w:val="center"/>
          </w:tcPr>
          <w:p w:rsidR="00826B8F" w:rsidRPr="00DA20F5" w:rsidRDefault="00826B8F" w:rsidP="00D36FB8">
            <w:pPr>
              <w:rPr>
                <w:bCs/>
                <w:sz w:val="20"/>
                <w:szCs w:val="20"/>
              </w:rPr>
            </w:pPr>
            <w:bookmarkStart w:id="1009" w:name="_Toc294019980"/>
            <w:bookmarkStart w:id="1010" w:name="_Toc294027312"/>
            <w:bookmarkStart w:id="1011" w:name="_Toc294029551"/>
            <w:bookmarkStart w:id="1012" w:name="_Toc313879042"/>
            <w:r w:rsidRPr="00DA20F5">
              <w:rPr>
                <w:bCs/>
                <w:sz w:val="20"/>
                <w:szCs w:val="20"/>
              </w:rPr>
              <w:t>DDS Tatra banky, a.s.</w:t>
            </w:r>
            <w:bookmarkEnd w:id="1009"/>
            <w:bookmarkEnd w:id="1010"/>
            <w:bookmarkEnd w:id="1011"/>
            <w:bookmarkEnd w:id="1012"/>
          </w:p>
        </w:tc>
        <w:tc>
          <w:tcPr>
            <w:tcW w:w="1487" w:type="dxa"/>
            <w:noWrap/>
            <w:vAlign w:val="center"/>
          </w:tcPr>
          <w:p w:rsidR="00826B8F" w:rsidRPr="00DA20F5" w:rsidRDefault="00826B8F" w:rsidP="00D36FB8">
            <w:pPr>
              <w:ind w:right="288"/>
              <w:jc w:val="right"/>
              <w:rPr>
                <w:sz w:val="20"/>
                <w:szCs w:val="20"/>
              </w:rPr>
            </w:pPr>
            <w:r w:rsidRPr="00DA20F5">
              <w:rPr>
                <w:sz w:val="20"/>
                <w:szCs w:val="20"/>
              </w:rPr>
              <w:t>353,0</w:t>
            </w:r>
          </w:p>
        </w:tc>
        <w:tc>
          <w:tcPr>
            <w:tcW w:w="1418" w:type="dxa"/>
            <w:noWrap/>
            <w:vAlign w:val="center"/>
          </w:tcPr>
          <w:p w:rsidR="00826B8F" w:rsidRPr="00DA20F5" w:rsidRDefault="00826B8F" w:rsidP="00D36FB8">
            <w:pPr>
              <w:ind w:right="288"/>
              <w:jc w:val="right"/>
              <w:rPr>
                <w:sz w:val="20"/>
                <w:szCs w:val="20"/>
              </w:rPr>
            </w:pPr>
            <w:r w:rsidRPr="00DA20F5">
              <w:rPr>
                <w:sz w:val="20"/>
                <w:szCs w:val="20"/>
              </w:rPr>
              <w:t>11,91</w:t>
            </w:r>
          </w:p>
        </w:tc>
        <w:tc>
          <w:tcPr>
            <w:tcW w:w="1366" w:type="dxa"/>
            <w:noWrap/>
            <w:vAlign w:val="center"/>
          </w:tcPr>
          <w:p w:rsidR="00826B8F" w:rsidRPr="00DA20F5" w:rsidRDefault="00826B8F" w:rsidP="00D36FB8">
            <w:pPr>
              <w:ind w:right="288"/>
              <w:jc w:val="right"/>
              <w:rPr>
                <w:sz w:val="20"/>
                <w:szCs w:val="20"/>
              </w:rPr>
            </w:pPr>
            <w:r w:rsidRPr="00DA20F5">
              <w:rPr>
                <w:sz w:val="20"/>
                <w:szCs w:val="20"/>
              </w:rPr>
              <w:t>364,9</w:t>
            </w:r>
          </w:p>
        </w:tc>
        <w:tc>
          <w:tcPr>
            <w:tcW w:w="1385" w:type="dxa"/>
            <w:noWrap/>
            <w:vAlign w:val="center"/>
          </w:tcPr>
          <w:p w:rsidR="00826B8F" w:rsidRPr="00DA20F5" w:rsidRDefault="00826B8F" w:rsidP="00D36FB8">
            <w:pPr>
              <w:ind w:right="288"/>
              <w:jc w:val="right"/>
              <w:rPr>
                <w:sz w:val="20"/>
                <w:szCs w:val="20"/>
              </w:rPr>
            </w:pPr>
            <w:r w:rsidRPr="00DA20F5">
              <w:rPr>
                <w:sz w:val="20"/>
                <w:szCs w:val="20"/>
              </w:rPr>
              <w:t>-1,17%</w:t>
            </w:r>
          </w:p>
        </w:tc>
        <w:tc>
          <w:tcPr>
            <w:tcW w:w="1063" w:type="dxa"/>
            <w:vAlign w:val="center"/>
          </w:tcPr>
          <w:p w:rsidR="00826B8F" w:rsidRPr="00DA20F5" w:rsidRDefault="00826B8F" w:rsidP="00D36FB8">
            <w:pPr>
              <w:jc w:val="right"/>
              <w:rPr>
                <w:sz w:val="20"/>
                <w:szCs w:val="20"/>
              </w:rPr>
            </w:pPr>
            <w:r w:rsidRPr="00DA20F5">
              <w:rPr>
                <w:sz w:val="20"/>
                <w:szCs w:val="20"/>
              </w:rPr>
              <w:t>180 861</w:t>
            </w:r>
          </w:p>
        </w:tc>
      </w:tr>
      <w:tr w:rsidR="006F40D2" w:rsidRPr="00DA20F5" w:rsidTr="00C51124">
        <w:trPr>
          <w:trHeight w:val="360"/>
          <w:jc w:val="center"/>
        </w:trPr>
        <w:tc>
          <w:tcPr>
            <w:tcW w:w="2480" w:type="dxa"/>
            <w:noWrap/>
            <w:vAlign w:val="center"/>
          </w:tcPr>
          <w:p w:rsidR="009F7285" w:rsidRPr="00DA20F5" w:rsidRDefault="00826B8F" w:rsidP="00D36FB8">
            <w:pPr>
              <w:rPr>
                <w:sz w:val="20"/>
                <w:szCs w:val="20"/>
              </w:rPr>
            </w:pPr>
            <w:r w:rsidRPr="00DA20F5">
              <w:rPr>
                <w:sz w:val="20"/>
                <w:szCs w:val="20"/>
              </w:rPr>
              <w:t xml:space="preserve">ING Tatry - Sympatia, </w:t>
            </w:r>
          </w:p>
          <w:p w:rsidR="00826B8F" w:rsidRPr="00DA20F5" w:rsidRDefault="00826B8F" w:rsidP="00D36FB8">
            <w:pPr>
              <w:rPr>
                <w:sz w:val="20"/>
                <w:szCs w:val="20"/>
              </w:rPr>
            </w:pPr>
            <w:r w:rsidRPr="00DA20F5">
              <w:rPr>
                <w:sz w:val="20"/>
                <w:szCs w:val="20"/>
              </w:rPr>
              <w:t>d.d.s., a.s.</w:t>
            </w:r>
          </w:p>
        </w:tc>
        <w:tc>
          <w:tcPr>
            <w:tcW w:w="1487" w:type="dxa"/>
            <w:noWrap/>
            <w:vAlign w:val="center"/>
          </w:tcPr>
          <w:p w:rsidR="00826B8F" w:rsidRPr="00DA20F5" w:rsidRDefault="00826B8F" w:rsidP="00D36FB8">
            <w:pPr>
              <w:ind w:right="288"/>
              <w:jc w:val="right"/>
              <w:rPr>
                <w:sz w:val="20"/>
                <w:szCs w:val="20"/>
              </w:rPr>
            </w:pPr>
            <w:r w:rsidRPr="00DA20F5">
              <w:rPr>
                <w:sz w:val="20"/>
                <w:szCs w:val="20"/>
              </w:rPr>
              <w:t>426,1</w:t>
            </w:r>
          </w:p>
        </w:tc>
        <w:tc>
          <w:tcPr>
            <w:tcW w:w="1418" w:type="dxa"/>
            <w:noWrap/>
            <w:vAlign w:val="center"/>
          </w:tcPr>
          <w:p w:rsidR="00826B8F" w:rsidRPr="00DA20F5" w:rsidRDefault="00826B8F" w:rsidP="00D36FB8">
            <w:pPr>
              <w:ind w:right="288"/>
              <w:jc w:val="right"/>
              <w:rPr>
                <w:sz w:val="20"/>
                <w:szCs w:val="20"/>
              </w:rPr>
            </w:pPr>
            <w:r w:rsidRPr="00DA20F5">
              <w:rPr>
                <w:sz w:val="20"/>
                <w:szCs w:val="20"/>
              </w:rPr>
              <w:t>11,11</w:t>
            </w:r>
          </w:p>
        </w:tc>
        <w:tc>
          <w:tcPr>
            <w:tcW w:w="1366" w:type="dxa"/>
            <w:noWrap/>
            <w:vAlign w:val="center"/>
          </w:tcPr>
          <w:p w:rsidR="00826B8F" w:rsidRPr="00DA20F5" w:rsidRDefault="00826B8F" w:rsidP="00D36FB8">
            <w:pPr>
              <w:ind w:right="288"/>
              <w:jc w:val="right"/>
              <w:rPr>
                <w:sz w:val="20"/>
                <w:szCs w:val="20"/>
              </w:rPr>
            </w:pPr>
            <w:r w:rsidRPr="00DA20F5">
              <w:rPr>
                <w:sz w:val="20"/>
                <w:szCs w:val="20"/>
              </w:rPr>
              <w:t>437,2</w:t>
            </w:r>
          </w:p>
        </w:tc>
        <w:tc>
          <w:tcPr>
            <w:tcW w:w="1385" w:type="dxa"/>
            <w:noWrap/>
            <w:vAlign w:val="center"/>
          </w:tcPr>
          <w:p w:rsidR="00826B8F" w:rsidRPr="00DA20F5" w:rsidRDefault="00826B8F" w:rsidP="00D36FB8">
            <w:pPr>
              <w:ind w:right="288"/>
              <w:jc w:val="right"/>
              <w:rPr>
                <w:sz w:val="20"/>
                <w:szCs w:val="20"/>
              </w:rPr>
            </w:pPr>
            <w:r w:rsidRPr="00DA20F5">
              <w:rPr>
                <w:sz w:val="20"/>
                <w:szCs w:val="20"/>
              </w:rPr>
              <w:t>-4,94%</w:t>
            </w:r>
          </w:p>
        </w:tc>
        <w:tc>
          <w:tcPr>
            <w:tcW w:w="1063" w:type="dxa"/>
            <w:vAlign w:val="center"/>
          </w:tcPr>
          <w:p w:rsidR="00826B8F" w:rsidRPr="00DA20F5" w:rsidRDefault="00826B8F" w:rsidP="00D36FB8">
            <w:pPr>
              <w:jc w:val="right"/>
              <w:rPr>
                <w:sz w:val="20"/>
                <w:szCs w:val="20"/>
              </w:rPr>
            </w:pPr>
            <w:r w:rsidRPr="00DA20F5">
              <w:rPr>
                <w:sz w:val="20"/>
                <w:szCs w:val="20"/>
              </w:rPr>
              <w:t>291 408</w:t>
            </w:r>
          </w:p>
        </w:tc>
      </w:tr>
      <w:tr w:rsidR="006F40D2" w:rsidRPr="00DA20F5" w:rsidTr="00C51124">
        <w:trPr>
          <w:trHeight w:val="288"/>
          <w:jc w:val="center"/>
        </w:trPr>
        <w:tc>
          <w:tcPr>
            <w:tcW w:w="2480" w:type="dxa"/>
            <w:noWrap/>
            <w:vAlign w:val="center"/>
          </w:tcPr>
          <w:p w:rsidR="00826B8F" w:rsidRPr="00DA20F5" w:rsidRDefault="00826B8F" w:rsidP="00D36FB8">
            <w:pPr>
              <w:rPr>
                <w:sz w:val="20"/>
                <w:szCs w:val="20"/>
              </w:rPr>
            </w:pPr>
            <w:r w:rsidRPr="00DA20F5">
              <w:rPr>
                <w:sz w:val="20"/>
                <w:szCs w:val="20"/>
              </w:rPr>
              <w:t>Stabilita, d.d.s., a.s.</w:t>
            </w:r>
          </w:p>
        </w:tc>
        <w:tc>
          <w:tcPr>
            <w:tcW w:w="1487" w:type="dxa"/>
            <w:noWrap/>
            <w:vAlign w:val="center"/>
          </w:tcPr>
          <w:p w:rsidR="00826B8F" w:rsidRPr="00DA20F5" w:rsidRDefault="00826B8F" w:rsidP="00D36FB8">
            <w:pPr>
              <w:ind w:right="288"/>
              <w:jc w:val="right"/>
              <w:rPr>
                <w:sz w:val="20"/>
                <w:szCs w:val="20"/>
              </w:rPr>
            </w:pPr>
            <w:r w:rsidRPr="00DA20F5">
              <w:rPr>
                <w:sz w:val="20"/>
                <w:szCs w:val="20"/>
              </w:rPr>
              <w:t>189,4</w:t>
            </w:r>
          </w:p>
        </w:tc>
        <w:tc>
          <w:tcPr>
            <w:tcW w:w="1418" w:type="dxa"/>
            <w:noWrap/>
            <w:vAlign w:val="center"/>
          </w:tcPr>
          <w:p w:rsidR="00826B8F" w:rsidRPr="00DA20F5" w:rsidRDefault="00826B8F" w:rsidP="00D36FB8">
            <w:pPr>
              <w:ind w:right="288"/>
              <w:jc w:val="right"/>
              <w:rPr>
                <w:sz w:val="20"/>
                <w:szCs w:val="20"/>
              </w:rPr>
            </w:pPr>
            <w:r w:rsidRPr="00DA20F5">
              <w:rPr>
                <w:sz w:val="20"/>
                <w:szCs w:val="20"/>
              </w:rPr>
              <w:t>32,53</w:t>
            </w:r>
          </w:p>
        </w:tc>
        <w:tc>
          <w:tcPr>
            <w:tcW w:w="1366" w:type="dxa"/>
            <w:noWrap/>
            <w:vAlign w:val="center"/>
          </w:tcPr>
          <w:p w:rsidR="00826B8F" w:rsidRPr="00DA20F5" w:rsidRDefault="00826B8F" w:rsidP="00D36FB8">
            <w:pPr>
              <w:ind w:right="288"/>
              <w:jc w:val="right"/>
              <w:rPr>
                <w:sz w:val="20"/>
                <w:szCs w:val="20"/>
              </w:rPr>
            </w:pPr>
            <w:r w:rsidRPr="00DA20F5">
              <w:rPr>
                <w:sz w:val="20"/>
                <w:szCs w:val="20"/>
              </w:rPr>
              <w:t>221,9</w:t>
            </w:r>
          </w:p>
        </w:tc>
        <w:tc>
          <w:tcPr>
            <w:tcW w:w="1385" w:type="dxa"/>
            <w:noWrap/>
            <w:vAlign w:val="center"/>
          </w:tcPr>
          <w:p w:rsidR="00826B8F" w:rsidRPr="00DA20F5" w:rsidRDefault="00826B8F" w:rsidP="00D36FB8">
            <w:pPr>
              <w:ind w:right="288"/>
              <w:jc w:val="right"/>
              <w:rPr>
                <w:sz w:val="20"/>
                <w:szCs w:val="20"/>
              </w:rPr>
            </w:pPr>
            <w:r w:rsidRPr="00DA20F5">
              <w:rPr>
                <w:sz w:val="20"/>
                <w:szCs w:val="20"/>
              </w:rPr>
              <w:t>-2,84%</w:t>
            </w:r>
          </w:p>
        </w:tc>
        <w:tc>
          <w:tcPr>
            <w:tcW w:w="1063" w:type="dxa"/>
            <w:vAlign w:val="center"/>
          </w:tcPr>
          <w:p w:rsidR="00826B8F" w:rsidRPr="00DA20F5" w:rsidRDefault="00826B8F" w:rsidP="00D36FB8">
            <w:pPr>
              <w:jc w:val="right"/>
              <w:rPr>
                <w:sz w:val="20"/>
                <w:szCs w:val="20"/>
              </w:rPr>
            </w:pPr>
            <w:r w:rsidRPr="00DA20F5">
              <w:rPr>
                <w:sz w:val="20"/>
                <w:szCs w:val="20"/>
              </w:rPr>
              <w:t>107 950</w:t>
            </w:r>
          </w:p>
        </w:tc>
      </w:tr>
      <w:tr w:rsidR="006F40D2" w:rsidRPr="00DA20F5" w:rsidTr="00C51124">
        <w:trPr>
          <w:trHeight w:val="282"/>
          <w:jc w:val="center"/>
        </w:trPr>
        <w:tc>
          <w:tcPr>
            <w:tcW w:w="2480" w:type="dxa"/>
            <w:noWrap/>
            <w:vAlign w:val="center"/>
          </w:tcPr>
          <w:p w:rsidR="00826B8F" w:rsidRPr="00DA20F5" w:rsidRDefault="00826B8F" w:rsidP="00D36FB8">
            <w:pPr>
              <w:rPr>
                <w:b/>
              </w:rPr>
            </w:pPr>
            <w:r w:rsidRPr="00DA20F5">
              <w:rPr>
                <w:b/>
              </w:rPr>
              <w:t>Spolu</w:t>
            </w:r>
          </w:p>
        </w:tc>
        <w:tc>
          <w:tcPr>
            <w:tcW w:w="1487" w:type="dxa"/>
            <w:noWrap/>
            <w:vAlign w:val="center"/>
          </w:tcPr>
          <w:p w:rsidR="00826B8F" w:rsidRPr="00DA20F5" w:rsidRDefault="00826B8F" w:rsidP="00D36FB8">
            <w:pPr>
              <w:ind w:right="288"/>
              <w:jc w:val="right"/>
              <w:rPr>
                <w:b/>
                <w:sz w:val="20"/>
                <w:szCs w:val="20"/>
              </w:rPr>
            </w:pPr>
            <w:r w:rsidRPr="00DA20F5">
              <w:rPr>
                <w:b/>
                <w:sz w:val="20"/>
                <w:szCs w:val="20"/>
              </w:rPr>
              <w:t>1 118,7</w:t>
            </w:r>
          </w:p>
        </w:tc>
        <w:tc>
          <w:tcPr>
            <w:tcW w:w="1418" w:type="dxa"/>
            <w:noWrap/>
            <w:vAlign w:val="center"/>
          </w:tcPr>
          <w:p w:rsidR="00826B8F" w:rsidRPr="00DA20F5" w:rsidRDefault="00826B8F" w:rsidP="00D36FB8">
            <w:pPr>
              <w:ind w:right="288"/>
              <w:jc w:val="right"/>
              <w:rPr>
                <w:b/>
                <w:sz w:val="20"/>
                <w:szCs w:val="20"/>
              </w:rPr>
            </w:pPr>
            <w:r w:rsidRPr="00DA20F5">
              <w:rPr>
                <w:b/>
                <w:sz w:val="20"/>
                <w:szCs w:val="20"/>
              </w:rPr>
              <w:t>55,81</w:t>
            </w:r>
          </w:p>
        </w:tc>
        <w:tc>
          <w:tcPr>
            <w:tcW w:w="1366" w:type="dxa"/>
            <w:noWrap/>
            <w:vAlign w:val="center"/>
          </w:tcPr>
          <w:p w:rsidR="00826B8F" w:rsidRPr="00DA20F5" w:rsidRDefault="00826B8F" w:rsidP="00D36FB8">
            <w:pPr>
              <w:ind w:right="288"/>
              <w:jc w:val="right"/>
              <w:rPr>
                <w:b/>
                <w:sz w:val="20"/>
                <w:szCs w:val="20"/>
              </w:rPr>
            </w:pPr>
            <w:r w:rsidRPr="00DA20F5">
              <w:rPr>
                <w:b/>
                <w:sz w:val="20"/>
                <w:szCs w:val="20"/>
              </w:rPr>
              <w:t>1 174,5</w:t>
            </w:r>
          </w:p>
        </w:tc>
        <w:tc>
          <w:tcPr>
            <w:tcW w:w="1385" w:type="dxa"/>
            <w:noWrap/>
            <w:vAlign w:val="center"/>
          </w:tcPr>
          <w:p w:rsidR="00826B8F" w:rsidRPr="00DA20F5" w:rsidRDefault="00826B8F" w:rsidP="00D36FB8">
            <w:pPr>
              <w:ind w:right="288"/>
              <w:jc w:val="right"/>
              <w:rPr>
                <w:b/>
                <w:sz w:val="20"/>
                <w:szCs w:val="20"/>
              </w:rPr>
            </w:pPr>
            <w:r w:rsidRPr="00DA20F5">
              <w:rPr>
                <w:b/>
                <w:sz w:val="20"/>
                <w:szCs w:val="20"/>
              </w:rPr>
              <w:t>-2,78%</w:t>
            </w:r>
          </w:p>
        </w:tc>
        <w:tc>
          <w:tcPr>
            <w:tcW w:w="1063" w:type="dxa"/>
            <w:vAlign w:val="center"/>
          </w:tcPr>
          <w:p w:rsidR="00826B8F" w:rsidRPr="00DA20F5" w:rsidRDefault="00826B8F" w:rsidP="00D36FB8">
            <w:pPr>
              <w:jc w:val="right"/>
              <w:rPr>
                <w:b/>
                <w:sz w:val="20"/>
                <w:szCs w:val="20"/>
              </w:rPr>
            </w:pPr>
            <w:r w:rsidRPr="00DA20F5">
              <w:rPr>
                <w:b/>
                <w:sz w:val="20"/>
                <w:szCs w:val="20"/>
              </w:rPr>
              <w:t>708 330</w:t>
            </w:r>
          </w:p>
        </w:tc>
      </w:tr>
    </w:tbl>
    <w:p w:rsidR="00826B8F" w:rsidRPr="00DA20F5" w:rsidRDefault="00826B8F" w:rsidP="00D36FB8">
      <w:pPr>
        <w:pStyle w:val="zdroj"/>
      </w:pPr>
      <w:r w:rsidRPr="00DA20F5">
        <w:t>Výpočet: MPSVR SR</w:t>
      </w:r>
    </w:p>
    <w:p w:rsidR="00826B8F" w:rsidRPr="00DA20F5" w:rsidRDefault="00826B8F" w:rsidP="00D36FB8">
      <w:pPr>
        <w:pStyle w:val="Nadpis7"/>
        <w:rPr>
          <w:lang w:eastAsia="cs-CZ"/>
        </w:rPr>
      </w:pPr>
      <w:bookmarkStart w:id="1013" w:name="_Toc313879048"/>
      <w:bookmarkStart w:id="1014" w:name="_Toc294029557"/>
      <w:bookmarkStart w:id="1015" w:name="_Toc294027318"/>
      <w:bookmarkStart w:id="1016" w:name="_Toc325438182"/>
      <w:bookmarkStart w:id="1017" w:name="_Toc325440951"/>
      <w:bookmarkStart w:id="1018" w:name="_Toc325626764"/>
      <w:bookmarkStart w:id="1019" w:name="_Toc326217025"/>
      <w:r w:rsidRPr="00DA20F5">
        <w:rPr>
          <w:lang w:eastAsia="cs-CZ"/>
        </w:rPr>
        <w:t>Tab. 3.11</w:t>
      </w:r>
      <w:r w:rsidR="00AC5AAB" w:rsidRPr="00DA20F5">
        <w:rPr>
          <w:lang w:eastAsia="cs-CZ"/>
        </w:rPr>
        <w:t xml:space="preserve"> </w:t>
      </w:r>
      <w:r w:rsidRPr="00DA20F5">
        <w:rPr>
          <w:lang w:eastAsia="cs-CZ"/>
        </w:rPr>
        <w:t>Prehľad d</w:t>
      </w:r>
      <w:r w:rsidR="00C36505" w:rsidRPr="00DA20F5">
        <w:rPr>
          <w:lang w:eastAsia="cs-CZ"/>
        </w:rPr>
        <w:t xml:space="preserve">ávok </w:t>
      </w:r>
      <w:r w:rsidRPr="00DA20F5">
        <w:rPr>
          <w:lang w:eastAsia="cs-CZ"/>
        </w:rPr>
        <w:t xml:space="preserve"> doplnkového dôchodkového sporenia k 31.12.201</w:t>
      </w:r>
      <w:bookmarkEnd w:id="1013"/>
      <w:bookmarkEnd w:id="1014"/>
      <w:bookmarkEnd w:id="1015"/>
      <w:r w:rsidRPr="00DA20F5">
        <w:rPr>
          <w:lang w:eastAsia="cs-CZ"/>
        </w:rPr>
        <w:t>1</w:t>
      </w:r>
      <w:bookmarkEnd w:id="1016"/>
      <w:bookmarkEnd w:id="1017"/>
      <w:bookmarkEnd w:id="1018"/>
      <w:bookmarkEnd w:id="1019"/>
    </w:p>
    <w:tbl>
      <w:tblPr>
        <w:tblW w:w="6936" w:type="dxa"/>
        <w:jc w:val="center"/>
        <w:tblInd w:w="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A0" w:firstRow="1" w:lastRow="0" w:firstColumn="1" w:lastColumn="0" w:noHBand="0" w:noVBand="0"/>
      </w:tblPr>
      <w:tblGrid>
        <w:gridCol w:w="3339"/>
        <w:gridCol w:w="1874"/>
        <w:gridCol w:w="1723"/>
      </w:tblGrid>
      <w:tr w:rsidR="006F40D2" w:rsidRPr="00DA20F5" w:rsidTr="00C51124">
        <w:trPr>
          <w:trHeight w:val="392"/>
          <w:jc w:val="center"/>
        </w:trPr>
        <w:tc>
          <w:tcPr>
            <w:tcW w:w="3339" w:type="dxa"/>
            <w:shd w:val="clear" w:color="auto" w:fill="4F81BD"/>
            <w:noWrap/>
            <w:vAlign w:val="center"/>
          </w:tcPr>
          <w:p w:rsidR="00826B8F" w:rsidRPr="00DA20F5" w:rsidRDefault="00826B8F" w:rsidP="00D36FB8">
            <w:pPr>
              <w:jc w:val="center"/>
              <w:rPr>
                <w:b/>
                <w:color w:val="FFFFFF" w:themeColor="background1"/>
                <w:lang w:eastAsia="cs-CZ"/>
              </w:rPr>
            </w:pPr>
            <w:bookmarkStart w:id="1020" w:name="_Toc294019986"/>
            <w:bookmarkStart w:id="1021" w:name="_Toc294027319"/>
            <w:bookmarkStart w:id="1022" w:name="_Toc294029558"/>
            <w:bookmarkStart w:id="1023" w:name="_Toc313879049"/>
            <w:r w:rsidRPr="00DA20F5">
              <w:rPr>
                <w:b/>
                <w:color w:val="FFFFFF" w:themeColor="background1"/>
                <w:lang w:eastAsia="cs-CZ"/>
              </w:rPr>
              <w:t>Druh dávky</w:t>
            </w:r>
            <w:bookmarkEnd w:id="1020"/>
            <w:bookmarkEnd w:id="1021"/>
            <w:bookmarkEnd w:id="1022"/>
            <w:bookmarkEnd w:id="1023"/>
          </w:p>
        </w:tc>
        <w:tc>
          <w:tcPr>
            <w:tcW w:w="1874" w:type="dxa"/>
            <w:shd w:val="clear" w:color="auto" w:fill="4F81BD"/>
            <w:noWrap/>
            <w:vAlign w:val="center"/>
          </w:tcPr>
          <w:p w:rsidR="00826B8F" w:rsidRPr="00DA20F5" w:rsidRDefault="00826B8F" w:rsidP="00D36FB8">
            <w:pPr>
              <w:jc w:val="center"/>
              <w:rPr>
                <w:b/>
                <w:color w:val="FFFFFF" w:themeColor="background1"/>
                <w:lang w:eastAsia="cs-CZ"/>
              </w:rPr>
            </w:pPr>
            <w:bookmarkStart w:id="1024" w:name="_Toc294019987"/>
            <w:bookmarkStart w:id="1025" w:name="_Toc294027320"/>
            <w:bookmarkStart w:id="1026" w:name="_Toc294029559"/>
            <w:bookmarkStart w:id="1027" w:name="_Toc313879050"/>
            <w:r w:rsidRPr="00DA20F5">
              <w:rPr>
                <w:b/>
                <w:color w:val="FFFFFF" w:themeColor="background1"/>
                <w:lang w:eastAsia="cs-CZ"/>
              </w:rPr>
              <w:t>Suma (mil. €)</w:t>
            </w:r>
            <w:bookmarkEnd w:id="1024"/>
            <w:bookmarkEnd w:id="1025"/>
            <w:bookmarkEnd w:id="1026"/>
            <w:bookmarkEnd w:id="1027"/>
          </w:p>
        </w:tc>
        <w:tc>
          <w:tcPr>
            <w:tcW w:w="1723" w:type="dxa"/>
            <w:shd w:val="clear" w:color="auto" w:fill="4F81BD"/>
            <w:noWrap/>
            <w:vAlign w:val="center"/>
          </w:tcPr>
          <w:p w:rsidR="00826B8F" w:rsidRPr="00DA20F5" w:rsidRDefault="00826B8F" w:rsidP="00D36FB8">
            <w:pPr>
              <w:jc w:val="center"/>
              <w:rPr>
                <w:b/>
                <w:color w:val="FFFFFF" w:themeColor="background1"/>
                <w:lang w:eastAsia="cs-CZ"/>
              </w:rPr>
            </w:pPr>
            <w:bookmarkStart w:id="1028" w:name="_Toc294019988"/>
            <w:bookmarkStart w:id="1029" w:name="_Toc294027321"/>
            <w:bookmarkStart w:id="1030" w:name="_Toc294029560"/>
            <w:bookmarkStart w:id="1031" w:name="_Toc313879051"/>
            <w:r w:rsidRPr="00DA20F5">
              <w:rPr>
                <w:b/>
                <w:color w:val="FFFFFF" w:themeColor="background1"/>
                <w:lang w:eastAsia="cs-CZ"/>
              </w:rPr>
              <w:t>Počet poberateľov</w:t>
            </w:r>
            <w:bookmarkEnd w:id="1028"/>
            <w:bookmarkEnd w:id="1029"/>
            <w:bookmarkEnd w:id="1030"/>
            <w:bookmarkEnd w:id="1031"/>
          </w:p>
        </w:tc>
      </w:tr>
      <w:tr w:rsidR="006F40D2" w:rsidRPr="00DA20F5" w:rsidTr="00C51124">
        <w:trPr>
          <w:trHeight w:val="392"/>
          <w:jc w:val="center"/>
        </w:trPr>
        <w:tc>
          <w:tcPr>
            <w:tcW w:w="3339" w:type="dxa"/>
            <w:noWrap/>
            <w:vAlign w:val="center"/>
          </w:tcPr>
          <w:p w:rsidR="00826B8F" w:rsidRPr="00DA20F5" w:rsidRDefault="00826B8F" w:rsidP="00D36FB8">
            <w:bookmarkStart w:id="1032" w:name="_Toc294019989"/>
            <w:bookmarkStart w:id="1033" w:name="_Toc294027322"/>
            <w:bookmarkStart w:id="1034" w:name="_Toc294029561"/>
            <w:bookmarkStart w:id="1035" w:name="_Toc313879052"/>
            <w:r w:rsidRPr="00DA20F5">
              <w:t>Doplnkový starobný dôchodok</w:t>
            </w:r>
            <w:bookmarkEnd w:id="1032"/>
            <w:bookmarkEnd w:id="1033"/>
            <w:bookmarkEnd w:id="1034"/>
            <w:bookmarkEnd w:id="1035"/>
          </w:p>
        </w:tc>
        <w:tc>
          <w:tcPr>
            <w:tcW w:w="1874" w:type="dxa"/>
            <w:noWrap/>
            <w:vAlign w:val="center"/>
          </w:tcPr>
          <w:p w:rsidR="00826B8F" w:rsidRPr="00DA20F5" w:rsidRDefault="00826B8F" w:rsidP="00D36FB8">
            <w:pPr>
              <w:ind w:right="540"/>
              <w:jc w:val="right"/>
            </w:pPr>
            <w:bookmarkStart w:id="1036" w:name="_Toc294019990"/>
            <w:bookmarkStart w:id="1037" w:name="_Toc294027323"/>
            <w:bookmarkStart w:id="1038" w:name="_Toc294029562"/>
            <w:bookmarkStart w:id="1039" w:name="_Toc313879053"/>
            <w:r w:rsidRPr="00DA20F5">
              <w:t>33,3 €</w:t>
            </w:r>
            <w:bookmarkEnd w:id="1036"/>
            <w:bookmarkEnd w:id="1037"/>
            <w:bookmarkEnd w:id="1038"/>
            <w:bookmarkEnd w:id="1039"/>
          </w:p>
        </w:tc>
        <w:tc>
          <w:tcPr>
            <w:tcW w:w="1723" w:type="dxa"/>
            <w:noWrap/>
            <w:vAlign w:val="center"/>
          </w:tcPr>
          <w:p w:rsidR="00826B8F" w:rsidRPr="00DA20F5" w:rsidRDefault="00826B8F" w:rsidP="00D36FB8">
            <w:pPr>
              <w:ind w:right="540"/>
              <w:jc w:val="right"/>
            </w:pPr>
            <w:r w:rsidRPr="00DA20F5">
              <w:t>31 728</w:t>
            </w:r>
          </w:p>
        </w:tc>
      </w:tr>
      <w:tr w:rsidR="006F40D2" w:rsidRPr="00DA20F5" w:rsidTr="00C51124">
        <w:trPr>
          <w:trHeight w:val="392"/>
          <w:jc w:val="center"/>
        </w:trPr>
        <w:tc>
          <w:tcPr>
            <w:tcW w:w="3339" w:type="dxa"/>
            <w:noWrap/>
            <w:vAlign w:val="center"/>
          </w:tcPr>
          <w:p w:rsidR="00826B8F" w:rsidRPr="00DA20F5" w:rsidRDefault="00826B8F" w:rsidP="00D36FB8">
            <w:bookmarkStart w:id="1040" w:name="_Toc294019992"/>
            <w:bookmarkStart w:id="1041" w:name="_Toc294027325"/>
            <w:bookmarkStart w:id="1042" w:name="_Toc294029564"/>
            <w:bookmarkStart w:id="1043" w:name="_Toc313879055"/>
            <w:r w:rsidRPr="00DA20F5">
              <w:t>Doplnkový výsluhový dôchodok</w:t>
            </w:r>
            <w:bookmarkEnd w:id="1040"/>
            <w:bookmarkEnd w:id="1041"/>
            <w:bookmarkEnd w:id="1042"/>
            <w:bookmarkEnd w:id="1043"/>
          </w:p>
        </w:tc>
        <w:tc>
          <w:tcPr>
            <w:tcW w:w="1874" w:type="dxa"/>
            <w:noWrap/>
            <w:vAlign w:val="center"/>
          </w:tcPr>
          <w:p w:rsidR="00826B8F" w:rsidRPr="00DA20F5" w:rsidRDefault="00826B8F" w:rsidP="00D36FB8">
            <w:pPr>
              <w:ind w:right="540"/>
              <w:jc w:val="right"/>
            </w:pPr>
            <w:bookmarkStart w:id="1044" w:name="_Toc294019993"/>
            <w:bookmarkStart w:id="1045" w:name="_Toc294027326"/>
            <w:bookmarkStart w:id="1046" w:name="_Toc294029565"/>
            <w:bookmarkStart w:id="1047" w:name="_Toc313879056"/>
            <w:r w:rsidRPr="00DA20F5">
              <w:t>0,47 €</w:t>
            </w:r>
            <w:bookmarkEnd w:id="1044"/>
            <w:bookmarkEnd w:id="1045"/>
            <w:bookmarkEnd w:id="1046"/>
            <w:bookmarkEnd w:id="1047"/>
          </w:p>
        </w:tc>
        <w:tc>
          <w:tcPr>
            <w:tcW w:w="1723" w:type="dxa"/>
            <w:noWrap/>
            <w:vAlign w:val="center"/>
          </w:tcPr>
          <w:p w:rsidR="00826B8F" w:rsidRPr="00DA20F5" w:rsidRDefault="00826B8F" w:rsidP="00D36FB8">
            <w:pPr>
              <w:ind w:right="540"/>
              <w:jc w:val="right"/>
            </w:pPr>
            <w:r w:rsidRPr="00DA20F5">
              <w:t>3 147</w:t>
            </w:r>
          </w:p>
        </w:tc>
      </w:tr>
      <w:tr w:rsidR="006F40D2" w:rsidRPr="00DA20F5" w:rsidTr="00C51124">
        <w:trPr>
          <w:trHeight w:val="392"/>
          <w:jc w:val="center"/>
        </w:trPr>
        <w:tc>
          <w:tcPr>
            <w:tcW w:w="3339" w:type="dxa"/>
            <w:noWrap/>
            <w:vAlign w:val="center"/>
          </w:tcPr>
          <w:p w:rsidR="00826B8F" w:rsidRPr="00DA20F5" w:rsidRDefault="00826B8F" w:rsidP="00D36FB8">
            <w:bookmarkStart w:id="1048" w:name="_Toc294019995"/>
            <w:bookmarkStart w:id="1049" w:name="_Toc294027328"/>
            <w:bookmarkStart w:id="1050" w:name="_Toc294029567"/>
            <w:bookmarkStart w:id="1051" w:name="_Toc313879058"/>
            <w:r w:rsidRPr="00DA20F5">
              <w:t>Odstupné</w:t>
            </w:r>
            <w:bookmarkEnd w:id="1048"/>
            <w:bookmarkEnd w:id="1049"/>
            <w:bookmarkEnd w:id="1050"/>
            <w:bookmarkEnd w:id="1051"/>
          </w:p>
        </w:tc>
        <w:tc>
          <w:tcPr>
            <w:tcW w:w="1874" w:type="dxa"/>
            <w:noWrap/>
            <w:vAlign w:val="center"/>
          </w:tcPr>
          <w:p w:rsidR="00826B8F" w:rsidRPr="00DA20F5" w:rsidRDefault="00826B8F" w:rsidP="00D36FB8">
            <w:pPr>
              <w:ind w:right="540"/>
              <w:jc w:val="right"/>
            </w:pPr>
            <w:bookmarkStart w:id="1052" w:name="_Toc294019996"/>
            <w:bookmarkStart w:id="1053" w:name="_Toc294027329"/>
            <w:bookmarkStart w:id="1054" w:name="_Toc294029568"/>
            <w:bookmarkStart w:id="1055" w:name="_Toc313879059"/>
            <w:r w:rsidRPr="00DA20F5">
              <w:t>36,66 €</w:t>
            </w:r>
            <w:bookmarkEnd w:id="1052"/>
            <w:bookmarkEnd w:id="1053"/>
            <w:bookmarkEnd w:id="1054"/>
            <w:bookmarkEnd w:id="1055"/>
          </w:p>
        </w:tc>
        <w:tc>
          <w:tcPr>
            <w:tcW w:w="1723" w:type="dxa"/>
            <w:noWrap/>
            <w:vAlign w:val="center"/>
          </w:tcPr>
          <w:p w:rsidR="00826B8F" w:rsidRPr="00DA20F5" w:rsidRDefault="00826B8F" w:rsidP="00D36FB8">
            <w:pPr>
              <w:ind w:right="540"/>
              <w:jc w:val="right"/>
            </w:pPr>
            <w:bookmarkStart w:id="1056" w:name="_Toc294019997"/>
            <w:bookmarkStart w:id="1057" w:name="_Toc294027330"/>
            <w:bookmarkStart w:id="1058" w:name="_Toc294029569"/>
            <w:bookmarkStart w:id="1059" w:name="_Toc313879060"/>
            <w:r w:rsidRPr="00DA20F5">
              <w:t>3</w:t>
            </w:r>
            <w:bookmarkEnd w:id="1056"/>
            <w:bookmarkEnd w:id="1057"/>
            <w:bookmarkEnd w:id="1058"/>
            <w:bookmarkEnd w:id="1059"/>
            <w:r w:rsidRPr="00DA20F5">
              <w:t>6 541</w:t>
            </w:r>
          </w:p>
        </w:tc>
      </w:tr>
      <w:tr w:rsidR="006F40D2" w:rsidRPr="00DA20F5" w:rsidTr="00C51124">
        <w:trPr>
          <w:trHeight w:val="392"/>
          <w:jc w:val="center"/>
        </w:trPr>
        <w:tc>
          <w:tcPr>
            <w:tcW w:w="3339" w:type="dxa"/>
            <w:noWrap/>
            <w:vAlign w:val="center"/>
          </w:tcPr>
          <w:p w:rsidR="00826B8F" w:rsidRPr="00DA20F5" w:rsidRDefault="00826B8F" w:rsidP="00D36FB8">
            <w:bookmarkStart w:id="1060" w:name="_Toc294019998"/>
            <w:bookmarkStart w:id="1061" w:name="_Toc294027331"/>
            <w:bookmarkStart w:id="1062" w:name="_Toc294029570"/>
            <w:bookmarkStart w:id="1063" w:name="_Toc313879061"/>
            <w:r w:rsidRPr="00DA20F5">
              <w:t>Jednorazové vyrovnanie</w:t>
            </w:r>
            <w:bookmarkEnd w:id="1060"/>
            <w:bookmarkEnd w:id="1061"/>
            <w:bookmarkEnd w:id="1062"/>
            <w:bookmarkEnd w:id="1063"/>
          </w:p>
        </w:tc>
        <w:tc>
          <w:tcPr>
            <w:tcW w:w="1874" w:type="dxa"/>
            <w:noWrap/>
            <w:vAlign w:val="center"/>
          </w:tcPr>
          <w:p w:rsidR="00826B8F" w:rsidRPr="00DA20F5" w:rsidRDefault="00826B8F" w:rsidP="00D36FB8">
            <w:pPr>
              <w:ind w:right="540"/>
              <w:jc w:val="right"/>
            </w:pPr>
            <w:bookmarkStart w:id="1064" w:name="_Toc294019999"/>
            <w:bookmarkStart w:id="1065" w:name="_Toc294027332"/>
            <w:bookmarkStart w:id="1066" w:name="_Toc294029571"/>
            <w:bookmarkStart w:id="1067" w:name="_Toc313879062"/>
            <w:r w:rsidRPr="00DA20F5">
              <w:t>55,93 €</w:t>
            </w:r>
            <w:bookmarkEnd w:id="1064"/>
            <w:bookmarkEnd w:id="1065"/>
            <w:bookmarkEnd w:id="1066"/>
            <w:bookmarkEnd w:id="1067"/>
          </w:p>
        </w:tc>
        <w:tc>
          <w:tcPr>
            <w:tcW w:w="1723" w:type="dxa"/>
            <w:noWrap/>
            <w:vAlign w:val="center"/>
          </w:tcPr>
          <w:p w:rsidR="00826B8F" w:rsidRPr="00DA20F5" w:rsidRDefault="00826B8F" w:rsidP="00D36FB8">
            <w:pPr>
              <w:ind w:right="540"/>
              <w:jc w:val="right"/>
            </w:pPr>
            <w:bookmarkStart w:id="1068" w:name="_Toc294020000"/>
            <w:bookmarkStart w:id="1069" w:name="_Toc294027333"/>
            <w:bookmarkStart w:id="1070" w:name="_Toc294029572"/>
            <w:bookmarkStart w:id="1071" w:name="_Toc313879063"/>
            <w:r w:rsidRPr="00DA20F5">
              <w:t>2</w:t>
            </w:r>
            <w:bookmarkEnd w:id="1068"/>
            <w:bookmarkEnd w:id="1069"/>
            <w:bookmarkEnd w:id="1070"/>
            <w:bookmarkEnd w:id="1071"/>
            <w:r w:rsidRPr="00DA20F5">
              <w:t>3 851</w:t>
            </w:r>
          </w:p>
        </w:tc>
      </w:tr>
    </w:tbl>
    <w:p w:rsidR="00826B8F" w:rsidRPr="00DA20F5" w:rsidRDefault="00826B8F" w:rsidP="00D36FB8">
      <w:pPr>
        <w:pStyle w:val="zdroj"/>
        <w:ind w:left="567"/>
        <w:rPr>
          <w:b/>
          <w:bCs/>
          <w:iCs/>
          <w:sz w:val="28"/>
          <w:szCs w:val="26"/>
          <w:lang w:eastAsia="cs-CZ"/>
        </w:rPr>
      </w:pPr>
      <w:r w:rsidRPr="00DA20F5">
        <w:t>Zdroj: ADDS</w:t>
      </w:r>
    </w:p>
    <w:p w:rsidR="0033512D" w:rsidRPr="00DA20F5" w:rsidRDefault="0033512D" w:rsidP="00D36FB8">
      <w:pPr>
        <w:pStyle w:val="nadpis2"/>
      </w:pPr>
      <w:bookmarkStart w:id="1072" w:name="_Toc326217026"/>
      <w:r w:rsidRPr="00DA20F5">
        <w:lastRenderedPageBreak/>
        <w:t>Štátna sociálna podpora</w:t>
      </w:r>
      <w:bookmarkEnd w:id="1072"/>
      <w:r w:rsidR="00E50D46" w:rsidRPr="00DA20F5">
        <w:t xml:space="preserve"> </w:t>
      </w:r>
    </w:p>
    <w:p w:rsidR="0033512D" w:rsidRPr="00DA20F5" w:rsidRDefault="0033512D" w:rsidP="00D36FB8">
      <w:pPr>
        <w:spacing w:before="240"/>
        <w:ind w:firstLine="567"/>
      </w:pPr>
      <w:r w:rsidRPr="00DA20F5">
        <w:rPr>
          <w:rStyle w:val="Siln"/>
        </w:rPr>
        <w:t>Podpora štátu rodinám</w:t>
      </w:r>
      <w:r w:rsidRPr="00DA20F5">
        <w:t xml:space="preserve"> sa uskutočňuje predovšetkým prostredníctvom systému </w:t>
      </w:r>
      <w:r w:rsidRPr="00DA20F5">
        <w:rPr>
          <w:rStyle w:val="Siln"/>
        </w:rPr>
        <w:t>štátnych sociálnych dávok</w:t>
      </w:r>
      <w:r w:rsidRPr="00DA20F5">
        <w:t xml:space="preserve">, predstavujúceho súbor peňažných plnení, ktorými sa štát podieľa na zvládnutí viacerých životných situácií, najmä u rodín s nezaopatrenými deťmi, ale aj iným spôsobom - </w:t>
      </w:r>
      <w:r w:rsidRPr="00DA20F5">
        <w:rPr>
          <w:rStyle w:val="Siln"/>
          <w:b w:val="0"/>
        </w:rPr>
        <w:t>materská a rodičovská dovolenka a materské, daňový bonus</w:t>
      </w:r>
      <w:r w:rsidRPr="00DA20F5">
        <w:t xml:space="preserve">. Štátne sociálne dávky prispievajú na krytie nákladov na výživu a iné osobné potreby detí a tiež nákladov, spojených s ďalšími sociálnymi udalosťami. </w:t>
      </w:r>
    </w:p>
    <w:p w:rsidR="0033512D" w:rsidRPr="00DA20F5" w:rsidRDefault="0033512D" w:rsidP="00D36FB8">
      <w:pPr>
        <w:pStyle w:val="AAAodstavecsprava"/>
        <w:spacing w:after="0"/>
        <w:ind w:firstLine="567"/>
        <w:rPr>
          <w:sz w:val="22"/>
          <w:szCs w:val="24"/>
          <w:lang w:eastAsia="sk-SK"/>
        </w:rPr>
      </w:pPr>
      <w:r w:rsidRPr="00DA20F5">
        <w:rPr>
          <w:sz w:val="22"/>
          <w:szCs w:val="24"/>
          <w:lang w:eastAsia="sk-SK"/>
        </w:rPr>
        <w:t xml:space="preserve">Systém štátnej sociálnej podpory pozostával v roku 2011 </w:t>
      </w:r>
      <w:r w:rsidR="00B45797" w:rsidRPr="00DA20F5">
        <w:rPr>
          <w:sz w:val="22"/>
          <w:szCs w:val="24"/>
          <w:lang w:eastAsia="sk-SK"/>
        </w:rPr>
        <w:t>z nasledujúcich jednorazových a </w:t>
      </w:r>
      <w:r w:rsidRPr="00DA20F5">
        <w:rPr>
          <w:sz w:val="22"/>
          <w:szCs w:val="24"/>
          <w:lang w:eastAsia="sk-SK"/>
        </w:rPr>
        <w:t>opakovaných dávok:</w:t>
      </w:r>
    </w:p>
    <w:p w:rsidR="0033512D" w:rsidRPr="00DA20F5" w:rsidRDefault="0033512D" w:rsidP="00DB509D">
      <w:pPr>
        <w:numPr>
          <w:ilvl w:val="0"/>
          <w:numId w:val="17"/>
        </w:numPr>
      </w:pPr>
      <w:r w:rsidRPr="00DA20F5">
        <w:t>prídavok na dieťa</w:t>
      </w:r>
    </w:p>
    <w:p w:rsidR="0033512D" w:rsidRPr="00DA20F5" w:rsidRDefault="0033512D" w:rsidP="00DB509D">
      <w:pPr>
        <w:numPr>
          <w:ilvl w:val="0"/>
          <w:numId w:val="17"/>
        </w:numPr>
      </w:pPr>
      <w:r w:rsidRPr="00DA20F5">
        <w:t>príplatok k prídavku na dieťa</w:t>
      </w:r>
    </w:p>
    <w:p w:rsidR="0033512D" w:rsidRPr="00DA20F5" w:rsidRDefault="0033512D" w:rsidP="00DB509D">
      <w:pPr>
        <w:numPr>
          <w:ilvl w:val="0"/>
          <w:numId w:val="17"/>
        </w:numPr>
      </w:pPr>
      <w:r w:rsidRPr="00DA20F5">
        <w:t>rodičovský príspevok</w:t>
      </w:r>
    </w:p>
    <w:p w:rsidR="0033512D" w:rsidRPr="00DA20F5" w:rsidRDefault="0033512D" w:rsidP="00DB509D">
      <w:pPr>
        <w:numPr>
          <w:ilvl w:val="0"/>
          <w:numId w:val="17"/>
        </w:numPr>
      </w:pPr>
      <w:r w:rsidRPr="00DA20F5">
        <w:t>príspevok na starostlivosť o dieťa</w:t>
      </w:r>
    </w:p>
    <w:p w:rsidR="0033512D" w:rsidRPr="00DA20F5" w:rsidRDefault="0033512D" w:rsidP="00DB509D">
      <w:pPr>
        <w:numPr>
          <w:ilvl w:val="0"/>
          <w:numId w:val="17"/>
        </w:numPr>
      </w:pPr>
      <w:r w:rsidRPr="00DA20F5">
        <w:t>príspevok pri narodení dieťaťa</w:t>
      </w:r>
    </w:p>
    <w:p w:rsidR="0033512D" w:rsidRPr="00DA20F5" w:rsidRDefault="0033512D" w:rsidP="00DB509D">
      <w:pPr>
        <w:numPr>
          <w:ilvl w:val="0"/>
          <w:numId w:val="17"/>
        </w:numPr>
      </w:pPr>
      <w:r w:rsidRPr="00DA20F5">
        <w:t>príplatok k príspevku pri narodení</w:t>
      </w:r>
    </w:p>
    <w:p w:rsidR="0033512D" w:rsidRPr="00DA20F5" w:rsidRDefault="0033512D" w:rsidP="00DB509D">
      <w:pPr>
        <w:numPr>
          <w:ilvl w:val="0"/>
          <w:numId w:val="17"/>
        </w:numPr>
      </w:pPr>
      <w:r w:rsidRPr="00DA20F5">
        <w:t>príspevok rodičom, ktorým sa súčasne narodili tri a viac detí alebo v priebehu dvoch rokov opakovane dvojčatá</w:t>
      </w:r>
    </w:p>
    <w:p w:rsidR="0033512D" w:rsidRPr="00DA20F5" w:rsidRDefault="0033512D" w:rsidP="00DB509D">
      <w:pPr>
        <w:numPr>
          <w:ilvl w:val="0"/>
          <w:numId w:val="17"/>
        </w:numPr>
      </w:pPr>
      <w:r w:rsidRPr="00DA20F5">
        <w:t>príspevok na pohreb</w:t>
      </w:r>
    </w:p>
    <w:p w:rsidR="0033512D" w:rsidRPr="00DA20F5" w:rsidRDefault="0033512D" w:rsidP="00D36FB8">
      <w:pPr>
        <w:pStyle w:val="AAAodstavecsprava"/>
        <w:spacing w:after="0"/>
        <w:ind w:firstLine="0"/>
        <w:rPr>
          <w:b/>
          <w:bCs/>
          <w:szCs w:val="24"/>
        </w:rPr>
      </w:pPr>
    </w:p>
    <w:p w:rsidR="0033512D" w:rsidRPr="00DA20F5" w:rsidRDefault="0033512D" w:rsidP="000B4550">
      <w:pPr>
        <w:pStyle w:val="Nadpis6"/>
      </w:pPr>
      <w:bookmarkStart w:id="1073" w:name="_Toc326217027"/>
      <w:r w:rsidRPr="00DA20F5">
        <w:t>Prídavok na dieťa</w:t>
      </w:r>
      <w:bookmarkEnd w:id="1073"/>
      <w:r w:rsidRPr="00DA20F5">
        <w:t xml:space="preserve"> </w:t>
      </w:r>
    </w:p>
    <w:p w:rsidR="0033512D" w:rsidRPr="00DA20F5" w:rsidRDefault="0033512D" w:rsidP="00D36FB8">
      <w:pPr>
        <w:pStyle w:val="AAAodstavecsprava"/>
        <w:spacing w:after="0"/>
        <w:ind w:firstLine="567"/>
        <w:rPr>
          <w:sz w:val="22"/>
          <w:szCs w:val="24"/>
          <w:lang w:eastAsia="sk-SK"/>
        </w:rPr>
      </w:pPr>
      <w:r w:rsidRPr="00DA20F5">
        <w:rPr>
          <w:sz w:val="22"/>
          <w:szCs w:val="24"/>
          <w:lang w:eastAsia="sk-SK"/>
        </w:rPr>
        <w:t>Z hľadiska počtu poberateľov a objemu vyplatených finančných prostriedkov je</w:t>
      </w:r>
      <w:r w:rsidR="00B45797" w:rsidRPr="00DA20F5">
        <w:rPr>
          <w:sz w:val="22"/>
          <w:szCs w:val="24"/>
          <w:lang w:eastAsia="sk-SK"/>
        </w:rPr>
        <w:t xml:space="preserve"> prídavok na </w:t>
      </w:r>
      <w:r w:rsidRPr="00DA20F5">
        <w:rPr>
          <w:sz w:val="22"/>
          <w:szCs w:val="24"/>
          <w:lang w:eastAsia="sk-SK"/>
        </w:rPr>
        <w:t>dieťa najrozsiahlejšou dávkou štátnej sociálnej podpory. Prij</w:t>
      </w:r>
      <w:r w:rsidR="00B45797" w:rsidRPr="00DA20F5">
        <w:rPr>
          <w:sz w:val="22"/>
          <w:szCs w:val="24"/>
          <w:lang w:eastAsia="sk-SK"/>
        </w:rPr>
        <w:t>atím zákona č. 600/2003 Z. z. o </w:t>
      </w:r>
      <w:r w:rsidRPr="00DA20F5">
        <w:rPr>
          <w:sz w:val="22"/>
          <w:szCs w:val="24"/>
          <w:lang w:eastAsia="sk-SK"/>
        </w:rPr>
        <w:t>prídavku na dieťa a o zmene a doplnení zákona č. 461/2003 Z. z. o s</w:t>
      </w:r>
      <w:r w:rsidR="00B45797" w:rsidRPr="00DA20F5">
        <w:rPr>
          <w:sz w:val="22"/>
          <w:szCs w:val="24"/>
          <w:lang w:eastAsia="sk-SK"/>
        </w:rPr>
        <w:t>ociálnom poistení sa zaviedlo s </w:t>
      </w:r>
      <w:r w:rsidRPr="00DA20F5">
        <w:rPr>
          <w:sz w:val="22"/>
          <w:szCs w:val="24"/>
          <w:lang w:eastAsia="sk-SK"/>
        </w:rPr>
        <w:t>účinnosťou od 1. januára 2004 paušálne poskytovanie prídavku na dieťa mesačne na každé nezaopatrené dieťa bez ohľadu na vek dieťaťa a príjem rodi</w:t>
      </w:r>
      <w:r w:rsidR="00B45797" w:rsidRPr="00DA20F5">
        <w:rPr>
          <w:sz w:val="22"/>
          <w:szCs w:val="24"/>
          <w:lang w:eastAsia="sk-SK"/>
        </w:rPr>
        <w:t>čov. Zároveň sa týmto zákonom s </w:t>
      </w:r>
      <w:r w:rsidRPr="00DA20F5">
        <w:rPr>
          <w:sz w:val="22"/>
          <w:szCs w:val="24"/>
          <w:lang w:eastAsia="sk-SK"/>
        </w:rPr>
        <w:t>účinn</w:t>
      </w:r>
      <w:bookmarkStart w:id="1074" w:name="_GoBack"/>
      <w:bookmarkEnd w:id="1074"/>
      <w:r w:rsidRPr="00DA20F5">
        <w:rPr>
          <w:sz w:val="22"/>
          <w:szCs w:val="24"/>
          <w:lang w:eastAsia="sk-SK"/>
        </w:rPr>
        <w:t xml:space="preserve">osťou od 1. apríla 2004 zaviedlo vyplácanie prídavku na dieťa jediným platiteľom – úradmi </w:t>
      </w:r>
      <w:r w:rsidR="007640EE" w:rsidRPr="00DA20F5">
        <w:rPr>
          <w:sz w:val="22"/>
          <w:szCs w:val="24"/>
          <w:lang w:eastAsia="sk-SK"/>
        </w:rPr>
        <w:t>práce</w:t>
      </w:r>
      <w:r w:rsidRPr="00DA20F5">
        <w:rPr>
          <w:sz w:val="22"/>
          <w:szCs w:val="24"/>
          <w:lang w:eastAsia="sk-SK"/>
        </w:rPr>
        <w:t xml:space="preserve">. </w:t>
      </w:r>
    </w:p>
    <w:p w:rsidR="0033512D" w:rsidRPr="00DA20F5" w:rsidRDefault="0033512D" w:rsidP="00D36FB8">
      <w:pPr>
        <w:pStyle w:val="AAAodstavecsprava"/>
        <w:spacing w:after="0"/>
        <w:ind w:firstLine="567"/>
        <w:rPr>
          <w:sz w:val="22"/>
          <w:szCs w:val="24"/>
          <w:lang w:eastAsia="sk-SK"/>
        </w:rPr>
      </w:pPr>
    </w:p>
    <w:p w:rsidR="0033512D" w:rsidRPr="00DA20F5" w:rsidRDefault="0033512D" w:rsidP="00D36FB8">
      <w:pPr>
        <w:pStyle w:val="AAAodstavecsprava"/>
        <w:rPr>
          <w:sz w:val="22"/>
          <w:szCs w:val="24"/>
          <w:lang w:eastAsia="sk-SK"/>
        </w:rPr>
      </w:pPr>
      <w:r w:rsidRPr="00DA20F5">
        <w:rPr>
          <w:sz w:val="22"/>
          <w:szCs w:val="24"/>
          <w:lang w:eastAsia="sk-SK"/>
        </w:rPr>
        <w:t xml:space="preserve">Opatrením </w:t>
      </w:r>
      <w:r w:rsidR="007640EE" w:rsidRPr="00DA20F5">
        <w:rPr>
          <w:sz w:val="22"/>
          <w:szCs w:val="24"/>
          <w:lang w:eastAsia="sk-SK"/>
        </w:rPr>
        <w:t>MPSVR SR</w:t>
      </w:r>
      <w:r w:rsidRPr="00DA20F5">
        <w:rPr>
          <w:sz w:val="22"/>
          <w:szCs w:val="24"/>
          <w:lang w:eastAsia="sk-SK"/>
        </w:rPr>
        <w:t xml:space="preserve"> z 28. júla 2010 sa s účinnosťou od 1. januára 2011 upravila suma prídavku na dieťa z 21,99 € na 22,01 € a suma príplatku k prídavku na dieťa zo sumy 10,31 € na 10,32 €.</w:t>
      </w:r>
    </w:p>
    <w:p w:rsidR="0033512D" w:rsidRPr="00DA20F5" w:rsidRDefault="00A71C4D" w:rsidP="00D36FB8">
      <w:pPr>
        <w:pStyle w:val="Nadpis7"/>
      </w:pPr>
      <w:bookmarkStart w:id="1075" w:name="_Toc325438185"/>
      <w:bookmarkStart w:id="1076" w:name="_Toc325440954"/>
      <w:bookmarkStart w:id="1077" w:name="_Toc325626767"/>
      <w:bookmarkStart w:id="1078" w:name="_Toc326217028"/>
      <w:r w:rsidRPr="00DA20F5">
        <w:rPr>
          <w:bCs/>
          <w:iCs/>
          <w:lang w:eastAsia="cs-CZ"/>
        </w:rPr>
        <w:t>Tab. 3.12</w:t>
      </w:r>
      <w:r w:rsidR="00AC5AAB" w:rsidRPr="00DA20F5">
        <w:rPr>
          <w:bCs/>
          <w:iCs/>
          <w:lang w:eastAsia="cs-CZ"/>
        </w:rPr>
        <w:t xml:space="preserve"> </w:t>
      </w:r>
      <w:r w:rsidR="0033512D" w:rsidRPr="00DA20F5">
        <w:t>Prídavok na dieťa</w:t>
      </w:r>
      <w:bookmarkStart w:id="1079" w:name="_MON_1396726886"/>
      <w:bookmarkEnd w:id="1075"/>
      <w:bookmarkEnd w:id="1076"/>
      <w:bookmarkEnd w:id="1077"/>
      <w:bookmarkEnd w:id="1078"/>
      <w:bookmarkEnd w:id="1079"/>
    </w:p>
    <w:tbl>
      <w:tblPr>
        <w:tblStyle w:val="Mriekatabuky"/>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91"/>
        <w:gridCol w:w="2319"/>
        <w:gridCol w:w="2474"/>
      </w:tblGrid>
      <w:tr w:rsidR="006F285F" w:rsidRPr="00DA20F5" w:rsidTr="00C51124">
        <w:trPr>
          <w:trHeight w:val="1053"/>
          <w:jc w:val="center"/>
        </w:trPr>
        <w:tc>
          <w:tcPr>
            <w:tcW w:w="891" w:type="dxa"/>
            <w:shd w:val="clear" w:color="auto" w:fill="4F81BD" w:themeFill="accent1"/>
            <w:vAlign w:val="center"/>
          </w:tcPr>
          <w:p w:rsidR="0033512D" w:rsidRPr="00DA20F5" w:rsidRDefault="0033512D" w:rsidP="00D36FB8">
            <w:pPr>
              <w:rPr>
                <w:b/>
                <w:color w:val="FFFFFF" w:themeColor="background1"/>
              </w:rPr>
            </w:pPr>
            <w:r w:rsidRPr="00DA20F5">
              <w:rPr>
                <w:b/>
                <w:color w:val="FFFFFF" w:themeColor="background1"/>
              </w:rPr>
              <w:t>rok</w:t>
            </w:r>
          </w:p>
        </w:tc>
        <w:tc>
          <w:tcPr>
            <w:tcW w:w="2319" w:type="dxa"/>
            <w:shd w:val="clear" w:color="auto" w:fill="4F81BD" w:themeFill="accent1"/>
            <w:vAlign w:val="center"/>
          </w:tcPr>
          <w:p w:rsidR="0033512D" w:rsidRPr="00DA20F5" w:rsidRDefault="0033512D" w:rsidP="00D36FB8">
            <w:pPr>
              <w:jc w:val="center"/>
              <w:rPr>
                <w:b/>
                <w:color w:val="FFFFFF" w:themeColor="background1"/>
              </w:rPr>
            </w:pPr>
            <w:r w:rsidRPr="00DA20F5">
              <w:rPr>
                <w:b/>
                <w:color w:val="FFFFFF" w:themeColor="background1"/>
              </w:rPr>
              <w:t>priemerný mesačný počet poberateľov prídavku na dieťa</w:t>
            </w:r>
          </w:p>
        </w:tc>
        <w:tc>
          <w:tcPr>
            <w:tcW w:w="2474" w:type="dxa"/>
            <w:shd w:val="clear" w:color="auto" w:fill="4F81BD" w:themeFill="accent1"/>
            <w:vAlign w:val="center"/>
          </w:tcPr>
          <w:p w:rsidR="0033512D" w:rsidRPr="00DA20F5" w:rsidRDefault="0033512D" w:rsidP="00D36FB8">
            <w:pPr>
              <w:jc w:val="center"/>
              <w:rPr>
                <w:b/>
                <w:color w:val="FFFFFF" w:themeColor="background1"/>
              </w:rPr>
            </w:pPr>
            <w:r w:rsidRPr="00DA20F5">
              <w:rPr>
                <w:b/>
                <w:color w:val="FFFFFF" w:themeColor="background1"/>
              </w:rPr>
              <w:t>priemerný mesačný počet nezaopatrených detí</w:t>
            </w:r>
          </w:p>
        </w:tc>
      </w:tr>
      <w:tr w:rsidR="006F285F" w:rsidRPr="00DA20F5" w:rsidTr="00C51124">
        <w:trPr>
          <w:trHeight w:val="272"/>
          <w:jc w:val="center"/>
        </w:trPr>
        <w:tc>
          <w:tcPr>
            <w:tcW w:w="891" w:type="dxa"/>
          </w:tcPr>
          <w:p w:rsidR="0033512D" w:rsidRPr="00DA20F5" w:rsidRDefault="0033512D" w:rsidP="00D36FB8">
            <w:pPr>
              <w:ind w:firstLine="0"/>
            </w:pPr>
            <w:r w:rsidRPr="00DA20F5">
              <w:t>2011</w:t>
            </w:r>
          </w:p>
        </w:tc>
        <w:tc>
          <w:tcPr>
            <w:tcW w:w="2319" w:type="dxa"/>
          </w:tcPr>
          <w:p w:rsidR="0033512D" w:rsidRPr="00DA20F5" w:rsidRDefault="0033512D" w:rsidP="00D36FB8">
            <w:pPr>
              <w:jc w:val="center"/>
            </w:pPr>
            <w:r w:rsidRPr="00DA20F5">
              <w:t>697 651</w:t>
            </w:r>
          </w:p>
        </w:tc>
        <w:tc>
          <w:tcPr>
            <w:tcW w:w="2474" w:type="dxa"/>
          </w:tcPr>
          <w:p w:rsidR="0033512D" w:rsidRPr="00DA20F5" w:rsidRDefault="0033512D" w:rsidP="00D36FB8">
            <w:pPr>
              <w:jc w:val="center"/>
            </w:pPr>
            <w:r w:rsidRPr="00DA20F5">
              <w:t>1 176 427</w:t>
            </w:r>
          </w:p>
        </w:tc>
      </w:tr>
      <w:tr w:rsidR="006F285F" w:rsidRPr="00DA20F5" w:rsidTr="00C51124">
        <w:trPr>
          <w:trHeight w:val="272"/>
          <w:jc w:val="center"/>
        </w:trPr>
        <w:tc>
          <w:tcPr>
            <w:tcW w:w="891" w:type="dxa"/>
          </w:tcPr>
          <w:p w:rsidR="0033512D" w:rsidRPr="00DA20F5" w:rsidRDefault="0033512D" w:rsidP="00D36FB8">
            <w:pPr>
              <w:ind w:firstLine="0"/>
            </w:pPr>
            <w:r w:rsidRPr="00DA20F5">
              <w:t>2010</w:t>
            </w:r>
          </w:p>
        </w:tc>
        <w:tc>
          <w:tcPr>
            <w:tcW w:w="2319" w:type="dxa"/>
          </w:tcPr>
          <w:p w:rsidR="0033512D" w:rsidRPr="00DA20F5" w:rsidRDefault="0033512D" w:rsidP="00D36FB8">
            <w:pPr>
              <w:jc w:val="center"/>
            </w:pPr>
            <w:r w:rsidRPr="00DA20F5">
              <w:t>706 328</w:t>
            </w:r>
          </w:p>
        </w:tc>
        <w:tc>
          <w:tcPr>
            <w:tcW w:w="2474" w:type="dxa"/>
          </w:tcPr>
          <w:p w:rsidR="0033512D" w:rsidRPr="00DA20F5" w:rsidRDefault="0033512D" w:rsidP="00D36FB8">
            <w:pPr>
              <w:jc w:val="center"/>
            </w:pPr>
            <w:r w:rsidRPr="00DA20F5">
              <w:t>1 195 223</w:t>
            </w:r>
          </w:p>
        </w:tc>
      </w:tr>
    </w:tbl>
    <w:p w:rsidR="0033512D" w:rsidRPr="00DA20F5" w:rsidRDefault="0033512D" w:rsidP="00D36FB8">
      <w:pPr>
        <w:pStyle w:val="zdroj"/>
        <w:ind w:left="1134"/>
      </w:pPr>
      <w:r w:rsidRPr="00DA20F5">
        <w:t>Zdroj: ÚPSVR</w:t>
      </w:r>
    </w:p>
    <w:p w:rsidR="0033512D" w:rsidRPr="00DA20F5" w:rsidRDefault="0033512D" w:rsidP="00D36FB8">
      <w:pPr>
        <w:pStyle w:val="AAAodstavecsprava"/>
        <w:spacing w:after="0"/>
        <w:ind w:firstLine="567"/>
        <w:rPr>
          <w:sz w:val="22"/>
          <w:szCs w:val="22"/>
        </w:rPr>
      </w:pPr>
      <w:r w:rsidRPr="00DA20F5">
        <w:rPr>
          <w:sz w:val="22"/>
          <w:szCs w:val="22"/>
        </w:rPr>
        <w:t xml:space="preserve">V roku 2011 bol priemerný mesačný počet poberateľov prídavku na dieťa 697 651 na 1 176 427 nezaopatrených detí. Priemerný mesačný počet poberateľov medziročne poklesol o 8 677 poberateľov a priemerný mesačný počet nezaopatrených detí o 18 796 detí. </w:t>
      </w:r>
    </w:p>
    <w:p w:rsidR="0033512D" w:rsidRPr="00DA20F5" w:rsidRDefault="0033512D" w:rsidP="00D36FB8">
      <w:pPr>
        <w:pStyle w:val="AAAodstavecsprava"/>
        <w:ind w:firstLine="567"/>
        <w:rPr>
          <w:sz w:val="22"/>
          <w:szCs w:val="22"/>
        </w:rPr>
      </w:pPr>
      <w:r w:rsidRPr="00DA20F5">
        <w:rPr>
          <w:sz w:val="22"/>
          <w:szCs w:val="22"/>
        </w:rPr>
        <w:t>Suma vyplatená na prídavok na dieťa a príplatok k prídavku na dieťa v roku 2011 predstavovala</w:t>
      </w:r>
      <w:r w:rsidR="00AC5AAB" w:rsidRPr="00DA20F5">
        <w:rPr>
          <w:sz w:val="22"/>
          <w:szCs w:val="22"/>
        </w:rPr>
        <w:t xml:space="preserve"> </w:t>
      </w:r>
      <w:r w:rsidRPr="00DA20F5">
        <w:rPr>
          <w:sz w:val="22"/>
          <w:szCs w:val="22"/>
        </w:rPr>
        <w:t>315 053 242 €, čo je oproti roku 2010 pokles o cca 4,06 mil. €.</w:t>
      </w:r>
    </w:p>
    <w:p w:rsidR="00B45797" w:rsidRPr="00DA20F5" w:rsidRDefault="00B45797">
      <w:pPr>
        <w:jc w:val="left"/>
        <w:rPr>
          <w:b/>
          <w:noProof/>
          <w:lang w:eastAsia="en-US"/>
        </w:rPr>
      </w:pPr>
      <w:bookmarkStart w:id="1080" w:name="_Toc325438186"/>
      <w:bookmarkStart w:id="1081" w:name="_Toc325440955"/>
      <w:bookmarkStart w:id="1082" w:name="_Toc325626768"/>
      <w:bookmarkStart w:id="1083" w:name="_Toc326217029"/>
      <w:r w:rsidRPr="00DA20F5">
        <w:rPr>
          <w:noProof/>
          <w:lang w:eastAsia="en-US"/>
        </w:rPr>
        <w:br w:type="page"/>
      </w:r>
    </w:p>
    <w:p w:rsidR="0033512D" w:rsidRPr="00DA20F5" w:rsidRDefault="0033512D" w:rsidP="00D36FB8">
      <w:pPr>
        <w:pStyle w:val="Nadpis7"/>
        <w:rPr>
          <w:noProof/>
          <w:sz w:val="20"/>
          <w:lang w:eastAsia="en-US"/>
        </w:rPr>
      </w:pPr>
      <w:r w:rsidRPr="00DA20F5">
        <w:rPr>
          <w:noProof/>
          <w:lang w:eastAsia="en-US"/>
        </w:rPr>
        <w:lastRenderedPageBreak/>
        <w:t>Graf 3.</w:t>
      </w:r>
      <w:r w:rsidR="00227469" w:rsidRPr="00DA20F5">
        <w:rPr>
          <w:noProof/>
          <w:lang w:eastAsia="en-US"/>
        </w:rPr>
        <w:t>3</w:t>
      </w:r>
      <w:r w:rsidR="00AC5AAB" w:rsidRPr="00DA20F5">
        <w:rPr>
          <w:noProof/>
          <w:lang w:eastAsia="en-US"/>
        </w:rPr>
        <w:t xml:space="preserve"> </w:t>
      </w:r>
      <w:r w:rsidRPr="00DA20F5">
        <w:rPr>
          <w:noProof/>
          <w:lang w:eastAsia="en-US"/>
        </w:rPr>
        <w:t xml:space="preserve">Priemerný mesačný počet poberateľov prídavku na dieťa </w:t>
      </w:r>
      <w:r w:rsidRPr="00DA20F5">
        <w:rPr>
          <w:noProof/>
          <w:lang w:eastAsia="en-US"/>
        </w:rPr>
        <w:br/>
        <w:t>v jednotlivých krajoch SR v roku 2011</w:t>
      </w:r>
      <w:bookmarkEnd w:id="1080"/>
      <w:bookmarkEnd w:id="1081"/>
      <w:bookmarkEnd w:id="1082"/>
      <w:bookmarkEnd w:id="1083"/>
    </w:p>
    <w:p w:rsidR="0033512D" w:rsidRPr="00DA20F5" w:rsidRDefault="0033512D" w:rsidP="00D36FB8">
      <w:pPr>
        <w:pStyle w:val="AAAodstavecsprava"/>
        <w:spacing w:after="0"/>
        <w:ind w:firstLine="0"/>
        <w:jc w:val="center"/>
        <w:rPr>
          <w:szCs w:val="24"/>
        </w:rPr>
      </w:pPr>
      <w:r w:rsidRPr="00DA20F5">
        <w:rPr>
          <w:noProof/>
          <w:color w:val="FF0000"/>
          <w:szCs w:val="24"/>
          <w:lang w:eastAsia="sk-SK"/>
        </w:rPr>
        <w:drawing>
          <wp:inline distT="0" distB="0" distL="0" distR="0" wp14:anchorId="3DE0A986" wp14:editId="6ED45D1C">
            <wp:extent cx="5257800" cy="2381250"/>
            <wp:effectExtent l="0" t="0" r="0" b="0"/>
            <wp:docPr id="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3512D" w:rsidRPr="00DA20F5" w:rsidRDefault="0033512D" w:rsidP="00D36FB8">
      <w:pPr>
        <w:pStyle w:val="zdroj"/>
        <w:ind w:left="567"/>
        <w:rPr>
          <w:color w:val="auto"/>
        </w:rPr>
      </w:pPr>
      <w:r w:rsidRPr="00DA20F5">
        <w:rPr>
          <w:color w:val="auto"/>
        </w:rPr>
        <w:t>Zdroj: ÚPSVR</w:t>
      </w:r>
    </w:p>
    <w:p w:rsidR="0033512D" w:rsidRPr="00DA20F5" w:rsidRDefault="0033512D" w:rsidP="00D36FB8">
      <w:pPr>
        <w:pStyle w:val="AAAodstavecsprava"/>
        <w:spacing w:after="0"/>
        <w:ind w:firstLine="567"/>
        <w:rPr>
          <w:sz w:val="22"/>
          <w:szCs w:val="22"/>
        </w:rPr>
      </w:pPr>
      <w:r w:rsidRPr="00DA20F5">
        <w:rPr>
          <w:sz w:val="22"/>
          <w:szCs w:val="22"/>
        </w:rPr>
        <w:t>Najpočetnejšou skupinou rodín, ktorým sa poskytoval v roku 2011 prídavok na dieťa, boli jednodetné rodiny, ktoré tvorili 49,8 % z celkového počtu 697 657 rodín. Z</w:t>
      </w:r>
      <w:r w:rsidR="00AC5AAB" w:rsidRPr="00DA20F5">
        <w:rPr>
          <w:sz w:val="22"/>
          <w:szCs w:val="22"/>
        </w:rPr>
        <w:t xml:space="preserve"> </w:t>
      </w:r>
      <w:r w:rsidR="00B45797" w:rsidRPr="00DA20F5">
        <w:rPr>
          <w:sz w:val="22"/>
          <w:szCs w:val="22"/>
        </w:rPr>
        <w:t>poberateľov prídavku na </w:t>
      </w:r>
      <w:r w:rsidRPr="00DA20F5">
        <w:rPr>
          <w:sz w:val="22"/>
          <w:szCs w:val="22"/>
        </w:rPr>
        <w:t>dieťa bolo v roku 2011 mesačne priemerne 453 491 matiek (čo predstavovalo 64,9 % z celkového počtu poberateľov).</w:t>
      </w:r>
    </w:p>
    <w:p w:rsidR="00A71C4D" w:rsidRPr="00DA20F5" w:rsidRDefault="00A71C4D" w:rsidP="00D36FB8">
      <w:pPr>
        <w:pStyle w:val="Nadpis7"/>
      </w:pPr>
      <w:bookmarkStart w:id="1084" w:name="_Toc325438187"/>
      <w:bookmarkStart w:id="1085" w:name="_Toc325440956"/>
      <w:bookmarkStart w:id="1086" w:name="_Toc325626769"/>
      <w:bookmarkStart w:id="1087" w:name="_Toc326217030"/>
      <w:r w:rsidRPr="00DA20F5">
        <w:rPr>
          <w:bCs/>
          <w:iCs/>
          <w:lang w:eastAsia="cs-CZ"/>
        </w:rPr>
        <w:t>Tab. 3.12</w:t>
      </w:r>
      <w:r w:rsidR="00AC5AAB" w:rsidRPr="00DA20F5">
        <w:rPr>
          <w:bCs/>
          <w:iCs/>
          <w:lang w:eastAsia="cs-CZ"/>
        </w:rPr>
        <w:t xml:space="preserve"> </w:t>
      </w:r>
      <w:r w:rsidR="0033512D" w:rsidRPr="00DA20F5">
        <w:t>Počet rodín, ktorým sa poskytoval prídavok na dieťa podľa počtu detí</w:t>
      </w:r>
      <w:bookmarkStart w:id="1088" w:name="_MON_1396726931"/>
      <w:bookmarkEnd w:id="1084"/>
      <w:bookmarkEnd w:id="1085"/>
      <w:bookmarkEnd w:id="1086"/>
      <w:bookmarkEnd w:id="1087"/>
      <w:bookmarkEnd w:id="1088"/>
    </w:p>
    <w:tbl>
      <w:tblPr>
        <w:tblStyle w:val="Mriekatabuky"/>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31"/>
        <w:gridCol w:w="2085"/>
        <w:gridCol w:w="2085"/>
      </w:tblGrid>
      <w:tr w:rsidR="0033512D" w:rsidRPr="00DA20F5" w:rsidTr="00C51124">
        <w:trPr>
          <w:trHeight w:val="521"/>
          <w:jc w:val="center"/>
        </w:trPr>
        <w:tc>
          <w:tcPr>
            <w:tcW w:w="2231" w:type="dxa"/>
            <w:shd w:val="clear" w:color="auto" w:fill="4F81BD" w:themeFill="accent1"/>
            <w:vAlign w:val="center"/>
          </w:tcPr>
          <w:p w:rsidR="0033512D" w:rsidRPr="00DA20F5" w:rsidRDefault="0033512D" w:rsidP="00D36FB8">
            <w:pPr>
              <w:jc w:val="center"/>
              <w:rPr>
                <w:b/>
                <w:color w:val="FFFFFF" w:themeColor="background1"/>
              </w:rPr>
            </w:pPr>
            <w:r w:rsidRPr="00DA20F5">
              <w:rPr>
                <w:b/>
                <w:color w:val="FFFFFF" w:themeColor="background1"/>
              </w:rPr>
              <w:t>typ rodiny/rok</w:t>
            </w:r>
          </w:p>
        </w:tc>
        <w:tc>
          <w:tcPr>
            <w:tcW w:w="2085" w:type="dxa"/>
            <w:shd w:val="clear" w:color="auto" w:fill="4F81BD" w:themeFill="accent1"/>
            <w:vAlign w:val="center"/>
          </w:tcPr>
          <w:p w:rsidR="0033512D" w:rsidRPr="00DA20F5" w:rsidRDefault="0033512D" w:rsidP="00D36FB8">
            <w:pPr>
              <w:jc w:val="center"/>
              <w:rPr>
                <w:b/>
                <w:color w:val="FFFFFF" w:themeColor="background1"/>
              </w:rPr>
            </w:pPr>
            <w:r w:rsidRPr="00DA20F5">
              <w:rPr>
                <w:b/>
                <w:color w:val="FFFFFF" w:themeColor="background1"/>
              </w:rPr>
              <w:t>2010</w:t>
            </w:r>
          </w:p>
        </w:tc>
        <w:tc>
          <w:tcPr>
            <w:tcW w:w="2085" w:type="dxa"/>
            <w:shd w:val="clear" w:color="auto" w:fill="4F81BD" w:themeFill="accent1"/>
            <w:vAlign w:val="center"/>
          </w:tcPr>
          <w:p w:rsidR="0033512D" w:rsidRPr="00DA20F5" w:rsidRDefault="0033512D" w:rsidP="00D36FB8">
            <w:pPr>
              <w:jc w:val="center"/>
              <w:rPr>
                <w:b/>
                <w:color w:val="FFFFFF" w:themeColor="background1"/>
              </w:rPr>
            </w:pPr>
            <w:r w:rsidRPr="00DA20F5">
              <w:rPr>
                <w:b/>
                <w:color w:val="FFFFFF" w:themeColor="background1"/>
              </w:rPr>
              <w:t>2011</w:t>
            </w:r>
          </w:p>
        </w:tc>
      </w:tr>
      <w:tr w:rsidR="006F285F" w:rsidRPr="00DA20F5" w:rsidTr="00C51124">
        <w:trPr>
          <w:trHeight w:val="324"/>
          <w:jc w:val="center"/>
        </w:trPr>
        <w:tc>
          <w:tcPr>
            <w:tcW w:w="2231" w:type="dxa"/>
            <w:vMerge w:val="restart"/>
            <w:vAlign w:val="center"/>
          </w:tcPr>
          <w:p w:rsidR="006F285F" w:rsidRPr="00DA20F5" w:rsidRDefault="006F285F" w:rsidP="00D36FB8">
            <w:pPr>
              <w:jc w:val="center"/>
            </w:pPr>
            <w:r w:rsidRPr="00DA20F5">
              <w:t>jednodetné</w:t>
            </w:r>
          </w:p>
        </w:tc>
        <w:tc>
          <w:tcPr>
            <w:tcW w:w="2085" w:type="dxa"/>
            <w:vAlign w:val="center"/>
          </w:tcPr>
          <w:p w:rsidR="006F285F" w:rsidRPr="00DA20F5" w:rsidRDefault="006F285F" w:rsidP="00D36FB8">
            <w:pPr>
              <w:ind w:right="442"/>
              <w:jc w:val="right"/>
            </w:pPr>
            <w:r w:rsidRPr="00DA20F5">
              <w:t>348 861</w:t>
            </w:r>
          </w:p>
        </w:tc>
        <w:tc>
          <w:tcPr>
            <w:tcW w:w="2085" w:type="dxa"/>
            <w:vAlign w:val="center"/>
          </w:tcPr>
          <w:p w:rsidR="006F285F" w:rsidRPr="00DA20F5" w:rsidRDefault="006F285F" w:rsidP="00D36FB8">
            <w:pPr>
              <w:ind w:right="442"/>
              <w:jc w:val="right"/>
            </w:pPr>
            <w:r w:rsidRPr="00DA20F5">
              <w:t>347 597</w:t>
            </w:r>
          </w:p>
        </w:tc>
      </w:tr>
      <w:tr w:rsidR="006F285F" w:rsidRPr="00DA20F5" w:rsidTr="00C51124">
        <w:trPr>
          <w:trHeight w:val="324"/>
          <w:jc w:val="center"/>
        </w:trPr>
        <w:tc>
          <w:tcPr>
            <w:tcW w:w="2231" w:type="dxa"/>
            <w:vMerge/>
            <w:vAlign w:val="center"/>
          </w:tcPr>
          <w:p w:rsidR="006F285F" w:rsidRPr="00DA20F5" w:rsidRDefault="006F285F" w:rsidP="00D36FB8">
            <w:pPr>
              <w:jc w:val="center"/>
            </w:pPr>
          </w:p>
        </w:tc>
        <w:tc>
          <w:tcPr>
            <w:tcW w:w="2085" w:type="dxa"/>
            <w:vAlign w:val="center"/>
          </w:tcPr>
          <w:p w:rsidR="006F285F" w:rsidRPr="00DA20F5" w:rsidRDefault="006F285F" w:rsidP="00D36FB8">
            <w:pPr>
              <w:ind w:right="442"/>
              <w:jc w:val="right"/>
            </w:pPr>
            <w:r w:rsidRPr="00DA20F5">
              <w:t>49,4%</w:t>
            </w:r>
          </w:p>
        </w:tc>
        <w:tc>
          <w:tcPr>
            <w:tcW w:w="2085" w:type="dxa"/>
            <w:vAlign w:val="center"/>
          </w:tcPr>
          <w:p w:rsidR="006F285F" w:rsidRPr="00DA20F5" w:rsidRDefault="006F285F" w:rsidP="00D36FB8">
            <w:pPr>
              <w:ind w:right="442"/>
              <w:jc w:val="right"/>
            </w:pPr>
            <w:r w:rsidRPr="00DA20F5">
              <w:t>49,8 %</w:t>
            </w:r>
          </w:p>
        </w:tc>
      </w:tr>
      <w:tr w:rsidR="006F285F" w:rsidRPr="00DA20F5" w:rsidTr="00C51124">
        <w:trPr>
          <w:trHeight w:val="324"/>
          <w:jc w:val="center"/>
        </w:trPr>
        <w:tc>
          <w:tcPr>
            <w:tcW w:w="2231" w:type="dxa"/>
            <w:vMerge w:val="restart"/>
            <w:vAlign w:val="center"/>
          </w:tcPr>
          <w:p w:rsidR="006F285F" w:rsidRPr="00DA20F5" w:rsidRDefault="006F285F" w:rsidP="00D36FB8">
            <w:pPr>
              <w:jc w:val="center"/>
            </w:pPr>
            <w:r w:rsidRPr="00DA20F5">
              <w:t>dvojdetné</w:t>
            </w:r>
          </w:p>
        </w:tc>
        <w:tc>
          <w:tcPr>
            <w:tcW w:w="2085" w:type="dxa"/>
            <w:vAlign w:val="center"/>
          </w:tcPr>
          <w:p w:rsidR="006F285F" w:rsidRPr="00DA20F5" w:rsidRDefault="006F285F" w:rsidP="00D36FB8">
            <w:pPr>
              <w:ind w:right="442"/>
              <w:jc w:val="right"/>
            </w:pPr>
            <w:r w:rsidRPr="00DA20F5">
              <w:t>263 933</w:t>
            </w:r>
          </w:p>
        </w:tc>
        <w:tc>
          <w:tcPr>
            <w:tcW w:w="2085" w:type="dxa"/>
            <w:vAlign w:val="center"/>
          </w:tcPr>
          <w:p w:rsidR="006F285F" w:rsidRPr="00DA20F5" w:rsidRDefault="006F285F" w:rsidP="00D36FB8">
            <w:pPr>
              <w:ind w:right="442"/>
              <w:jc w:val="right"/>
            </w:pPr>
            <w:r w:rsidRPr="00DA20F5">
              <w:t>264 577</w:t>
            </w:r>
          </w:p>
        </w:tc>
      </w:tr>
      <w:tr w:rsidR="006F285F" w:rsidRPr="00DA20F5" w:rsidTr="00C51124">
        <w:trPr>
          <w:trHeight w:val="324"/>
          <w:jc w:val="center"/>
        </w:trPr>
        <w:tc>
          <w:tcPr>
            <w:tcW w:w="2231" w:type="dxa"/>
            <w:vMerge/>
            <w:vAlign w:val="center"/>
          </w:tcPr>
          <w:p w:rsidR="006F285F" w:rsidRPr="00DA20F5" w:rsidRDefault="006F285F" w:rsidP="00D36FB8">
            <w:pPr>
              <w:jc w:val="center"/>
            </w:pPr>
          </w:p>
        </w:tc>
        <w:tc>
          <w:tcPr>
            <w:tcW w:w="2085" w:type="dxa"/>
            <w:vAlign w:val="center"/>
          </w:tcPr>
          <w:p w:rsidR="006F285F" w:rsidRPr="00DA20F5" w:rsidRDefault="006F285F" w:rsidP="00D36FB8">
            <w:pPr>
              <w:ind w:right="442"/>
              <w:jc w:val="right"/>
            </w:pPr>
            <w:r w:rsidRPr="00DA20F5">
              <w:t>38,2%</w:t>
            </w:r>
          </w:p>
        </w:tc>
        <w:tc>
          <w:tcPr>
            <w:tcW w:w="2085" w:type="dxa"/>
            <w:vAlign w:val="center"/>
          </w:tcPr>
          <w:p w:rsidR="006F285F" w:rsidRPr="00DA20F5" w:rsidRDefault="006F285F" w:rsidP="00D36FB8">
            <w:pPr>
              <w:ind w:right="442"/>
              <w:jc w:val="right"/>
            </w:pPr>
            <w:r w:rsidRPr="00DA20F5">
              <w:t>37,9 %</w:t>
            </w:r>
          </w:p>
        </w:tc>
      </w:tr>
      <w:tr w:rsidR="006F285F" w:rsidRPr="00DA20F5" w:rsidTr="00C51124">
        <w:trPr>
          <w:trHeight w:val="324"/>
          <w:jc w:val="center"/>
        </w:trPr>
        <w:tc>
          <w:tcPr>
            <w:tcW w:w="2231" w:type="dxa"/>
            <w:vMerge w:val="restart"/>
            <w:vAlign w:val="center"/>
          </w:tcPr>
          <w:p w:rsidR="006F285F" w:rsidRPr="00DA20F5" w:rsidRDefault="006F285F" w:rsidP="00D36FB8">
            <w:pPr>
              <w:jc w:val="center"/>
            </w:pPr>
            <w:r w:rsidRPr="00DA20F5">
              <w:t>trojdetné</w:t>
            </w:r>
          </w:p>
        </w:tc>
        <w:tc>
          <w:tcPr>
            <w:tcW w:w="2085" w:type="dxa"/>
            <w:vAlign w:val="center"/>
          </w:tcPr>
          <w:p w:rsidR="006F285F" w:rsidRPr="00DA20F5" w:rsidRDefault="006F285F" w:rsidP="00D36FB8">
            <w:pPr>
              <w:ind w:right="442"/>
              <w:jc w:val="right"/>
            </w:pPr>
            <w:r w:rsidRPr="00DA20F5">
              <w:t>62 392</w:t>
            </w:r>
          </w:p>
        </w:tc>
        <w:tc>
          <w:tcPr>
            <w:tcW w:w="2085" w:type="dxa"/>
            <w:vAlign w:val="center"/>
          </w:tcPr>
          <w:p w:rsidR="006F285F" w:rsidRPr="00DA20F5" w:rsidRDefault="006F285F" w:rsidP="00D36FB8">
            <w:pPr>
              <w:ind w:right="442"/>
              <w:jc w:val="right"/>
            </w:pPr>
            <w:r w:rsidRPr="00DA20F5">
              <w:t>60 997</w:t>
            </w:r>
          </w:p>
        </w:tc>
      </w:tr>
      <w:tr w:rsidR="006F285F" w:rsidRPr="00DA20F5" w:rsidTr="00C51124">
        <w:trPr>
          <w:trHeight w:val="324"/>
          <w:jc w:val="center"/>
        </w:trPr>
        <w:tc>
          <w:tcPr>
            <w:tcW w:w="2231" w:type="dxa"/>
            <w:vMerge/>
            <w:vAlign w:val="center"/>
          </w:tcPr>
          <w:p w:rsidR="006F285F" w:rsidRPr="00DA20F5" w:rsidRDefault="006F285F" w:rsidP="00D36FB8">
            <w:pPr>
              <w:jc w:val="center"/>
            </w:pPr>
          </w:p>
        </w:tc>
        <w:tc>
          <w:tcPr>
            <w:tcW w:w="2085" w:type="dxa"/>
            <w:vAlign w:val="center"/>
          </w:tcPr>
          <w:p w:rsidR="006F285F" w:rsidRPr="00DA20F5" w:rsidRDefault="006F285F" w:rsidP="00D36FB8">
            <w:pPr>
              <w:ind w:right="442"/>
              <w:jc w:val="right"/>
            </w:pPr>
            <w:r w:rsidRPr="00DA20F5">
              <w:t>8,8%</w:t>
            </w:r>
          </w:p>
        </w:tc>
        <w:tc>
          <w:tcPr>
            <w:tcW w:w="2085" w:type="dxa"/>
            <w:vAlign w:val="center"/>
          </w:tcPr>
          <w:p w:rsidR="006F285F" w:rsidRPr="00DA20F5" w:rsidRDefault="006F285F" w:rsidP="00D36FB8">
            <w:pPr>
              <w:ind w:right="442"/>
              <w:jc w:val="right"/>
            </w:pPr>
            <w:r w:rsidRPr="00DA20F5">
              <w:t>8,7 %</w:t>
            </w:r>
          </w:p>
        </w:tc>
      </w:tr>
      <w:tr w:rsidR="006F285F" w:rsidRPr="00DA20F5" w:rsidTr="00C51124">
        <w:trPr>
          <w:trHeight w:val="324"/>
          <w:jc w:val="center"/>
        </w:trPr>
        <w:tc>
          <w:tcPr>
            <w:tcW w:w="2231" w:type="dxa"/>
            <w:vMerge w:val="restart"/>
            <w:vAlign w:val="center"/>
          </w:tcPr>
          <w:p w:rsidR="006F285F" w:rsidRPr="00DA20F5" w:rsidRDefault="006F285F" w:rsidP="00D36FB8">
            <w:pPr>
              <w:jc w:val="center"/>
            </w:pPr>
            <w:r w:rsidRPr="00DA20F5">
              <w:t>4 a viacdetné</w:t>
            </w:r>
          </w:p>
        </w:tc>
        <w:tc>
          <w:tcPr>
            <w:tcW w:w="2085" w:type="dxa"/>
            <w:vAlign w:val="center"/>
          </w:tcPr>
          <w:p w:rsidR="006F285F" w:rsidRPr="00DA20F5" w:rsidRDefault="006F285F" w:rsidP="00D36FB8">
            <w:pPr>
              <w:ind w:right="442"/>
              <w:jc w:val="right"/>
            </w:pPr>
            <w:r w:rsidRPr="00DA20F5">
              <w:t>25 143</w:t>
            </w:r>
          </w:p>
        </w:tc>
        <w:tc>
          <w:tcPr>
            <w:tcW w:w="2085" w:type="dxa"/>
            <w:vAlign w:val="center"/>
          </w:tcPr>
          <w:p w:rsidR="006F285F" w:rsidRPr="00DA20F5" w:rsidRDefault="006F285F" w:rsidP="00D36FB8">
            <w:pPr>
              <w:ind w:right="442"/>
              <w:jc w:val="right"/>
            </w:pPr>
            <w:r w:rsidRPr="00DA20F5">
              <w:t>24 480</w:t>
            </w:r>
          </w:p>
        </w:tc>
      </w:tr>
      <w:tr w:rsidR="006F285F" w:rsidRPr="00DA20F5" w:rsidTr="00C51124">
        <w:trPr>
          <w:trHeight w:val="324"/>
          <w:jc w:val="center"/>
        </w:trPr>
        <w:tc>
          <w:tcPr>
            <w:tcW w:w="2231" w:type="dxa"/>
            <w:vMerge/>
            <w:vAlign w:val="center"/>
          </w:tcPr>
          <w:p w:rsidR="006F285F" w:rsidRPr="00DA20F5" w:rsidRDefault="006F285F" w:rsidP="00D36FB8">
            <w:pPr>
              <w:jc w:val="center"/>
            </w:pPr>
          </w:p>
        </w:tc>
        <w:tc>
          <w:tcPr>
            <w:tcW w:w="2085" w:type="dxa"/>
            <w:vAlign w:val="center"/>
          </w:tcPr>
          <w:p w:rsidR="006F285F" w:rsidRPr="00DA20F5" w:rsidRDefault="006F285F" w:rsidP="00D36FB8">
            <w:pPr>
              <w:ind w:right="442"/>
              <w:jc w:val="right"/>
            </w:pPr>
            <w:r w:rsidRPr="00DA20F5">
              <w:t>3,6%</w:t>
            </w:r>
          </w:p>
        </w:tc>
        <w:tc>
          <w:tcPr>
            <w:tcW w:w="2085" w:type="dxa"/>
            <w:vAlign w:val="center"/>
          </w:tcPr>
          <w:p w:rsidR="006F285F" w:rsidRPr="00DA20F5" w:rsidRDefault="006F285F" w:rsidP="00D36FB8">
            <w:pPr>
              <w:ind w:right="442"/>
              <w:jc w:val="right"/>
            </w:pPr>
            <w:r w:rsidRPr="00DA20F5">
              <w:t>3,5 %</w:t>
            </w:r>
          </w:p>
        </w:tc>
      </w:tr>
    </w:tbl>
    <w:p w:rsidR="0033512D" w:rsidRPr="00DA20F5" w:rsidRDefault="0033512D" w:rsidP="00D36FB8">
      <w:pPr>
        <w:pStyle w:val="zdroj"/>
      </w:pPr>
      <w:r w:rsidRPr="00DA20F5">
        <w:t>Zdroj: ÚPSVR</w:t>
      </w:r>
    </w:p>
    <w:p w:rsidR="0033512D" w:rsidRPr="00DA20F5" w:rsidRDefault="0033512D" w:rsidP="00D36FB8">
      <w:pPr>
        <w:pStyle w:val="AAAodstavecsprava"/>
        <w:spacing w:after="0"/>
        <w:ind w:firstLine="567"/>
        <w:rPr>
          <w:sz w:val="22"/>
          <w:szCs w:val="22"/>
        </w:rPr>
      </w:pPr>
      <w:r w:rsidRPr="00DA20F5">
        <w:rPr>
          <w:sz w:val="22"/>
          <w:szCs w:val="22"/>
        </w:rPr>
        <w:t xml:space="preserve">Vyplatenú sumu finančných prostriedkov na prídavok na dieťa na úradoch </w:t>
      </w:r>
      <w:r w:rsidR="0001311C" w:rsidRPr="00DA20F5">
        <w:rPr>
          <w:sz w:val="22"/>
          <w:szCs w:val="22"/>
        </w:rPr>
        <w:t>práce</w:t>
      </w:r>
      <w:r w:rsidRPr="00DA20F5">
        <w:rPr>
          <w:sz w:val="22"/>
          <w:szCs w:val="22"/>
        </w:rPr>
        <w:t xml:space="preserve"> v členení podľa jednotlivých krajov SR dokumentuje nasledujúci graf. Najvyššia suma finančných prostriedkov bola (tak ako aj v roku 2010) vyplatená v Prešovskom, Košickom a Žilinskom kraji.</w:t>
      </w:r>
    </w:p>
    <w:p w:rsidR="00092450" w:rsidRPr="00DA20F5" w:rsidRDefault="00092450" w:rsidP="00D36FB8">
      <w:pPr>
        <w:pStyle w:val="AAAodstavecsprava"/>
        <w:spacing w:after="0"/>
        <w:ind w:firstLine="567"/>
        <w:rPr>
          <w:color w:val="1F497D" w:themeColor="text2"/>
          <w:sz w:val="22"/>
          <w:szCs w:val="22"/>
        </w:rPr>
      </w:pPr>
    </w:p>
    <w:p w:rsidR="0012729C" w:rsidRPr="00DA20F5" w:rsidRDefault="0012729C" w:rsidP="00D36FB8">
      <w:pPr>
        <w:jc w:val="left"/>
        <w:rPr>
          <w:b/>
        </w:rPr>
      </w:pPr>
      <w:bookmarkStart w:id="1089" w:name="_Toc325438188"/>
      <w:bookmarkStart w:id="1090" w:name="_Toc325440957"/>
      <w:r w:rsidRPr="00DA20F5">
        <w:br w:type="page"/>
      </w:r>
    </w:p>
    <w:p w:rsidR="0033512D" w:rsidRPr="00DA20F5" w:rsidRDefault="00227469" w:rsidP="00D36FB8">
      <w:pPr>
        <w:pStyle w:val="Nadpis7"/>
      </w:pPr>
      <w:bookmarkStart w:id="1091" w:name="_Toc325626770"/>
      <w:bookmarkStart w:id="1092" w:name="_Toc326217031"/>
      <w:r w:rsidRPr="00DA20F5">
        <w:lastRenderedPageBreak/>
        <w:t>Graf 3.4</w:t>
      </w:r>
      <w:r w:rsidR="00AC5AAB" w:rsidRPr="00DA20F5">
        <w:t xml:space="preserve"> </w:t>
      </w:r>
      <w:r w:rsidR="0033512D" w:rsidRPr="00DA20F5">
        <w:t xml:space="preserve">Porovnanie vyplatenej sumy finančných prostriedkov na prídavok na dieťa </w:t>
      </w:r>
      <w:r w:rsidR="0033512D" w:rsidRPr="00DA20F5">
        <w:br/>
        <w:t>v roku 2011 podľa krajov</w:t>
      </w:r>
      <w:bookmarkEnd w:id="1089"/>
      <w:bookmarkEnd w:id="1090"/>
      <w:bookmarkEnd w:id="1091"/>
      <w:bookmarkEnd w:id="1092"/>
    </w:p>
    <w:p w:rsidR="0033512D" w:rsidRPr="00DA20F5" w:rsidRDefault="0033512D" w:rsidP="00D36FB8">
      <w:pPr>
        <w:pStyle w:val="AAAodstavecsprava"/>
        <w:spacing w:after="0"/>
        <w:ind w:firstLine="0"/>
        <w:jc w:val="center"/>
        <w:rPr>
          <w:noProof/>
          <w:szCs w:val="24"/>
          <w:lang w:eastAsia="sk-SK"/>
        </w:rPr>
      </w:pPr>
      <w:r w:rsidRPr="00DA20F5">
        <w:rPr>
          <w:noProof/>
          <w:color w:val="FF0000"/>
          <w:szCs w:val="24"/>
          <w:lang w:eastAsia="sk-SK"/>
        </w:rPr>
        <w:drawing>
          <wp:inline distT="0" distB="0" distL="0" distR="0" wp14:anchorId="6404ED70" wp14:editId="2C15BBAE">
            <wp:extent cx="4797188" cy="2702257"/>
            <wp:effectExtent l="0" t="0" r="0" b="0"/>
            <wp:docPr id="5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3512D" w:rsidRPr="00DA20F5" w:rsidRDefault="0033512D" w:rsidP="00D36FB8">
      <w:pPr>
        <w:pStyle w:val="zdroj"/>
      </w:pPr>
      <w:r w:rsidRPr="00DA20F5">
        <w:t>Zdroj: ÚPSVR</w:t>
      </w:r>
    </w:p>
    <w:p w:rsidR="0033512D" w:rsidRPr="00DA20F5" w:rsidRDefault="0033512D" w:rsidP="000B4550">
      <w:pPr>
        <w:pStyle w:val="Nadpis6"/>
      </w:pPr>
      <w:bookmarkStart w:id="1093" w:name="_Toc326217032"/>
      <w:r w:rsidRPr="00DA20F5">
        <w:t>Príplatok k prídavku na dieťa</w:t>
      </w:r>
      <w:bookmarkEnd w:id="1093"/>
    </w:p>
    <w:p w:rsidR="0033512D" w:rsidRPr="00DA20F5" w:rsidRDefault="0033512D" w:rsidP="00D36FB8">
      <w:pPr>
        <w:tabs>
          <w:tab w:val="left" w:pos="8647"/>
        </w:tabs>
        <w:ind w:firstLine="567"/>
      </w:pPr>
      <w:r w:rsidRPr="00DA20F5">
        <w:t>Zákon č. 532/2007 Z.</w:t>
      </w:r>
      <w:r w:rsidR="0001311C" w:rsidRPr="00DA20F5">
        <w:t xml:space="preserve"> </w:t>
      </w:r>
      <w:r w:rsidRPr="00DA20F5">
        <w:t>z., ktorým sa mení a dopĺňa zákon č. 600/2003 Z. z. o prídavku na dieťa a o zmene a doplnení zákona č. 461/2003 Z. z. o sociálnom poistení a o zmene a doplnení zákona č. 599/2003 Z. z. o pomoci v hmotnej núdzi a o zmene a doplnení niektorých zákonov v znení neskorších predpisov, s účinnosťou od 1.1.2008 zaviedol do praxe príplatok k prídavku na dieťa, ktorý bol v roku 2011 vyplácaný v sume 10,32 € rodičom, ktorí poberajú starobný dôchodok, predčasný starobný dôchodok, invalidný dôchodok pri percentuálnom poklese schopnosti vykonávať zárobkovú činnosť o viac ako 70 %</w:t>
      </w:r>
      <w:r w:rsidR="00AC5AAB" w:rsidRPr="00DA20F5">
        <w:t xml:space="preserve"> </w:t>
      </w:r>
      <w:r w:rsidRPr="00DA20F5">
        <w:t>alebo výsluhový dôchodok po dovŕšení veku na nárok na starobný dôchodok (62 rokov), ktorí</w:t>
      </w:r>
      <w:r w:rsidR="00AC5AAB" w:rsidRPr="00DA20F5">
        <w:t xml:space="preserve"> </w:t>
      </w:r>
      <w:r w:rsidRPr="00DA20F5">
        <w:t>nevykonávajú zárobkovú činnosť a nebol im priznaný daňový bonus.</w:t>
      </w:r>
    </w:p>
    <w:p w:rsidR="0033512D" w:rsidRPr="00DA20F5" w:rsidRDefault="0033512D" w:rsidP="00D36FB8">
      <w:pPr>
        <w:ind w:firstLine="567"/>
      </w:pPr>
      <w:r w:rsidRPr="00DA20F5">
        <w:t>Za oprávnenú osobu na uplatnenie nároku na príplatok k prídavku na dieťa sa považuje rodič dieťaťa alebo osoba, ktorej bolo nezaopatrené dieťa zverené do náhradnej starostlivosti.</w:t>
      </w:r>
    </w:p>
    <w:p w:rsidR="0033512D" w:rsidRPr="00DA20F5" w:rsidRDefault="0033512D" w:rsidP="00D36FB8">
      <w:pPr>
        <w:ind w:firstLine="567"/>
      </w:pPr>
      <w:r w:rsidRPr="00DA20F5">
        <w:t xml:space="preserve">Zákon ustanovuje, že príplatok k prídavku na dieťa je možné oprávnenej osobe poskytnúť len v prípade, ak sa na nezaopatrené dieťa, na ktoré sa oprávnenej osobe poskytuje prídavok na dieťa, neprizná daňový bonus podľa § 33 zákona č. 595/2003 Z. z. o dani z príjmov v znení neskorších predpisov. </w:t>
      </w:r>
    </w:p>
    <w:p w:rsidR="0033512D" w:rsidRPr="00DA20F5" w:rsidRDefault="0033512D" w:rsidP="00D36FB8">
      <w:pPr>
        <w:ind w:firstLine="567"/>
      </w:pPr>
      <w:r w:rsidRPr="00DA20F5">
        <w:t>V</w:t>
      </w:r>
      <w:r w:rsidR="00AC5AAB" w:rsidRPr="00DA20F5">
        <w:t xml:space="preserve"> </w:t>
      </w:r>
      <w:r w:rsidRPr="00DA20F5">
        <w:t>roku 2011 bol priemerný mesačný počet poberateľov príplatku k prídavku na dieťa 3 958, čo činí oproti roku 2010 pokles priemerne mesačne o 75 poberateľov.</w:t>
      </w:r>
    </w:p>
    <w:p w:rsidR="0033512D" w:rsidRPr="00DA20F5" w:rsidRDefault="0033512D" w:rsidP="000B4550">
      <w:pPr>
        <w:pStyle w:val="Nadpis6"/>
      </w:pPr>
      <w:bookmarkStart w:id="1094" w:name="_Toc326217033"/>
      <w:r w:rsidRPr="00DA20F5">
        <w:rPr>
          <w:szCs w:val="24"/>
        </w:rPr>
        <w:t>Rodičovský</w:t>
      </w:r>
      <w:r w:rsidRPr="00DA20F5">
        <w:t xml:space="preserve"> príspevok</w:t>
      </w:r>
      <w:bookmarkEnd w:id="1094"/>
    </w:p>
    <w:p w:rsidR="0033512D" w:rsidRPr="00DA20F5" w:rsidRDefault="0033512D" w:rsidP="00D36FB8">
      <w:pPr>
        <w:ind w:firstLine="567"/>
      </w:pPr>
      <w:r w:rsidRPr="00DA20F5">
        <w:t xml:space="preserve">S účinnosťou od 1. januára 2011 vstúpila do platnosti novela zákona č. 571/2009 Z. z. o rodičovskom príspevku a o zmene a doplnení niektorých zákonov. </w:t>
      </w:r>
    </w:p>
    <w:p w:rsidR="0033512D" w:rsidRPr="00DA20F5" w:rsidRDefault="0033512D" w:rsidP="00D36FB8">
      <w:pPr>
        <w:ind w:firstLine="708"/>
      </w:pPr>
      <w:r w:rsidRPr="00DA20F5">
        <w:t>Umožnilo sa tak rodičom v období poberania rodičovského príspevku vykonávať zárobkovú činnosť akoukoľvek formou, pričom výška príjmu z tejto činnosti ani doba vykonávania práce neovplyvňuje nárok na rodičovský príspevok ani jeho výšku. Rodičia v čase vykonávania zárobkovej činnosti môžu zabezpečiť starostlivosť o svoje dieťa buď druhým rodičom, starým rodičom alebo inou plnoletou fyzickou osobou alebo umiestnením dieťaťa v zariadení súkromnom, cirkevnom či štátnom, vrátane materských škôl. Zmenila sa aj výška rodičovského príspevku. Každý rodič bez rozdielu má nárok na rodičovský príspevok v sume 194,70 € mesačne.</w:t>
      </w:r>
    </w:p>
    <w:p w:rsidR="0033512D" w:rsidRPr="00DA20F5" w:rsidRDefault="0033512D" w:rsidP="00D36FB8">
      <w:pPr>
        <w:ind w:firstLine="708"/>
      </w:pPr>
      <w:r w:rsidRPr="00DA20F5">
        <w:t xml:space="preserve">Po prvýkrát od zavedenia rodičovského príspevku ako štátnej sociálnej dávky sa pristúpilo k poskytovaniu vyššieho rodičovského príspevku v prípade, ak sa rodičom narodia súčasne dve a viac </w:t>
      </w:r>
      <w:r w:rsidRPr="00DA20F5">
        <w:lastRenderedPageBreak/>
        <w:t xml:space="preserve">detí. Rodičovský príspevok v sume 194,70 € mesačne sa zvyšuje o 25 % na každé ďalšie dieťa, ktoré sa narodilo súčasne. </w:t>
      </w:r>
    </w:p>
    <w:p w:rsidR="0033512D" w:rsidRPr="00DA20F5" w:rsidRDefault="0033512D" w:rsidP="00D36FB8">
      <w:pPr>
        <w:ind w:firstLine="708"/>
      </w:pPr>
      <w:r w:rsidRPr="00DA20F5">
        <w:t>Zároveň sa po prvýkrát zaviedlo poskytovanie rodičovského príspevku v nižšej sume, a to len v hodnote 50 % zo sumy 194,70 € mesačne, ak staršie dieťa v starostlivosti rodiča zanedbáva plnenie povinnej školskej dochádzky, t.j. v mesiaci vymešká viac ako 15 neospravedlnených vyučovacích hodín najmenej tri po sebe nasledujúce kalendárne mesiace. Znížený rodičovský príspevok sa rodičovi vypláca počas troch kalendárnych mesiacov.</w:t>
      </w:r>
    </w:p>
    <w:p w:rsidR="0033512D" w:rsidRPr="00DA20F5" w:rsidRDefault="0033512D" w:rsidP="00D36FB8">
      <w:pPr>
        <w:pStyle w:val="Odsekzoznamu"/>
        <w:ind w:left="0"/>
      </w:pPr>
    </w:p>
    <w:p w:rsidR="0033512D" w:rsidRPr="00DA20F5" w:rsidRDefault="00227469" w:rsidP="00D36FB8">
      <w:pPr>
        <w:pStyle w:val="AAAodstavecsprava"/>
        <w:ind w:firstLine="567"/>
        <w:jc w:val="center"/>
        <w:rPr>
          <w:b/>
          <w:sz w:val="22"/>
        </w:rPr>
      </w:pPr>
      <w:r w:rsidRPr="00DA20F5">
        <w:rPr>
          <w:b/>
          <w:sz w:val="22"/>
          <w:szCs w:val="24"/>
        </w:rPr>
        <w:t>Graf 3.5</w:t>
      </w:r>
      <w:r w:rsidR="00AC5AAB" w:rsidRPr="00DA20F5">
        <w:rPr>
          <w:b/>
          <w:sz w:val="22"/>
          <w:szCs w:val="24"/>
        </w:rPr>
        <w:t xml:space="preserve"> </w:t>
      </w:r>
      <w:r w:rsidR="0033512D" w:rsidRPr="00DA20F5">
        <w:rPr>
          <w:b/>
          <w:bCs/>
          <w:sz w:val="22"/>
        </w:rPr>
        <w:t>Vývoj celkového počtu poberateľov rodičovského príspevku v SR</w:t>
      </w:r>
      <w:r w:rsidR="0033512D" w:rsidRPr="00DA20F5">
        <w:rPr>
          <w:b/>
          <w:bCs/>
          <w:sz w:val="22"/>
        </w:rPr>
        <w:br/>
        <w:t xml:space="preserve"> v rokoch 2010 a 2011</w:t>
      </w:r>
    </w:p>
    <w:p w:rsidR="0033512D" w:rsidRPr="00DA20F5" w:rsidRDefault="0033512D" w:rsidP="00D36FB8">
      <w:pPr>
        <w:pStyle w:val="AAAodstavecsprava"/>
        <w:spacing w:after="0"/>
        <w:ind w:firstLine="0"/>
        <w:jc w:val="center"/>
        <w:rPr>
          <w:color w:val="FF0000"/>
          <w:szCs w:val="24"/>
        </w:rPr>
      </w:pPr>
      <w:r w:rsidRPr="00DA20F5">
        <w:rPr>
          <w:noProof/>
          <w:color w:val="FF0000"/>
          <w:szCs w:val="24"/>
          <w:lang w:eastAsia="sk-SK"/>
        </w:rPr>
        <w:drawing>
          <wp:inline distT="0" distB="0" distL="0" distR="0" wp14:anchorId="58CDBB74" wp14:editId="679D48A6">
            <wp:extent cx="5200153" cy="2377440"/>
            <wp:effectExtent l="0" t="0" r="635" b="3810"/>
            <wp:docPr id="5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3512D" w:rsidRPr="00DA20F5" w:rsidRDefault="0033512D" w:rsidP="00D36FB8">
      <w:pPr>
        <w:pStyle w:val="zdroj"/>
      </w:pPr>
      <w:r w:rsidRPr="00DA20F5">
        <w:t>Zdroj: ÚPSVR</w:t>
      </w:r>
    </w:p>
    <w:p w:rsidR="0033512D" w:rsidRPr="00DA20F5" w:rsidRDefault="0033512D" w:rsidP="00D36FB8">
      <w:pPr>
        <w:pStyle w:val="AAAodstavecsprava"/>
        <w:spacing w:after="0"/>
        <w:rPr>
          <w:noProof/>
          <w:sz w:val="22"/>
          <w:szCs w:val="24"/>
        </w:rPr>
      </w:pPr>
      <w:r w:rsidRPr="00DA20F5">
        <w:rPr>
          <w:sz w:val="22"/>
          <w:szCs w:val="24"/>
        </w:rPr>
        <w:t xml:space="preserve">V roku 2011 bol rodičovský príspevok poskytnutý priemerne 141 846 poberateľom mesačne, čo je oproti roku 2010 nárast v priemernom mesačnom počte o 3 019 poberateľov. </w:t>
      </w:r>
    </w:p>
    <w:p w:rsidR="0033512D" w:rsidRPr="00DA20F5" w:rsidRDefault="0033512D" w:rsidP="00D36FB8">
      <w:pPr>
        <w:pStyle w:val="AAAodstavecsprava"/>
        <w:spacing w:after="0"/>
        <w:rPr>
          <w:sz w:val="22"/>
          <w:szCs w:val="24"/>
        </w:rPr>
      </w:pPr>
      <w:r w:rsidRPr="00DA20F5">
        <w:rPr>
          <w:sz w:val="22"/>
          <w:szCs w:val="24"/>
        </w:rPr>
        <w:t xml:space="preserve">V roku 2011 bolo na rodičovský príspevok vyplatených spolu približne 352 013 tis €. </w:t>
      </w:r>
    </w:p>
    <w:p w:rsidR="0033512D" w:rsidRPr="00DA20F5" w:rsidRDefault="0033512D" w:rsidP="000B4550">
      <w:pPr>
        <w:pStyle w:val="Nadpis6"/>
      </w:pPr>
      <w:bookmarkStart w:id="1095" w:name="_Toc326217034"/>
      <w:r w:rsidRPr="00DA20F5">
        <w:t>Príspevok na starostlivosť o dieťa</w:t>
      </w:r>
      <w:bookmarkEnd w:id="1095"/>
    </w:p>
    <w:p w:rsidR="0033512D" w:rsidRPr="00DA20F5" w:rsidRDefault="003303CC" w:rsidP="00D36FB8">
      <w:pPr>
        <w:pStyle w:val="Normlnywebov"/>
        <w:spacing w:before="60" w:after="0"/>
        <w:ind w:firstLine="708"/>
      </w:pPr>
      <w:r w:rsidRPr="00DA20F5">
        <w:rPr>
          <w:color w:val="000000" w:themeColor="text1"/>
        </w:rPr>
        <w:t>Od 1. januára 2011  sa novelou zákona o príspevku na starostlivosť o dieťa č. 513/2010 Z.</w:t>
      </w:r>
      <w:r w:rsidR="00AD3B4A" w:rsidRPr="00DA20F5">
        <w:rPr>
          <w:color w:val="000000" w:themeColor="text1"/>
        </w:rPr>
        <w:t xml:space="preserve"> </w:t>
      </w:r>
      <w:r w:rsidRPr="00DA20F5">
        <w:rPr>
          <w:color w:val="000000" w:themeColor="text1"/>
        </w:rPr>
        <w:t xml:space="preserve">z. zaviedli zmeny </w:t>
      </w:r>
      <w:r w:rsidRPr="00DA20F5">
        <w:rPr>
          <w:rStyle w:val="Odkaznakomentr"/>
          <w:color w:val="000000" w:themeColor="text1"/>
          <w:sz w:val="20"/>
          <w:szCs w:val="20"/>
        </w:rPr>
        <w:t> </w:t>
      </w:r>
      <w:r w:rsidRPr="00DA20F5">
        <w:rPr>
          <w:color w:val="000000" w:themeColor="text1"/>
        </w:rPr>
        <w:t xml:space="preserve"> v príspevku na starostlivosť o dieťa.</w:t>
      </w:r>
      <w:r w:rsidRPr="00DA20F5">
        <w:t xml:space="preserve"> </w:t>
      </w:r>
      <w:r w:rsidR="0033512D" w:rsidRPr="00DA20F5">
        <w:t xml:space="preserve"> Ide o sociálnu dávku určenú rodičom, ktorí začnú vykonávať zárobkovú činnosť alebo sa vrátia späť do práce skôr, ako dieťa dovŕši vek tri roky, resp. šesť rokov, ak ide o dieťa s dlhodobo nepriaznivým zdravotným stavom a v čase výkonu pracovnej činnosti zabezpečia rodičia starostlivosť o svoje dieťa inou právnickou osobou alebo fyzickou osobou, napr. umiestnením dieťaťa v zariadení (materská škola, detské jasle). Štát prispieva rodičom na výdavky za túto starostlivosť na každé dieťa vo výške preukázaných výdavkov najviac v sume 230 € mesačne. Ak </w:t>
      </w:r>
      <w:r w:rsidR="0033512D" w:rsidRPr="00DA20F5">
        <w:rPr>
          <w:color w:val="000000" w:themeColor="text1"/>
        </w:rPr>
        <w:t>starostlivosť o dieťa zabezpečuje fyzická osoba bez živnostenského oprávnenia, napr. príbuzný rodiča dieťaťa, výška príspevku na starostlivosť o dieťa je 41,</w:t>
      </w:r>
      <w:r w:rsidR="000B2649" w:rsidRPr="00DA20F5">
        <w:rPr>
          <w:color w:val="000000" w:themeColor="text1"/>
        </w:rPr>
        <w:t>10</w:t>
      </w:r>
      <w:r w:rsidR="0033512D" w:rsidRPr="00DA20F5">
        <w:rPr>
          <w:color w:val="000000" w:themeColor="text1"/>
        </w:rPr>
        <w:t xml:space="preserve"> € mesačne bez preukazovania výdavkov. Vzhľadom na vysokú finančnú náročnosť poskytovania služieb starostlivosti o deti predovšetkým v súkromných zariadeniach a v záujme zvýšenia dostupnosti týchto služieb aj pre rodičov s nízkymi príjmami sa od 1. januára 2011 upra</w:t>
      </w:r>
      <w:r w:rsidR="00B45797" w:rsidRPr="00DA20F5">
        <w:rPr>
          <w:color w:val="000000" w:themeColor="text1"/>
        </w:rPr>
        <w:t>vila horná hranica príspevku na </w:t>
      </w:r>
      <w:r w:rsidR="0033512D" w:rsidRPr="00DA20F5">
        <w:rPr>
          <w:color w:val="000000" w:themeColor="text1"/>
        </w:rPr>
        <w:t>sumu maximálne 230 € mesačne. Výšku príspevku na starostlivosť o</w:t>
      </w:r>
      <w:r w:rsidR="0033512D" w:rsidRPr="00DA20F5">
        <w:t xml:space="preserve"> dieťa môže vláda SR upraviť k</w:t>
      </w:r>
      <w:r w:rsidR="00AC5AAB" w:rsidRPr="00DA20F5">
        <w:t xml:space="preserve"> </w:t>
      </w:r>
      <w:r w:rsidR="0033512D" w:rsidRPr="00DA20F5">
        <w:t xml:space="preserve">1. januáru kalendárneho roka nariadením. </w:t>
      </w:r>
    </w:p>
    <w:p w:rsidR="0033512D" w:rsidRPr="00DA20F5" w:rsidRDefault="0033512D" w:rsidP="00D36FB8">
      <w:pPr>
        <w:ind w:firstLine="708"/>
        <w:rPr>
          <w:b/>
        </w:rPr>
      </w:pPr>
      <w:r w:rsidRPr="00DA20F5">
        <w:t>Rodič, ktorý zabezpečuje starostlivosť o dieťa do troch rokov veku a ktorý sa rozhodne vrátiť späť do práce skôr, ako dieťa dovŕši vek tri roky, môže sa</w:t>
      </w:r>
      <w:r w:rsidR="00AC5AAB" w:rsidRPr="00DA20F5">
        <w:t xml:space="preserve"> </w:t>
      </w:r>
      <w:r w:rsidRPr="00DA20F5">
        <w:t xml:space="preserve">rozhodnúť, či bude poberať rodičovský príspevok alebo požiada o príspevok na starostlivosť o dieťa, ktorý je výhodnejší v tých prípadoch, ak má rodič viac detí do troch rokov veku a ak starostlivosť o dieťa zabezpečuje prostredníctvom zariadení (napr. súkromné alebo mestské detské jasle), v ktorých mesačné poplatky presahujú 194 €. </w:t>
      </w:r>
    </w:p>
    <w:p w:rsidR="006F285F" w:rsidRPr="00DA20F5" w:rsidRDefault="006F285F" w:rsidP="00D36FB8">
      <w:pPr>
        <w:pStyle w:val="AAAodstavecsprava"/>
        <w:spacing w:after="0"/>
        <w:ind w:firstLine="567"/>
        <w:rPr>
          <w:sz w:val="22"/>
          <w:szCs w:val="22"/>
        </w:rPr>
      </w:pPr>
      <w:r w:rsidRPr="00DA20F5">
        <w:rPr>
          <w:sz w:val="22"/>
          <w:szCs w:val="22"/>
        </w:rPr>
        <w:t>V roku 2011 bol príspevok na starostlivosť o dieťa pos</w:t>
      </w:r>
      <w:r w:rsidR="00B45797" w:rsidRPr="00DA20F5">
        <w:rPr>
          <w:sz w:val="22"/>
          <w:szCs w:val="22"/>
        </w:rPr>
        <w:t>kytnutý priemerne mesačne 1 914 </w:t>
      </w:r>
      <w:r w:rsidRPr="00DA20F5">
        <w:rPr>
          <w:sz w:val="22"/>
          <w:szCs w:val="22"/>
        </w:rPr>
        <w:t xml:space="preserve">poberateľom, čo je o 1 514 poberateľov menej ako v roku 2010. </w:t>
      </w:r>
    </w:p>
    <w:p w:rsidR="0033512D" w:rsidRPr="00DA20F5" w:rsidRDefault="0033512D" w:rsidP="000B4550">
      <w:pPr>
        <w:pStyle w:val="Nadpis6"/>
      </w:pPr>
      <w:bookmarkStart w:id="1096" w:name="_Toc326217035"/>
      <w:r w:rsidRPr="00DA20F5">
        <w:lastRenderedPageBreak/>
        <w:t>Príspevok pri narodení dieťaťa</w:t>
      </w:r>
      <w:bookmarkEnd w:id="1096"/>
    </w:p>
    <w:p w:rsidR="0033512D" w:rsidRPr="00DA20F5" w:rsidRDefault="0033512D" w:rsidP="00D36FB8">
      <w:pPr>
        <w:pStyle w:val="Normlnywebov"/>
        <w:spacing w:before="0" w:after="0"/>
        <w:ind w:firstLine="709"/>
      </w:pPr>
      <w:r w:rsidRPr="00DA20F5">
        <w:t xml:space="preserve">Príspevok pri narodení dieťaťa je jednorazová dávka štátnej sociálnej podpory, legislatívne upravená zákonom č. 235/1998 Z. z. o príspevku pri narodení dieťaťa, o príspevku rodičom, ktorým sa súčasne narodili tri deti alebo viac detí alebo ktorým sa v priebehu dvoch rokov opakovane narodili dvojčatá. </w:t>
      </w:r>
    </w:p>
    <w:p w:rsidR="0033512D" w:rsidRPr="00DA20F5" w:rsidRDefault="0033512D" w:rsidP="00D36FB8">
      <w:pPr>
        <w:pStyle w:val="Normlnywebov"/>
        <w:spacing w:before="0" w:after="0"/>
        <w:ind w:firstLine="709"/>
      </w:pPr>
      <w:r w:rsidRPr="00DA20F5">
        <w:t>Dávkou štát prispieva rodičom na pokrytie výdavkov spojených so zabezpečením nevyhnutných potrieb novorodenca.</w:t>
      </w:r>
    </w:p>
    <w:p w:rsidR="0033512D" w:rsidRPr="00DA20F5" w:rsidRDefault="0033512D" w:rsidP="00D36FB8">
      <w:pPr>
        <w:pStyle w:val="Normlnywebov"/>
        <w:spacing w:before="0" w:after="0"/>
        <w:ind w:firstLine="709"/>
      </w:pPr>
      <w:r w:rsidRPr="00DA20F5">
        <w:t>Príspevok pri narodení bol v roku 2011 vo výške 151,37 €. Ak sa súčasne narodili 3 deti alebo viac detí a najmenej dve z nich sa dožili 28 dní (na základe novely platnej od 1.11.2005), zvýšil sa príspevok o jednu polovicu vyššie uvedenej sumy na každé dieťa.</w:t>
      </w:r>
      <w:r w:rsidR="00AC5AAB" w:rsidRPr="00DA20F5">
        <w:t xml:space="preserve"> </w:t>
      </w:r>
    </w:p>
    <w:p w:rsidR="00A71C4D" w:rsidRPr="00DA20F5" w:rsidRDefault="00A71C4D" w:rsidP="00D36FB8">
      <w:pPr>
        <w:pStyle w:val="Nadpis7"/>
      </w:pPr>
      <w:bookmarkStart w:id="1097" w:name="_Toc325438193"/>
      <w:bookmarkStart w:id="1098" w:name="_Toc325440962"/>
      <w:bookmarkStart w:id="1099" w:name="_Toc325626775"/>
      <w:bookmarkStart w:id="1100" w:name="_Toc326217036"/>
      <w:r w:rsidRPr="00DA20F5">
        <w:rPr>
          <w:bCs/>
          <w:iCs/>
          <w:lang w:eastAsia="cs-CZ"/>
        </w:rPr>
        <w:t>Tab. 3.13</w:t>
      </w:r>
      <w:r w:rsidR="00AC5AAB" w:rsidRPr="00DA20F5">
        <w:rPr>
          <w:bCs/>
          <w:iCs/>
          <w:lang w:eastAsia="cs-CZ"/>
        </w:rPr>
        <w:t xml:space="preserve"> </w:t>
      </w:r>
      <w:r w:rsidR="0033512D" w:rsidRPr="00DA20F5">
        <w:t>Príspevok pri narodení dieťaťa v roku 2011 a</w:t>
      </w:r>
      <w:r w:rsidRPr="00DA20F5">
        <w:t> </w:t>
      </w:r>
      <w:r w:rsidR="0033512D" w:rsidRPr="00DA20F5">
        <w:t>2010</w:t>
      </w:r>
      <w:bookmarkEnd w:id="1097"/>
      <w:bookmarkEnd w:id="1098"/>
      <w:bookmarkEnd w:id="1099"/>
      <w:bookmarkEnd w:id="1100"/>
    </w:p>
    <w:tbl>
      <w:tblPr>
        <w:tblStyle w:val="Mriekatabuky"/>
        <w:tblW w:w="0" w:type="auto"/>
        <w:jc w:val="center"/>
        <w:tblInd w:w="223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35"/>
        <w:gridCol w:w="2850"/>
        <w:gridCol w:w="2268"/>
      </w:tblGrid>
      <w:tr w:rsidR="0033512D" w:rsidRPr="00DA20F5" w:rsidTr="00C51124">
        <w:trPr>
          <w:jc w:val="center"/>
        </w:trPr>
        <w:tc>
          <w:tcPr>
            <w:tcW w:w="835" w:type="dxa"/>
            <w:shd w:val="clear" w:color="auto" w:fill="4F81BD" w:themeFill="accent1"/>
            <w:vAlign w:val="center"/>
          </w:tcPr>
          <w:p w:rsidR="0033512D" w:rsidRPr="00DA20F5" w:rsidRDefault="0033512D" w:rsidP="00D36FB8">
            <w:pPr>
              <w:jc w:val="center"/>
              <w:rPr>
                <w:b/>
                <w:color w:val="FFFFFF" w:themeColor="background1"/>
              </w:rPr>
            </w:pPr>
            <w:bookmarkStart w:id="1101" w:name="_MON_1396727150"/>
            <w:bookmarkEnd w:id="1101"/>
            <w:r w:rsidRPr="00DA20F5">
              <w:rPr>
                <w:b/>
                <w:color w:val="FFFFFF" w:themeColor="background1"/>
              </w:rPr>
              <w:t>rok</w:t>
            </w:r>
          </w:p>
        </w:tc>
        <w:tc>
          <w:tcPr>
            <w:tcW w:w="2850" w:type="dxa"/>
            <w:shd w:val="clear" w:color="auto" w:fill="4F81BD" w:themeFill="accent1"/>
            <w:vAlign w:val="center"/>
          </w:tcPr>
          <w:p w:rsidR="0033512D" w:rsidRPr="00DA20F5" w:rsidRDefault="0033512D" w:rsidP="00D36FB8">
            <w:pPr>
              <w:jc w:val="center"/>
              <w:rPr>
                <w:b/>
                <w:color w:val="FFFFFF" w:themeColor="background1"/>
              </w:rPr>
            </w:pPr>
            <w:r w:rsidRPr="00DA20F5">
              <w:rPr>
                <w:b/>
                <w:color w:val="FFFFFF" w:themeColor="background1"/>
              </w:rPr>
              <w:t>Počet poberateľov príspevku pri narodení dieťaťa</w:t>
            </w:r>
          </w:p>
        </w:tc>
        <w:tc>
          <w:tcPr>
            <w:tcW w:w="2268" w:type="dxa"/>
            <w:shd w:val="clear" w:color="auto" w:fill="4F81BD" w:themeFill="accent1"/>
            <w:vAlign w:val="center"/>
          </w:tcPr>
          <w:p w:rsidR="0033512D" w:rsidRPr="00DA20F5" w:rsidRDefault="0033512D" w:rsidP="00D36FB8">
            <w:pPr>
              <w:jc w:val="center"/>
              <w:rPr>
                <w:b/>
                <w:color w:val="FFFFFF" w:themeColor="background1"/>
              </w:rPr>
            </w:pPr>
            <w:r w:rsidRPr="00DA20F5">
              <w:rPr>
                <w:b/>
                <w:color w:val="FFFFFF" w:themeColor="background1"/>
              </w:rPr>
              <w:t>Počet poberateľov zvýšeného príspevku</w:t>
            </w:r>
          </w:p>
        </w:tc>
      </w:tr>
      <w:tr w:rsidR="0033512D" w:rsidRPr="00DA20F5" w:rsidTr="00C51124">
        <w:trPr>
          <w:jc w:val="center"/>
        </w:trPr>
        <w:tc>
          <w:tcPr>
            <w:tcW w:w="835" w:type="dxa"/>
            <w:vAlign w:val="center"/>
          </w:tcPr>
          <w:p w:rsidR="0033512D" w:rsidRPr="00DA20F5" w:rsidRDefault="0033512D" w:rsidP="00D36FB8">
            <w:pPr>
              <w:ind w:firstLine="35"/>
            </w:pPr>
            <w:r w:rsidRPr="00DA20F5">
              <w:t>2010</w:t>
            </w:r>
          </w:p>
        </w:tc>
        <w:tc>
          <w:tcPr>
            <w:tcW w:w="2850" w:type="dxa"/>
            <w:vAlign w:val="center"/>
          </w:tcPr>
          <w:p w:rsidR="0033512D" w:rsidRPr="00DA20F5" w:rsidRDefault="0033512D" w:rsidP="00D36FB8">
            <w:pPr>
              <w:jc w:val="center"/>
            </w:pPr>
            <w:r w:rsidRPr="00DA20F5">
              <w:t>56 736</w:t>
            </w:r>
          </w:p>
        </w:tc>
        <w:tc>
          <w:tcPr>
            <w:tcW w:w="2268" w:type="dxa"/>
            <w:vAlign w:val="center"/>
          </w:tcPr>
          <w:p w:rsidR="0033512D" w:rsidRPr="00DA20F5" w:rsidRDefault="0033512D" w:rsidP="00D36FB8">
            <w:pPr>
              <w:jc w:val="center"/>
            </w:pPr>
            <w:r w:rsidRPr="00DA20F5">
              <w:t>777</w:t>
            </w:r>
          </w:p>
        </w:tc>
      </w:tr>
      <w:tr w:rsidR="0033512D" w:rsidRPr="00DA20F5" w:rsidTr="00C51124">
        <w:trPr>
          <w:jc w:val="center"/>
        </w:trPr>
        <w:tc>
          <w:tcPr>
            <w:tcW w:w="835" w:type="dxa"/>
            <w:vAlign w:val="center"/>
          </w:tcPr>
          <w:p w:rsidR="0033512D" w:rsidRPr="00DA20F5" w:rsidRDefault="0033512D" w:rsidP="00D36FB8">
            <w:pPr>
              <w:ind w:firstLine="35"/>
            </w:pPr>
            <w:r w:rsidRPr="00DA20F5">
              <w:t>2011</w:t>
            </w:r>
          </w:p>
        </w:tc>
        <w:tc>
          <w:tcPr>
            <w:tcW w:w="2850" w:type="dxa"/>
            <w:vAlign w:val="center"/>
          </w:tcPr>
          <w:p w:rsidR="0033512D" w:rsidRPr="00DA20F5" w:rsidRDefault="0033512D" w:rsidP="00D36FB8">
            <w:pPr>
              <w:jc w:val="center"/>
            </w:pPr>
            <w:r w:rsidRPr="00DA20F5">
              <w:t>56 898</w:t>
            </w:r>
          </w:p>
        </w:tc>
        <w:tc>
          <w:tcPr>
            <w:tcW w:w="2268" w:type="dxa"/>
            <w:vAlign w:val="center"/>
          </w:tcPr>
          <w:p w:rsidR="0033512D" w:rsidRPr="00DA20F5" w:rsidRDefault="0033512D" w:rsidP="00D36FB8">
            <w:pPr>
              <w:jc w:val="center"/>
            </w:pPr>
            <w:r w:rsidRPr="00DA20F5">
              <w:t>797</w:t>
            </w:r>
          </w:p>
        </w:tc>
      </w:tr>
    </w:tbl>
    <w:p w:rsidR="0033512D" w:rsidRPr="00DA20F5" w:rsidRDefault="0033512D" w:rsidP="00D36FB8">
      <w:pPr>
        <w:pStyle w:val="zdroj"/>
        <w:ind w:left="1134"/>
      </w:pPr>
      <w:r w:rsidRPr="00DA20F5">
        <w:t>Zdroj: ÚPSVR</w:t>
      </w:r>
    </w:p>
    <w:p w:rsidR="0033512D" w:rsidRPr="00DA20F5" w:rsidRDefault="0033512D" w:rsidP="00D36FB8">
      <w:pPr>
        <w:pStyle w:val="Normlnywebov"/>
        <w:spacing w:before="60" w:after="0"/>
        <w:ind w:firstLine="708"/>
      </w:pPr>
      <w:r w:rsidRPr="00DA20F5">
        <w:t xml:space="preserve">V roku 2011 bol príspevok pri narodení dieťaťa poskytnutý </w:t>
      </w:r>
      <w:r w:rsidR="00B45797" w:rsidRPr="00DA20F5">
        <w:t>56 898 poberateľom, čo je o 162 </w:t>
      </w:r>
      <w:r w:rsidRPr="00DA20F5">
        <w:t>poberateľov viac ako v roku 2010. Finančné prostriedky vyplatené na príspevok pri narodení dieťaťa a zvýšený príspevok pri narodení dosiahli sumu približne 8 866 tis. €.</w:t>
      </w:r>
    </w:p>
    <w:p w:rsidR="0033512D" w:rsidRPr="00DA20F5" w:rsidRDefault="0033512D" w:rsidP="000B4550">
      <w:pPr>
        <w:pStyle w:val="Nadpis6"/>
      </w:pPr>
      <w:bookmarkStart w:id="1102" w:name="_Toc326217037"/>
      <w:r w:rsidRPr="00DA20F5">
        <w:t>Príplatok k príspevku pri narodení dieťaťa</w:t>
      </w:r>
      <w:bookmarkEnd w:id="1102"/>
    </w:p>
    <w:p w:rsidR="0033512D" w:rsidRPr="00DA20F5" w:rsidRDefault="0033512D" w:rsidP="00D36FB8">
      <w:pPr>
        <w:pStyle w:val="Normlnywebov"/>
        <w:spacing w:before="0" w:after="0"/>
        <w:ind w:firstLine="567"/>
        <w:rPr>
          <w:lang w:eastAsia="cs-CZ"/>
        </w:rPr>
      </w:pPr>
      <w:r w:rsidRPr="00DA20F5">
        <w:rPr>
          <w:lang w:eastAsia="cs-CZ"/>
        </w:rPr>
        <w:t>Príplatok k príspevku pri narodení dieťaťa je s účinnosťou od 1.1.2007 štátna sociálna dávka, ktorou štát pripláca na zvýšené výdavky spojené so zabezpečením nevyhnutných potrieb dieťaťa, ktoré sa matke narodilo ako prvé dieťa a ktoré sa dožilo aspoň 28 dní. S účinnosťou od januára 2009 sa príplatok k príspevku pri narodení poskytuje aj na druhé a tretie dieťa.</w:t>
      </w:r>
    </w:p>
    <w:p w:rsidR="0033512D" w:rsidRPr="00DA20F5" w:rsidRDefault="0033512D" w:rsidP="00D36FB8">
      <w:pPr>
        <w:pStyle w:val="Normlnywebov"/>
        <w:spacing w:before="0" w:after="0"/>
        <w:ind w:firstLine="567"/>
        <w:rPr>
          <w:lang w:eastAsia="cs-CZ"/>
        </w:rPr>
      </w:pPr>
      <w:r w:rsidRPr="00DA20F5">
        <w:rPr>
          <w:lang w:eastAsia="cs-CZ"/>
        </w:rPr>
        <w:t xml:space="preserve">V roku 2011 bola výška príplatku k príspevku pri narodení 678,49 €. Príplatok bol vyplatený spolu 51 616 poberateľom, čo je o 721 poberateľov viac ako v roku 2010. Finančné prostriedky vyplatené na tento príplatok dosiahli v roku 2011 sumu približne 35 554 tis. €. </w:t>
      </w:r>
    </w:p>
    <w:p w:rsidR="0033512D" w:rsidRPr="00DA20F5" w:rsidRDefault="0033512D" w:rsidP="00D36FB8">
      <w:pPr>
        <w:pStyle w:val="Normlnywebov"/>
        <w:spacing w:before="0" w:after="0"/>
        <w:ind w:firstLine="567"/>
        <w:rPr>
          <w:lang w:eastAsia="cs-CZ"/>
        </w:rPr>
      </w:pPr>
    </w:p>
    <w:p w:rsidR="0033512D" w:rsidRPr="00DA20F5" w:rsidRDefault="0033512D" w:rsidP="000B4550">
      <w:pPr>
        <w:pStyle w:val="Nadpis6"/>
      </w:pPr>
      <w:bookmarkStart w:id="1103" w:name="_Toc326217038"/>
      <w:r w:rsidRPr="00DA20F5">
        <w:t>Príspevok rodičom, ktorým sa súčasne narodili tri a viac detí</w:t>
      </w:r>
      <w:bookmarkEnd w:id="1103"/>
    </w:p>
    <w:p w:rsidR="0033512D" w:rsidRPr="00DA20F5" w:rsidRDefault="0033512D" w:rsidP="00D36FB8">
      <w:pPr>
        <w:pStyle w:val="Normlnywebov"/>
        <w:spacing w:before="60" w:after="0"/>
        <w:ind w:firstLine="708"/>
      </w:pPr>
      <w:r w:rsidRPr="00DA20F5">
        <w:t>Príspevok rodičom je dávka štátnej sociálnej podpory, ktorou štát prispieva raz za rok rodičom alebo oprávneným osobám na zvýšené výdavky spojené so starostlivosťou o súčasne narodené 3 deti alebo viac detí alebo v priebehu dvoch rokov o opakovane narodené dvojčatá alebo viac detí súčasne.</w:t>
      </w:r>
    </w:p>
    <w:p w:rsidR="0033512D" w:rsidRPr="00DA20F5" w:rsidRDefault="0033512D" w:rsidP="00D36FB8">
      <w:pPr>
        <w:pStyle w:val="Normlnywebov"/>
        <w:spacing w:before="60" w:after="0"/>
      </w:pPr>
      <w:r w:rsidRPr="00DA20F5">
        <w:t>Výška príspevku rodičom na jedno dieťa sa v roku 2011 nemenila a bola nasledovná:</w:t>
      </w:r>
    </w:p>
    <w:tbl>
      <w:tblPr>
        <w:tblStyle w:val="Mriekatabuky"/>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1514"/>
      </w:tblGrid>
      <w:tr w:rsidR="00597418" w:rsidRPr="00DA20F5" w:rsidTr="00B45797">
        <w:trPr>
          <w:trHeight w:val="185"/>
        </w:trPr>
        <w:tc>
          <w:tcPr>
            <w:tcW w:w="2945" w:type="dxa"/>
            <w:shd w:val="clear" w:color="auto" w:fill="auto"/>
            <w:vAlign w:val="bottom"/>
          </w:tcPr>
          <w:p w:rsidR="0033512D" w:rsidRPr="00DA20F5" w:rsidRDefault="0033512D" w:rsidP="00B45797">
            <w:pPr>
              <w:pStyle w:val="Normlnywebov"/>
              <w:numPr>
                <w:ilvl w:val="0"/>
                <w:numId w:val="30"/>
              </w:numPr>
              <w:spacing w:before="60" w:after="0"/>
              <w:jc w:val="left"/>
            </w:pPr>
            <w:r w:rsidRPr="00DA20F5">
              <w:t>do 6</w:t>
            </w:r>
            <w:r w:rsidR="00EB10F9" w:rsidRPr="00DA20F5">
              <w:t xml:space="preserve"> rokov</w:t>
            </w:r>
            <w:r w:rsidR="00AC5AAB" w:rsidRPr="00DA20F5">
              <w:t xml:space="preserve"> </w:t>
            </w:r>
          </w:p>
        </w:tc>
        <w:tc>
          <w:tcPr>
            <w:tcW w:w="1514" w:type="dxa"/>
            <w:shd w:val="clear" w:color="auto" w:fill="auto"/>
            <w:vAlign w:val="bottom"/>
          </w:tcPr>
          <w:p w:rsidR="0033512D" w:rsidRPr="00DA20F5" w:rsidRDefault="0033512D" w:rsidP="00B45797">
            <w:pPr>
              <w:jc w:val="left"/>
            </w:pPr>
            <w:r w:rsidRPr="00DA20F5">
              <w:t xml:space="preserve">81,99 </w:t>
            </w:r>
            <w:r w:rsidR="00CD7CE0" w:rsidRPr="00DA20F5">
              <w:t>€</w:t>
            </w:r>
          </w:p>
        </w:tc>
      </w:tr>
      <w:tr w:rsidR="00597418" w:rsidRPr="00DA20F5" w:rsidTr="00B45797">
        <w:trPr>
          <w:trHeight w:val="185"/>
        </w:trPr>
        <w:tc>
          <w:tcPr>
            <w:tcW w:w="2945" w:type="dxa"/>
            <w:shd w:val="clear" w:color="auto" w:fill="auto"/>
            <w:vAlign w:val="bottom"/>
          </w:tcPr>
          <w:p w:rsidR="0033512D" w:rsidRPr="00DA20F5" w:rsidRDefault="0033512D" w:rsidP="00B45797">
            <w:pPr>
              <w:pStyle w:val="Normlnywebov"/>
              <w:numPr>
                <w:ilvl w:val="0"/>
                <w:numId w:val="30"/>
              </w:numPr>
              <w:spacing w:before="60" w:after="0"/>
              <w:jc w:val="left"/>
            </w:pPr>
            <w:r w:rsidRPr="00DA20F5">
              <w:t>od 6 do 15 rokov veku</w:t>
            </w:r>
          </w:p>
        </w:tc>
        <w:tc>
          <w:tcPr>
            <w:tcW w:w="1514" w:type="dxa"/>
            <w:shd w:val="clear" w:color="auto" w:fill="auto"/>
            <w:vAlign w:val="bottom"/>
          </w:tcPr>
          <w:p w:rsidR="0033512D" w:rsidRPr="00DA20F5" w:rsidRDefault="0033512D" w:rsidP="00B45797">
            <w:pPr>
              <w:jc w:val="left"/>
            </w:pPr>
            <w:r w:rsidRPr="00DA20F5">
              <w:t>101,25 €</w:t>
            </w:r>
          </w:p>
        </w:tc>
      </w:tr>
      <w:tr w:rsidR="00597418" w:rsidRPr="00DA20F5" w:rsidTr="00B45797">
        <w:trPr>
          <w:trHeight w:val="189"/>
        </w:trPr>
        <w:tc>
          <w:tcPr>
            <w:tcW w:w="2945" w:type="dxa"/>
            <w:shd w:val="clear" w:color="auto" w:fill="auto"/>
            <w:vAlign w:val="bottom"/>
          </w:tcPr>
          <w:p w:rsidR="0033512D" w:rsidRPr="00DA20F5" w:rsidRDefault="00EB10F9" w:rsidP="00B45797">
            <w:pPr>
              <w:pStyle w:val="Normlnywebov"/>
              <w:numPr>
                <w:ilvl w:val="0"/>
                <w:numId w:val="30"/>
              </w:numPr>
              <w:spacing w:before="60" w:after="0"/>
              <w:jc w:val="left"/>
            </w:pPr>
            <w:r w:rsidRPr="00DA20F5">
              <w:t>15 roční</w:t>
            </w:r>
          </w:p>
        </w:tc>
        <w:tc>
          <w:tcPr>
            <w:tcW w:w="1514" w:type="dxa"/>
            <w:shd w:val="clear" w:color="auto" w:fill="auto"/>
            <w:vAlign w:val="bottom"/>
          </w:tcPr>
          <w:p w:rsidR="0033512D" w:rsidRPr="00DA20F5" w:rsidRDefault="0033512D" w:rsidP="00B45797">
            <w:pPr>
              <w:jc w:val="left"/>
            </w:pPr>
            <w:r w:rsidRPr="00DA20F5">
              <w:t>107,55 €</w:t>
            </w:r>
          </w:p>
        </w:tc>
      </w:tr>
    </w:tbl>
    <w:p w:rsidR="0033512D" w:rsidRPr="00DA20F5" w:rsidRDefault="0033512D" w:rsidP="00D36FB8"/>
    <w:p w:rsidR="0033512D" w:rsidRPr="00DA20F5" w:rsidRDefault="0033512D" w:rsidP="00D36FB8">
      <w:r w:rsidRPr="00DA20F5">
        <w:t>V roku 2011 bolo 131 poberateľov tohto príspevku, čo je oproti roku 2010 nárast o 5 poberateľov.</w:t>
      </w:r>
      <w:r w:rsidR="00AC17A2" w:rsidRPr="00DA20F5">
        <w:t xml:space="preserve"> V roku 2011 bola na tomto príspevku celkovo vyplatená suma 38 212 €.</w:t>
      </w:r>
    </w:p>
    <w:p w:rsidR="0033512D" w:rsidRPr="00DA20F5" w:rsidRDefault="0033512D" w:rsidP="00D36FB8">
      <w:pPr>
        <w:ind w:left="360"/>
      </w:pPr>
    </w:p>
    <w:p w:rsidR="0033512D" w:rsidRPr="00DA20F5" w:rsidRDefault="0033512D" w:rsidP="000B4550">
      <w:pPr>
        <w:pStyle w:val="Nadpis6"/>
      </w:pPr>
      <w:bookmarkStart w:id="1104" w:name="_Toc326217039"/>
      <w:r w:rsidRPr="00DA20F5">
        <w:t>Príspevok na pohreb</w:t>
      </w:r>
      <w:bookmarkEnd w:id="1104"/>
      <w:r w:rsidRPr="00DA20F5">
        <w:t xml:space="preserve"> </w:t>
      </w:r>
    </w:p>
    <w:p w:rsidR="0033512D" w:rsidRPr="00DA20F5" w:rsidRDefault="0033512D" w:rsidP="00D36FB8">
      <w:pPr>
        <w:pStyle w:val="Normlnywebov"/>
        <w:spacing w:before="60" w:after="0"/>
        <w:ind w:firstLine="708"/>
      </w:pPr>
      <w:r w:rsidRPr="00DA20F5">
        <w:t>Príspevok na pohreb je s účinnosťou od 1. januára 1999 jednorazová dávka štátnej sociálnej podpory, legislatívne upravená zákonom č.238/1998 Z. z. o príspevku na pohreb. Uvedenou dávkou štát finančne</w:t>
      </w:r>
      <w:r w:rsidR="00AC5AAB" w:rsidRPr="00DA20F5">
        <w:t xml:space="preserve"> </w:t>
      </w:r>
      <w:r w:rsidRPr="00DA20F5">
        <w:t>prispieva na úhradu výdavkov spojených so zabezpečením</w:t>
      </w:r>
      <w:r w:rsidR="00AC5AAB" w:rsidRPr="00DA20F5">
        <w:t xml:space="preserve"> </w:t>
      </w:r>
      <w:r w:rsidRPr="00DA20F5">
        <w:t>pohrebu zomrelého.</w:t>
      </w:r>
    </w:p>
    <w:p w:rsidR="0033512D" w:rsidRPr="00DA20F5" w:rsidRDefault="0033512D" w:rsidP="00D36FB8">
      <w:pPr>
        <w:pStyle w:val="Normlnywebov"/>
        <w:spacing w:before="60" w:after="0"/>
        <w:ind w:firstLine="708"/>
      </w:pPr>
      <w:r w:rsidRPr="00DA20F5">
        <w:lastRenderedPageBreak/>
        <w:t xml:space="preserve">V roku 2011 ostala výška príspevku na pohreb nezmenená, a to 79,67 €. Príspevok bol v roku 2011 vyplatený spolu 49 906 občanom, čo je o 1 154 poberateľov menej ako v roku 2010. </w:t>
      </w:r>
    </w:p>
    <w:p w:rsidR="0033512D" w:rsidRPr="00DA20F5" w:rsidRDefault="0033512D" w:rsidP="00D36FB8">
      <w:pPr>
        <w:pStyle w:val="Normlnywebov"/>
        <w:spacing w:before="60" w:after="0"/>
        <w:ind w:firstLine="708"/>
      </w:pPr>
      <w:r w:rsidRPr="00DA20F5">
        <w:t>Finančné prostriedky vyplatené na tento príspevok dosiahli sumu približne 4 013 tis. €. Počet poberateľov príspevku je ovplyvnený len demografickým ukazovateľom – úmrtnosťou obyvateľov, ktorí majú na území Slovenskej republiky trvalý alebo prechodný pobyt.</w:t>
      </w:r>
    </w:p>
    <w:p w:rsidR="0033512D" w:rsidRPr="00DA20F5" w:rsidRDefault="0033512D" w:rsidP="00D36FB8">
      <w:pPr>
        <w:pStyle w:val="Normlnywebov"/>
        <w:spacing w:before="60" w:after="0"/>
        <w:ind w:firstLine="708"/>
      </w:pPr>
    </w:p>
    <w:p w:rsidR="00604DA1" w:rsidRPr="00DA20F5" w:rsidRDefault="00604DA1" w:rsidP="00D36FB8">
      <w:pPr>
        <w:pStyle w:val="nadpis2"/>
      </w:pPr>
      <w:bookmarkStart w:id="1105" w:name="_Toc326217040"/>
      <w:r w:rsidRPr="00DA20F5">
        <w:t>Sociálna pomoc</w:t>
      </w:r>
      <w:bookmarkEnd w:id="1105"/>
      <w:r w:rsidRPr="00DA20F5">
        <w:t xml:space="preserve"> </w:t>
      </w:r>
    </w:p>
    <w:p w:rsidR="00604DA1" w:rsidRPr="00DA20F5" w:rsidRDefault="00604DA1" w:rsidP="00D36FB8">
      <w:pPr>
        <w:rPr>
          <w:lang w:eastAsia="en-US"/>
        </w:rPr>
      </w:pPr>
      <w:r w:rsidRPr="00DA20F5">
        <w:rPr>
          <w:lang w:eastAsia="en-US"/>
        </w:rPr>
        <w:t>Prehľ</w:t>
      </w:r>
      <w:r w:rsidR="00DE6270" w:rsidRPr="00DA20F5">
        <w:rPr>
          <w:lang w:eastAsia="en-US"/>
        </w:rPr>
        <w:t xml:space="preserve">ad čerpania výdavkov v roku </w:t>
      </w:r>
      <w:r w:rsidR="00DE6270" w:rsidRPr="00DA20F5">
        <w:rPr>
          <w:color w:val="000000" w:themeColor="text1"/>
          <w:lang w:eastAsia="en-US"/>
        </w:rPr>
        <w:t>2011</w:t>
      </w:r>
      <w:r w:rsidRPr="00DA20F5">
        <w:rPr>
          <w:color w:val="000000" w:themeColor="text1"/>
          <w:lang w:eastAsia="en-US"/>
        </w:rPr>
        <w:t xml:space="preserve"> na sociálnu pomoc (t. </w:t>
      </w:r>
      <w:r w:rsidR="00B45797" w:rsidRPr="00DA20F5">
        <w:rPr>
          <w:color w:val="000000" w:themeColor="text1"/>
          <w:lang w:eastAsia="en-US"/>
        </w:rPr>
        <w:t>j. na pomoc v hmotnej núdzi, na </w:t>
      </w:r>
      <w:r w:rsidRPr="00DA20F5">
        <w:rPr>
          <w:color w:val="000000" w:themeColor="text1"/>
          <w:lang w:eastAsia="en-US"/>
        </w:rPr>
        <w:t>kompenzáciu sociálnych dôsledkov ťažkého zdravotného postihnutia, na podporu náhradnej starostlivosti o deti pod.) z rozpočtu kapitoly MPSVR</w:t>
      </w:r>
      <w:r w:rsidRPr="00DA20F5">
        <w:rPr>
          <w:lang w:eastAsia="en-US"/>
        </w:rPr>
        <w:t xml:space="preserve"> SR je uvedený v tabuľke </w:t>
      </w:r>
      <w:r w:rsidR="00DE635C" w:rsidRPr="00DA20F5">
        <w:rPr>
          <w:lang w:eastAsia="en-US"/>
        </w:rPr>
        <w:t xml:space="preserve">39 </w:t>
      </w:r>
      <w:r w:rsidRPr="00DA20F5">
        <w:rPr>
          <w:lang w:eastAsia="en-US"/>
        </w:rPr>
        <w:t>v</w:t>
      </w:r>
      <w:r w:rsidR="00B45797" w:rsidRPr="00DA20F5">
        <w:rPr>
          <w:lang w:eastAsia="en-US"/>
        </w:rPr>
        <w:t> prílohe ku </w:t>
      </w:r>
      <w:r w:rsidRPr="00DA20F5">
        <w:rPr>
          <w:lang w:eastAsia="en-US"/>
        </w:rPr>
        <w:t>kapitole 3.</w:t>
      </w:r>
    </w:p>
    <w:p w:rsidR="00604DA1" w:rsidRPr="00DA20F5" w:rsidRDefault="00604DA1" w:rsidP="00D36FB8">
      <w:pPr>
        <w:rPr>
          <w:lang w:eastAsia="en-US"/>
        </w:rPr>
      </w:pPr>
    </w:p>
    <w:p w:rsidR="004E6B58" w:rsidRPr="00DA20F5" w:rsidRDefault="004E6B58" w:rsidP="000B4550">
      <w:pPr>
        <w:pStyle w:val="Nadpis6"/>
      </w:pPr>
      <w:bookmarkStart w:id="1106" w:name="_Toc326217041"/>
      <w:r w:rsidRPr="00DA20F5">
        <w:t>Dávka v hmotnej núdzi</w:t>
      </w:r>
      <w:bookmarkEnd w:id="1106"/>
      <w:r w:rsidR="00EB2178" w:rsidRPr="00DA20F5">
        <w:t xml:space="preserve"> </w:t>
      </w:r>
    </w:p>
    <w:p w:rsidR="004E6B58" w:rsidRPr="00DA20F5" w:rsidRDefault="004E6B58" w:rsidP="00D36FB8">
      <w:pPr>
        <w:ind w:firstLine="357"/>
      </w:pPr>
      <w:r w:rsidRPr="00DA20F5">
        <w:t>Pomoc v hmotnej núdzi rieši zákon č. 599/2003 Z. z. o pomoci v hmotnej núdzi a o zmene a doplnení niektorých zákonov v znení neskorších predpisov. Zákon vychádza z filozofie motivácie a poskytnutia perspektívy jednotlivcovi a jeho rodine. Cieľom zákona je zabezpečiť základné životné podmienky a poskytnúť pomoc v hmotnej núdzi za aktívnej účasti občana a fyzických osôb, ktoré sa s občanom v hmotnej núdzi spoločne posudzujú.</w:t>
      </w:r>
    </w:p>
    <w:p w:rsidR="004E6B58" w:rsidRPr="00DA20F5" w:rsidRDefault="004E6B58" w:rsidP="00D36FB8">
      <w:pPr>
        <w:pStyle w:val="Normlnysozarkami12"/>
      </w:pPr>
      <w:r w:rsidRPr="00DA20F5">
        <w:t xml:space="preserve">Formami pomoci v hmotnej núdzi sú dávka v hmotnej núdzi (ďalej len „dávka“), ktorá je poskytovaná na jednej zo šiestich úrovní a príspevky k dávke v hmotnej núdzi (ďalej len „príspevky“). Dávka a príspevky sú poskytované občanovi v hmotnej núdzi a fyzickým osobám, ktoré sa s občanom v hmotnej núdzi spoločne posudzujú za podmienok taxatívne vymedzených v zákone o pomoci v hmotnej núdzi. </w:t>
      </w:r>
    </w:p>
    <w:p w:rsidR="004E6B58" w:rsidRPr="00DA20F5" w:rsidRDefault="004E6B58" w:rsidP="00D36FB8">
      <w:pPr>
        <w:pStyle w:val="123"/>
      </w:pPr>
      <w:r w:rsidRPr="00DA20F5">
        <w:t>Sumy dávky v hmotnej núdzi</w:t>
      </w:r>
      <w:r w:rsidR="00C77DC2" w:rsidRPr="00DA20F5">
        <w:t xml:space="preserve"> platné</w:t>
      </w:r>
      <w:r w:rsidRPr="00DA20F5">
        <w:t xml:space="preserve"> od 1.9.2009</w:t>
      </w:r>
    </w:p>
    <w:p w:rsidR="004E6B58" w:rsidRPr="00DA20F5" w:rsidRDefault="004E6B58" w:rsidP="00D36FB8">
      <w:pPr>
        <w:pStyle w:val="bullet1"/>
      </w:pPr>
      <w:r w:rsidRPr="00DA20F5">
        <w:t xml:space="preserve">60,50 € jednotlivec, </w:t>
      </w:r>
    </w:p>
    <w:p w:rsidR="004E6B58" w:rsidRPr="00DA20F5" w:rsidRDefault="004E6B58" w:rsidP="00D36FB8">
      <w:pPr>
        <w:pStyle w:val="bullet1"/>
      </w:pPr>
      <w:r w:rsidRPr="00DA20F5">
        <w:t>115,10 € jednotlivec s 1- 4 deťmi, </w:t>
      </w:r>
    </w:p>
    <w:p w:rsidR="004E6B58" w:rsidRPr="00DA20F5" w:rsidRDefault="004E6B58" w:rsidP="00D36FB8">
      <w:pPr>
        <w:pStyle w:val="bullet1"/>
      </w:pPr>
      <w:r w:rsidRPr="00DA20F5">
        <w:t xml:space="preserve">168,20 € jednotlivec s viac ako 4 deťmi, </w:t>
      </w:r>
    </w:p>
    <w:p w:rsidR="004E6B58" w:rsidRPr="00DA20F5" w:rsidRDefault="004E6B58" w:rsidP="00D36FB8">
      <w:pPr>
        <w:pStyle w:val="bullet1"/>
      </w:pPr>
      <w:r w:rsidRPr="00DA20F5">
        <w:t xml:space="preserve">105,20 € dvojica bez detí, </w:t>
      </w:r>
    </w:p>
    <w:p w:rsidR="004E6B58" w:rsidRPr="00DA20F5" w:rsidRDefault="004E6B58" w:rsidP="00D36FB8">
      <w:pPr>
        <w:pStyle w:val="bullet1"/>
      </w:pPr>
      <w:r w:rsidRPr="00DA20F5">
        <w:t xml:space="preserve">157,60 € dvojica s 1- 4 deťmi, </w:t>
      </w:r>
    </w:p>
    <w:p w:rsidR="004E6B58" w:rsidRPr="00DA20F5" w:rsidRDefault="004E6B58" w:rsidP="00D36FB8">
      <w:pPr>
        <w:pStyle w:val="bullet1"/>
      </w:pPr>
      <w:r w:rsidRPr="00DA20F5">
        <w:t xml:space="preserve">212,30 € dvojica s viac ako 4 deťmi. </w:t>
      </w:r>
    </w:p>
    <w:p w:rsidR="004E6B58" w:rsidRPr="00DA20F5" w:rsidRDefault="004E6B58" w:rsidP="00D36FB8">
      <w:pPr>
        <w:pStyle w:val="123"/>
      </w:pPr>
      <w:r w:rsidRPr="00DA20F5">
        <w:t xml:space="preserve">Sumy príspevkov k dávke v hmotnej núdzi </w:t>
      </w:r>
      <w:r w:rsidR="00C77DC2" w:rsidRPr="00DA20F5">
        <w:t>platné</w:t>
      </w:r>
      <w:r w:rsidRPr="00DA20F5">
        <w:t xml:space="preserve"> od 1.9.2009</w:t>
      </w:r>
    </w:p>
    <w:p w:rsidR="004E6B58" w:rsidRPr="00DA20F5" w:rsidRDefault="004E6B58" w:rsidP="00D36FB8">
      <w:pPr>
        <w:pStyle w:val="bullet1"/>
      </w:pPr>
      <w:r w:rsidRPr="00DA20F5">
        <w:t>2</w:t>
      </w:r>
      <w:r w:rsidR="000054BF" w:rsidRPr="00DA20F5">
        <w:t>,00</w:t>
      </w:r>
      <w:r w:rsidRPr="00DA20F5">
        <w:t xml:space="preserve"> € na zdravotnú starostlivosť, </w:t>
      </w:r>
    </w:p>
    <w:p w:rsidR="004E6B58" w:rsidRPr="00DA20F5" w:rsidRDefault="004E6B58" w:rsidP="00D36FB8">
      <w:pPr>
        <w:pStyle w:val="bullet1"/>
      </w:pPr>
      <w:r w:rsidRPr="00DA20F5">
        <w:t>63,07 € aktivačný príspevok,</w:t>
      </w:r>
    </w:p>
    <w:p w:rsidR="004E6B58" w:rsidRPr="00DA20F5" w:rsidRDefault="004E6B58" w:rsidP="00D36FB8">
      <w:pPr>
        <w:pStyle w:val="bullet1"/>
        <w:numPr>
          <w:ilvl w:val="0"/>
          <w:numId w:val="0"/>
        </w:numPr>
        <w:ind w:left="360"/>
      </w:pPr>
      <w:r w:rsidRPr="00DA20F5">
        <w:t>63,07</w:t>
      </w:r>
      <w:r w:rsidR="00DE6270" w:rsidRPr="00DA20F5">
        <w:t xml:space="preserve"> € ochranný príspevok </w:t>
      </w:r>
      <w:r w:rsidR="00DE6270" w:rsidRPr="00DA20F5">
        <w:rPr>
          <w:color w:val="000000" w:themeColor="text1"/>
        </w:rPr>
        <w:t>alebo 34,</w:t>
      </w:r>
      <w:r w:rsidRPr="00DA20F5">
        <w:rPr>
          <w:color w:val="000000" w:themeColor="text1"/>
        </w:rPr>
        <w:t>6</w:t>
      </w:r>
      <w:r w:rsidR="00DE6270" w:rsidRPr="00DA20F5">
        <w:rPr>
          <w:color w:val="000000" w:themeColor="text1"/>
        </w:rPr>
        <w:t>9</w:t>
      </w:r>
      <w:r w:rsidRPr="00DA20F5">
        <w:rPr>
          <w:color w:val="000000" w:themeColor="text1"/>
        </w:rPr>
        <w:t xml:space="preserve"> €,</w:t>
      </w:r>
      <w:r w:rsidRPr="00DA20F5">
        <w:t xml:space="preserve"> ak nepriaznivý zdravotný stav občana v hmotnej núdzi</w:t>
      </w:r>
      <w:r w:rsidR="00AC5AAB" w:rsidRPr="00DA20F5">
        <w:t xml:space="preserve"> </w:t>
      </w:r>
      <w:r w:rsidRPr="00DA20F5">
        <w:t>trvá nepretržite viac ako 30 dní</w:t>
      </w:r>
    </w:p>
    <w:p w:rsidR="004E6B58" w:rsidRPr="00DA20F5" w:rsidRDefault="004E6B58" w:rsidP="00D36FB8">
      <w:pPr>
        <w:pStyle w:val="bullet1"/>
      </w:pPr>
      <w:r w:rsidRPr="00DA20F5">
        <w:t xml:space="preserve">55,80 € </w:t>
      </w:r>
      <w:r w:rsidR="003C0537" w:rsidRPr="00DA20F5">
        <w:t xml:space="preserve">príspevok na bývanie - </w:t>
      </w:r>
      <w:r w:rsidRPr="00DA20F5">
        <w:t xml:space="preserve">jednotlivec, </w:t>
      </w:r>
    </w:p>
    <w:p w:rsidR="004E6B58" w:rsidRPr="00DA20F5" w:rsidRDefault="004E6B58" w:rsidP="00D36FB8">
      <w:pPr>
        <w:pStyle w:val="bullet1"/>
      </w:pPr>
      <w:r w:rsidRPr="00DA20F5">
        <w:t xml:space="preserve">89,20 € </w:t>
      </w:r>
      <w:r w:rsidR="003C0537" w:rsidRPr="00DA20F5">
        <w:t xml:space="preserve">príspevok na bývanie - </w:t>
      </w:r>
      <w:r w:rsidRPr="00DA20F5">
        <w:t>rodina.</w:t>
      </w:r>
    </w:p>
    <w:p w:rsidR="004E6B58" w:rsidRPr="00DA20F5" w:rsidRDefault="004E6B58" w:rsidP="00D36FB8">
      <w:pPr>
        <w:pStyle w:val="bullet1"/>
        <w:numPr>
          <w:ilvl w:val="0"/>
          <w:numId w:val="0"/>
        </w:numPr>
        <w:ind w:left="360"/>
      </w:pPr>
    </w:p>
    <w:p w:rsidR="004E6B58" w:rsidRPr="00DA20F5" w:rsidRDefault="004E6B58" w:rsidP="00D36FB8">
      <w:pPr>
        <w:ind w:firstLine="357"/>
      </w:pPr>
      <w:r w:rsidRPr="00DA20F5">
        <w:t xml:space="preserve">V roku 2011 sa dávka v hmotnej núdzi a príspevky k dávke v hmotnej núdzi nevalorizovali. </w:t>
      </w:r>
    </w:p>
    <w:p w:rsidR="004E6B58" w:rsidRPr="00DA20F5" w:rsidRDefault="008F4DFA" w:rsidP="00D36FB8">
      <w:pPr>
        <w:ind w:firstLine="357"/>
      </w:pPr>
      <w:r w:rsidRPr="00DA20F5">
        <w:t>Rok</w:t>
      </w:r>
      <w:r w:rsidR="004E6B58" w:rsidRPr="00DA20F5">
        <w:t xml:space="preserve"> 2011 </w:t>
      </w:r>
      <w:r w:rsidRPr="00DA20F5">
        <w:t>zaznamenal</w:t>
      </w:r>
      <w:r w:rsidR="004E6B58" w:rsidRPr="00DA20F5">
        <w:t xml:space="preserve"> </w:t>
      </w:r>
      <w:r w:rsidRPr="00DA20F5">
        <w:t xml:space="preserve">v priemere 187 139 mesačne evidovaných </w:t>
      </w:r>
      <w:r w:rsidR="004E6B58" w:rsidRPr="00DA20F5">
        <w:t>poberateľov dávky a príspevkov k dávke, čo v porovnaní s rokom 2010 predstavuje pokles o 1,33 %. Celkový priemerný počet občanov v hmotnej núdzi v roku 2011 bol 366 967. V porovnaní s rokom 2010 predstavuje pokles o 5 777 občanov t.</w:t>
      </w:r>
      <w:r w:rsidR="00271D60" w:rsidRPr="00DA20F5">
        <w:t xml:space="preserve"> </w:t>
      </w:r>
      <w:r w:rsidR="004E6B58" w:rsidRPr="00DA20F5">
        <w:t>j. pokles o 1,55 %. Na dávku v hmotnej núdzi a príspevk</w:t>
      </w:r>
      <w:r w:rsidR="003C0537" w:rsidRPr="00DA20F5">
        <w:t>y</w:t>
      </w:r>
      <w:r w:rsidR="004E6B58" w:rsidRPr="00DA20F5">
        <w:t xml:space="preserve"> k dávke boli v roku 2011 poskytnuté finančné prostriedky vo výške 273 443 365 €. Priemerná výška mesačnej dávky a príspevkov v roku 2011 dosiahla výšku 121,12 €, čo v porovnaní s rokom 2010 predstavuje pokles o 2,53 €.</w:t>
      </w:r>
    </w:p>
    <w:p w:rsidR="004E6B58" w:rsidRPr="00DA20F5" w:rsidRDefault="004E6B58" w:rsidP="00D36FB8">
      <w:pPr>
        <w:pStyle w:val="Normlnysozarkami12"/>
      </w:pPr>
      <w:r w:rsidRPr="00DA20F5">
        <w:t xml:space="preserve">V roku 2011 bol priemerný mesačný počet </w:t>
      </w:r>
      <w:r w:rsidR="00522BAE" w:rsidRPr="00DA20F5">
        <w:t xml:space="preserve">126 199 </w:t>
      </w:r>
      <w:r w:rsidRPr="00DA20F5">
        <w:t xml:space="preserve">poberateľov dávky a príspevkov k dávke, ktorí sú v evidencii uchádzačov o zamestnanie. V porovnaní s rokom 2010 bol zaznamenaný nárast </w:t>
      </w:r>
      <w:r w:rsidRPr="00DA20F5">
        <w:lastRenderedPageBreak/>
        <w:t>v priemernom mesačnom počte o 2 506 poberateľov (nárast o 2,02 %). Z nižšie uvedeného grafického znázornenia vývoja počtu poberateľov vyplýva, že od mája do konca roku 2011 si vývoj počtu poberateľov zachoval klesajúci</w:t>
      </w:r>
      <w:r w:rsidR="00522BAE" w:rsidRPr="00DA20F5">
        <w:t xml:space="preserve"> trend</w:t>
      </w:r>
      <w:r w:rsidRPr="00DA20F5">
        <w:t>, ktorý sa odvíjal od rastu miery nezamestnanosti.</w:t>
      </w:r>
    </w:p>
    <w:p w:rsidR="004E6B58" w:rsidRPr="00DA20F5" w:rsidRDefault="00A71C4D" w:rsidP="00D36FB8">
      <w:pPr>
        <w:pStyle w:val="Nadpis7"/>
      </w:pPr>
      <w:bookmarkStart w:id="1107" w:name="_Toc294027393"/>
      <w:bookmarkStart w:id="1108" w:name="_Toc294029632"/>
      <w:bookmarkStart w:id="1109" w:name="_Toc313879123"/>
      <w:bookmarkStart w:id="1110" w:name="_Toc325438199"/>
      <w:bookmarkStart w:id="1111" w:name="_Toc325440968"/>
      <w:bookmarkStart w:id="1112" w:name="_Toc325626781"/>
      <w:bookmarkStart w:id="1113" w:name="_Toc326217042"/>
      <w:r w:rsidRPr="00DA20F5">
        <w:t>Tab. 3.14</w:t>
      </w:r>
      <w:r w:rsidR="00AC5AAB" w:rsidRPr="00DA20F5">
        <w:t xml:space="preserve"> </w:t>
      </w:r>
      <w:r w:rsidR="004E6B58" w:rsidRPr="00DA20F5">
        <w:t xml:space="preserve">Počet poberateľov </w:t>
      </w:r>
      <w:r w:rsidR="00F22F50" w:rsidRPr="00DA20F5">
        <w:t>dávky v hmotnej núdzi</w:t>
      </w:r>
      <w:r w:rsidR="004E6B58" w:rsidRPr="00DA20F5">
        <w:t xml:space="preserve"> a príspevkov, čerpanie finančných prostriedkov </w:t>
      </w:r>
      <w:r w:rsidR="004E6B58" w:rsidRPr="00DA20F5">
        <w:br/>
        <w:t>v rokoch 2010 - 2011</w:t>
      </w:r>
      <w:bookmarkEnd w:id="1107"/>
      <w:bookmarkEnd w:id="1108"/>
      <w:bookmarkEnd w:id="1109"/>
      <w:bookmarkEnd w:id="1110"/>
      <w:bookmarkEnd w:id="1111"/>
      <w:bookmarkEnd w:id="1112"/>
      <w:bookmarkEnd w:id="1113"/>
      <w:r w:rsidR="004E6B58" w:rsidRPr="00DA20F5">
        <w:t xml:space="preserve"> </w:t>
      </w:r>
    </w:p>
    <w:tbl>
      <w:tblPr>
        <w:tblW w:w="4119" w:type="pct"/>
        <w:jc w:val="center"/>
        <w:tblInd w:w="192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42"/>
        <w:gridCol w:w="1742"/>
        <w:gridCol w:w="1485"/>
      </w:tblGrid>
      <w:tr w:rsidR="00597418" w:rsidRPr="00DA20F5" w:rsidTr="00C51124">
        <w:trPr>
          <w:trHeight w:val="246"/>
          <w:jc w:val="center"/>
        </w:trPr>
        <w:tc>
          <w:tcPr>
            <w:tcW w:w="2707" w:type="pct"/>
            <w:shd w:val="clear" w:color="auto" w:fill="4F81BD" w:themeFill="accent1"/>
            <w:noWrap/>
            <w:vAlign w:val="center"/>
            <w:hideMark/>
          </w:tcPr>
          <w:p w:rsidR="004E6B58" w:rsidRPr="00DA20F5" w:rsidRDefault="004E6B58" w:rsidP="00D36FB8">
            <w:pPr>
              <w:rPr>
                <w:lang w:eastAsia="cs-CZ"/>
              </w:rPr>
            </w:pPr>
          </w:p>
        </w:tc>
        <w:tc>
          <w:tcPr>
            <w:tcW w:w="1209" w:type="pct"/>
            <w:shd w:val="clear" w:color="auto" w:fill="4F81BD"/>
            <w:noWrap/>
            <w:vAlign w:val="center"/>
            <w:hideMark/>
          </w:tcPr>
          <w:p w:rsidR="004E6B58" w:rsidRPr="00DA20F5" w:rsidRDefault="004E6B58" w:rsidP="00D36FB8">
            <w:pPr>
              <w:jc w:val="center"/>
              <w:rPr>
                <w:b/>
                <w:color w:val="FFFFFF" w:themeColor="background1"/>
                <w:lang w:eastAsia="cs-CZ"/>
              </w:rPr>
            </w:pPr>
            <w:r w:rsidRPr="00DA20F5">
              <w:rPr>
                <w:b/>
                <w:color w:val="FFFFFF" w:themeColor="background1"/>
                <w:lang w:eastAsia="cs-CZ"/>
              </w:rPr>
              <w:t>2010</w:t>
            </w:r>
          </w:p>
        </w:tc>
        <w:tc>
          <w:tcPr>
            <w:tcW w:w="1084" w:type="pct"/>
            <w:shd w:val="clear" w:color="auto" w:fill="4F81BD"/>
            <w:noWrap/>
            <w:vAlign w:val="center"/>
            <w:hideMark/>
          </w:tcPr>
          <w:p w:rsidR="004E6B58" w:rsidRPr="00DA20F5" w:rsidRDefault="004E6B58" w:rsidP="00D36FB8">
            <w:pPr>
              <w:jc w:val="center"/>
              <w:rPr>
                <w:b/>
                <w:color w:val="FFFFFF" w:themeColor="background1"/>
                <w:lang w:eastAsia="cs-CZ"/>
              </w:rPr>
            </w:pPr>
            <w:r w:rsidRPr="00DA20F5">
              <w:rPr>
                <w:b/>
                <w:color w:val="FFFFFF" w:themeColor="background1"/>
                <w:lang w:eastAsia="cs-CZ"/>
              </w:rPr>
              <w:t>2011</w:t>
            </w:r>
          </w:p>
        </w:tc>
      </w:tr>
      <w:tr w:rsidR="00597418" w:rsidRPr="00DA20F5" w:rsidTr="00C51124">
        <w:trPr>
          <w:trHeight w:val="300"/>
          <w:jc w:val="center"/>
        </w:trPr>
        <w:tc>
          <w:tcPr>
            <w:tcW w:w="2707" w:type="pct"/>
            <w:noWrap/>
            <w:vAlign w:val="center"/>
            <w:hideMark/>
          </w:tcPr>
          <w:p w:rsidR="004E6B58" w:rsidRPr="00DA20F5" w:rsidRDefault="004E6B58" w:rsidP="00D36FB8">
            <w:r w:rsidRPr="00DA20F5">
              <w:t>počet poberateľov celkom</w:t>
            </w:r>
          </w:p>
        </w:tc>
        <w:tc>
          <w:tcPr>
            <w:tcW w:w="1209" w:type="pct"/>
            <w:noWrap/>
            <w:vAlign w:val="center"/>
            <w:hideMark/>
          </w:tcPr>
          <w:p w:rsidR="004E6B58" w:rsidRPr="00DA20F5" w:rsidRDefault="004E6B58" w:rsidP="00D36FB8">
            <w:pPr>
              <w:ind w:right="426"/>
              <w:jc w:val="right"/>
            </w:pPr>
            <w:r w:rsidRPr="00DA20F5">
              <w:t>189 645</w:t>
            </w:r>
          </w:p>
        </w:tc>
        <w:tc>
          <w:tcPr>
            <w:tcW w:w="1084" w:type="pct"/>
            <w:noWrap/>
            <w:vAlign w:val="center"/>
            <w:hideMark/>
          </w:tcPr>
          <w:p w:rsidR="004E6B58" w:rsidRPr="00DA20F5" w:rsidRDefault="004E6B58" w:rsidP="00D36FB8">
            <w:pPr>
              <w:ind w:right="169"/>
              <w:jc w:val="right"/>
            </w:pPr>
            <w:r w:rsidRPr="00DA20F5">
              <w:t>187 139</w:t>
            </w:r>
          </w:p>
        </w:tc>
      </w:tr>
      <w:tr w:rsidR="00597418" w:rsidRPr="00DA20F5" w:rsidTr="00C51124">
        <w:trPr>
          <w:trHeight w:val="300"/>
          <w:jc w:val="center"/>
        </w:trPr>
        <w:tc>
          <w:tcPr>
            <w:tcW w:w="2707" w:type="pct"/>
            <w:noWrap/>
            <w:vAlign w:val="center"/>
            <w:hideMark/>
          </w:tcPr>
          <w:p w:rsidR="004E6B58" w:rsidRPr="00DA20F5" w:rsidRDefault="004E6B58" w:rsidP="00D36FB8">
            <w:r w:rsidRPr="00DA20F5">
              <w:t>z toho UoZ</w:t>
            </w:r>
          </w:p>
        </w:tc>
        <w:tc>
          <w:tcPr>
            <w:tcW w:w="1209" w:type="pct"/>
            <w:noWrap/>
            <w:vAlign w:val="center"/>
            <w:hideMark/>
          </w:tcPr>
          <w:p w:rsidR="004E6B58" w:rsidRPr="00DA20F5" w:rsidRDefault="004E6B58" w:rsidP="00D36FB8">
            <w:pPr>
              <w:ind w:right="426"/>
              <w:jc w:val="right"/>
            </w:pPr>
            <w:r w:rsidRPr="00DA20F5">
              <w:t>123 693</w:t>
            </w:r>
          </w:p>
        </w:tc>
        <w:tc>
          <w:tcPr>
            <w:tcW w:w="1084" w:type="pct"/>
            <w:noWrap/>
            <w:vAlign w:val="center"/>
            <w:hideMark/>
          </w:tcPr>
          <w:p w:rsidR="004E6B58" w:rsidRPr="00DA20F5" w:rsidRDefault="004E6B58" w:rsidP="00D36FB8">
            <w:pPr>
              <w:ind w:right="169"/>
              <w:jc w:val="right"/>
            </w:pPr>
            <w:r w:rsidRPr="00DA20F5">
              <w:t>126 199</w:t>
            </w:r>
          </w:p>
        </w:tc>
      </w:tr>
      <w:tr w:rsidR="00597418" w:rsidRPr="00DA20F5" w:rsidTr="00C51124">
        <w:trPr>
          <w:trHeight w:val="300"/>
          <w:jc w:val="center"/>
        </w:trPr>
        <w:tc>
          <w:tcPr>
            <w:tcW w:w="2707" w:type="pct"/>
            <w:noWrap/>
            <w:vAlign w:val="center"/>
            <w:hideMark/>
          </w:tcPr>
          <w:p w:rsidR="004E6B58" w:rsidRPr="00DA20F5" w:rsidRDefault="004E6B58" w:rsidP="00D36FB8">
            <w:r w:rsidRPr="00DA20F5">
              <w:t>Poskytnuté finančné prostriedky celkom v €</w:t>
            </w:r>
          </w:p>
        </w:tc>
        <w:tc>
          <w:tcPr>
            <w:tcW w:w="1209" w:type="pct"/>
            <w:noWrap/>
            <w:vAlign w:val="center"/>
            <w:hideMark/>
          </w:tcPr>
          <w:p w:rsidR="004E6B58" w:rsidRPr="00DA20F5" w:rsidRDefault="004E6B58" w:rsidP="00D36FB8">
            <w:pPr>
              <w:ind w:right="426"/>
              <w:jc w:val="right"/>
            </w:pPr>
            <w:r w:rsidRPr="00DA20F5">
              <w:t>283 242 050</w:t>
            </w:r>
          </w:p>
        </w:tc>
        <w:tc>
          <w:tcPr>
            <w:tcW w:w="1084" w:type="pct"/>
            <w:noWrap/>
            <w:vAlign w:val="center"/>
            <w:hideMark/>
          </w:tcPr>
          <w:p w:rsidR="004E6B58" w:rsidRPr="00DA20F5" w:rsidRDefault="004E6B58" w:rsidP="00D36FB8">
            <w:pPr>
              <w:ind w:right="169"/>
              <w:jc w:val="right"/>
            </w:pPr>
            <w:r w:rsidRPr="00DA20F5">
              <w:t>273 443 365</w:t>
            </w:r>
          </w:p>
        </w:tc>
      </w:tr>
      <w:tr w:rsidR="00597418" w:rsidRPr="00DA20F5" w:rsidTr="00C51124">
        <w:trPr>
          <w:trHeight w:val="300"/>
          <w:jc w:val="center"/>
        </w:trPr>
        <w:tc>
          <w:tcPr>
            <w:tcW w:w="2707" w:type="pct"/>
            <w:noWrap/>
            <w:vAlign w:val="center"/>
            <w:hideMark/>
          </w:tcPr>
          <w:p w:rsidR="004E6B58" w:rsidRPr="00DA20F5" w:rsidRDefault="004E6B58" w:rsidP="00D36FB8">
            <w:r w:rsidRPr="00DA20F5">
              <w:t>Priemerná výška dávky a príspevkov k dávke v €</w:t>
            </w:r>
          </w:p>
        </w:tc>
        <w:tc>
          <w:tcPr>
            <w:tcW w:w="1209" w:type="pct"/>
            <w:noWrap/>
            <w:vAlign w:val="center"/>
            <w:hideMark/>
          </w:tcPr>
          <w:p w:rsidR="004E6B58" w:rsidRPr="00DA20F5" w:rsidRDefault="004E6B58" w:rsidP="00D36FB8">
            <w:pPr>
              <w:ind w:right="426"/>
              <w:jc w:val="right"/>
            </w:pPr>
            <w:r w:rsidRPr="00DA20F5">
              <w:t>123,65</w:t>
            </w:r>
          </w:p>
        </w:tc>
        <w:tc>
          <w:tcPr>
            <w:tcW w:w="1084" w:type="pct"/>
            <w:noWrap/>
            <w:vAlign w:val="center"/>
            <w:hideMark/>
          </w:tcPr>
          <w:p w:rsidR="004E6B58" w:rsidRPr="00DA20F5" w:rsidRDefault="004E6B58" w:rsidP="00D36FB8">
            <w:pPr>
              <w:ind w:right="169"/>
              <w:jc w:val="right"/>
            </w:pPr>
            <w:r w:rsidRPr="00DA20F5">
              <w:t>121,12</w:t>
            </w:r>
          </w:p>
        </w:tc>
      </w:tr>
    </w:tbl>
    <w:p w:rsidR="004E6B58" w:rsidRPr="00DA20F5" w:rsidRDefault="00AC17A2" w:rsidP="00D36FB8">
      <w:pPr>
        <w:pStyle w:val="zdroj"/>
      </w:pPr>
      <w:r w:rsidRPr="00DA20F5">
        <w:t>Zdroj: APV ISOP</w:t>
      </w:r>
    </w:p>
    <w:p w:rsidR="004E6B58" w:rsidRPr="00DA20F5" w:rsidRDefault="004E6B58" w:rsidP="00D36FB8">
      <w:pPr>
        <w:pStyle w:val="Nadpis7"/>
      </w:pPr>
      <w:bookmarkStart w:id="1114" w:name="_Toc294027408"/>
      <w:bookmarkStart w:id="1115" w:name="_Toc294029647"/>
      <w:bookmarkStart w:id="1116" w:name="_Toc313879138"/>
      <w:bookmarkStart w:id="1117" w:name="_Toc325438200"/>
      <w:bookmarkStart w:id="1118" w:name="_Toc325440969"/>
      <w:bookmarkStart w:id="1119" w:name="_Toc325626782"/>
      <w:bookmarkStart w:id="1120" w:name="_Toc326217043"/>
      <w:r w:rsidRPr="00DA20F5">
        <w:t>Graf 3.6</w:t>
      </w:r>
      <w:r w:rsidR="00AC5AAB" w:rsidRPr="00DA20F5">
        <w:t xml:space="preserve"> </w:t>
      </w:r>
      <w:r w:rsidRPr="00DA20F5">
        <w:t>Vývoj počtu poberateľov dávky a príspevkov v priebehu rokov 2010 a 2011</w:t>
      </w:r>
      <w:bookmarkEnd w:id="1114"/>
      <w:bookmarkEnd w:id="1115"/>
      <w:bookmarkEnd w:id="1116"/>
      <w:bookmarkEnd w:id="1117"/>
      <w:bookmarkEnd w:id="1118"/>
      <w:bookmarkEnd w:id="1119"/>
      <w:bookmarkEnd w:id="1120"/>
    </w:p>
    <w:p w:rsidR="004E6B58" w:rsidRPr="00DA20F5" w:rsidRDefault="004E6B58" w:rsidP="00D36FB8">
      <w:pPr>
        <w:jc w:val="center"/>
        <w:rPr>
          <w:color w:val="548DD4" w:themeColor="text2" w:themeTint="99"/>
          <w:lang w:eastAsia="cs-CZ"/>
        </w:rPr>
      </w:pPr>
      <w:r w:rsidRPr="00DA20F5">
        <w:rPr>
          <w:noProof/>
          <w:color w:val="548DD4" w:themeColor="text2" w:themeTint="99"/>
        </w:rPr>
        <w:drawing>
          <wp:inline distT="0" distB="0" distL="0" distR="0" wp14:anchorId="17F8FDA5" wp14:editId="462767A7">
            <wp:extent cx="4692770" cy="2061713"/>
            <wp:effectExtent l="0" t="0" r="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E6B58" w:rsidRPr="00DA20F5" w:rsidRDefault="004E6B58" w:rsidP="00D36FB8">
      <w:pPr>
        <w:pStyle w:val="zdroj"/>
      </w:pPr>
      <w:r w:rsidRPr="00DA20F5">
        <w:t xml:space="preserve">Zdroj: APV ISOP </w:t>
      </w:r>
    </w:p>
    <w:p w:rsidR="004E6B58" w:rsidRPr="00DA20F5" w:rsidRDefault="004E6B58" w:rsidP="00D36FB8">
      <w:r w:rsidRPr="00DA20F5">
        <w:t>Ku koncu roka 2011 bolo v systéme pomoci v hmotnej núdzi 360 793 spolu posudzovaných osôb, čo predstavovalo 6,67 % - ný podiel z celkového počtu obyvateľov Slovenska. V porovnaní s rokom 2010 v systéme pomoci v hmotnej núdzi došlo k nárastu podielu spol</w:t>
      </w:r>
      <w:r w:rsidR="0043499C" w:rsidRPr="00DA20F5">
        <w:t>očne</w:t>
      </w:r>
      <w:r w:rsidRPr="00DA20F5">
        <w:t xml:space="preserve"> posudzovaných osôb z celkového počtu obyvateľov o 0,27 p.</w:t>
      </w:r>
      <w:r w:rsidR="007B624E" w:rsidRPr="00DA20F5">
        <w:t xml:space="preserve"> </w:t>
      </w:r>
      <w:r w:rsidRPr="00DA20F5">
        <w:t>b.</w:t>
      </w:r>
    </w:p>
    <w:p w:rsidR="004E6B58" w:rsidRPr="00DA20F5" w:rsidRDefault="004E6B58" w:rsidP="00D36FB8">
      <w:pPr>
        <w:pStyle w:val="Nadpis7"/>
      </w:pPr>
      <w:bookmarkStart w:id="1121" w:name="_Toc294027409"/>
      <w:bookmarkStart w:id="1122" w:name="_Toc294029648"/>
      <w:bookmarkStart w:id="1123" w:name="_Toc313879139"/>
      <w:bookmarkStart w:id="1124" w:name="_Toc325438201"/>
      <w:bookmarkStart w:id="1125" w:name="_Toc325440970"/>
      <w:bookmarkStart w:id="1126" w:name="_Toc325626783"/>
      <w:bookmarkStart w:id="1127" w:name="_Toc326217044"/>
      <w:r w:rsidRPr="00DA20F5">
        <w:t>Graf 3.7</w:t>
      </w:r>
      <w:r w:rsidR="00AC5AAB" w:rsidRPr="00DA20F5">
        <w:t xml:space="preserve"> </w:t>
      </w:r>
      <w:r w:rsidRPr="00DA20F5">
        <w:t xml:space="preserve">Podiel osôb v hmotnej núdzi z počtu obyvateľov v % v jednotlivých regiónoch </w:t>
      </w:r>
      <w:r w:rsidRPr="00DA20F5">
        <w:br/>
        <w:t>(ku koncu roka)</w:t>
      </w:r>
      <w:bookmarkEnd w:id="1121"/>
      <w:bookmarkEnd w:id="1122"/>
      <w:bookmarkEnd w:id="1123"/>
      <w:bookmarkEnd w:id="1124"/>
      <w:bookmarkEnd w:id="1125"/>
      <w:bookmarkEnd w:id="1126"/>
      <w:bookmarkEnd w:id="1127"/>
    </w:p>
    <w:p w:rsidR="004E6B58" w:rsidRPr="00DA20F5" w:rsidRDefault="004E6B58" w:rsidP="00D36FB8">
      <w:pPr>
        <w:jc w:val="center"/>
        <w:rPr>
          <w:color w:val="548DD4" w:themeColor="text2" w:themeTint="99"/>
        </w:rPr>
      </w:pPr>
      <w:r w:rsidRPr="00DA20F5">
        <w:rPr>
          <w:noProof/>
          <w:color w:val="548DD4" w:themeColor="text2" w:themeTint="99"/>
        </w:rPr>
        <w:drawing>
          <wp:inline distT="0" distB="0" distL="0" distR="0" wp14:anchorId="70C03ACC" wp14:editId="199C88BE">
            <wp:extent cx="4572000" cy="2142699"/>
            <wp:effectExtent l="0" t="0" r="0" b="0"/>
            <wp:docPr id="1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E6B58" w:rsidRPr="00DA20F5" w:rsidRDefault="004E6B58" w:rsidP="00D36FB8">
      <w:pPr>
        <w:pStyle w:val="zdroj"/>
      </w:pPr>
      <w:r w:rsidRPr="00DA20F5">
        <w:t xml:space="preserve">Zdroj: APV ISOP </w:t>
      </w:r>
    </w:p>
    <w:p w:rsidR="004E6B58" w:rsidRPr="00DA20F5" w:rsidRDefault="004E6B58" w:rsidP="00D36FB8">
      <w:r w:rsidRPr="00DA20F5">
        <w:lastRenderedPageBreak/>
        <w:t>Najvyšší podiel osôb v hmotnej núdzi z celkového počtu obyvateľov v systéme pomoci v hmotnej núdzi za sledované obdobie (ku koncu roka) bol v Košickom kraji (11,83 %), v Prešovskom kraji (10,90 %) a v Banskobystrickom kraji (10,77 %). Najnižší podiel vykazoval Bratislavský kraj, a to 1,06 %.</w:t>
      </w:r>
    </w:p>
    <w:p w:rsidR="004E6B58" w:rsidRPr="00DA20F5" w:rsidRDefault="004E6B58" w:rsidP="00D36FB8">
      <w:pPr>
        <w:pStyle w:val="Nadpis7"/>
        <w:rPr>
          <w:i/>
        </w:rPr>
      </w:pPr>
      <w:bookmarkStart w:id="1128" w:name="_Toc294027410"/>
      <w:bookmarkStart w:id="1129" w:name="_Toc294029649"/>
      <w:bookmarkStart w:id="1130" w:name="_Toc313879140"/>
      <w:bookmarkStart w:id="1131" w:name="_Toc325438202"/>
      <w:bookmarkStart w:id="1132" w:name="_Toc325440971"/>
      <w:bookmarkStart w:id="1133" w:name="_Toc325626784"/>
      <w:bookmarkStart w:id="1134" w:name="_Toc326217045"/>
      <w:r w:rsidRPr="00DA20F5">
        <w:t>Graf 3.8</w:t>
      </w:r>
      <w:r w:rsidR="00AC5AAB" w:rsidRPr="00DA20F5">
        <w:t xml:space="preserve"> </w:t>
      </w:r>
      <w:r w:rsidRPr="00DA20F5">
        <w:t xml:space="preserve">Percentuálne zastúpenie jednotlivých skupín poberateľov dávky a príspevkov </w:t>
      </w:r>
      <w:r w:rsidRPr="00DA20F5">
        <w:br/>
        <w:t>v roku 2011</w:t>
      </w:r>
      <w:bookmarkEnd w:id="1128"/>
      <w:bookmarkEnd w:id="1129"/>
      <w:bookmarkEnd w:id="1130"/>
      <w:bookmarkEnd w:id="1131"/>
      <w:bookmarkEnd w:id="1132"/>
      <w:bookmarkEnd w:id="1133"/>
      <w:bookmarkEnd w:id="1134"/>
    </w:p>
    <w:p w:rsidR="004E6B58" w:rsidRPr="00DA20F5" w:rsidRDefault="004E6B58" w:rsidP="00D36FB8">
      <w:pPr>
        <w:jc w:val="center"/>
        <w:rPr>
          <w:color w:val="548DD4" w:themeColor="text2" w:themeTint="99"/>
        </w:rPr>
      </w:pPr>
      <w:r w:rsidRPr="00DA20F5">
        <w:rPr>
          <w:noProof/>
          <w:color w:val="548DD4" w:themeColor="text2" w:themeTint="99"/>
        </w:rPr>
        <w:drawing>
          <wp:inline distT="0" distB="0" distL="0" distR="0" wp14:anchorId="25369267" wp14:editId="399B47CB">
            <wp:extent cx="5072332" cy="2208362"/>
            <wp:effectExtent l="0" t="0" r="0" b="0"/>
            <wp:docPr id="19" name="Picture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E6B58" w:rsidRPr="00DA20F5" w:rsidRDefault="004E6B58" w:rsidP="00D36FB8">
      <w:pPr>
        <w:pStyle w:val="zdroj"/>
      </w:pPr>
      <w:r w:rsidRPr="00DA20F5">
        <w:t>Zdroj: APV ISOP</w:t>
      </w:r>
    </w:p>
    <w:p w:rsidR="004E6B58" w:rsidRPr="00DA20F5" w:rsidRDefault="004E6B58" w:rsidP="00D36FB8">
      <w:r w:rsidRPr="00DA20F5">
        <w:t xml:space="preserve">V porovnaní s rokom 2010 bol v roku 2011 zaznamenaný </w:t>
      </w:r>
      <w:r w:rsidRPr="00DA20F5">
        <w:rPr>
          <w:b/>
        </w:rPr>
        <w:t>pokles</w:t>
      </w:r>
      <w:r w:rsidRPr="00DA20F5">
        <w:t xml:space="preserve"> v štruktúrovaných skupinách nasledovne: u jednotlivcov</w:t>
      </w:r>
      <w:r w:rsidR="00AC5AAB" w:rsidRPr="00DA20F5">
        <w:t xml:space="preserve"> </w:t>
      </w:r>
      <w:r w:rsidRPr="00DA20F5">
        <w:t>o 0,94 %,</w:t>
      </w:r>
      <w:r w:rsidR="00AC5AAB" w:rsidRPr="00DA20F5">
        <w:t xml:space="preserve"> </w:t>
      </w:r>
      <w:r w:rsidR="00522BAE" w:rsidRPr="00DA20F5">
        <w:t xml:space="preserve">u </w:t>
      </w:r>
      <w:r w:rsidRPr="00DA20F5">
        <w:t>jednotlivcov s viac ako 4 deťmi o 6,82 %, </w:t>
      </w:r>
      <w:r w:rsidR="00522BAE" w:rsidRPr="00DA20F5">
        <w:t xml:space="preserve">u </w:t>
      </w:r>
      <w:r w:rsidRPr="00DA20F5">
        <w:t xml:space="preserve">dvojíc o 3,80 %, </w:t>
      </w:r>
      <w:r w:rsidR="00B45797" w:rsidRPr="00DA20F5">
        <w:t>u </w:t>
      </w:r>
      <w:r w:rsidRPr="00DA20F5">
        <w:t xml:space="preserve">dvojíc s 1 – 4 deťmi o 3,40 %. </w:t>
      </w:r>
      <w:r w:rsidRPr="00DA20F5">
        <w:rPr>
          <w:b/>
        </w:rPr>
        <w:t>Nárast</w:t>
      </w:r>
      <w:r w:rsidRPr="00DA20F5">
        <w:t xml:space="preserve"> bol zaznamenaný u</w:t>
      </w:r>
      <w:r w:rsidR="00AC5AAB" w:rsidRPr="00DA20F5">
        <w:t xml:space="preserve"> </w:t>
      </w:r>
      <w:r w:rsidRPr="00DA20F5">
        <w:t>jednotlivcov s 1 – 4 deťmi o 0,52 % a u dvojíc s viac ako 4 deťmi o 2,07 %.</w:t>
      </w:r>
    </w:p>
    <w:p w:rsidR="004E6B58" w:rsidRPr="00DA20F5" w:rsidRDefault="004E6B58" w:rsidP="00D36FB8">
      <w:pPr>
        <w:pStyle w:val="Normlnysozarkami12"/>
      </w:pPr>
      <w:r w:rsidRPr="00DA20F5">
        <w:t>Z celkového počtu osôb evidovaných v systéme pomoci v hmotnej núdzi bolo 50,</w:t>
      </w:r>
      <w:r w:rsidR="00AC17A2" w:rsidRPr="00DA20F5">
        <w:t>40</w:t>
      </w:r>
      <w:r w:rsidRPr="00DA20F5">
        <w:t xml:space="preserve"> % mužov a 49,60 % žien. V porovnaní s rokom 2010 došlo k zmene pomeru žien a mužov, v prípade žien išlo o pokles o </w:t>
      </w:r>
      <w:r w:rsidR="00726076" w:rsidRPr="00DA20F5">
        <w:t>1</w:t>
      </w:r>
      <w:r w:rsidRPr="00DA20F5">
        <w:t>,</w:t>
      </w:r>
      <w:r w:rsidR="00726076" w:rsidRPr="00DA20F5">
        <w:t>4</w:t>
      </w:r>
      <w:r w:rsidRPr="00DA20F5">
        <w:t xml:space="preserve"> p.</w:t>
      </w:r>
      <w:r w:rsidR="00DA20F5" w:rsidRPr="00DA20F5">
        <w:t xml:space="preserve"> </w:t>
      </w:r>
      <w:r w:rsidRPr="00DA20F5">
        <w:t>b</w:t>
      </w:r>
      <w:r w:rsidR="00DA20F5" w:rsidRPr="00DA20F5">
        <w:t>.</w:t>
      </w:r>
      <w:r w:rsidR="00AC5AAB" w:rsidRPr="00DA20F5">
        <w:t xml:space="preserve"> </w:t>
      </w:r>
      <w:r w:rsidRPr="00DA20F5">
        <w:t>a u mužov o nárast o </w:t>
      </w:r>
      <w:r w:rsidR="00726076" w:rsidRPr="00DA20F5">
        <w:t>1</w:t>
      </w:r>
      <w:r w:rsidRPr="00DA20F5">
        <w:t>,</w:t>
      </w:r>
      <w:r w:rsidR="00726076" w:rsidRPr="00DA20F5">
        <w:t>4</w:t>
      </w:r>
      <w:r w:rsidRPr="00DA20F5">
        <w:t xml:space="preserve"> p.</w:t>
      </w:r>
      <w:r w:rsidR="007B624E" w:rsidRPr="00DA20F5">
        <w:t xml:space="preserve"> </w:t>
      </w:r>
      <w:r w:rsidRPr="00DA20F5">
        <w:t>b. Nasledujúci graf znázorňuje počet týchto osôb podľa pohlavia v danej vekovej skupine. Výrazný podiel je vo vekovej skupine 60 a viac, kde je výraznejší podiel žien ako mužov. Tento stav pretrváva od r. 2006.</w:t>
      </w:r>
    </w:p>
    <w:p w:rsidR="004E6B58" w:rsidRPr="00DA20F5" w:rsidRDefault="004E6B58" w:rsidP="00D36FB8">
      <w:pPr>
        <w:pStyle w:val="Nadpis7"/>
      </w:pPr>
      <w:bookmarkStart w:id="1135" w:name="_Toc294027411"/>
      <w:bookmarkStart w:id="1136" w:name="_Toc294029650"/>
      <w:bookmarkStart w:id="1137" w:name="_Toc313879141"/>
      <w:bookmarkStart w:id="1138" w:name="_Toc325438203"/>
      <w:bookmarkStart w:id="1139" w:name="_Toc325440972"/>
      <w:bookmarkStart w:id="1140" w:name="_Toc325626785"/>
      <w:bookmarkStart w:id="1141" w:name="_Toc326217046"/>
      <w:r w:rsidRPr="00DA20F5">
        <w:t>Graf 3.9</w:t>
      </w:r>
      <w:r w:rsidR="00AC5AAB" w:rsidRPr="00DA20F5">
        <w:t xml:space="preserve"> </w:t>
      </w:r>
      <w:r w:rsidRPr="00DA20F5">
        <w:t>Poberatelia dávky v hmotnej núdzi a príspevkov k dávke so spoločne posudzovanými osobami podľa veku a pohlavia v roku 2011</w:t>
      </w:r>
      <w:bookmarkEnd w:id="1135"/>
      <w:bookmarkEnd w:id="1136"/>
      <w:bookmarkEnd w:id="1137"/>
      <w:bookmarkEnd w:id="1138"/>
      <w:bookmarkEnd w:id="1139"/>
      <w:bookmarkEnd w:id="1140"/>
      <w:bookmarkEnd w:id="1141"/>
    </w:p>
    <w:p w:rsidR="004E6B58" w:rsidRPr="00DA20F5" w:rsidRDefault="004E6B58" w:rsidP="00D36FB8">
      <w:pPr>
        <w:rPr>
          <w:color w:val="548DD4" w:themeColor="text2" w:themeTint="99"/>
        </w:rPr>
      </w:pPr>
    </w:p>
    <w:p w:rsidR="004E6B58" w:rsidRPr="00DA20F5" w:rsidRDefault="004E6B58" w:rsidP="00D36FB8">
      <w:pPr>
        <w:jc w:val="center"/>
        <w:rPr>
          <w:color w:val="548DD4" w:themeColor="text2" w:themeTint="99"/>
        </w:rPr>
      </w:pPr>
      <w:r w:rsidRPr="00DA20F5">
        <w:rPr>
          <w:noProof/>
          <w:color w:val="548DD4" w:themeColor="text2" w:themeTint="99"/>
        </w:rPr>
        <w:drawing>
          <wp:inline distT="0" distB="0" distL="0" distR="0" wp14:anchorId="151E1070" wp14:editId="3D695C6C">
            <wp:extent cx="4917056" cy="2104845"/>
            <wp:effectExtent l="0" t="0" r="0" b="0"/>
            <wp:docPr id="20"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E6B58" w:rsidRPr="00DA20F5" w:rsidRDefault="00AC17A2" w:rsidP="00D36FB8">
      <w:pPr>
        <w:pStyle w:val="zdroj"/>
      </w:pPr>
      <w:r w:rsidRPr="00DA20F5">
        <w:t>Zdroj: APV ISOP</w:t>
      </w:r>
    </w:p>
    <w:p w:rsidR="004E6B58" w:rsidRPr="00DA20F5" w:rsidRDefault="004E6B58" w:rsidP="00D36FB8">
      <w:pPr>
        <w:ind w:firstLine="709"/>
        <w:rPr>
          <w:b/>
        </w:rPr>
      </w:pPr>
      <w:r w:rsidRPr="00DA20F5">
        <w:rPr>
          <w:b/>
        </w:rPr>
        <w:t xml:space="preserve">Príspevky k dávke v hmotnej núdzi. </w:t>
      </w:r>
      <w:r w:rsidRPr="00DA20F5">
        <w:t>Občanom v hmotnej núdzi, ktorí splnili podmienky nároku na pomoc v hmotnej núdzi sa poskytuje dávka v hmotnej núdzi a príspevky k dávke v hmotnej núdzi. Dávka je štruktúrovaná podľa počtu spoločne posudzovaných osôb a v prípade príspevkov podľa ich špecifického účelu.</w:t>
      </w:r>
    </w:p>
    <w:p w:rsidR="004E6B58" w:rsidRPr="00DA20F5" w:rsidRDefault="004E6B58" w:rsidP="00D36FB8">
      <w:pPr>
        <w:ind w:firstLine="709"/>
      </w:pPr>
      <w:r w:rsidRPr="00DA20F5">
        <w:rPr>
          <w:u w:val="single"/>
        </w:rPr>
        <w:lastRenderedPageBreak/>
        <w:t>Príspevok na zdravotnú starostlivosť</w:t>
      </w:r>
      <w:r w:rsidRPr="00DA20F5">
        <w:t xml:space="preserve">. Podmienkou nároku na príspevok na zdravotnú starostlivosť je splnenie podmienok nároku na dávku. Príspevok na zdravotnú starostlivosť patrí občanovi a fyzickým osobám, ktoré sa s občanom v hmotnej núdzi spoločne posudzujú a na výdavky spojené s </w:t>
      </w:r>
      <w:r w:rsidR="00262D3E" w:rsidRPr="00DA20F5">
        <w:t>ú</w:t>
      </w:r>
      <w:r w:rsidRPr="00DA20F5">
        <w:t xml:space="preserve">hradou za služby súvisiace s poskytovaním zdravotnej starostlivosti. V roku 2011 bol priemerný mesačný počet </w:t>
      </w:r>
      <w:r w:rsidR="00522BAE" w:rsidRPr="00DA20F5">
        <w:t xml:space="preserve">363 237 </w:t>
      </w:r>
      <w:r w:rsidRPr="00DA20F5">
        <w:t xml:space="preserve">poberateľov príspevku na zdravotnú starostlivosť. V porovnaní s rokom 2010 bol zaznamenaný </w:t>
      </w:r>
      <w:r w:rsidRPr="00DA20F5">
        <w:rPr>
          <w:b/>
        </w:rPr>
        <w:t>pokles</w:t>
      </w:r>
      <w:r w:rsidRPr="00DA20F5">
        <w:t xml:space="preserve"> v priemernom mesačnom počte o 3 726 (pokles o 1,02 %).</w:t>
      </w:r>
    </w:p>
    <w:p w:rsidR="00EB353B" w:rsidRPr="00DA20F5" w:rsidRDefault="00EB353B" w:rsidP="006B7CF8">
      <w:pPr>
        <w:pStyle w:val="Obyajntext"/>
        <w:rPr>
          <w:u w:val="single"/>
        </w:rPr>
      </w:pPr>
    </w:p>
    <w:p w:rsidR="004E6B58" w:rsidRPr="00DA20F5" w:rsidRDefault="006B7CF8" w:rsidP="00D36FB8">
      <w:pPr>
        <w:ind w:firstLine="709"/>
      </w:pPr>
      <w:r w:rsidRPr="00DA20F5">
        <w:rPr>
          <w:u w:val="single"/>
        </w:rPr>
        <w:t>Aktivačný príspevok</w:t>
      </w:r>
      <w:r w:rsidRPr="00DA20F5">
        <w:t xml:space="preserve"> patrí občanovi v hmotnej núdzi, ktorý je zamestnaný alebo je vedený </w:t>
      </w:r>
      <w:r w:rsidR="00B45797" w:rsidRPr="00DA20F5">
        <w:t>v </w:t>
      </w:r>
      <w:r w:rsidRPr="00DA20F5">
        <w:t>evidencii uchádzačov o zamestnanie a zvyšuje si kvalifikáciu, zúčastňuje sa na vzdelávaní a prípravy pre trh práce alebo vykonáva menšie obecné služby</w:t>
      </w:r>
      <w:r w:rsidR="00EB353B" w:rsidRPr="00DA20F5">
        <w:t>. N</w:t>
      </w:r>
      <w:r w:rsidR="004E6B58" w:rsidRPr="00DA20F5">
        <w:t xml:space="preserve">a aktivačný príspevok má nárok i dlhodobo evidovaný občan, ktorý sa zamestná alebo začne vykonávať samostatne zárobkovú činnosť. Tento občan má nárok na aktivačný príspevok šesť mesiacov. Podmienkou </w:t>
      </w:r>
      <w:r w:rsidR="00B45797" w:rsidRPr="00DA20F5">
        <w:t>pre poskytnutie je aj príjem zo </w:t>
      </w:r>
      <w:r w:rsidR="004E6B58" w:rsidRPr="00DA20F5">
        <w:t>závislej činnosti najmenej na úrovni minimálnej mzdy a najviac na úrovni trojnásobku minimálnej mzdy. V roku 2011 bol priemerný mesačný počet poberateľov aktivačného príspevku 60 937.</w:t>
      </w:r>
      <w:r w:rsidR="00B45797" w:rsidRPr="00DA20F5">
        <w:t xml:space="preserve"> V </w:t>
      </w:r>
      <w:r w:rsidR="004E6B58" w:rsidRPr="00DA20F5">
        <w:t>porovnaní s rokom 2010 bol zaznamenaný nárast v priemernom</w:t>
      </w:r>
      <w:r w:rsidR="00B45797" w:rsidRPr="00DA20F5">
        <w:t xml:space="preserve"> mesačnom počte poberateľov o 2 </w:t>
      </w:r>
      <w:r w:rsidR="004E6B58" w:rsidRPr="00DA20F5">
        <w:t>939 ( nárast o 5,06 %).</w:t>
      </w:r>
    </w:p>
    <w:p w:rsidR="004E6B58" w:rsidRPr="00DA20F5" w:rsidRDefault="004E6B58" w:rsidP="00D36FB8">
      <w:pPr>
        <w:pStyle w:val="Nadpis7"/>
      </w:pPr>
      <w:bookmarkStart w:id="1142" w:name="_Toc294027412"/>
      <w:bookmarkStart w:id="1143" w:name="_Toc294029651"/>
      <w:bookmarkStart w:id="1144" w:name="_Toc313879142"/>
      <w:bookmarkStart w:id="1145" w:name="_Toc325438204"/>
      <w:bookmarkStart w:id="1146" w:name="_Toc325440973"/>
      <w:bookmarkStart w:id="1147" w:name="_Toc325626786"/>
      <w:bookmarkStart w:id="1148" w:name="_Toc326217047"/>
      <w:r w:rsidRPr="00DA20F5">
        <w:t>Graf 3.10</w:t>
      </w:r>
      <w:r w:rsidR="00AC5AAB" w:rsidRPr="00DA20F5">
        <w:t xml:space="preserve"> </w:t>
      </w:r>
      <w:r w:rsidRPr="00DA20F5">
        <w:t>Vývoj počtu poberateľov dávky v hmotnej núdzi a príspevkov k dávke s nárokom na aktivačný príspevok v roku 2011</w:t>
      </w:r>
      <w:bookmarkEnd w:id="1142"/>
      <w:bookmarkEnd w:id="1143"/>
      <w:bookmarkEnd w:id="1144"/>
      <w:bookmarkEnd w:id="1145"/>
      <w:bookmarkEnd w:id="1146"/>
      <w:bookmarkEnd w:id="1147"/>
      <w:bookmarkEnd w:id="1148"/>
    </w:p>
    <w:p w:rsidR="004E6B58" w:rsidRPr="00DA20F5" w:rsidRDefault="004E6B58" w:rsidP="00D36FB8">
      <w:pPr>
        <w:jc w:val="center"/>
        <w:rPr>
          <w:noProof/>
          <w:color w:val="548DD4" w:themeColor="text2" w:themeTint="99"/>
        </w:rPr>
      </w:pPr>
      <w:r w:rsidRPr="00DA20F5">
        <w:rPr>
          <w:noProof/>
          <w:color w:val="548DD4" w:themeColor="text2" w:themeTint="99"/>
        </w:rPr>
        <w:drawing>
          <wp:inline distT="0" distB="0" distL="0" distR="0" wp14:anchorId="0E0B7CDF" wp14:editId="69C21E1F">
            <wp:extent cx="5292772" cy="1869743"/>
            <wp:effectExtent l="0" t="0" r="0" b="0"/>
            <wp:docPr id="21"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E6B58" w:rsidRPr="00DA20F5" w:rsidRDefault="004E6B58" w:rsidP="00D36FB8">
      <w:pPr>
        <w:pStyle w:val="zdroj"/>
        <w:rPr>
          <w:u w:val="single"/>
        </w:rPr>
      </w:pPr>
      <w:r w:rsidRPr="00DA20F5">
        <w:t>Zdroj: APV ISOP</w:t>
      </w:r>
    </w:p>
    <w:p w:rsidR="004E6B58" w:rsidRPr="00DA20F5" w:rsidRDefault="004E6B58" w:rsidP="00D36FB8">
      <w:pPr>
        <w:ind w:firstLine="567"/>
      </w:pPr>
      <w:r w:rsidRPr="00DA20F5">
        <w:rPr>
          <w:u w:val="single"/>
        </w:rPr>
        <w:t>Príspevok na bývanie</w:t>
      </w:r>
      <w:r w:rsidRPr="00DA20F5">
        <w:t>. Občan v hmotnej núdzi a fyzické osoby, ktoré sa s občanom v hmotnej núdzi spoločne posudzujú, majú nárok na príspevok na bývanie, ak občan v hmotnej núdzi alebo niektorá z fyzických osôb, ktorá sa s občanom v hmotnej núdzi spoločne posudzuje je vlastníkom bytu, vlastníkom rodinného domu, nájomcom bytu alebo nájomcom rodinného domu alebo nájomcom obytnej miestnosti v zariadení určenom na trvalé bývanie a uhrádza náklady spojené s bývaním a</w:t>
      </w:r>
      <w:r w:rsidR="009437D0" w:rsidRPr="00DA20F5">
        <w:t xml:space="preserve"> tiež </w:t>
      </w:r>
      <w:r w:rsidRPr="00DA20F5">
        <w:t>predloží doklad o zaplatení týchto nákladov za predchádzajúcich šesť po sebe nasledujúcich kalendárnych mesiacov alebo preukáže uznanie dlhu a dohodu o splátkach v prípade, že má nedoplatky</w:t>
      </w:r>
      <w:r w:rsidR="009437D0" w:rsidRPr="00DA20F5">
        <w:t>,</w:t>
      </w:r>
      <w:r w:rsidRPr="00DA20F5">
        <w:t xml:space="preserve"> spojené s úhradou nákladov spojených s bývaním. Ak je v hmotnej núdzi</w:t>
      </w:r>
      <w:r w:rsidR="009437D0" w:rsidRPr="00DA20F5">
        <w:t xml:space="preserve"> občan </w:t>
      </w:r>
      <w:r w:rsidRPr="00DA20F5">
        <w:t>alebo niektorá z osôb, ktorá sa s občanom spoločne posudzuje poberateľom starobného dôchodku, nemusí spĺňať vyššie uvedené podmienky</w:t>
      </w:r>
      <w:r w:rsidR="009437D0" w:rsidRPr="00DA20F5">
        <w:t>. To</w:t>
      </w:r>
      <w:r w:rsidRPr="00DA20F5">
        <w:t xml:space="preserve"> platí aj </w:t>
      </w:r>
      <w:r w:rsidR="009437D0" w:rsidRPr="00DA20F5">
        <w:t>v prípade</w:t>
      </w:r>
      <w:r w:rsidRPr="00DA20F5">
        <w:t xml:space="preserve">, ak ide o poberateľa inej dôchodkovej dávky alebo sociálneho dôchodku, ktorý dovŕšil 62 rokov veku. V roku 2011 bol priemerný mesačný počet </w:t>
      </w:r>
      <w:r w:rsidR="009437D0" w:rsidRPr="00DA20F5">
        <w:t xml:space="preserve">94 043 </w:t>
      </w:r>
      <w:r w:rsidRPr="00DA20F5">
        <w:t>poberateľov príspevku na bývanie. V porovnaní s rokom 2010 bol zaznamenaný pokles v priemernom mesačnom počte poberateľov o 2 503 ( pokles o 2,60 %).</w:t>
      </w:r>
    </w:p>
    <w:p w:rsidR="004E6B58" w:rsidRPr="00DA20F5" w:rsidRDefault="004E6B58" w:rsidP="00D36FB8">
      <w:pPr>
        <w:ind w:firstLine="567"/>
      </w:pPr>
      <w:r w:rsidRPr="00DA20F5">
        <w:rPr>
          <w:u w:val="single"/>
        </w:rPr>
        <w:t>Ochranný príspevok</w:t>
      </w:r>
      <w:r w:rsidRPr="00DA20F5">
        <w:t xml:space="preserve"> možno poskytnúť tým občanom v hmotnej núdzi, ktorí si nemajú možnosť zabezpečiť príjem alebo zvýšiť si príjem vlastnou prácou a splni</w:t>
      </w:r>
      <w:r w:rsidR="00B45797" w:rsidRPr="00DA20F5">
        <w:t>li podmienky na vznik nároku na </w:t>
      </w:r>
      <w:r w:rsidRPr="00DA20F5">
        <w:t>dávku. Ochranný príspevok sa tejto skupine občanov poskytuje na základe taxatívne vymedzených podmienok v zákone o pomoci v hmotnej núdzi (napr. vek</w:t>
      </w:r>
      <w:r w:rsidR="00AC5AAB" w:rsidRPr="00DA20F5">
        <w:t xml:space="preserve"> </w:t>
      </w:r>
      <w:r w:rsidRPr="00DA20F5">
        <w:t>potrebný na starobný dôchodok, invalidita z titulu poklesu schopnosti vykonávať zárobkovú činnosť o viac ako 70 %, choroba atď.) . Ochranný príspevok je 63,07 € mesačne. Ak ide o občana v hmotnej núdzi s nepriaznivým zdravotným stavom trvajúcim nepretržite viac ako 30 dní, výška ochranného príspevku je 34,69 € mesačne.</w:t>
      </w:r>
      <w:r w:rsidR="00AC5AAB" w:rsidRPr="00DA20F5">
        <w:t xml:space="preserve"> </w:t>
      </w:r>
      <w:r w:rsidRPr="00DA20F5">
        <w:t xml:space="preserve">Ochranný príspevok nepatrí občanovi v hmotnej núdzi alebo fyzickým osobám, ktoré sa s ním spoločne posudzujú, ak im patrí aktivačný príspevok. V roku 2011 bol priemerný mesačný počet poberateľov </w:t>
      </w:r>
      <w:r w:rsidRPr="00DA20F5">
        <w:lastRenderedPageBreak/>
        <w:t>ochranného príspevku 60 000. V porovnaní s rokom 2010 bol zaznamenaný pokles v priemernom mesačnom počte poberateľov o 7 845 ( pokles o 11,57 %). Tento pokles bol zapríčinený valorizáciou dôchodkových dávok a následným odchodom dôchodcov zo systému hmotnej núdze a najmä novelou zákona o hmotnej núdzi s účinnosťou od 1.1.2011.</w:t>
      </w:r>
    </w:p>
    <w:p w:rsidR="004E6B58" w:rsidRPr="00DA20F5" w:rsidRDefault="004E6B58" w:rsidP="00D36FB8">
      <w:pPr>
        <w:pStyle w:val="Nadpis7"/>
      </w:pPr>
      <w:bookmarkStart w:id="1149" w:name="_Toc294027413"/>
      <w:bookmarkStart w:id="1150" w:name="_Toc294029652"/>
      <w:bookmarkStart w:id="1151" w:name="_Toc313879143"/>
      <w:bookmarkStart w:id="1152" w:name="_Toc325438205"/>
      <w:bookmarkStart w:id="1153" w:name="_Toc325440974"/>
      <w:bookmarkStart w:id="1154" w:name="_Toc325626787"/>
      <w:bookmarkStart w:id="1155" w:name="_Toc326217048"/>
      <w:r w:rsidRPr="00DA20F5">
        <w:t>Graf 3.11</w:t>
      </w:r>
      <w:r w:rsidR="00AC5AAB" w:rsidRPr="00DA20F5">
        <w:t xml:space="preserve"> </w:t>
      </w:r>
      <w:r w:rsidRPr="00DA20F5">
        <w:t xml:space="preserve">Vývoj počtu poberateľov dávky v hmotnej núdzi a príspevkov k dávke </w:t>
      </w:r>
      <w:r w:rsidRPr="00DA20F5">
        <w:br/>
        <w:t>s nárokom na ochranný príspevok v roku 2011</w:t>
      </w:r>
      <w:bookmarkEnd w:id="1149"/>
      <w:bookmarkEnd w:id="1150"/>
      <w:bookmarkEnd w:id="1151"/>
      <w:bookmarkEnd w:id="1152"/>
      <w:bookmarkEnd w:id="1153"/>
      <w:bookmarkEnd w:id="1154"/>
      <w:bookmarkEnd w:id="1155"/>
    </w:p>
    <w:p w:rsidR="004E6B58" w:rsidRPr="00DA20F5" w:rsidRDefault="004E6B58" w:rsidP="00D36FB8">
      <w:pPr>
        <w:jc w:val="center"/>
        <w:rPr>
          <w:color w:val="548DD4" w:themeColor="text2" w:themeTint="99"/>
        </w:rPr>
      </w:pPr>
      <w:r w:rsidRPr="00DA20F5">
        <w:rPr>
          <w:noProof/>
          <w:color w:val="548DD4" w:themeColor="text2" w:themeTint="99"/>
        </w:rPr>
        <w:drawing>
          <wp:inline distT="0" distB="0" distL="0" distR="0" wp14:anchorId="570A846B" wp14:editId="4986F20F">
            <wp:extent cx="4933666" cy="1835623"/>
            <wp:effectExtent l="0" t="0" r="0" b="0"/>
            <wp:docPr id="22"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E6B58" w:rsidRPr="00DA20F5" w:rsidRDefault="004E6B58" w:rsidP="00D36FB8">
      <w:pPr>
        <w:pStyle w:val="zdroj"/>
      </w:pPr>
      <w:r w:rsidRPr="00DA20F5">
        <w:t>Zdroj: APV ISOP</w:t>
      </w:r>
    </w:p>
    <w:p w:rsidR="004E6B58" w:rsidRPr="00DA20F5" w:rsidRDefault="004E6B58" w:rsidP="000B4550">
      <w:pPr>
        <w:pStyle w:val="Nadpis6"/>
      </w:pPr>
      <w:bookmarkStart w:id="1156" w:name="_Toc326217049"/>
      <w:r w:rsidRPr="00DA20F5">
        <w:t>Dotácie pre dieťa v hmotnej núdzi</w:t>
      </w:r>
      <w:bookmarkEnd w:id="1156"/>
    </w:p>
    <w:p w:rsidR="004E6B58" w:rsidRPr="00DA20F5" w:rsidRDefault="004E6B58" w:rsidP="00D36FB8">
      <w:pPr>
        <w:ind w:firstLine="567"/>
      </w:pPr>
      <w:r w:rsidRPr="00DA20F5">
        <w:t>Podporným opatrením k zvýšeniu motivácie detí z rizikového prostredia k plneniu povinnej školskej dochádzky je dotačný program MPSVR SR. Cez dotačný program MPSVR SR poskytuje dotáciu na podporu výchovy k stravovacím návykom a dotáciu na podporu výchovy k plne</w:t>
      </w:r>
      <w:r w:rsidR="00E11041" w:rsidRPr="00DA20F5">
        <w:t>niu školských povinností dieťaťa,</w:t>
      </w:r>
      <w:r w:rsidR="00AC5AAB" w:rsidRPr="00DA20F5">
        <w:t xml:space="preserve"> </w:t>
      </w:r>
      <w:r w:rsidRPr="00DA20F5">
        <w:t>ohrozené</w:t>
      </w:r>
      <w:r w:rsidR="00E11041" w:rsidRPr="00DA20F5">
        <w:t>ho</w:t>
      </w:r>
      <w:r w:rsidR="00AC5AAB" w:rsidRPr="00DA20F5">
        <w:t xml:space="preserve"> </w:t>
      </w:r>
      <w:r w:rsidR="00E11041" w:rsidRPr="00DA20F5">
        <w:t>sociálnym</w:t>
      </w:r>
      <w:r w:rsidRPr="00DA20F5">
        <w:t xml:space="preserve"> vylúčením. </w:t>
      </w:r>
    </w:p>
    <w:p w:rsidR="004E6B58" w:rsidRPr="00DA20F5" w:rsidRDefault="004E6B58" w:rsidP="00D36FB8">
      <w:pPr>
        <w:ind w:firstLine="708"/>
      </w:pPr>
      <w:r w:rsidRPr="00DA20F5">
        <w:t xml:space="preserve">Dotácie na stravu a dotácie na školské potreby sa do roku 2011 poskytovali na základe výnosu </w:t>
      </w:r>
      <w:r w:rsidR="006C28A4" w:rsidRPr="00DA20F5">
        <w:t xml:space="preserve">MPSVR SR </w:t>
      </w:r>
      <w:r w:rsidRPr="00DA20F5">
        <w:t xml:space="preserve">č. 29775/2007-II/1 z 5. decembra 2007 o poskytovaní dotácií v pôsobnosti </w:t>
      </w:r>
      <w:r w:rsidR="006C28A4" w:rsidRPr="00DA20F5">
        <w:t>MPSVR SR</w:t>
      </w:r>
      <w:r w:rsidR="0028665F" w:rsidRPr="00DA20F5">
        <w:t xml:space="preserve"> v </w:t>
      </w:r>
      <w:r w:rsidRPr="00DA20F5">
        <w:t xml:space="preserve">znení výnosu </w:t>
      </w:r>
      <w:r w:rsidR="006C28A4" w:rsidRPr="00DA20F5">
        <w:t xml:space="preserve">MPSVR SR </w:t>
      </w:r>
      <w:r w:rsidRPr="00DA20F5">
        <w:t>z 26. novembra 2008 č. 23609/2008-II/1.</w:t>
      </w:r>
    </w:p>
    <w:p w:rsidR="004E6B58" w:rsidRPr="00DA20F5" w:rsidRDefault="004E6B58" w:rsidP="00D36FB8">
      <w:pPr>
        <w:ind w:firstLine="708"/>
      </w:pPr>
      <w:r w:rsidRPr="00DA20F5">
        <w:t>Od 1. januára 2011 poskytovanie dotácie na podporu výchovy k stravovacím návykom, ako aj dotácie na podporu výchovy k plneniu školských povinností dieťaťa ohrozeného sociálny</w:t>
      </w:r>
      <w:r w:rsidR="00C8727C" w:rsidRPr="00DA20F5">
        <w:t>m</w:t>
      </w:r>
      <w:r w:rsidRPr="00DA20F5">
        <w:t xml:space="preserve"> vylúčením je právne upravené zákonom č. 544/2010 Z. z. o dotáciách v pôsobnosti </w:t>
      </w:r>
      <w:r w:rsidR="00C8727C" w:rsidRPr="00DA20F5">
        <w:t>MPSVR SR.</w:t>
      </w:r>
    </w:p>
    <w:p w:rsidR="00081F9E" w:rsidRPr="00DA20F5" w:rsidRDefault="004E6B58" w:rsidP="00D36FB8">
      <w:pPr>
        <w:ind w:firstLine="708"/>
      </w:pPr>
      <w:r w:rsidRPr="00DA20F5">
        <w:t>V roku 2011 boli vyplatené finančné prostriedky na dotáciu na podporu výchovy k stravovacím návykom v sume 12 280 109 €</w:t>
      </w:r>
      <w:r w:rsidR="00C8727C" w:rsidRPr="00DA20F5">
        <w:t>.</w:t>
      </w:r>
      <w:r w:rsidR="00AC5AAB" w:rsidRPr="00DA20F5">
        <w:t xml:space="preserve"> </w:t>
      </w:r>
      <w:r w:rsidR="00C8727C" w:rsidRPr="00DA20F5">
        <w:t>P</w:t>
      </w:r>
      <w:r w:rsidRPr="00DA20F5">
        <w:t>riemerný mesačný počet detí, ktorým bola dotácia poskytnutá je 74 343 (nárast o 9 086 detí)</w:t>
      </w:r>
      <w:r w:rsidR="00C8727C" w:rsidRPr="00DA20F5">
        <w:t>. D</w:t>
      </w:r>
      <w:r w:rsidRPr="00DA20F5">
        <w:t>otácie na podporu výchovy k plneniu školských povinností dieťaťa ohrozeného sociálny</w:t>
      </w:r>
      <w:r w:rsidR="00C8727C" w:rsidRPr="00DA20F5">
        <w:t>m</w:t>
      </w:r>
      <w:r w:rsidRPr="00DA20F5">
        <w:t xml:space="preserve"> vylúčením </w:t>
      </w:r>
      <w:r w:rsidR="00C8727C" w:rsidRPr="00DA20F5">
        <w:t>tvorili</w:t>
      </w:r>
      <w:r w:rsidR="00AC5AAB" w:rsidRPr="00DA20F5">
        <w:t xml:space="preserve"> </w:t>
      </w:r>
      <w:r w:rsidR="00C8727C" w:rsidRPr="00DA20F5">
        <w:t>sumu</w:t>
      </w:r>
      <w:r w:rsidRPr="00DA20F5">
        <w:t xml:space="preserve"> 2 750 016 €</w:t>
      </w:r>
      <w:r w:rsidR="005D575D" w:rsidRPr="00DA20F5">
        <w:t>.</w:t>
      </w:r>
      <w:r w:rsidR="00AC5AAB" w:rsidRPr="00DA20F5">
        <w:t xml:space="preserve"> </w:t>
      </w:r>
      <w:r w:rsidR="00081F9E" w:rsidRPr="00DA20F5">
        <w:t>V roku 2011</w:t>
      </w:r>
      <w:r w:rsidR="00AC5AAB" w:rsidRPr="00DA20F5">
        <w:t xml:space="preserve"> </w:t>
      </w:r>
      <w:r w:rsidR="00081F9E" w:rsidRPr="00DA20F5">
        <w:t>bola dotácia poskytnutá</w:t>
      </w:r>
      <w:r w:rsidR="00AC5AAB" w:rsidRPr="00DA20F5">
        <w:t xml:space="preserve"> </w:t>
      </w:r>
      <w:r w:rsidR="00081F9E" w:rsidRPr="00DA20F5">
        <w:t>84 096 deťom (nárast oproti roku 2010 o</w:t>
      </w:r>
      <w:r w:rsidR="00AC5AAB" w:rsidRPr="00DA20F5">
        <w:t xml:space="preserve"> </w:t>
      </w:r>
      <w:r w:rsidR="00081F9E" w:rsidRPr="00DA20F5">
        <w:t xml:space="preserve">1 874 detí). </w:t>
      </w:r>
    </w:p>
    <w:p w:rsidR="004E6B58" w:rsidRPr="00DA20F5" w:rsidRDefault="004E6B58" w:rsidP="00D36FB8">
      <w:pPr>
        <w:ind w:firstLine="708"/>
      </w:pPr>
      <w:r w:rsidRPr="00DA20F5">
        <w:t>Priemerná výška dotácie na stravu na jedno dieťa bola v roku 2011 cca 16,51 €, čo predstavuje nárast oproti roku 2010 o 0,70 €.</w:t>
      </w:r>
    </w:p>
    <w:p w:rsidR="004E6B58" w:rsidRPr="00DA20F5" w:rsidRDefault="004E6B58" w:rsidP="00D36FB8">
      <w:pPr>
        <w:pStyle w:val="Nadpis7"/>
      </w:pPr>
      <w:bookmarkStart w:id="1157" w:name="_Toc294027415"/>
      <w:bookmarkStart w:id="1158" w:name="_Toc294029654"/>
      <w:bookmarkStart w:id="1159" w:name="_Toc313879145"/>
      <w:bookmarkStart w:id="1160" w:name="_Toc325438207"/>
      <w:bookmarkStart w:id="1161" w:name="_Toc325440976"/>
      <w:bookmarkStart w:id="1162" w:name="_Toc325626789"/>
      <w:bookmarkStart w:id="1163" w:name="_Toc326217050"/>
      <w:r w:rsidRPr="00DA20F5">
        <w:t>Graf 3.12</w:t>
      </w:r>
      <w:r w:rsidR="00AC5AAB" w:rsidRPr="00DA20F5">
        <w:t xml:space="preserve"> </w:t>
      </w:r>
      <w:r w:rsidRPr="00DA20F5">
        <w:t xml:space="preserve">Regionálne rozdelenie detí, na ktoré sa poskytli dotačné programy na stravu </w:t>
      </w:r>
      <w:r w:rsidR="007A29A1" w:rsidRPr="00DA20F5">
        <w:br/>
      </w:r>
      <w:r w:rsidRPr="00DA20F5">
        <w:t>v roku 2011</w:t>
      </w:r>
      <w:bookmarkEnd w:id="1157"/>
      <w:bookmarkEnd w:id="1158"/>
      <w:bookmarkEnd w:id="1159"/>
      <w:bookmarkEnd w:id="1160"/>
      <w:bookmarkEnd w:id="1161"/>
      <w:bookmarkEnd w:id="1162"/>
      <w:bookmarkEnd w:id="1163"/>
    </w:p>
    <w:p w:rsidR="004E6B58" w:rsidRPr="00DA20F5" w:rsidRDefault="004E6B58" w:rsidP="00D36FB8">
      <w:pPr>
        <w:jc w:val="center"/>
        <w:rPr>
          <w:color w:val="548DD4" w:themeColor="text2" w:themeTint="99"/>
        </w:rPr>
      </w:pPr>
      <w:r w:rsidRPr="00DA20F5">
        <w:rPr>
          <w:noProof/>
          <w:color w:val="548DD4" w:themeColor="text2" w:themeTint="99"/>
        </w:rPr>
        <w:drawing>
          <wp:inline distT="0" distB="0" distL="0" distR="0" wp14:anchorId="59010695" wp14:editId="176679DE">
            <wp:extent cx="4330460" cy="1604513"/>
            <wp:effectExtent l="0" t="0" r="0" b="0"/>
            <wp:docPr id="23"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2729C" w:rsidRPr="00DA20F5" w:rsidRDefault="00AC17A2" w:rsidP="0028665F">
      <w:pPr>
        <w:pStyle w:val="zdroj"/>
        <w:rPr>
          <w:b/>
        </w:rPr>
      </w:pPr>
      <w:r w:rsidRPr="00DA20F5">
        <w:t>Zdroj: APV ISOP</w:t>
      </w:r>
      <w:bookmarkStart w:id="1164" w:name="_Toc294027416"/>
      <w:bookmarkStart w:id="1165" w:name="_Toc294029655"/>
      <w:bookmarkStart w:id="1166" w:name="_Toc313879146"/>
      <w:bookmarkStart w:id="1167" w:name="_Toc325438208"/>
      <w:bookmarkStart w:id="1168" w:name="_Toc325440977"/>
    </w:p>
    <w:p w:rsidR="004E6B58" w:rsidRPr="00DA20F5" w:rsidRDefault="004E6B58" w:rsidP="00D36FB8">
      <w:pPr>
        <w:pStyle w:val="Nadpis7"/>
      </w:pPr>
      <w:bookmarkStart w:id="1169" w:name="_Toc325626790"/>
      <w:bookmarkStart w:id="1170" w:name="_Toc326217051"/>
      <w:r w:rsidRPr="00DA20F5">
        <w:lastRenderedPageBreak/>
        <w:t>Graf 3.13</w:t>
      </w:r>
      <w:r w:rsidR="00AC5AAB" w:rsidRPr="00DA20F5">
        <w:t xml:space="preserve"> </w:t>
      </w:r>
      <w:r w:rsidRPr="00DA20F5">
        <w:t>Regionálne rozdelenie detí, na ktoré sa poskytli dotačné programy na školské potreby v roku 2011</w:t>
      </w:r>
      <w:bookmarkEnd w:id="1164"/>
      <w:bookmarkEnd w:id="1165"/>
      <w:bookmarkEnd w:id="1166"/>
      <w:bookmarkEnd w:id="1167"/>
      <w:bookmarkEnd w:id="1168"/>
      <w:bookmarkEnd w:id="1169"/>
      <w:bookmarkEnd w:id="1170"/>
    </w:p>
    <w:p w:rsidR="004E6B58" w:rsidRPr="00DA20F5" w:rsidRDefault="004E6B58" w:rsidP="00D36FB8">
      <w:pPr>
        <w:jc w:val="center"/>
        <w:rPr>
          <w:color w:val="548DD4" w:themeColor="text2" w:themeTint="99"/>
        </w:rPr>
      </w:pPr>
      <w:r w:rsidRPr="00DA20F5">
        <w:rPr>
          <w:noProof/>
          <w:color w:val="548DD4" w:themeColor="text2" w:themeTint="99"/>
        </w:rPr>
        <w:drawing>
          <wp:inline distT="0" distB="0" distL="0" distR="0" wp14:anchorId="515DF72A" wp14:editId="1CDFE4F8">
            <wp:extent cx="4382218" cy="1854680"/>
            <wp:effectExtent l="0" t="0" r="0" b="0"/>
            <wp:docPr id="24"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C17A2" w:rsidRPr="00DA20F5" w:rsidRDefault="00AC17A2" w:rsidP="00D36FB8">
      <w:pPr>
        <w:pStyle w:val="zdroj"/>
      </w:pPr>
      <w:r w:rsidRPr="00DA20F5">
        <w:t>Zdroj: APV ISOP</w:t>
      </w:r>
    </w:p>
    <w:p w:rsidR="004E6B58" w:rsidRPr="00DA20F5" w:rsidRDefault="004E6B58" w:rsidP="00D36FB8">
      <w:r w:rsidRPr="00DA20F5">
        <w:t>Z pohľadu regionálneho rozmiestnenia počtu detí, na ktoré boli poskytnuté dotácie podľa vyššie uvedeného výnosu MPSVR SR</w:t>
      </w:r>
      <w:r w:rsidR="006F4C4F" w:rsidRPr="00DA20F5">
        <w:t>,</w:t>
      </w:r>
      <w:r w:rsidRPr="00DA20F5">
        <w:t xml:space="preserve"> je situácia zachytená v</w:t>
      </w:r>
      <w:r w:rsidR="006F4C4F" w:rsidRPr="00DA20F5">
        <w:t> predchádzajúcich</w:t>
      </w:r>
      <w:r w:rsidR="00AC5AAB" w:rsidRPr="00DA20F5">
        <w:t xml:space="preserve"> </w:t>
      </w:r>
      <w:r w:rsidRPr="00DA20F5">
        <w:t>grafoch. Najvyšší objem dotácií podľa výnosu bol z pohľadu regionálneho rozmiestnenia počtu detí pre Prešovský, Košický a Banskobystrický kraj.</w:t>
      </w:r>
    </w:p>
    <w:p w:rsidR="004E6B58" w:rsidRPr="00DA20F5" w:rsidRDefault="004E6B58" w:rsidP="00D36FB8">
      <w:pPr>
        <w:rPr>
          <w:color w:val="548DD4" w:themeColor="text2" w:themeTint="99"/>
        </w:rPr>
      </w:pPr>
    </w:p>
    <w:p w:rsidR="006138FA" w:rsidRPr="00DA20F5" w:rsidRDefault="006138FA" w:rsidP="000B4550">
      <w:pPr>
        <w:pStyle w:val="Nadpis6"/>
      </w:pPr>
      <w:bookmarkStart w:id="1171" w:name="_Toc326217052"/>
      <w:r w:rsidRPr="00DA20F5">
        <w:t>Náhradné výživné</w:t>
      </w:r>
      <w:bookmarkEnd w:id="1171"/>
      <w:r w:rsidRPr="00DA20F5">
        <w:t xml:space="preserve"> </w:t>
      </w:r>
    </w:p>
    <w:p w:rsidR="003B7607" w:rsidRPr="00DA20F5" w:rsidRDefault="003B7607" w:rsidP="00D36FB8">
      <w:pPr>
        <w:pStyle w:val="AAAodstavecsprava"/>
        <w:spacing w:after="0"/>
        <w:ind w:firstLine="567"/>
        <w:rPr>
          <w:sz w:val="22"/>
          <w:szCs w:val="24"/>
          <w:lang w:eastAsia="sk-SK"/>
        </w:rPr>
      </w:pPr>
      <w:r w:rsidRPr="00DA20F5">
        <w:rPr>
          <w:sz w:val="22"/>
          <w:szCs w:val="24"/>
          <w:lang w:eastAsia="sk-SK"/>
        </w:rPr>
        <w:t>Náhradné výživné je suma poskytnutá štátom na zabezpečenie výživy oprávnenej osoby v prípade, ak si vyživovaciu povinnosť neplní povinná osoba, ktorou je rodič dieťaťa alebo iná fyzická osoba,</w:t>
      </w:r>
      <w:r w:rsidR="00AC5AAB" w:rsidRPr="00DA20F5">
        <w:rPr>
          <w:sz w:val="22"/>
          <w:szCs w:val="24"/>
          <w:lang w:eastAsia="sk-SK"/>
        </w:rPr>
        <w:t xml:space="preserve"> </w:t>
      </w:r>
      <w:r w:rsidRPr="00DA20F5">
        <w:rPr>
          <w:sz w:val="22"/>
          <w:szCs w:val="24"/>
          <w:lang w:eastAsia="sk-SK"/>
        </w:rPr>
        <w:t xml:space="preserve">povinná platiť výživné dieťaťu. </w:t>
      </w:r>
    </w:p>
    <w:p w:rsidR="003B7607" w:rsidRPr="00DA20F5" w:rsidRDefault="003B7607" w:rsidP="00D36FB8">
      <w:pPr>
        <w:ind w:firstLine="708"/>
      </w:pPr>
      <w:r w:rsidRPr="00DA20F5">
        <w:t xml:space="preserve">Zákonom č. 201/2008 </w:t>
      </w:r>
      <w:r w:rsidR="00D719EB" w:rsidRPr="00DA20F5">
        <w:t>Z.</w:t>
      </w:r>
      <w:r w:rsidR="00DB4661" w:rsidRPr="00DA20F5">
        <w:t xml:space="preserve"> </w:t>
      </w:r>
      <w:r w:rsidR="00D719EB" w:rsidRPr="00DA20F5">
        <w:t>z.</w:t>
      </w:r>
      <w:r w:rsidRPr="00DA20F5">
        <w:t xml:space="preserve"> o náhradnom výživnom</w:t>
      </w:r>
      <w:r w:rsidR="0028665F" w:rsidRPr="00DA20F5">
        <w:t xml:space="preserve"> a o zmene a doplnení zákona č. </w:t>
      </w:r>
      <w:r w:rsidRPr="00DA20F5">
        <w:t>36/2005</w:t>
      </w:r>
      <w:r w:rsidR="0028665F" w:rsidRPr="00DA20F5">
        <w:t> </w:t>
      </w:r>
      <w:r w:rsidR="00D719EB" w:rsidRPr="00DA20F5">
        <w:t>Z.</w:t>
      </w:r>
      <w:r w:rsidR="00DB4661" w:rsidRPr="00DA20F5">
        <w:t xml:space="preserve"> </w:t>
      </w:r>
      <w:r w:rsidR="00D719EB" w:rsidRPr="00DA20F5">
        <w:t>z.</w:t>
      </w:r>
      <w:r w:rsidRPr="00DA20F5">
        <w:t xml:space="preserve"> o rodine a o zmene a doplnení niektorých zákonov sa upravilo poskytovanie náhradného výživného, ktorým štát poskytuje náhradné výživné v prípadoch, ak si povinná osoba neplní vyživovaciu povinnosť voči nezaopatreným deťom a v prípadoch, keď sirotský dôchodok, resp. suma sirotských dôchodkov u</w:t>
      </w:r>
      <w:r w:rsidR="00AC5AAB" w:rsidRPr="00DA20F5">
        <w:t xml:space="preserve"> </w:t>
      </w:r>
      <w:r w:rsidRPr="00DA20F5">
        <w:t xml:space="preserve">nezaopatreného dieťaťa nedosahuje výšku minimálneho výživného, ustanoveného zákonom o rodine. </w:t>
      </w:r>
    </w:p>
    <w:p w:rsidR="003B7607" w:rsidRPr="00DA20F5" w:rsidRDefault="003B7607" w:rsidP="00D36FB8">
      <w:pPr>
        <w:pStyle w:val="AAAodstavecsprava"/>
        <w:spacing w:after="0"/>
        <w:ind w:firstLine="567"/>
        <w:rPr>
          <w:sz w:val="22"/>
          <w:szCs w:val="24"/>
          <w:lang w:eastAsia="sk-SK"/>
        </w:rPr>
      </w:pPr>
      <w:r w:rsidRPr="00DA20F5">
        <w:rPr>
          <w:sz w:val="22"/>
          <w:szCs w:val="24"/>
          <w:lang w:eastAsia="sk-SK"/>
        </w:rPr>
        <w:t xml:space="preserve">Vzhľadom na rozšírenie okruhu oprávnených osôb na nárok na náhradné výživné o nezaopatrené deti, ktorých sirotský dôchodok, resp. suma sirotských dôchodkov nedosahuje sumu minimálneho výživného, ustanoveného zákonom o rodine (30 % životného minima nezaopatreného dieťaťa) zvýšil </w:t>
      </w:r>
      <w:r w:rsidR="00D719EB" w:rsidRPr="00DA20F5">
        <w:rPr>
          <w:sz w:val="22"/>
          <w:szCs w:val="24"/>
          <w:lang w:eastAsia="sk-SK"/>
        </w:rPr>
        <w:t xml:space="preserve">sa </w:t>
      </w:r>
      <w:r w:rsidRPr="00DA20F5">
        <w:rPr>
          <w:sz w:val="22"/>
          <w:szCs w:val="24"/>
          <w:lang w:eastAsia="sk-SK"/>
        </w:rPr>
        <w:t>počet</w:t>
      </w:r>
      <w:r w:rsidR="00AC5AAB" w:rsidRPr="00DA20F5">
        <w:rPr>
          <w:sz w:val="22"/>
          <w:szCs w:val="24"/>
          <w:lang w:eastAsia="sk-SK"/>
        </w:rPr>
        <w:t xml:space="preserve"> </w:t>
      </w:r>
      <w:r w:rsidRPr="00DA20F5">
        <w:rPr>
          <w:sz w:val="22"/>
          <w:szCs w:val="24"/>
          <w:lang w:eastAsia="sk-SK"/>
        </w:rPr>
        <w:t>oprávnených osôb (nezaopatrených detí).</w:t>
      </w:r>
    </w:p>
    <w:p w:rsidR="003B7607" w:rsidRPr="00DA20F5" w:rsidRDefault="003B7607" w:rsidP="00D36FB8">
      <w:pPr>
        <w:pStyle w:val="AAAodstavecsprava"/>
        <w:spacing w:after="0"/>
        <w:ind w:firstLine="567"/>
        <w:rPr>
          <w:sz w:val="22"/>
          <w:szCs w:val="24"/>
          <w:lang w:eastAsia="sk-SK"/>
        </w:rPr>
      </w:pPr>
      <w:r w:rsidRPr="00DA20F5">
        <w:rPr>
          <w:sz w:val="22"/>
          <w:szCs w:val="24"/>
          <w:lang w:eastAsia="sk-SK"/>
        </w:rPr>
        <w:t xml:space="preserve">V roku 2011 bolo evidovaných v priemere 7 891 poberateľov </w:t>
      </w:r>
      <w:r w:rsidR="00C53DF9" w:rsidRPr="00DA20F5">
        <w:rPr>
          <w:sz w:val="22"/>
          <w:szCs w:val="24"/>
          <w:lang w:eastAsia="sk-SK"/>
        </w:rPr>
        <w:t xml:space="preserve">neplateného </w:t>
      </w:r>
      <w:r w:rsidRPr="00DA20F5">
        <w:rPr>
          <w:sz w:val="22"/>
          <w:szCs w:val="24"/>
          <w:lang w:eastAsia="sk-SK"/>
        </w:rPr>
        <w:t>náhradného výživného</w:t>
      </w:r>
      <w:r w:rsidR="00D719EB" w:rsidRPr="00DA20F5">
        <w:rPr>
          <w:sz w:val="22"/>
          <w:szCs w:val="24"/>
          <w:lang w:eastAsia="sk-SK"/>
        </w:rPr>
        <w:t>.</w:t>
      </w:r>
      <w:r w:rsidRPr="00DA20F5">
        <w:rPr>
          <w:sz w:val="22"/>
          <w:szCs w:val="24"/>
          <w:lang w:eastAsia="sk-SK"/>
        </w:rPr>
        <w:t xml:space="preserve"> </w:t>
      </w:r>
      <w:r w:rsidR="00D719EB" w:rsidRPr="00DA20F5">
        <w:rPr>
          <w:sz w:val="22"/>
          <w:szCs w:val="24"/>
          <w:lang w:eastAsia="sk-SK"/>
        </w:rPr>
        <w:t>O</w:t>
      </w:r>
      <w:r w:rsidRPr="00DA20F5">
        <w:rPr>
          <w:sz w:val="22"/>
          <w:szCs w:val="24"/>
          <w:lang w:eastAsia="sk-SK"/>
        </w:rPr>
        <w:t xml:space="preserve">proti roku 2010 </w:t>
      </w:r>
      <w:r w:rsidR="00D719EB" w:rsidRPr="00DA20F5">
        <w:rPr>
          <w:sz w:val="22"/>
          <w:szCs w:val="24"/>
          <w:lang w:eastAsia="sk-SK"/>
        </w:rPr>
        <w:t xml:space="preserve">je to </w:t>
      </w:r>
      <w:r w:rsidRPr="00DA20F5">
        <w:rPr>
          <w:sz w:val="22"/>
          <w:szCs w:val="24"/>
          <w:lang w:eastAsia="sk-SK"/>
        </w:rPr>
        <w:t>nárast o cca 831 poberateľov. Tento nárast je pravdepodobne spôsobený skutočnosťou, že osoba, ktorá je povinná platiť náhradné výživn</w:t>
      </w:r>
      <w:r w:rsidR="00D719EB" w:rsidRPr="00DA20F5">
        <w:rPr>
          <w:sz w:val="22"/>
          <w:szCs w:val="24"/>
          <w:lang w:eastAsia="sk-SK"/>
        </w:rPr>
        <w:t>é,</w:t>
      </w:r>
      <w:r w:rsidR="00AC5AAB" w:rsidRPr="00DA20F5">
        <w:rPr>
          <w:sz w:val="22"/>
          <w:szCs w:val="24"/>
          <w:lang w:eastAsia="sk-SK"/>
        </w:rPr>
        <w:t xml:space="preserve"> </w:t>
      </w:r>
      <w:r w:rsidR="00D719EB" w:rsidRPr="00DA20F5">
        <w:rPr>
          <w:sz w:val="22"/>
          <w:szCs w:val="24"/>
          <w:lang w:eastAsia="sk-SK"/>
        </w:rPr>
        <w:t>nebola schopná ďalej platiť v dôsledku straty</w:t>
      </w:r>
      <w:r w:rsidR="00AC5AAB" w:rsidRPr="00DA20F5">
        <w:rPr>
          <w:sz w:val="22"/>
          <w:szCs w:val="24"/>
          <w:lang w:eastAsia="sk-SK"/>
        </w:rPr>
        <w:t xml:space="preserve"> </w:t>
      </w:r>
      <w:r w:rsidR="00D719EB" w:rsidRPr="00DA20F5">
        <w:rPr>
          <w:sz w:val="22"/>
          <w:szCs w:val="24"/>
          <w:lang w:eastAsia="sk-SK"/>
        </w:rPr>
        <w:t>zamestnani</w:t>
      </w:r>
      <w:r w:rsidR="00C53DF9" w:rsidRPr="00DA20F5">
        <w:rPr>
          <w:sz w:val="22"/>
          <w:szCs w:val="24"/>
          <w:lang w:eastAsia="sk-SK"/>
        </w:rPr>
        <w:t>a</w:t>
      </w:r>
      <w:r w:rsidR="00AC5AAB" w:rsidRPr="00DA20F5">
        <w:rPr>
          <w:sz w:val="22"/>
          <w:szCs w:val="24"/>
          <w:lang w:eastAsia="sk-SK"/>
        </w:rPr>
        <w:t xml:space="preserve"> </w:t>
      </w:r>
      <w:r w:rsidR="00D719EB" w:rsidRPr="00DA20F5">
        <w:rPr>
          <w:sz w:val="22"/>
          <w:szCs w:val="24"/>
          <w:lang w:eastAsia="sk-SK"/>
        </w:rPr>
        <w:t>počas</w:t>
      </w:r>
      <w:r w:rsidR="00AC5AAB" w:rsidRPr="00DA20F5">
        <w:rPr>
          <w:sz w:val="22"/>
          <w:szCs w:val="24"/>
          <w:lang w:eastAsia="sk-SK"/>
        </w:rPr>
        <w:t xml:space="preserve"> </w:t>
      </w:r>
      <w:r w:rsidR="00D719EB" w:rsidRPr="00DA20F5">
        <w:rPr>
          <w:sz w:val="22"/>
          <w:szCs w:val="24"/>
          <w:lang w:eastAsia="sk-SK"/>
        </w:rPr>
        <w:t>hospodárskej krízy.</w:t>
      </w:r>
      <w:r w:rsidRPr="00DA20F5">
        <w:rPr>
          <w:sz w:val="22"/>
          <w:szCs w:val="24"/>
          <w:lang w:eastAsia="sk-SK"/>
        </w:rPr>
        <w:t xml:space="preserve"> </w:t>
      </w:r>
    </w:p>
    <w:p w:rsidR="00EF37D0" w:rsidRPr="00DA20F5" w:rsidRDefault="003B7607" w:rsidP="00EF37D0">
      <w:pPr>
        <w:pStyle w:val="AAAodstavecsprava"/>
        <w:spacing w:after="0"/>
        <w:ind w:firstLine="567"/>
        <w:rPr>
          <w:sz w:val="22"/>
          <w:szCs w:val="24"/>
          <w:lang w:eastAsia="sk-SK"/>
        </w:rPr>
      </w:pPr>
      <w:r w:rsidRPr="00DA20F5">
        <w:rPr>
          <w:sz w:val="22"/>
          <w:szCs w:val="24"/>
          <w:lang w:eastAsia="sk-SK"/>
        </w:rPr>
        <w:t xml:space="preserve">Priemerný mesačný počet poberateľov náhradného výživného – sirotského bol </w:t>
      </w:r>
      <w:r w:rsidR="00CE532C" w:rsidRPr="00DA20F5">
        <w:rPr>
          <w:sz w:val="22"/>
          <w:szCs w:val="24"/>
          <w:lang w:eastAsia="sk-SK"/>
        </w:rPr>
        <w:t>747</w:t>
      </w:r>
      <w:r w:rsidRPr="00DA20F5">
        <w:rPr>
          <w:sz w:val="22"/>
          <w:szCs w:val="24"/>
          <w:lang w:eastAsia="sk-SK"/>
        </w:rPr>
        <w:t>, čo je oproti roku 2</w:t>
      </w:r>
      <w:r w:rsidR="00CE532C" w:rsidRPr="00DA20F5">
        <w:rPr>
          <w:sz w:val="22"/>
          <w:szCs w:val="24"/>
          <w:lang w:eastAsia="sk-SK"/>
        </w:rPr>
        <w:t>010 nárast o</w:t>
      </w:r>
      <w:r w:rsidR="00AC5AAB" w:rsidRPr="00DA20F5">
        <w:rPr>
          <w:sz w:val="22"/>
          <w:szCs w:val="24"/>
          <w:lang w:eastAsia="sk-SK"/>
        </w:rPr>
        <w:t xml:space="preserve"> </w:t>
      </w:r>
      <w:r w:rsidR="00CE532C" w:rsidRPr="00DA20F5">
        <w:rPr>
          <w:sz w:val="22"/>
          <w:szCs w:val="24"/>
          <w:lang w:eastAsia="sk-SK"/>
        </w:rPr>
        <w:t>34 poberateľov.</w:t>
      </w:r>
    </w:p>
    <w:p w:rsidR="0028665F" w:rsidRPr="00DA20F5" w:rsidRDefault="003B7607" w:rsidP="00896B8F">
      <w:pPr>
        <w:pStyle w:val="Obyajntext"/>
        <w:ind w:firstLine="567"/>
        <w:jc w:val="both"/>
        <w:rPr>
          <w:rFonts w:ascii="Times New Roman" w:hAnsi="Times New Roman" w:cs="Times New Roman"/>
          <w:szCs w:val="24"/>
          <w:lang w:eastAsia="sk-SK"/>
        </w:rPr>
      </w:pPr>
      <w:r w:rsidRPr="00DA20F5">
        <w:rPr>
          <w:rFonts w:ascii="Times New Roman" w:hAnsi="Times New Roman" w:cs="Times New Roman"/>
          <w:szCs w:val="24"/>
          <w:lang w:eastAsia="sk-SK"/>
        </w:rPr>
        <w:t>Na výplatu náhradného výživného boli v roku 2011 vynaložené finančné prostriedky v</w:t>
      </w:r>
      <w:r w:rsidR="0028665F" w:rsidRPr="00DA20F5">
        <w:rPr>
          <w:rFonts w:ascii="Times New Roman" w:hAnsi="Times New Roman" w:cs="Times New Roman"/>
          <w:szCs w:val="24"/>
          <w:lang w:eastAsia="sk-SK"/>
        </w:rPr>
        <w:t> </w:t>
      </w:r>
      <w:r w:rsidRPr="00DA20F5">
        <w:rPr>
          <w:rFonts w:ascii="Times New Roman" w:hAnsi="Times New Roman" w:cs="Times New Roman"/>
          <w:szCs w:val="24"/>
          <w:lang w:eastAsia="sk-SK"/>
        </w:rPr>
        <w:t>sume</w:t>
      </w:r>
      <w:r w:rsidR="0028665F" w:rsidRPr="00DA20F5">
        <w:rPr>
          <w:rFonts w:ascii="Times New Roman" w:hAnsi="Times New Roman" w:cs="Times New Roman"/>
          <w:szCs w:val="24"/>
          <w:lang w:eastAsia="sk-SK"/>
        </w:rPr>
        <w:t xml:space="preserve"> </w:t>
      </w:r>
      <w:r w:rsidRPr="00DA20F5">
        <w:rPr>
          <w:rFonts w:ascii="Times New Roman" w:hAnsi="Times New Roman" w:cs="Times New Roman"/>
          <w:szCs w:val="24"/>
          <w:lang w:eastAsia="sk-SK"/>
        </w:rPr>
        <w:t xml:space="preserve">7 668 873 </w:t>
      </w:r>
      <w:r w:rsidR="00E364F3" w:rsidRPr="00DA20F5">
        <w:rPr>
          <w:rFonts w:ascii="Times New Roman" w:hAnsi="Times New Roman" w:cs="Times New Roman"/>
          <w:szCs w:val="24"/>
          <w:lang w:eastAsia="sk-SK"/>
        </w:rPr>
        <w:t>€</w:t>
      </w:r>
      <w:r w:rsidRPr="00DA20F5">
        <w:rPr>
          <w:rFonts w:ascii="Times New Roman" w:hAnsi="Times New Roman" w:cs="Times New Roman"/>
          <w:szCs w:val="24"/>
          <w:lang w:eastAsia="sk-SK"/>
        </w:rPr>
        <w:t>.</w:t>
      </w:r>
      <w:bookmarkStart w:id="1172" w:name="_Toc325438210"/>
      <w:bookmarkStart w:id="1173" w:name="_Toc325440979"/>
      <w:bookmarkStart w:id="1174" w:name="_Toc325626792"/>
    </w:p>
    <w:p w:rsidR="00896B8F" w:rsidRPr="00DA20F5" w:rsidRDefault="00896B8F" w:rsidP="00896B8F">
      <w:pPr>
        <w:pStyle w:val="Obyajntext"/>
        <w:ind w:firstLine="567"/>
        <w:jc w:val="both"/>
        <w:rPr>
          <w:rFonts w:ascii="Times New Roman" w:eastAsia="Times New Roman" w:hAnsi="Times New Roman" w:cs="Times New Roman"/>
          <w:szCs w:val="24"/>
          <w:lang w:eastAsia="sk-SK"/>
        </w:rPr>
      </w:pPr>
      <w:r w:rsidRPr="00DA20F5">
        <w:rPr>
          <w:rFonts w:ascii="Times New Roman" w:eastAsia="Times New Roman" w:hAnsi="Times New Roman" w:cs="Times New Roman"/>
          <w:szCs w:val="24"/>
          <w:lang w:eastAsia="sk-SK"/>
        </w:rPr>
        <w:t>Maximálna výška náhradného výživného podľa zákona je určená vo výške 1,2 - násobku sumy životného minima pre nezaopatrené dieťa. V priebehu roka 2011, do 30.06.2011 bola maximálna výška náhradného výživného na jedno dieťa v sume 101,53 € a od 01.07.2011 v sume 103,98€ (zohľadnená valorizácia životného minima od 1. júla 2011).</w:t>
      </w:r>
    </w:p>
    <w:p w:rsidR="0028665F" w:rsidRPr="00DA20F5" w:rsidRDefault="0028665F">
      <w:pPr>
        <w:jc w:val="left"/>
        <w:rPr>
          <w:b/>
        </w:rPr>
      </w:pPr>
      <w:bookmarkStart w:id="1175" w:name="_Toc326217053"/>
      <w:r w:rsidRPr="00DA20F5">
        <w:br w:type="page"/>
      </w:r>
    </w:p>
    <w:p w:rsidR="00227469" w:rsidRPr="00DA20F5" w:rsidRDefault="00227469" w:rsidP="00D36FB8">
      <w:pPr>
        <w:pStyle w:val="Nadpis7"/>
      </w:pPr>
      <w:r w:rsidRPr="00DA20F5">
        <w:lastRenderedPageBreak/>
        <w:t>Graf 3.14</w:t>
      </w:r>
      <w:r w:rsidR="00AC5AAB" w:rsidRPr="00DA20F5">
        <w:t xml:space="preserve"> </w:t>
      </w:r>
      <w:r w:rsidRPr="00DA20F5">
        <w:t>Vývoj počtu poberateľov (detí) náhradného výživného v rokoch 2010 a 2011</w:t>
      </w:r>
      <w:bookmarkEnd w:id="1172"/>
      <w:bookmarkEnd w:id="1173"/>
      <w:bookmarkEnd w:id="1174"/>
      <w:bookmarkEnd w:id="1175"/>
      <w:r w:rsidRPr="00DA20F5">
        <w:t xml:space="preserve"> </w:t>
      </w:r>
    </w:p>
    <w:p w:rsidR="003B7607" w:rsidRPr="00DA20F5" w:rsidRDefault="003B7607" w:rsidP="00D36FB8">
      <w:pPr>
        <w:pStyle w:val="AAAodstavecsprava"/>
        <w:spacing w:after="0"/>
        <w:jc w:val="center"/>
        <w:rPr>
          <w:color w:val="548DD4" w:themeColor="text2" w:themeTint="99"/>
          <w:szCs w:val="24"/>
        </w:rPr>
      </w:pPr>
      <w:r w:rsidRPr="00DA20F5">
        <w:rPr>
          <w:noProof/>
          <w:color w:val="548DD4" w:themeColor="text2" w:themeTint="99"/>
          <w:szCs w:val="24"/>
          <w:lang w:eastAsia="sk-SK"/>
        </w:rPr>
        <w:drawing>
          <wp:inline distT="0" distB="0" distL="0" distR="0" wp14:anchorId="545FC859" wp14:editId="7995D865">
            <wp:extent cx="4209691" cy="2553419"/>
            <wp:effectExtent l="0" t="0" r="0" b="0"/>
            <wp:docPr id="189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B7607" w:rsidRPr="00DA20F5" w:rsidRDefault="003B7607" w:rsidP="00D36FB8">
      <w:pPr>
        <w:pStyle w:val="zdroj"/>
        <w:ind w:left="1134"/>
        <w:jc w:val="left"/>
      </w:pPr>
      <w:r w:rsidRPr="00DA20F5">
        <w:t>Zdroj:</w:t>
      </w:r>
      <w:r w:rsidR="00DA20F5" w:rsidRPr="00DA20F5">
        <w:t xml:space="preserve"> </w:t>
      </w:r>
      <w:r w:rsidRPr="00DA20F5">
        <w:t>ÚPSVR</w:t>
      </w:r>
    </w:p>
    <w:p w:rsidR="006138FA" w:rsidRPr="00DA20F5" w:rsidRDefault="006138FA" w:rsidP="000B4550">
      <w:pPr>
        <w:pStyle w:val="Nadpis6"/>
      </w:pPr>
      <w:bookmarkStart w:id="1176" w:name="_Toc326217054"/>
      <w:r w:rsidRPr="00DA20F5">
        <w:t>Sociálnoprávna ochrana detí a sociálna kuratela</w:t>
      </w:r>
      <w:bookmarkEnd w:id="1176"/>
    </w:p>
    <w:p w:rsidR="004D224F" w:rsidRPr="00DA20F5" w:rsidRDefault="004D224F" w:rsidP="00D36FB8">
      <w:pPr>
        <w:ind w:firstLine="708"/>
      </w:pPr>
      <w:r w:rsidRPr="00DA20F5">
        <w:t xml:space="preserve">Opatrenia </w:t>
      </w:r>
      <w:r w:rsidR="00B91922" w:rsidRPr="00DA20F5">
        <w:t xml:space="preserve">sociálnoprávnej ochrany detí a sociálnej kurately (ďalej len „SPODaSK“) </w:t>
      </w:r>
      <w:r w:rsidRPr="00DA20F5">
        <w:t xml:space="preserve">sa vykonávajú pre dieťa, plnoletú fyzickú osobu, rodinu, prípadne skupinu alebo komunitu v zmysle zákona č. 305/2005 </w:t>
      </w:r>
      <w:r w:rsidR="00D719EB" w:rsidRPr="00DA20F5">
        <w:t>Z.</w:t>
      </w:r>
      <w:r w:rsidR="00DB4661" w:rsidRPr="00DA20F5">
        <w:t xml:space="preserve"> </w:t>
      </w:r>
      <w:r w:rsidR="00D719EB" w:rsidRPr="00DA20F5">
        <w:t>z.</w:t>
      </w:r>
      <w:r w:rsidRPr="00DA20F5">
        <w:t xml:space="preserve"> o sociálnoprávnej ochrane detí a o sociálnej kuratele a o zmene a doplnení niektorých zákonov v znení neskorších predpisov (ďalej len „zákon o sociálnoprávnej ochrane detí“).</w:t>
      </w:r>
    </w:p>
    <w:p w:rsidR="004D224F" w:rsidRPr="00DA20F5" w:rsidRDefault="004D224F" w:rsidP="00D36FB8">
      <w:pPr>
        <w:ind w:firstLine="708"/>
      </w:pPr>
      <w:r w:rsidRPr="00DA20F5">
        <w:t xml:space="preserve">V roku 2011 zabezpečovalo výkon opatrení sociálnoprávnej ochrany detí a sociálnej kurately na 46 </w:t>
      </w:r>
      <w:r w:rsidR="0001311C" w:rsidRPr="00DA20F5">
        <w:t>úradoch práce</w:t>
      </w:r>
      <w:r w:rsidRPr="00DA20F5">
        <w:t xml:space="preserve"> -</w:t>
      </w:r>
      <w:r w:rsidR="00AC5AAB" w:rsidRPr="00DA20F5">
        <w:t xml:space="preserve"> </w:t>
      </w:r>
      <w:r w:rsidRPr="00DA20F5">
        <w:t xml:space="preserve">odboroch sociálnych vecí a rodiny, oddeleniach sociálnoprávnej ochrany detí </w:t>
      </w:r>
      <w:r w:rsidR="00B91922" w:rsidRPr="00DA20F5">
        <w:t xml:space="preserve">a sociálnej kurately </w:t>
      </w:r>
      <w:r w:rsidRPr="00DA20F5">
        <w:t xml:space="preserve">547 zamestnancov, čo predstavuje </w:t>
      </w:r>
      <w:r w:rsidR="00B91922" w:rsidRPr="00DA20F5">
        <w:t xml:space="preserve">v porovnaní s rokom 2010 </w:t>
      </w:r>
      <w:r w:rsidRPr="00DA20F5">
        <w:t>pokles počtu zamestnancov o</w:t>
      </w:r>
      <w:r w:rsidR="00B91922" w:rsidRPr="00DA20F5">
        <w:t> </w:t>
      </w:r>
      <w:r w:rsidRPr="00DA20F5">
        <w:t>35</w:t>
      </w:r>
      <w:r w:rsidR="00B91922" w:rsidRPr="00DA20F5">
        <w:t>.</w:t>
      </w:r>
    </w:p>
    <w:p w:rsidR="004D224F" w:rsidRPr="00DA20F5" w:rsidRDefault="004D224F" w:rsidP="00D36FB8">
      <w:pPr>
        <w:ind w:firstLine="708"/>
      </w:pPr>
      <w:r w:rsidRPr="00DA20F5">
        <w:t>V priebehu roku 2011 bolo zaznamenaných 22 789</w:t>
      </w:r>
      <w:r w:rsidR="00AC5AAB" w:rsidRPr="00DA20F5">
        <w:t xml:space="preserve"> </w:t>
      </w:r>
      <w:r w:rsidRPr="00DA20F5">
        <w:t>nových rodín a 31 802 nových detí, pre ktoré boli vykonávané opatrenia SPODaSK</w:t>
      </w:r>
      <w:r w:rsidR="00B91922" w:rsidRPr="00DA20F5">
        <w:t>.</w:t>
      </w:r>
    </w:p>
    <w:p w:rsidR="004D224F" w:rsidRPr="00DA20F5" w:rsidRDefault="004D224F" w:rsidP="00D36FB8">
      <w:pPr>
        <w:ind w:firstLine="708"/>
      </w:pPr>
      <w:r w:rsidRPr="00DA20F5">
        <w:t xml:space="preserve">V pôsobnosti </w:t>
      </w:r>
      <w:r w:rsidR="0001311C" w:rsidRPr="00DA20F5">
        <w:t>úradov práce</w:t>
      </w:r>
      <w:r w:rsidRPr="00DA20F5">
        <w:t xml:space="preserve"> ako orgánov sociálnoprávnej ochrany detí a sociálnej kurately je okrem iného podávanie návrhov a podnetov vo veciach maloletých detí príslušným súdom. </w:t>
      </w:r>
    </w:p>
    <w:p w:rsidR="004D224F" w:rsidRPr="00DA20F5" w:rsidRDefault="004D224F" w:rsidP="00D36FB8">
      <w:pPr>
        <w:ind w:firstLine="708"/>
      </w:pPr>
      <w:r w:rsidRPr="00DA20F5">
        <w:t xml:space="preserve">V roku 2011 </w:t>
      </w:r>
      <w:r w:rsidR="0001311C" w:rsidRPr="00DA20F5">
        <w:t>úrady práce</w:t>
      </w:r>
      <w:r w:rsidRPr="00DA20F5">
        <w:t xml:space="preserve"> podali spolu 11 335 návrhov a podnetov na súd vo veciach starostlivosti o maloleté deti. </w:t>
      </w:r>
      <w:r w:rsidR="00737125" w:rsidRPr="00DA20F5">
        <w:t>R</w:t>
      </w:r>
      <w:r w:rsidRPr="00DA20F5">
        <w:t xml:space="preserve">ovnako ako v minulých rokoch, </w:t>
      </w:r>
      <w:r w:rsidR="00737125" w:rsidRPr="00DA20F5">
        <w:t xml:space="preserve">najviac </w:t>
      </w:r>
      <w:r w:rsidRPr="00DA20F5">
        <w:t>predstavovali návrhy a podnety podané vo veciach výchovy a výživy – 9 391. Na vydanie predbežnéh</w:t>
      </w:r>
      <w:r w:rsidR="0028665F" w:rsidRPr="00DA20F5">
        <w:t>o opatrenia bolo podaných 1 346 </w:t>
      </w:r>
      <w:r w:rsidRPr="00DA20F5">
        <w:t>návrhov a podnetov, na nariadenie ústavnej starostlivosti 493 návrhov a podnetov a na zrušenie ústavnej starostlivosti bolo podaných 105 návrhov a podnetov.</w:t>
      </w:r>
    </w:p>
    <w:p w:rsidR="004D224F" w:rsidRPr="00DA20F5" w:rsidRDefault="004D224F" w:rsidP="00D36FB8">
      <w:pPr>
        <w:ind w:firstLine="708"/>
      </w:pPr>
      <w:r w:rsidRPr="00DA20F5">
        <w:t xml:space="preserve">V roku 2011 podal orgán </w:t>
      </w:r>
      <w:r w:rsidR="006F7CC2" w:rsidRPr="00DA20F5">
        <w:t xml:space="preserve">SPODaSK </w:t>
      </w:r>
      <w:r w:rsidRPr="00DA20F5">
        <w:t>súdu alebo iným štátnym orgánom správy vo veciach výživy a výchovy maloletých 57 492 správ.</w:t>
      </w:r>
    </w:p>
    <w:p w:rsidR="004D224F" w:rsidRPr="00DA20F5" w:rsidRDefault="004D224F" w:rsidP="00D36FB8">
      <w:pPr>
        <w:ind w:firstLine="708"/>
      </w:pPr>
      <w:r w:rsidRPr="00DA20F5">
        <w:t xml:space="preserve">Orgán </w:t>
      </w:r>
      <w:r w:rsidR="006F7CC2" w:rsidRPr="00DA20F5">
        <w:t>SPODaSK</w:t>
      </w:r>
      <w:r w:rsidRPr="00DA20F5">
        <w:t xml:space="preserve"> zisťoval z vlastného podnetu</w:t>
      </w:r>
      <w:r w:rsidR="006F7CC2" w:rsidRPr="00DA20F5">
        <w:t>,</w:t>
      </w:r>
      <w:r w:rsidRPr="00DA20F5">
        <w:t xml:space="preserve"> </w:t>
      </w:r>
      <w:r w:rsidR="006F7CC2" w:rsidRPr="00DA20F5">
        <w:t>z</w:t>
      </w:r>
      <w:r w:rsidRPr="00DA20F5">
        <w:t> podnetu súdu alebo inej osoby názor dieťaťa na situáciu</w:t>
      </w:r>
      <w:r w:rsidR="006F7CC2" w:rsidRPr="00DA20F5">
        <w:t>,</w:t>
      </w:r>
      <w:r w:rsidRPr="00DA20F5">
        <w:t xml:space="preserve"> v ktorej sa nachádza</w:t>
      </w:r>
      <w:r w:rsidR="006F7CC2" w:rsidRPr="00DA20F5">
        <w:t>,</w:t>
      </w:r>
      <w:r w:rsidRPr="00DA20F5">
        <w:t xml:space="preserve"> celkovo u 24 421 detí.</w:t>
      </w:r>
    </w:p>
    <w:p w:rsidR="004D224F" w:rsidRPr="00DA20F5" w:rsidRDefault="004D224F" w:rsidP="00D36FB8">
      <w:pPr>
        <w:ind w:firstLine="708"/>
        <w:rPr>
          <w:b/>
        </w:rPr>
      </w:pPr>
      <w:r w:rsidRPr="00DA20F5">
        <w:t>Ak je to potrebné v</w:t>
      </w:r>
      <w:r w:rsidR="006F7CC2" w:rsidRPr="00DA20F5">
        <w:t> </w:t>
      </w:r>
      <w:r w:rsidRPr="00DA20F5">
        <w:t xml:space="preserve">záujme dieťaťa, orgán </w:t>
      </w:r>
      <w:r w:rsidR="006F7CC2" w:rsidRPr="00DA20F5">
        <w:t xml:space="preserve">SPODaSK </w:t>
      </w:r>
      <w:r w:rsidRPr="00DA20F5">
        <w:t xml:space="preserve">rozhodne o uložení výchovného opatrenia, pričom v roku 2011 bolo orgánmi </w:t>
      </w:r>
      <w:r w:rsidR="006F7CC2" w:rsidRPr="00DA20F5">
        <w:t xml:space="preserve">SPODaSK </w:t>
      </w:r>
      <w:r w:rsidRPr="00DA20F5">
        <w:t>uložených spolu 425</w:t>
      </w:r>
      <w:r w:rsidR="00AC5AAB" w:rsidRPr="00DA20F5">
        <w:t xml:space="preserve"> </w:t>
      </w:r>
      <w:r w:rsidRPr="00DA20F5">
        <w:t>výchovných opatrení</w:t>
      </w:r>
      <w:r w:rsidR="006F7CC2" w:rsidRPr="00DA20F5">
        <w:t>,</w:t>
      </w:r>
      <w:r w:rsidRPr="00DA20F5">
        <w:t xml:space="preserve"> a to pre 535 detí</w:t>
      </w:r>
      <w:r w:rsidRPr="00DA20F5">
        <w:rPr>
          <w:i/>
        </w:rPr>
        <w:t>.</w:t>
      </w:r>
      <w:r w:rsidR="00AC5AAB" w:rsidRPr="00DA20F5">
        <w:rPr>
          <w:i/>
        </w:rPr>
        <w:t xml:space="preserve"> </w:t>
      </w:r>
      <w:r w:rsidRPr="00DA20F5">
        <w:t>Súdy nariadili v priebehu roka 2011 spolu 497 výchovných opatrení</w:t>
      </w:r>
      <w:r w:rsidR="006F7CC2" w:rsidRPr="00DA20F5">
        <w:t>,</w:t>
      </w:r>
      <w:r w:rsidR="0028665F" w:rsidRPr="00DA20F5">
        <w:t xml:space="preserve"> a to pre 748 </w:t>
      </w:r>
      <w:r w:rsidRPr="00DA20F5">
        <w:t xml:space="preserve">detí. </w:t>
      </w:r>
    </w:p>
    <w:p w:rsidR="004D224F" w:rsidRPr="00DA20F5" w:rsidRDefault="004D224F" w:rsidP="00D36FB8">
      <w:pPr>
        <w:rPr>
          <w:b/>
        </w:rPr>
      </w:pPr>
    </w:p>
    <w:p w:rsidR="004D224F" w:rsidRPr="00DA20F5" w:rsidRDefault="004D224F" w:rsidP="00D36FB8">
      <w:pPr>
        <w:rPr>
          <w:b/>
        </w:rPr>
      </w:pPr>
      <w:r w:rsidRPr="00DA20F5">
        <w:rPr>
          <w:b/>
        </w:rPr>
        <w:t xml:space="preserve">Sociálna kuratela pre deti </w:t>
      </w:r>
    </w:p>
    <w:p w:rsidR="004D224F" w:rsidRPr="00DA20F5" w:rsidRDefault="004D224F" w:rsidP="00D36FB8">
      <w:pPr>
        <w:ind w:firstLine="708"/>
      </w:pPr>
    </w:p>
    <w:p w:rsidR="004D224F" w:rsidRPr="00DA20F5" w:rsidRDefault="004D224F" w:rsidP="00D36FB8">
      <w:pPr>
        <w:ind w:firstLine="708"/>
      </w:pPr>
      <w:r w:rsidRPr="00DA20F5">
        <w:t xml:space="preserve">Výkon opatrení sociálnej kurately detí zabezpečovalo v sledovanom roku 116 zamestnancov </w:t>
      </w:r>
      <w:r w:rsidR="0001311C" w:rsidRPr="00DA20F5">
        <w:t>úradov práce</w:t>
      </w:r>
      <w:r w:rsidRPr="00DA20F5">
        <w:t xml:space="preserve"> - sociálnych kurátorov pre deti, ktorí sa na túto oblasť špecializujú. Opatrenia boli v sledovanom roku vykonávané</w:t>
      </w:r>
      <w:r w:rsidR="00AC5AAB" w:rsidRPr="00DA20F5">
        <w:t xml:space="preserve"> </w:t>
      </w:r>
      <w:r w:rsidRPr="00DA20F5">
        <w:t>spolu pre 26 186 detí, čo v porovnaní s predchádzajúcim rokom predstavuje nárast o</w:t>
      </w:r>
      <w:r w:rsidR="00A51EB2" w:rsidRPr="00DA20F5">
        <w:t> 1 165 detí</w:t>
      </w:r>
      <w:r w:rsidRPr="00DA20F5">
        <w:t xml:space="preserve"> (</w:t>
      </w:r>
      <w:r w:rsidRPr="00DA20F5">
        <w:rPr>
          <w:bCs/>
        </w:rPr>
        <w:t>tab</w:t>
      </w:r>
      <w:r w:rsidR="003A7337" w:rsidRPr="00DA20F5">
        <w:rPr>
          <w:bCs/>
        </w:rPr>
        <w:t>. 3.15</w:t>
      </w:r>
      <w:r w:rsidRPr="00DA20F5">
        <w:rPr>
          <w:bCs/>
        </w:rPr>
        <w:t>).</w:t>
      </w:r>
      <w:r w:rsidRPr="00DA20F5">
        <w:t xml:space="preserve"> Na jedného sociálneho kurátora pripadalo priemerne riešenie situácie pre 225 detí.</w:t>
      </w:r>
    </w:p>
    <w:p w:rsidR="004D224F" w:rsidRPr="00DA20F5" w:rsidRDefault="004D224F" w:rsidP="00D36FB8">
      <w:pPr>
        <w:ind w:firstLine="708"/>
      </w:pPr>
      <w:r w:rsidRPr="00DA20F5">
        <w:lastRenderedPageBreak/>
        <w:t>V rámci sociálnej kurately detí sociálni kurátori podali 18 167 správ rôznym inštitúciám a vykonali spolu 31 351 šetrení v rodinách a inštitúciách.</w:t>
      </w:r>
    </w:p>
    <w:p w:rsidR="004D224F" w:rsidRPr="00DA20F5" w:rsidRDefault="004D224F" w:rsidP="00D36FB8">
      <w:r w:rsidRPr="00DA20F5">
        <w:tab/>
        <w:t>Z hľadiska dôvodov vykonávania opatrení sociálnej kurately detí klesol počet mladistvých detí, ktoré sa dopustili páchania trestnej činnosti ako páchatelia alebo ako podozriví zo spáchania trestnej činnosti podľa trestného zákona na 5 906 (o 546 detí menej ako v ro</w:t>
      </w:r>
      <w:r w:rsidR="00614643" w:rsidRPr="00DA20F5">
        <w:t>ku 2010). P</w:t>
      </w:r>
      <w:r w:rsidRPr="00DA20F5">
        <w:t xml:space="preserve">okles bol zaznamenaný aj u detí, ktoré spáchali čin inak trestný, </w:t>
      </w:r>
      <w:r w:rsidR="00614643" w:rsidRPr="00DA20F5">
        <w:t xml:space="preserve">a to na </w:t>
      </w:r>
      <w:r w:rsidRPr="00DA20F5">
        <w:t>2</w:t>
      </w:r>
      <w:r w:rsidR="00614643" w:rsidRPr="00DA20F5">
        <w:t> </w:t>
      </w:r>
      <w:r w:rsidRPr="00DA20F5">
        <w:t>258</w:t>
      </w:r>
      <w:r w:rsidR="00614643" w:rsidRPr="00DA20F5">
        <w:t xml:space="preserve"> detí</w:t>
      </w:r>
      <w:r w:rsidRPr="00DA20F5">
        <w:t xml:space="preserve"> (o 7 detí menej ako v roku 2010).</w:t>
      </w:r>
    </w:p>
    <w:p w:rsidR="00614643" w:rsidRPr="00DA20F5" w:rsidRDefault="004D224F" w:rsidP="00D36FB8">
      <w:r w:rsidRPr="00DA20F5">
        <w:tab/>
      </w:r>
      <w:r w:rsidR="00614643" w:rsidRPr="00DA20F5">
        <w:t>V porovnaní s rokom 2010 do</w:t>
      </w:r>
      <w:r w:rsidRPr="00DA20F5">
        <w:t>šlo k nárastu počtu detí</w:t>
      </w:r>
      <w:r w:rsidR="00DB1E27" w:rsidRPr="00DA20F5">
        <w:t>,</w:t>
      </w:r>
      <w:r w:rsidR="00614643" w:rsidRPr="00DA20F5">
        <w:t xml:space="preserve"> </w:t>
      </w:r>
      <w:r w:rsidR="00DB1E27" w:rsidRPr="00DA20F5">
        <w:t xml:space="preserve">ktorým bola poskytovaná v roku 2011 pomoc a ochrana v priestupkovom konaní, a to </w:t>
      </w:r>
      <w:r w:rsidR="00614643" w:rsidRPr="00DA20F5">
        <w:t>o 750 v celkovom počte</w:t>
      </w:r>
      <w:r w:rsidR="00AC5AAB" w:rsidRPr="00DA20F5">
        <w:t xml:space="preserve"> </w:t>
      </w:r>
      <w:r w:rsidR="00614643" w:rsidRPr="00DA20F5">
        <w:t>5 454 detí</w:t>
      </w:r>
      <w:r w:rsidRPr="00DA20F5">
        <w:t xml:space="preserve">, </w:t>
      </w:r>
    </w:p>
    <w:p w:rsidR="004D224F" w:rsidRPr="00DA20F5" w:rsidRDefault="004D224F" w:rsidP="00D36FB8">
      <w:r w:rsidRPr="00DA20F5">
        <w:tab/>
        <w:t>Pre 543 detí vykonávali v roku 2011 sociálni kurátori opatrenia sociálnej kurately detí z dôvodu experimentovania a závislosti na drogách, 58 z nich bolo vo veku do 14 rokov. Pre 236 detí boli vykonávané opatrenia z dôvodu iných, nelátkových závislostí, napr. závislosť od hazardných hier a počítačov. 50 z nich bolo vo veku do 14 rokov. V porovnaní s poč</w:t>
      </w:r>
      <w:r w:rsidR="00614643" w:rsidRPr="00DA20F5">
        <w:t>tom detí v predchádzajúcom roku</w:t>
      </w:r>
      <w:r w:rsidRPr="00DA20F5">
        <w:t xml:space="preserve"> ide o nárast počtu detí pri drogových a nelátkových závislostiach </w:t>
      </w:r>
      <w:r w:rsidR="0063309D" w:rsidRPr="00DA20F5">
        <w:t xml:space="preserve">- </w:t>
      </w:r>
      <w:r w:rsidRPr="00DA20F5">
        <w:t xml:space="preserve">spolu o 55 detí. </w:t>
      </w:r>
    </w:p>
    <w:p w:rsidR="004D224F" w:rsidRPr="00DA20F5" w:rsidRDefault="004D224F" w:rsidP="00D36FB8">
      <w:r w:rsidRPr="00DA20F5">
        <w:tab/>
      </w:r>
      <w:r w:rsidR="001103DE" w:rsidRPr="00DA20F5">
        <w:t>Z dôvodu zanedbávania školskej dochádzky bolo 7 986</w:t>
      </w:r>
      <w:r w:rsidRPr="00DA20F5">
        <w:t xml:space="preserve"> detí v starostlivosti sociálnych kurátorov. U</w:t>
      </w:r>
      <w:r w:rsidR="001103DE" w:rsidRPr="00DA20F5">
        <w:t> </w:t>
      </w:r>
      <w:r w:rsidRPr="00DA20F5">
        <w:t>1</w:t>
      </w:r>
      <w:r w:rsidR="001103DE" w:rsidRPr="00DA20F5">
        <w:t xml:space="preserve"> </w:t>
      </w:r>
      <w:r w:rsidRPr="00DA20F5">
        <w:t>668 detí sa prejavovali poruchy vo vzťahu s inými deťmi, rodičmi alebo inými plnoletými fyzickými osobami, u 229 detí riešili sociálni kurátori úteky z domu alebo zo zariadenia.</w:t>
      </w:r>
    </w:p>
    <w:p w:rsidR="001103DE" w:rsidRPr="00DA20F5" w:rsidRDefault="004D224F" w:rsidP="00D36FB8">
      <w:r w:rsidRPr="00DA20F5">
        <w:tab/>
      </w:r>
      <w:r w:rsidR="001103DE" w:rsidRPr="00DA20F5">
        <w:t>V porovnaní s rokom 2010 stúpol z počtu 263</w:t>
      </w:r>
      <w:r w:rsidRPr="00DA20F5">
        <w:t xml:space="preserve"> </w:t>
      </w:r>
      <w:r w:rsidR="001103DE" w:rsidRPr="00DA20F5">
        <w:t xml:space="preserve">na 276 počet </w:t>
      </w:r>
      <w:r w:rsidRPr="00DA20F5">
        <w:t>detí, pre ktoré bola vykonávaná sociálna kuratela z dôvodu, že sa stali obeťami trestných činov</w:t>
      </w:r>
      <w:r w:rsidR="001103DE" w:rsidRPr="00DA20F5">
        <w:t>.</w:t>
      </w:r>
    </w:p>
    <w:p w:rsidR="004D224F" w:rsidRPr="00DA20F5" w:rsidRDefault="004D224F" w:rsidP="00D36FB8">
      <w:r w:rsidRPr="00DA20F5">
        <w:tab/>
        <w:t>Opatrenia sociálnej kurately detí boli vykonávané pre 380 detí, ktoré sa stali svedkami trestného činu.</w:t>
      </w:r>
    </w:p>
    <w:p w:rsidR="004D224F" w:rsidRPr="00DA20F5" w:rsidRDefault="00A71C4D" w:rsidP="00D36FB8">
      <w:pPr>
        <w:pStyle w:val="Nadpis7"/>
      </w:pPr>
      <w:bookmarkStart w:id="1177" w:name="_Toc325438212"/>
      <w:bookmarkStart w:id="1178" w:name="_Toc325440981"/>
      <w:bookmarkStart w:id="1179" w:name="_Toc325626794"/>
      <w:bookmarkStart w:id="1180" w:name="_Toc326217055"/>
      <w:r w:rsidRPr="00DA20F5">
        <w:rPr>
          <w:bCs/>
          <w:iCs/>
          <w:lang w:eastAsia="cs-CZ"/>
        </w:rPr>
        <w:t>Tab. 3.1</w:t>
      </w:r>
      <w:r w:rsidRPr="00DA20F5">
        <w:rPr>
          <w:bCs/>
          <w:iCs/>
        </w:rPr>
        <w:t>5</w:t>
      </w:r>
      <w:r w:rsidR="00AC5AAB" w:rsidRPr="00DA20F5">
        <w:rPr>
          <w:bCs/>
          <w:iCs/>
          <w:lang w:eastAsia="cs-CZ"/>
        </w:rPr>
        <w:t xml:space="preserve"> </w:t>
      </w:r>
      <w:r w:rsidR="004D224F" w:rsidRPr="00DA20F5">
        <w:t xml:space="preserve">Počet detí, pre </w:t>
      </w:r>
      <w:r w:rsidR="0065142D" w:rsidRPr="00DA20F5">
        <w:t>ktoré sa vykonávala v rokoch 2010</w:t>
      </w:r>
      <w:r w:rsidR="004D224F" w:rsidRPr="00DA20F5">
        <w:t xml:space="preserve"> a 201</w:t>
      </w:r>
      <w:r w:rsidR="0065142D" w:rsidRPr="00DA20F5">
        <w:t>1</w:t>
      </w:r>
      <w:r w:rsidR="004D224F" w:rsidRPr="00DA20F5">
        <w:t xml:space="preserve"> sociálna kuratela</w:t>
      </w:r>
      <w:bookmarkEnd w:id="1177"/>
      <w:bookmarkEnd w:id="1178"/>
      <w:bookmarkEnd w:id="1179"/>
      <w:bookmarkEnd w:id="1180"/>
    </w:p>
    <w:tbl>
      <w:tblPr>
        <w:tblW w:w="8685"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blLayout w:type="fixed"/>
        <w:tblCellMar>
          <w:left w:w="70" w:type="dxa"/>
          <w:right w:w="70" w:type="dxa"/>
        </w:tblCellMar>
        <w:tblLook w:val="04A0" w:firstRow="1" w:lastRow="0" w:firstColumn="1" w:lastColumn="0" w:noHBand="0" w:noVBand="1"/>
      </w:tblPr>
      <w:tblGrid>
        <w:gridCol w:w="2075"/>
        <w:gridCol w:w="2043"/>
        <w:gridCol w:w="1260"/>
        <w:gridCol w:w="1011"/>
        <w:gridCol w:w="1072"/>
        <w:gridCol w:w="1224"/>
      </w:tblGrid>
      <w:tr w:rsidR="004D224F" w:rsidRPr="00DA20F5" w:rsidTr="00C51124">
        <w:trPr>
          <w:trHeight w:val="275"/>
          <w:jc w:val="center"/>
        </w:trPr>
        <w:tc>
          <w:tcPr>
            <w:tcW w:w="2075" w:type="dxa"/>
            <w:vMerge w:val="restart"/>
            <w:shd w:val="clear" w:color="auto" w:fill="4F81BD" w:themeFill="accent1"/>
            <w:hideMark/>
          </w:tcPr>
          <w:p w:rsidR="004D224F" w:rsidRPr="00DA20F5" w:rsidRDefault="004D224F" w:rsidP="00D36FB8">
            <w:pPr>
              <w:jc w:val="center"/>
              <w:rPr>
                <w:color w:val="FFFFFF" w:themeColor="background1"/>
                <w:sz w:val="20"/>
                <w:szCs w:val="20"/>
              </w:rPr>
            </w:pPr>
            <w:r w:rsidRPr="00DA20F5">
              <w:rPr>
                <w:color w:val="FFFFFF" w:themeColor="background1"/>
                <w:sz w:val="20"/>
                <w:szCs w:val="20"/>
              </w:rPr>
              <w:t> </w:t>
            </w:r>
          </w:p>
          <w:p w:rsidR="004D224F" w:rsidRPr="00DA20F5" w:rsidRDefault="004D224F" w:rsidP="00D36FB8">
            <w:pPr>
              <w:jc w:val="center"/>
              <w:rPr>
                <w:color w:val="FFFFFF" w:themeColor="background1"/>
                <w:sz w:val="20"/>
                <w:szCs w:val="20"/>
              </w:rPr>
            </w:pPr>
            <w:r w:rsidRPr="00DA20F5">
              <w:rPr>
                <w:b/>
                <w:color w:val="FFFFFF" w:themeColor="background1"/>
              </w:rPr>
              <w:t>Rok</w:t>
            </w:r>
          </w:p>
        </w:tc>
        <w:tc>
          <w:tcPr>
            <w:tcW w:w="2043" w:type="dxa"/>
            <w:vMerge w:val="restart"/>
            <w:shd w:val="clear" w:color="auto" w:fill="4F81BD" w:themeFill="accent1"/>
          </w:tcPr>
          <w:p w:rsidR="004D224F" w:rsidRPr="00DA20F5" w:rsidRDefault="004D224F" w:rsidP="00D36FB8">
            <w:pPr>
              <w:jc w:val="center"/>
              <w:rPr>
                <w:color w:val="FFFFFF" w:themeColor="background1"/>
                <w:sz w:val="20"/>
                <w:szCs w:val="20"/>
              </w:rPr>
            </w:pPr>
          </w:p>
          <w:p w:rsidR="004D224F" w:rsidRPr="00DA20F5" w:rsidRDefault="004D224F" w:rsidP="00D36FB8">
            <w:pPr>
              <w:jc w:val="center"/>
              <w:rPr>
                <w:b/>
                <w:color w:val="FFFFFF" w:themeColor="background1"/>
                <w:sz w:val="24"/>
              </w:rPr>
            </w:pPr>
            <w:r w:rsidRPr="00DA20F5">
              <w:rPr>
                <w:b/>
                <w:color w:val="FFFFFF" w:themeColor="background1"/>
              </w:rPr>
              <w:t>Počet detí spolu</w:t>
            </w:r>
          </w:p>
          <w:p w:rsidR="004D224F" w:rsidRPr="00DA20F5" w:rsidRDefault="004D224F" w:rsidP="00D36FB8">
            <w:pPr>
              <w:jc w:val="center"/>
              <w:rPr>
                <w:color w:val="FFFFFF" w:themeColor="background1"/>
                <w:sz w:val="20"/>
                <w:szCs w:val="20"/>
              </w:rPr>
            </w:pPr>
            <w:r w:rsidRPr="00DA20F5">
              <w:rPr>
                <w:color w:val="FFFFFF" w:themeColor="background1"/>
                <w:sz w:val="20"/>
                <w:szCs w:val="20"/>
              </w:rPr>
              <w:t> </w:t>
            </w:r>
          </w:p>
        </w:tc>
        <w:tc>
          <w:tcPr>
            <w:tcW w:w="4567" w:type="dxa"/>
            <w:gridSpan w:val="4"/>
            <w:shd w:val="clear" w:color="auto" w:fill="4F81BD" w:themeFill="accent1"/>
            <w:hideMark/>
          </w:tcPr>
          <w:p w:rsidR="004D224F" w:rsidRPr="00DA20F5" w:rsidRDefault="004D224F" w:rsidP="00D36FB8">
            <w:pPr>
              <w:jc w:val="center"/>
              <w:rPr>
                <w:b/>
                <w:color w:val="FFFFFF" w:themeColor="background1"/>
                <w:sz w:val="20"/>
                <w:szCs w:val="20"/>
              </w:rPr>
            </w:pPr>
            <w:r w:rsidRPr="00DA20F5">
              <w:rPr>
                <w:b/>
                <w:color w:val="FFFFFF" w:themeColor="background1"/>
                <w:sz w:val="20"/>
                <w:szCs w:val="20"/>
              </w:rPr>
              <w:t>Počet detí</w:t>
            </w:r>
          </w:p>
        </w:tc>
      </w:tr>
      <w:tr w:rsidR="004D224F" w:rsidRPr="00DA20F5" w:rsidTr="00C51124">
        <w:trPr>
          <w:trHeight w:val="328"/>
          <w:jc w:val="center"/>
        </w:trPr>
        <w:tc>
          <w:tcPr>
            <w:tcW w:w="2075" w:type="dxa"/>
            <w:vMerge/>
            <w:shd w:val="clear" w:color="auto" w:fill="4F81BD" w:themeFill="accent1"/>
            <w:vAlign w:val="center"/>
            <w:hideMark/>
          </w:tcPr>
          <w:p w:rsidR="004D224F" w:rsidRPr="00DA20F5" w:rsidRDefault="004D224F" w:rsidP="00D36FB8">
            <w:pPr>
              <w:rPr>
                <w:color w:val="FFFFFF" w:themeColor="background1"/>
                <w:sz w:val="20"/>
                <w:szCs w:val="20"/>
              </w:rPr>
            </w:pPr>
          </w:p>
        </w:tc>
        <w:tc>
          <w:tcPr>
            <w:tcW w:w="2043" w:type="dxa"/>
            <w:vMerge/>
            <w:shd w:val="clear" w:color="auto" w:fill="4F81BD" w:themeFill="accent1"/>
            <w:vAlign w:val="center"/>
            <w:hideMark/>
          </w:tcPr>
          <w:p w:rsidR="004D224F" w:rsidRPr="00DA20F5" w:rsidRDefault="004D224F" w:rsidP="00D36FB8">
            <w:pPr>
              <w:rPr>
                <w:color w:val="FFFFFF" w:themeColor="background1"/>
                <w:sz w:val="20"/>
                <w:szCs w:val="20"/>
              </w:rPr>
            </w:pPr>
          </w:p>
        </w:tc>
        <w:tc>
          <w:tcPr>
            <w:tcW w:w="2271" w:type="dxa"/>
            <w:gridSpan w:val="2"/>
            <w:shd w:val="clear" w:color="auto" w:fill="4F81BD" w:themeFill="accent1"/>
            <w:hideMark/>
          </w:tcPr>
          <w:p w:rsidR="004D224F" w:rsidRPr="00DA20F5" w:rsidRDefault="004D224F" w:rsidP="00D36FB8">
            <w:pPr>
              <w:jc w:val="center"/>
              <w:rPr>
                <w:b/>
                <w:color w:val="FFFFFF" w:themeColor="background1"/>
                <w:sz w:val="20"/>
                <w:szCs w:val="20"/>
              </w:rPr>
            </w:pPr>
            <w:r w:rsidRPr="00DA20F5">
              <w:rPr>
                <w:b/>
                <w:color w:val="FFFFFF" w:themeColor="background1"/>
                <w:sz w:val="20"/>
                <w:szCs w:val="20"/>
              </w:rPr>
              <w:t>do 14 rokov</w:t>
            </w:r>
          </w:p>
        </w:tc>
        <w:tc>
          <w:tcPr>
            <w:tcW w:w="2296" w:type="dxa"/>
            <w:gridSpan w:val="2"/>
            <w:shd w:val="clear" w:color="auto" w:fill="4F81BD" w:themeFill="accent1"/>
            <w:hideMark/>
          </w:tcPr>
          <w:p w:rsidR="004D224F" w:rsidRPr="00DA20F5" w:rsidRDefault="004D224F" w:rsidP="00D36FB8">
            <w:pPr>
              <w:jc w:val="center"/>
              <w:rPr>
                <w:b/>
                <w:color w:val="FFFFFF" w:themeColor="background1"/>
                <w:sz w:val="20"/>
                <w:szCs w:val="20"/>
              </w:rPr>
            </w:pPr>
            <w:r w:rsidRPr="00DA20F5">
              <w:rPr>
                <w:b/>
                <w:color w:val="FFFFFF" w:themeColor="background1"/>
                <w:sz w:val="20"/>
                <w:szCs w:val="20"/>
              </w:rPr>
              <w:t>vek 15-18 rokov</w:t>
            </w:r>
          </w:p>
        </w:tc>
      </w:tr>
      <w:tr w:rsidR="004D224F" w:rsidRPr="00DA20F5" w:rsidTr="00C51124">
        <w:trPr>
          <w:trHeight w:val="197"/>
          <w:jc w:val="center"/>
        </w:trPr>
        <w:tc>
          <w:tcPr>
            <w:tcW w:w="2075" w:type="dxa"/>
            <w:vMerge/>
            <w:shd w:val="clear" w:color="auto" w:fill="4F81BD" w:themeFill="accent1"/>
            <w:vAlign w:val="center"/>
            <w:hideMark/>
          </w:tcPr>
          <w:p w:rsidR="004D224F" w:rsidRPr="00DA20F5" w:rsidRDefault="004D224F" w:rsidP="00D36FB8">
            <w:pPr>
              <w:rPr>
                <w:color w:val="FFFFFF" w:themeColor="background1"/>
                <w:sz w:val="20"/>
                <w:szCs w:val="20"/>
              </w:rPr>
            </w:pPr>
          </w:p>
        </w:tc>
        <w:tc>
          <w:tcPr>
            <w:tcW w:w="2043" w:type="dxa"/>
            <w:vMerge/>
            <w:shd w:val="clear" w:color="auto" w:fill="4F81BD" w:themeFill="accent1"/>
            <w:vAlign w:val="center"/>
            <w:hideMark/>
          </w:tcPr>
          <w:p w:rsidR="004D224F" w:rsidRPr="00DA20F5" w:rsidRDefault="004D224F" w:rsidP="00D36FB8">
            <w:pPr>
              <w:rPr>
                <w:color w:val="548DD4" w:themeColor="text2" w:themeTint="99"/>
                <w:sz w:val="20"/>
                <w:szCs w:val="20"/>
              </w:rPr>
            </w:pPr>
          </w:p>
        </w:tc>
        <w:tc>
          <w:tcPr>
            <w:tcW w:w="1260" w:type="dxa"/>
            <w:shd w:val="clear" w:color="auto" w:fill="4F81BD" w:themeFill="accent1"/>
            <w:vAlign w:val="bottom"/>
            <w:hideMark/>
          </w:tcPr>
          <w:p w:rsidR="004D224F" w:rsidRPr="00DA20F5" w:rsidRDefault="004D224F" w:rsidP="00D36FB8">
            <w:pPr>
              <w:jc w:val="center"/>
              <w:rPr>
                <w:b/>
                <w:color w:val="FFFFFF" w:themeColor="background1"/>
                <w:sz w:val="20"/>
                <w:szCs w:val="20"/>
              </w:rPr>
            </w:pPr>
            <w:r w:rsidRPr="00DA20F5">
              <w:rPr>
                <w:b/>
                <w:color w:val="FFFFFF" w:themeColor="background1"/>
                <w:sz w:val="20"/>
                <w:szCs w:val="20"/>
              </w:rPr>
              <w:t>chlapci</w:t>
            </w:r>
          </w:p>
        </w:tc>
        <w:tc>
          <w:tcPr>
            <w:tcW w:w="1011" w:type="dxa"/>
            <w:shd w:val="clear" w:color="auto" w:fill="4F81BD" w:themeFill="accent1"/>
            <w:vAlign w:val="bottom"/>
            <w:hideMark/>
          </w:tcPr>
          <w:p w:rsidR="004D224F" w:rsidRPr="00DA20F5" w:rsidRDefault="004D224F" w:rsidP="00D36FB8">
            <w:pPr>
              <w:jc w:val="center"/>
              <w:rPr>
                <w:b/>
                <w:color w:val="FFFFFF" w:themeColor="background1"/>
                <w:sz w:val="20"/>
                <w:szCs w:val="20"/>
              </w:rPr>
            </w:pPr>
            <w:r w:rsidRPr="00DA20F5">
              <w:rPr>
                <w:b/>
                <w:color w:val="FFFFFF" w:themeColor="background1"/>
                <w:sz w:val="20"/>
                <w:szCs w:val="20"/>
              </w:rPr>
              <w:t>dievčatá</w:t>
            </w:r>
          </w:p>
        </w:tc>
        <w:tc>
          <w:tcPr>
            <w:tcW w:w="1072" w:type="dxa"/>
            <w:shd w:val="clear" w:color="auto" w:fill="4F81BD" w:themeFill="accent1"/>
            <w:vAlign w:val="bottom"/>
            <w:hideMark/>
          </w:tcPr>
          <w:p w:rsidR="004D224F" w:rsidRPr="00DA20F5" w:rsidRDefault="004D224F" w:rsidP="00D36FB8">
            <w:pPr>
              <w:jc w:val="center"/>
              <w:rPr>
                <w:b/>
                <w:color w:val="FFFFFF" w:themeColor="background1"/>
                <w:sz w:val="20"/>
                <w:szCs w:val="20"/>
              </w:rPr>
            </w:pPr>
            <w:r w:rsidRPr="00DA20F5">
              <w:rPr>
                <w:b/>
                <w:color w:val="FFFFFF" w:themeColor="background1"/>
                <w:sz w:val="20"/>
                <w:szCs w:val="20"/>
              </w:rPr>
              <w:t>chlapci</w:t>
            </w:r>
          </w:p>
        </w:tc>
        <w:tc>
          <w:tcPr>
            <w:tcW w:w="1224" w:type="dxa"/>
            <w:shd w:val="clear" w:color="auto" w:fill="4F81BD" w:themeFill="accent1"/>
            <w:vAlign w:val="bottom"/>
            <w:hideMark/>
          </w:tcPr>
          <w:p w:rsidR="004D224F" w:rsidRPr="00DA20F5" w:rsidRDefault="004D224F" w:rsidP="00D36FB8">
            <w:pPr>
              <w:jc w:val="center"/>
              <w:rPr>
                <w:b/>
                <w:color w:val="FFFFFF" w:themeColor="background1"/>
                <w:sz w:val="20"/>
                <w:szCs w:val="20"/>
              </w:rPr>
            </w:pPr>
            <w:r w:rsidRPr="00DA20F5">
              <w:rPr>
                <w:b/>
                <w:color w:val="FFFFFF" w:themeColor="background1"/>
                <w:sz w:val="20"/>
                <w:szCs w:val="20"/>
              </w:rPr>
              <w:t>dievčatá</w:t>
            </w:r>
          </w:p>
        </w:tc>
      </w:tr>
      <w:tr w:rsidR="00894911" w:rsidRPr="00DA20F5" w:rsidTr="00C51124">
        <w:trPr>
          <w:trHeight w:val="552"/>
          <w:jc w:val="center"/>
        </w:trPr>
        <w:tc>
          <w:tcPr>
            <w:tcW w:w="2075" w:type="dxa"/>
            <w:shd w:val="clear" w:color="auto" w:fill="auto"/>
            <w:vAlign w:val="center"/>
          </w:tcPr>
          <w:p w:rsidR="00894911" w:rsidRPr="00DA20F5" w:rsidRDefault="00894911" w:rsidP="00D36FB8">
            <w:pPr>
              <w:jc w:val="center"/>
              <w:rPr>
                <w:b/>
                <w:color w:val="000000" w:themeColor="text1"/>
                <w:szCs w:val="22"/>
              </w:rPr>
            </w:pPr>
            <w:r w:rsidRPr="00DA20F5">
              <w:rPr>
                <w:b/>
                <w:color w:val="000000" w:themeColor="text1"/>
                <w:szCs w:val="22"/>
              </w:rPr>
              <w:t>2010</w:t>
            </w:r>
          </w:p>
        </w:tc>
        <w:tc>
          <w:tcPr>
            <w:tcW w:w="2043" w:type="dxa"/>
            <w:shd w:val="clear" w:color="auto" w:fill="FFFFFF"/>
            <w:vAlign w:val="center"/>
          </w:tcPr>
          <w:p w:rsidR="00894911" w:rsidRPr="00DA20F5" w:rsidRDefault="00894911" w:rsidP="00D36FB8">
            <w:pPr>
              <w:jc w:val="center"/>
              <w:rPr>
                <w:b/>
                <w:szCs w:val="22"/>
              </w:rPr>
            </w:pPr>
            <w:r w:rsidRPr="00DA20F5">
              <w:rPr>
                <w:b/>
                <w:szCs w:val="22"/>
              </w:rPr>
              <w:t>25 021</w:t>
            </w:r>
          </w:p>
        </w:tc>
        <w:tc>
          <w:tcPr>
            <w:tcW w:w="1260" w:type="dxa"/>
            <w:shd w:val="clear" w:color="auto" w:fill="FFFFFF"/>
            <w:vAlign w:val="center"/>
          </w:tcPr>
          <w:p w:rsidR="00894911" w:rsidRPr="00DA20F5" w:rsidRDefault="00894911" w:rsidP="00D36FB8">
            <w:pPr>
              <w:jc w:val="center"/>
              <w:rPr>
                <w:szCs w:val="22"/>
              </w:rPr>
            </w:pPr>
            <w:r w:rsidRPr="00DA20F5">
              <w:rPr>
                <w:szCs w:val="22"/>
              </w:rPr>
              <w:t>5 652</w:t>
            </w:r>
          </w:p>
        </w:tc>
        <w:tc>
          <w:tcPr>
            <w:tcW w:w="1011" w:type="dxa"/>
            <w:shd w:val="clear" w:color="auto" w:fill="FFFFFF"/>
            <w:vAlign w:val="center"/>
          </w:tcPr>
          <w:p w:rsidR="00894911" w:rsidRPr="00DA20F5" w:rsidRDefault="00894911" w:rsidP="00D36FB8">
            <w:pPr>
              <w:jc w:val="center"/>
              <w:rPr>
                <w:szCs w:val="22"/>
              </w:rPr>
            </w:pPr>
            <w:r w:rsidRPr="00DA20F5">
              <w:rPr>
                <w:szCs w:val="22"/>
              </w:rPr>
              <w:t>3 304</w:t>
            </w:r>
          </w:p>
        </w:tc>
        <w:tc>
          <w:tcPr>
            <w:tcW w:w="1072" w:type="dxa"/>
            <w:shd w:val="clear" w:color="auto" w:fill="FFFFFF"/>
            <w:vAlign w:val="center"/>
          </w:tcPr>
          <w:p w:rsidR="00894911" w:rsidRPr="00DA20F5" w:rsidRDefault="00894911" w:rsidP="00D36FB8">
            <w:pPr>
              <w:jc w:val="center"/>
              <w:rPr>
                <w:szCs w:val="22"/>
              </w:rPr>
            </w:pPr>
            <w:r w:rsidRPr="00DA20F5">
              <w:rPr>
                <w:szCs w:val="22"/>
              </w:rPr>
              <w:t>11 819</w:t>
            </w:r>
          </w:p>
        </w:tc>
        <w:tc>
          <w:tcPr>
            <w:tcW w:w="1224" w:type="dxa"/>
            <w:shd w:val="clear" w:color="auto" w:fill="FFFFFF"/>
            <w:vAlign w:val="center"/>
          </w:tcPr>
          <w:p w:rsidR="00894911" w:rsidRPr="00DA20F5" w:rsidRDefault="00894911" w:rsidP="00D36FB8">
            <w:pPr>
              <w:jc w:val="center"/>
              <w:rPr>
                <w:szCs w:val="22"/>
              </w:rPr>
            </w:pPr>
            <w:r w:rsidRPr="00DA20F5">
              <w:rPr>
                <w:szCs w:val="22"/>
              </w:rPr>
              <w:t>4 246</w:t>
            </w:r>
          </w:p>
        </w:tc>
      </w:tr>
      <w:tr w:rsidR="00894911" w:rsidRPr="00DA20F5" w:rsidTr="00C51124">
        <w:trPr>
          <w:trHeight w:val="552"/>
          <w:jc w:val="center"/>
        </w:trPr>
        <w:tc>
          <w:tcPr>
            <w:tcW w:w="2075" w:type="dxa"/>
            <w:shd w:val="clear" w:color="auto" w:fill="auto"/>
            <w:vAlign w:val="center"/>
          </w:tcPr>
          <w:p w:rsidR="00894911" w:rsidRPr="00DA20F5" w:rsidRDefault="00894911" w:rsidP="00D36FB8">
            <w:pPr>
              <w:jc w:val="center"/>
              <w:rPr>
                <w:b/>
                <w:color w:val="000000" w:themeColor="text1"/>
                <w:szCs w:val="22"/>
              </w:rPr>
            </w:pPr>
            <w:r w:rsidRPr="00DA20F5">
              <w:rPr>
                <w:b/>
                <w:color w:val="000000" w:themeColor="text1"/>
                <w:szCs w:val="22"/>
              </w:rPr>
              <w:t>2011</w:t>
            </w:r>
          </w:p>
        </w:tc>
        <w:tc>
          <w:tcPr>
            <w:tcW w:w="2043" w:type="dxa"/>
            <w:shd w:val="clear" w:color="auto" w:fill="FFFFFF"/>
            <w:vAlign w:val="center"/>
          </w:tcPr>
          <w:p w:rsidR="00894911" w:rsidRPr="00DA20F5" w:rsidRDefault="00894911" w:rsidP="00D36FB8">
            <w:pPr>
              <w:jc w:val="center"/>
              <w:rPr>
                <w:b/>
                <w:szCs w:val="22"/>
              </w:rPr>
            </w:pPr>
            <w:r w:rsidRPr="00DA20F5">
              <w:rPr>
                <w:b/>
                <w:szCs w:val="22"/>
              </w:rPr>
              <w:t>26 186</w:t>
            </w:r>
          </w:p>
        </w:tc>
        <w:tc>
          <w:tcPr>
            <w:tcW w:w="1260" w:type="dxa"/>
            <w:shd w:val="clear" w:color="auto" w:fill="FFFFFF"/>
            <w:vAlign w:val="center"/>
          </w:tcPr>
          <w:p w:rsidR="00894911" w:rsidRPr="00DA20F5" w:rsidRDefault="00894911" w:rsidP="00D36FB8">
            <w:pPr>
              <w:jc w:val="center"/>
              <w:rPr>
                <w:szCs w:val="22"/>
              </w:rPr>
            </w:pPr>
            <w:r w:rsidRPr="00DA20F5">
              <w:rPr>
                <w:szCs w:val="22"/>
              </w:rPr>
              <w:t>6 197</w:t>
            </w:r>
          </w:p>
        </w:tc>
        <w:tc>
          <w:tcPr>
            <w:tcW w:w="1011" w:type="dxa"/>
            <w:shd w:val="clear" w:color="auto" w:fill="FFFFFF"/>
            <w:vAlign w:val="center"/>
          </w:tcPr>
          <w:p w:rsidR="00894911" w:rsidRPr="00DA20F5" w:rsidRDefault="00894911" w:rsidP="00D36FB8">
            <w:pPr>
              <w:jc w:val="center"/>
              <w:rPr>
                <w:szCs w:val="22"/>
              </w:rPr>
            </w:pPr>
            <w:r w:rsidRPr="00DA20F5">
              <w:rPr>
                <w:szCs w:val="22"/>
              </w:rPr>
              <w:t>3 111</w:t>
            </w:r>
          </w:p>
        </w:tc>
        <w:tc>
          <w:tcPr>
            <w:tcW w:w="1072" w:type="dxa"/>
            <w:shd w:val="clear" w:color="auto" w:fill="FFFFFF"/>
            <w:vAlign w:val="center"/>
          </w:tcPr>
          <w:p w:rsidR="00894911" w:rsidRPr="00DA20F5" w:rsidRDefault="00894911" w:rsidP="00D36FB8">
            <w:pPr>
              <w:jc w:val="center"/>
              <w:rPr>
                <w:szCs w:val="22"/>
              </w:rPr>
            </w:pPr>
            <w:r w:rsidRPr="00DA20F5">
              <w:rPr>
                <w:szCs w:val="22"/>
              </w:rPr>
              <w:t>12 441</w:t>
            </w:r>
          </w:p>
        </w:tc>
        <w:tc>
          <w:tcPr>
            <w:tcW w:w="1224" w:type="dxa"/>
            <w:shd w:val="clear" w:color="auto" w:fill="FFFFFF"/>
            <w:vAlign w:val="center"/>
          </w:tcPr>
          <w:p w:rsidR="00894911" w:rsidRPr="00DA20F5" w:rsidRDefault="00894911" w:rsidP="00D36FB8">
            <w:pPr>
              <w:jc w:val="center"/>
              <w:rPr>
                <w:szCs w:val="22"/>
              </w:rPr>
            </w:pPr>
            <w:r w:rsidRPr="00DA20F5">
              <w:rPr>
                <w:szCs w:val="22"/>
              </w:rPr>
              <w:t>4 437</w:t>
            </w:r>
          </w:p>
        </w:tc>
      </w:tr>
    </w:tbl>
    <w:p w:rsidR="004D224F" w:rsidRPr="00DA20F5" w:rsidRDefault="004D224F" w:rsidP="00D36FB8">
      <w:pPr>
        <w:pStyle w:val="zdroj"/>
      </w:pPr>
      <w:r w:rsidRPr="00DA20F5">
        <w:t>Zdroj: MPSVR SR</w:t>
      </w:r>
    </w:p>
    <w:p w:rsidR="0012729C" w:rsidRPr="00DA20F5" w:rsidRDefault="0012729C" w:rsidP="00D36FB8">
      <w:pPr>
        <w:pStyle w:val="zdroj"/>
      </w:pPr>
    </w:p>
    <w:p w:rsidR="004D224F" w:rsidRPr="00DA20F5" w:rsidRDefault="004D224F" w:rsidP="00D36FB8">
      <w:pPr>
        <w:rPr>
          <w:b/>
        </w:rPr>
      </w:pPr>
      <w:r w:rsidRPr="00DA20F5">
        <w:rPr>
          <w:b/>
        </w:rPr>
        <w:t>Sociálna kuratela pre plnoleté fyzické osoby</w:t>
      </w:r>
    </w:p>
    <w:p w:rsidR="006B71FA" w:rsidRPr="00DA20F5" w:rsidRDefault="006B71FA" w:rsidP="00D36FB8">
      <w:pPr>
        <w:rPr>
          <w:b/>
        </w:rPr>
      </w:pPr>
    </w:p>
    <w:p w:rsidR="004D224F" w:rsidRPr="00DA20F5" w:rsidRDefault="004D224F" w:rsidP="00D36FB8">
      <w:pPr>
        <w:ind w:firstLine="708"/>
      </w:pPr>
      <w:r w:rsidRPr="00DA20F5">
        <w:t>V roku 2011 bol počet plnoletých fyzických osôb</w:t>
      </w:r>
      <w:r w:rsidR="0063309D" w:rsidRPr="00DA20F5">
        <w:t xml:space="preserve"> - klientov</w:t>
      </w:r>
      <w:r w:rsidRPr="00DA20F5">
        <w:t>, pre ktor</w:t>
      </w:r>
      <w:r w:rsidR="0063309D" w:rsidRPr="00DA20F5">
        <w:t>ých</w:t>
      </w:r>
      <w:r w:rsidR="00AC5AAB" w:rsidRPr="00DA20F5">
        <w:t xml:space="preserve"> </w:t>
      </w:r>
      <w:r w:rsidRPr="00DA20F5">
        <w:t xml:space="preserve">sa opatrenia sociálnej kurately vykonávali </w:t>
      </w:r>
      <w:r w:rsidR="0063309D" w:rsidRPr="00DA20F5">
        <w:t xml:space="preserve">- </w:t>
      </w:r>
      <w:r w:rsidRPr="00DA20F5">
        <w:t>9 299</w:t>
      </w:r>
      <w:r w:rsidR="00AC5AAB" w:rsidRPr="00DA20F5">
        <w:t xml:space="preserve"> </w:t>
      </w:r>
      <w:r w:rsidRPr="00DA20F5">
        <w:t xml:space="preserve">, čo </w:t>
      </w:r>
      <w:r w:rsidR="001A339B" w:rsidRPr="00DA20F5">
        <w:t>v porovnaní s rokom 2010 predstavuje nárast o 364 osôb.</w:t>
      </w:r>
      <w:r w:rsidR="00AC5AAB" w:rsidRPr="00DA20F5">
        <w:t xml:space="preserve"> </w:t>
      </w:r>
      <w:r w:rsidR="001A339B" w:rsidRPr="00DA20F5">
        <w:t>Na jedného sociálneho kurátora pripadalo v priemere 147 klientov</w:t>
      </w:r>
      <w:r w:rsidRPr="00DA20F5">
        <w:t>. V súčasnosti vykonáva sociálnu kuratelu plnoletých fyzických osôb 63 sociálnych kurátorov.</w:t>
      </w:r>
    </w:p>
    <w:p w:rsidR="004D224F" w:rsidRPr="00DA20F5" w:rsidRDefault="004D224F" w:rsidP="00D36FB8">
      <w:pPr>
        <w:ind w:firstLine="708"/>
      </w:pPr>
      <w:r w:rsidRPr="00DA20F5">
        <w:t>Opatrenia sociálnej kurately pre plnoletých boli vykonávané najmä pre klientov po prepustení, prípadne po podmienečnom prepustení z výkonu trestu odňatia slobody. Opatrenia boli vykonávané aj pre plnoletých klientov po prepustení zo zariadenia na výkon ústavnej starostlivosti, po prepustení z resocializačného strediska či zdravotníckeho zariadenia na liečbu drogových závislostí. Najčastejšie bola klientom poskytnutá pomoc v súvislosti s hľadaním zamestnania a hľadaním vhodného bývania.</w:t>
      </w:r>
    </w:p>
    <w:p w:rsidR="004D224F" w:rsidRPr="00DA20F5" w:rsidRDefault="004D224F" w:rsidP="00D36FB8">
      <w:pPr>
        <w:rPr>
          <w:b/>
        </w:rPr>
      </w:pPr>
      <w:r w:rsidRPr="00DA20F5">
        <w:tab/>
        <w:t>V roku 2011 sociálni kurátori poskytli resocializačný príspevok 3 044 osobám (</w:t>
      </w:r>
      <w:r w:rsidRPr="00DA20F5">
        <w:rPr>
          <w:bCs/>
        </w:rPr>
        <w:t xml:space="preserve">tab. </w:t>
      </w:r>
      <w:r w:rsidR="003A7337" w:rsidRPr="00DA20F5">
        <w:rPr>
          <w:bCs/>
        </w:rPr>
        <w:t>13</w:t>
      </w:r>
      <w:r w:rsidRPr="00DA20F5">
        <w:rPr>
          <w:bCs/>
        </w:rPr>
        <w:t xml:space="preserve"> a</w:t>
      </w:r>
      <w:r w:rsidR="00C90EA9" w:rsidRPr="00DA20F5">
        <w:rPr>
          <w:bCs/>
        </w:rPr>
        <w:t> </w:t>
      </w:r>
      <w:r w:rsidR="003A7337" w:rsidRPr="00DA20F5">
        <w:rPr>
          <w:bCs/>
        </w:rPr>
        <w:t>14</w:t>
      </w:r>
      <w:r w:rsidR="00C90EA9" w:rsidRPr="00DA20F5">
        <w:rPr>
          <w:bCs/>
        </w:rPr>
        <w:t xml:space="preserve"> v prílohe ku kapitole 3</w:t>
      </w:r>
      <w:r w:rsidRPr="00DA20F5">
        <w:rPr>
          <w:bCs/>
        </w:rPr>
        <w:t xml:space="preserve">). </w:t>
      </w:r>
      <w:r w:rsidRPr="00DA20F5">
        <w:t>V porovnaní s rokom 2010 bol v roku 201</w:t>
      </w:r>
      <w:r w:rsidR="001A339B" w:rsidRPr="00DA20F5">
        <w:t xml:space="preserve">1 zaznamenaný nárast </w:t>
      </w:r>
      <w:r w:rsidR="00AE6139" w:rsidRPr="00DA20F5">
        <w:t xml:space="preserve">o 214 osôb, s čím súvisí aj nárast </w:t>
      </w:r>
      <w:r w:rsidR="001A339B" w:rsidRPr="00DA20F5">
        <w:t xml:space="preserve">celkovej výšky finančných prostriedkov </w:t>
      </w:r>
      <w:r w:rsidRPr="00DA20F5">
        <w:t>na resocializačný príspevok.</w:t>
      </w:r>
    </w:p>
    <w:p w:rsidR="004D224F" w:rsidRPr="00DA20F5" w:rsidRDefault="004D224F" w:rsidP="00D36FB8">
      <w:pPr>
        <w:rPr>
          <w:b/>
        </w:rPr>
      </w:pPr>
    </w:p>
    <w:p w:rsidR="004D224F" w:rsidRPr="00DA20F5" w:rsidRDefault="004D224F" w:rsidP="00D36FB8">
      <w:pPr>
        <w:rPr>
          <w:b/>
        </w:rPr>
      </w:pPr>
      <w:r w:rsidRPr="00DA20F5">
        <w:rPr>
          <w:b/>
        </w:rPr>
        <w:t xml:space="preserve">Násilie páchané v rodinách, týrané, zanedbávané a zneužívané deti </w:t>
      </w:r>
    </w:p>
    <w:p w:rsidR="004D224F" w:rsidRPr="00DA20F5" w:rsidRDefault="004D224F" w:rsidP="00D36FB8">
      <w:pPr>
        <w:rPr>
          <w:b/>
        </w:rPr>
      </w:pPr>
    </w:p>
    <w:p w:rsidR="004D224F" w:rsidRPr="00DA20F5" w:rsidRDefault="004D224F" w:rsidP="00D36FB8">
      <w:pPr>
        <w:ind w:firstLine="708"/>
      </w:pPr>
      <w:r w:rsidRPr="00DA20F5">
        <w:t>V oblasti násilia páchaného v rodinách, týraných, za</w:t>
      </w:r>
      <w:r w:rsidR="00BE4984" w:rsidRPr="00DA20F5">
        <w:t>nedbávaných a zneužívaných detí</w:t>
      </w:r>
      <w:r w:rsidRPr="00DA20F5">
        <w:t xml:space="preserve"> </w:t>
      </w:r>
      <w:r w:rsidR="0001311C" w:rsidRPr="00DA20F5">
        <w:t>úrady práce</w:t>
      </w:r>
      <w:r w:rsidRPr="00DA20F5">
        <w:t xml:space="preserve"> v sledovanom roku na základe dôvodného podozrenia vykonávali opatrenia SPODaSK celkom pre 422 detí, čo v porovnaní s rokom 2010 predstavuje nárast o 79 detí. Vykonávanie opatrení SPODaSK je zamerané na poskytovanie sociálneho poradenstva, </w:t>
      </w:r>
      <w:r w:rsidR="00BE4984" w:rsidRPr="00DA20F5">
        <w:t xml:space="preserve">na </w:t>
      </w:r>
      <w:r w:rsidRPr="00DA20F5">
        <w:t xml:space="preserve">sociálnu prácu v teréne </w:t>
      </w:r>
      <w:r w:rsidRPr="00DA20F5">
        <w:lastRenderedPageBreak/>
        <w:t xml:space="preserve">a prostredníctvom referátu poradensko-psychologických služieb sa poskytuje najmä psychologické poradenstvo a psychologická pomoc pri sanácii biologickej rodiny v rámci pomoci obetiam násilia. </w:t>
      </w:r>
    </w:p>
    <w:p w:rsidR="004D224F" w:rsidRPr="00DA20F5" w:rsidRDefault="004D224F" w:rsidP="00D36FB8">
      <w:pPr>
        <w:ind w:firstLine="708"/>
      </w:pPr>
      <w:r w:rsidRPr="00DA20F5">
        <w:t>V 68 prípadoch orgány SPOD a SK podali návrh na začatie trestného stíhania. Pomoc deťom týraným, sexuálne zneužívaným a šikanovaným</w:t>
      </w:r>
      <w:r w:rsidR="00AC5AAB" w:rsidRPr="00DA20F5">
        <w:t xml:space="preserve"> </w:t>
      </w:r>
      <w:r w:rsidRPr="00DA20F5">
        <w:t>uvádza tabuľka</w:t>
      </w:r>
      <w:r w:rsidR="00C90EA9" w:rsidRPr="00DA20F5">
        <w:t xml:space="preserve"> 15</w:t>
      </w:r>
      <w:r w:rsidRPr="00DA20F5">
        <w:t xml:space="preserve"> </w:t>
      </w:r>
      <w:r w:rsidR="00C90EA9" w:rsidRPr="00DA20F5">
        <w:rPr>
          <w:bCs/>
        </w:rPr>
        <w:t>v prílohe ku kapitole 3</w:t>
      </w:r>
      <w:r w:rsidRPr="00DA20F5">
        <w:t xml:space="preserve">. </w:t>
      </w:r>
    </w:p>
    <w:p w:rsidR="00DD1349" w:rsidRPr="00DA20F5" w:rsidRDefault="00DD1349" w:rsidP="00D36FB8">
      <w:pPr>
        <w:rPr>
          <w:b/>
        </w:rPr>
      </w:pPr>
    </w:p>
    <w:p w:rsidR="004D224F" w:rsidRPr="00DA20F5" w:rsidRDefault="004D224F" w:rsidP="00D36FB8">
      <w:pPr>
        <w:rPr>
          <w:b/>
        </w:rPr>
      </w:pPr>
      <w:r w:rsidRPr="00DA20F5">
        <w:rPr>
          <w:b/>
        </w:rPr>
        <w:t>Ústavná starostlivosť a ochranná výchova</w:t>
      </w:r>
    </w:p>
    <w:p w:rsidR="004D224F" w:rsidRPr="00DA20F5" w:rsidRDefault="004D224F" w:rsidP="00D36FB8"/>
    <w:p w:rsidR="004D224F" w:rsidRPr="00DA20F5" w:rsidRDefault="004D224F" w:rsidP="00D36FB8">
      <w:r w:rsidRPr="00DA20F5">
        <w:tab/>
        <w:t>K 31.12.2011 bolo evidovaných 4 266</w:t>
      </w:r>
      <w:r w:rsidR="00AC5AAB" w:rsidRPr="00DA20F5">
        <w:t xml:space="preserve"> </w:t>
      </w:r>
      <w:r w:rsidRPr="00DA20F5">
        <w:t>detí s nariadenou ústavnou starostlivosťou a 52 detí malo nariadenú ochrannú výchovu. Celkovo bolo vo všetkých typoch zariadení na výkon rozhodnutia súdu umiestnených 5 401 detí. Počet detí umiestnených na základe rozhodnutia súdu do zariadení na výkon rozhodnutia súdu a ich porovnanie s rokom 2010 uvádza</w:t>
      </w:r>
      <w:r w:rsidR="00AC5AAB" w:rsidRPr="00DA20F5">
        <w:t xml:space="preserve"> </w:t>
      </w:r>
      <w:r w:rsidRPr="00DA20F5">
        <w:t xml:space="preserve">tabuľka </w:t>
      </w:r>
      <w:r w:rsidR="00C90EA9" w:rsidRPr="00DA20F5">
        <w:t xml:space="preserve">16 </w:t>
      </w:r>
      <w:r w:rsidR="00C90EA9" w:rsidRPr="00DA20F5">
        <w:rPr>
          <w:bCs/>
        </w:rPr>
        <w:t>v prílohe ku kapitole 3</w:t>
      </w:r>
      <w:r w:rsidRPr="00DA20F5">
        <w:t xml:space="preserve">. </w:t>
      </w:r>
    </w:p>
    <w:p w:rsidR="004D224F" w:rsidRPr="00DA20F5" w:rsidRDefault="004D224F" w:rsidP="00D36FB8">
      <w:pPr>
        <w:ind w:firstLine="708"/>
      </w:pPr>
      <w:r w:rsidRPr="00DA20F5">
        <w:t xml:space="preserve">K 31.12.2011 bolo na Slovensku </w:t>
      </w:r>
      <w:r w:rsidRPr="00DA20F5">
        <w:rPr>
          <w:i/>
        </w:rPr>
        <w:t>91 detských domovov</w:t>
      </w:r>
      <w:r w:rsidRPr="00DA20F5">
        <w:t xml:space="preserve"> s celkovým počtom </w:t>
      </w:r>
      <w:r w:rsidR="0028665F" w:rsidRPr="00DA20F5">
        <w:t>4 263 </w:t>
      </w:r>
      <w:r w:rsidRPr="00DA20F5">
        <w:t xml:space="preserve">umiestnených maloletých detí a 359 mladých dospelých. Z celkového počtu 91 bolo </w:t>
      </w:r>
      <w:r w:rsidR="00E74836" w:rsidRPr="00DA20F5">
        <w:t xml:space="preserve">71 </w:t>
      </w:r>
      <w:r w:rsidRPr="00DA20F5">
        <w:t>štátnych a 20 neštátnych</w:t>
      </w:r>
      <w:r w:rsidR="00E74836" w:rsidRPr="00DA20F5">
        <w:t xml:space="preserve"> detských domovov</w:t>
      </w:r>
      <w:r w:rsidRPr="00DA20F5">
        <w:t>.</w:t>
      </w:r>
    </w:p>
    <w:p w:rsidR="004D224F" w:rsidRPr="00DA20F5" w:rsidRDefault="004D224F" w:rsidP="00D36FB8">
      <w:pPr>
        <w:ind w:firstLine="708"/>
      </w:pPr>
      <w:r w:rsidRPr="00DA20F5">
        <w:t xml:space="preserve">V detských domovoch sa realizuje nariadená ústavná starostlivosť, predbežné opatrenie a výchovné opatrenie v samostatnej skupine, v špecializovanej samostatnej skupine, v samostatnej diagnostickej skupine a v profesionálnej rodine. </w:t>
      </w:r>
    </w:p>
    <w:p w:rsidR="004D224F" w:rsidRPr="00DA20F5" w:rsidRDefault="004D224F" w:rsidP="00D36FB8">
      <w:pPr>
        <w:ind w:firstLine="708"/>
      </w:pPr>
      <w:r w:rsidRPr="00DA20F5">
        <w:t xml:space="preserve">K 31.12.2011 bolo v detských domovoch 604 </w:t>
      </w:r>
      <w:r w:rsidRPr="00DA20F5">
        <w:rPr>
          <w:i/>
        </w:rPr>
        <w:t xml:space="preserve">profesionálnych rodičov, </w:t>
      </w:r>
      <w:r w:rsidRPr="00DA20F5">
        <w:t>u ktorých</w:t>
      </w:r>
      <w:r w:rsidR="00AC5AAB" w:rsidRPr="00DA20F5">
        <w:t xml:space="preserve"> </w:t>
      </w:r>
      <w:r w:rsidRPr="00DA20F5">
        <w:t>bolo umiestnených 1</w:t>
      </w:r>
      <w:r w:rsidR="0063309D" w:rsidRPr="00DA20F5">
        <w:t xml:space="preserve"> </w:t>
      </w:r>
      <w:r w:rsidRPr="00DA20F5">
        <w:t>139</w:t>
      </w:r>
      <w:r w:rsidR="00AC5AAB" w:rsidRPr="00DA20F5">
        <w:t xml:space="preserve"> </w:t>
      </w:r>
      <w:r w:rsidRPr="00DA20F5">
        <w:t>detí a mladých dospelých , čo v porovnaní s rokom 2010 predstavuje nárast o 145 detí a mladých dospelých. Formy starostlivosti v detských domovoch a počty umiestnených detí v jednotlivých formách sta</w:t>
      </w:r>
      <w:r w:rsidR="00E74836" w:rsidRPr="00DA20F5">
        <w:t>rostlivosti v detských domovoch</w:t>
      </w:r>
      <w:r w:rsidRPr="00DA20F5">
        <w:t xml:space="preserve"> uvádzajú tabuľky </w:t>
      </w:r>
      <w:r w:rsidR="00C90EA9" w:rsidRPr="00DA20F5">
        <w:t>17</w:t>
      </w:r>
      <w:r w:rsidRPr="00DA20F5">
        <w:t xml:space="preserve"> a</w:t>
      </w:r>
      <w:r w:rsidR="000146F1" w:rsidRPr="00DA20F5">
        <w:t> </w:t>
      </w:r>
      <w:r w:rsidR="00C90EA9" w:rsidRPr="00DA20F5">
        <w:t>18</w:t>
      </w:r>
      <w:r w:rsidR="000146F1" w:rsidRPr="00DA20F5">
        <w:t xml:space="preserve"> </w:t>
      </w:r>
      <w:r w:rsidR="0028665F" w:rsidRPr="00DA20F5">
        <w:rPr>
          <w:bCs/>
        </w:rPr>
        <w:t>v prílohe ku </w:t>
      </w:r>
      <w:r w:rsidR="000146F1" w:rsidRPr="00DA20F5">
        <w:rPr>
          <w:bCs/>
        </w:rPr>
        <w:t>kapitole 3.</w:t>
      </w:r>
    </w:p>
    <w:p w:rsidR="004D224F" w:rsidRPr="00DA20F5" w:rsidRDefault="004D224F" w:rsidP="00D36FB8">
      <w:pPr>
        <w:spacing w:after="120"/>
        <w:jc w:val="center"/>
        <w:rPr>
          <w:b/>
        </w:rPr>
      </w:pPr>
    </w:p>
    <w:p w:rsidR="004D224F" w:rsidRPr="00DA20F5" w:rsidRDefault="004D224F" w:rsidP="00D36FB8">
      <w:pPr>
        <w:rPr>
          <w:b/>
        </w:rPr>
      </w:pPr>
      <w:r w:rsidRPr="00DA20F5">
        <w:rPr>
          <w:b/>
        </w:rPr>
        <w:t>Maloletí bez sprievodu a repatriácie</w:t>
      </w:r>
    </w:p>
    <w:p w:rsidR="004D224F" w:rsidRPr="00DA20F5" w:rsidRDefault="004D224F" w:rsidP="00D36FB8">
      <w:pPr>
        <w:ind w:firstLine="708"/>
      </w:pPr>
    </w:p>
    <w:p w:rsidR="004D224F" w:rsidRPr="00DA20F5" w:rsidRDefault="004D224F" w:rsidP="00D36FB8">
      <w:pPr>
        <w:ind w:firstLine="708"/>
        <w:rPr>
          <w:b/>
        </w:rPr>
      </w:pPr>
      <w:r w:rsidRPr="00DA20F5">
        <w:t>V roku 2011 boli vykonané opatrenia SPODaSK pre 169 malol</w:t>
      </w:r>
      <w:r w:rsidR="0028665F" w:rsidRPr="00DA20F5">
        <w:t>etých bez sprievodu, čo je o 95 </w:t>
      </w:r>
      <w:r w:rsidRPr="00DA20F5">
        <w:t xml:space="preserve">maloletých bez sprievodu menej ako v roku 2010. </w:t>
      </w:r>
    </w:p>
    <w:p w:rsidR="004D224F" w:rsidRPr="00DA20F5" w:rsidRDefault="0085181B" w:rsidP="00D36FB8">
      <w:pPr>
        <w:ind w:firstLine="708"/>
        <w:rPr>
          <w:b/>
        </w:rPr>
      </w:pPr>
      <w:r w:rsidRPr="00DA20F5">
        <w:t>P</w:t>
      </w:r>
      <w:r w:rsidR="004D224F" w:rsidRPr="00DA20F5">
        <w:t xml:space="preserve">roces repatriácie detí </w:t>
      </w:r>
      <w:r w:rsidRPr="00DA20F5">
        <w:t xml:space="preserve">sa </w:t>
      </w:r>
      <w:r w:rsidR="004D224F" w:rsidRPr="00DA20F5">
        <w:t>realizoval u</w:t>
      </w:r>
      <w:r w:rsidR="00AC5AAB" w:rsidRPr="00DA20F5">
        <w:t xml:space="preserve"> </w:t>
      </w:r>
      <w:r w:rsidR="004D224F" w:rsidRPr="00DA20F5">
        <w:t>33 de</w:t>
      </w:r>
      <w:r w:rsidRPr="00DA20F5">
        <w:t>ťoch</w:t>
      </w:r>
      <w:r w:rsidR="004D224F" w:rsidRPr="00DA20F5">
        <w:t xml:space="preserve">, ktoré sa ocitli na území iného štátu bez sprievodu rodiča, príbuzného alebo osoby, ktorá sa o dieťa osobne stará. Z uvedeného počtu detí bolo 20 detí navrátených na územie Slovenskej republiky a 13 detí bolo premiestnených na naše územie. </w:t>
      </w:r>
    </w:p>
    <w:p w:rsidR="004D224F" w:rsidRPr="00DA20F5" w:rsidRDefault="004D224F" w:rsidP="00D36FB8">
      <w:pPr>
        <w:rPr>
          <w:b/>
        </w:rPr>
      </w:pPr>
    </w:p>
    <w:p w:rsidR="004D224F" w:rsidRPr="00DA20F5" w:rsidRDefault="004D224F" w:rsidP="00D36FB8">
      <w:pPr>
        <w:rPr>
          <w:b/>
        </w:rPr>
      </w:pPr>
      <w:r w:rsidRPr="00DA20F5">
        <w:rPr>
          <w:b/>
        </w:rPr>
        <w:t>Náhradná rodinná starostlivosť – náhradná osobná starostlivosť, pestúnska starostlivosť, poručníctvo, predosvojiteľská starostlivosť a osvojenie.</w:t>
      </w:r>
    </w:p>
    <w:p w:rsidR="0085181B" w:rsidRPr="00DA20F5" w:rsidRDefault="0085181B" w:rsidP="00D36FB8">
      <w:pPr>
        <w:ind w:firstLine="708"/>
      </w:pPr>
    </w:p>
    <w:p w:rsidR="004D224F" w:rsidRPr="00DA20F5" w:rsidRDefault="0085181B" w:rsidP="00D36FB8">
      <w:pPr>
        <w:ind w:firstLine="708"/>
      </w:pPr>
      <w:r w:rsidRPr="00DA20F5">
        <w:t>V</w:t>
      </w:r>
      <w:r w:rsidR="004D224F" w:rsidRPr="00DA20F5">
        <w:t xml:space="preserve"> roku 2011 </w:t>
      </w:r>
      <w:r w:rsidRPr="00DA20F5">
        <w:t>bolo 1 816 detí zverených</w:t>
      </w:r>
      <w:r w:rsidR="004D224F" w:rsidRPr="00DA20F5">
        <w:t xml:space="preserve"> do náhradného rodinného prostredia (náhradná osobná starostlivosť, pestúnska starostlivosť, poručníctvo a predosvojiteľská starostlivosť)</w:t>
      </w:r>
      <w:r w:rsidRPr="00DA20F5">
        <w:t>. P</w:t>
      </w:r>
      <w:r w:rsidR="004D224F" w:rsidRPr="00DA20F5">
        <w:t xml:space="preserve">orovnanie </w:t>
      </w:r>
      <w:r w:rsidRPr="00DA20F5">
        <w:t>s</w:t>
      </w:r>
      <w:r w:rsidR="004D224F" w:rsidRPr="00DA20F5">
        <w:t xml:space="preserve"> predchádzajúcim rokom je uvedené v tab. </w:t>
      </w:r>
      <w:r w:rsidR="00C90EA9" w:rsidRPr="00DA20F5">
        <w:t>19</w:t>
      </w:r>
      <w:r w:rsidR="000146F1" w:rsidRPr="00DA20F5">
        <w:t xml:space="preserve"> </w:t>
      </w:r>
      <w:r w:rsidR="000146F1" w:rsidRPr="00DA20F5">
        <w:rPr>
          <w:bCs/>
        </w:rPr>
        <w:t>v prílohe ku kapitole 3</w:t>
      </w:r>
      <w:r w:rsidR="00C90EA9" w:rsidRPr="00DA20F5">
        <w:t>.</w:t>
      </w:r>
    </w:p>
    <w:p w:rsidR="004D224F" w:rsidRPr="00DA20F5" w:rsidRDefault="004D224F" w:rsidP="00D36FB8">
      <w:pPr>
        <w:ind w:firstLine="708"/>
      </w:pPr>
      <w:r w:rsidRPr="00DA20F5">
        <w:t xml:space="preserve">K 31.12.2011 </w:t>
      </w:r>
      <w:r w:rsidR="0085181B" w:rsidRPr="00DA20F5">
        <w:t>predstavoval</w:t>
      </w:r>
      <w:r w:rsidR="0063309D" w:rsidRPr="00DA20F5">
        <w:t>i</w:t>
      </w:r>
      <w:r w:rsidR="0085181B" w:rsidRPr="00DA20F5">
        <w:t xml:space="preserve"> </w:t>
      </w:r>
      <w:r w:rsidR="0063309D" w:rsidRPr="00DA20F5">
        <w:t>deti,</w:t>
      </w:r>
      <w:r w:rsidRPr="00DA20F5">
        <w:t xml:space="preserve"> zveren</w:t>
      </w:r>
      <w:r w:rsidR="0063309D" w:rsidRPr="00DA20F5">
        <w:t>é</w:t>
      </w:r>
      <w:r w:rsidR="0085181B" w:rsidRPr="00DA20F5">
        <w:t xml:space="preserve"> do</w:t>
      </w:r>
      <w:r w:rsidRPr="00DA20F5">
        <w:t> náhradnej osobnej starostlivosti, pestúnskej starostlivosti a</w:t>
      </w:r>
      <w:r w:rsidR="00AC5AAB" w:rsidRPr="00DA20F5">
        <w:t xml:space="preserve"> </w:t>
      </w:r>
      <w:r w:rsidRPr="00DA20F5">
        <w:t>poručníctv</w:t>
      </w:r>
      <w:r w:rsidR="0085181B" w:rsidRPr="00DA20F5">
        <w:t>a</w:t>
      </w:r>
      <w:r w:rsidRPr="00DA20F5">
        <w:t xml:space="preserve"> </w:t>
      </w:r>
      <w:r w:rsidR="0063309D" w:rsidRPr="00DA20F5">
        <w:t xml:space="preserve">celkový počet </w:t>
      </w:r>
      <w:r w:rsidRPr="00DA20F5">
        <w:t>8</w:t>
      </w:r>
      <w:r w:rsidR="0063309D" w:rsidRPr="00DA20F5">
        <w:t> </w:t>
      </w:r>
      <w:r w:rsidRPr="00DA20F5">
        <w:t>661</w:t>
      </w:r>
      <w:r w:rsidR="0063309D" w:rsidRPr="00DA20F5">
        <w:t xml:space="preserve"> detí</w:t>
      </w:r>
      <w:r w:rsidRPr="00DA20F5">
        <w:t>. Celkový počet detí zverených do jednotlivých foriem ná</w:t>
      </w:r>
      <w:r w:rsidR="0085181B" w:rsidRPr="00DA20F5">
        <w:t>hradnej rodinnej starostlivosti</w:t>
      </w:r>
      <w:r w:rsidRPr="00DA20F5">
        <w:t xml:space="preserve"> a porovnanie s predchádzajúcim rokom</w:t>
      </w:r>
      <w:r w:rsidR="00AC5AAB" w:rsidRPr="00DA20F5">
        <w:t xml:space="preserve"> </w:t>
      </w:r>
      <w:r w:rsidRPr="00DA20F5">
        <w:t xml:space="preserve">uvádza tabuľka </w:t>
      </w:r>
      <w:r w:rsidR="00C725F5" w:rsidRPr="00DA20F5">
        <w:t>3.16</w:t>
      </w:r>
      <w:r w:rsidRPr="00DA20F5">
        <w:t xml:space="preserve">. </w:t>
      </w:r>
    </w:p>
    <w:p w:rsidR="004D224F" w:rsidRPr="00DA20F5" w:rsidRDefault="004D224F" w:rsidP="00D36FB8">
      <w:pPr>
        <w:ind w:firstLine="708"/>
      </w:pPr>
      <w:r w:rsidRPr="00DA20F5">
        <w:t>V roku 2011 bolo právoplatným rozhodnutím súdu osvojených 356 detí.</w:t>
      </w:r>
      <w:r w:rsidR="00AC5AAB" w:rsidRPr="00DA20F5">
        <w:t xml:space="preserve"> </w:t>
      </w:r>
      <w:r w:rsidRPr="00DA20F5">
        <w:t>V počte osvojených detí sú zahrnuté aj deti osvojené do cudziny. Do predosvojiteľskej starostlivosti do cudziny bolo v</w:t>
      </w:r>
      <w:r w:rsidR="0028665F" w:rsidRPr="00DA20F5">
        <w:t> </w:t>
      </w:r>
      <w:r w:rsidRPr="00DA20F5">
        <w:t xml:space="preserve">roku 2011 osvojených 30 detí. </w:t>
      </w:r>
    </w:p>
    <w:p w:rsidR="004D224F" w:rsidRPr="00DA20F5" w:rsidRDefault="007B3C86" w:rsidP="00D36FB8">
      <w:pPr>
        <w:pStyle w:val="Nadpis7"/>
      </w:pPr>
      <w:bookmarkStart w:id="1181" w:name="_Toc325438213"/>
      <w:bookmarkStart w:id="1182" w:name="_Toc325440982"/>
      <w:bookmarkStart w:id="1183" w:name="_Toc325626795"/>
      <w:bookmarkStart w:id="1184" w:name="_Toc326217056"/>
      <w:r w:rsidRPr="00DA20F5">
        <w:rPr>
          <w:bCs/>
          <w:iCs/>
          <w:lang w:eastAsia="cs-CZ"/>
        </w:rPr>
        <w:t>Tab. 3.1</w:t>
      </w:r>
      <w:r w:rsidRPr="00DA20F5">
        <w:rPr>
          <w:bCs/>
          <w:iCs/>
        </w:rPr>
        <w:t>6</w:t>
      </w:r>
      <w:r w:rsidR="00AC5AAB" w:rsidRPr="00DA20F5">
        <w:rPr>
          <w:bCs/>
          <w:iCs/>
          <w:lang w:eastAsia="cs-CZ"/>
        </w:rPr>
        <w:t xml:space="preserve"> </w:t>
      </w:r>
      <w:r w:rsidR="004D224F" w:rsidRPr="00DA20F5">
        <w:t>Počet detí zve</w:t>
      </w:r>
      <w:r w:rsidR="0065142D" w:rsidRPr="00DA20F5">
        <w:t>rených do náhradných rodín -2010</w:t>
      </w:r>
      <w:r w:rsidR="004D224F" w:rsidRPr="00DA20F5">
        <w:t>-201</w:t>
      </w:r>
      <w:r w:rsidR="0065142D" w:rsidRPr="00DA20F5">
        <w:t>1</w:t>
      </w:r>
      <w:bookmarkEnd w:id="1181"/>
      <w:bookmarkEnd w:id="1182"/>
      <w:bookmarkEnd w:id="1183"/>
      <w:bookmarkEnd w:id="1184"/>
    </w:p>
    <w:tbl>
      <w:tblPr>
        <w:tblW w:w="9300" w:type="dxa"/>
        <w:jc w:val="center"/>
        <w:tblInd w:w="-3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1E0" w:firstRow="1" w:lastRow="1" w:firstColumn="1" w:lastColumn="1" w:noHBand="0" w:noVBand="0"/>
      </w:tblPr>
      <w:tblGrid>
        <w:gridCol w:w="1242"/>
        <w:gridCol w:w="1843"/>
        <w:gridCol w:w="1658"/>
        <w:gridCol w:w="1702"/>
        <w:gridCol w:w="1693"/>
        <w:gridCol w:w="1162"/>
      </w:tblGrid>
      <w:tr w:rsidR="004D224F" w:rsidRPr="00DA20F5" w:rsidTr="0028665F">
        <w:trPr>
          <w:trHeight w:val="381"/>
          <w:jc w:val="center"/>
        </w:trPr>
        <w:tc>
          <w:tcPr>
            <w:tcW w:w="1242" w:type="dxa"/>
            <w:shd w:val="clear" w:color="auto" w:fill="4F81BD" w:themeFill="accent1"/>
            <w:vAlign w:val="center"/>
          </w:tcPr>
          <w:p w:rsidR="004D224F" w:rsidRPr="00DA20F5" w:rsidRDefault="004D224F" w:rsidP="00D36FB8">
            <w:pPr>
              <w:jc w:val="center"/>
              <w:rPr>
                <w:b/>
                <w:color w:val="FFFFFF" w:themeColor="background1"/>
              </w:rPr>
            </w:pPr>
            <w:r w:rsidRPr="00DA20F5">
              <w:rPr>
                <w:b/>
                <w:color w:val="FFFFFF" w:themeColor="background1"/>
              </w:rPr>
              <w:t>rok</w:t>
            </w:r>
          </w:p>
        </w:tc>
        <w:tc>
          <w:tcPr>
            <w:tcW w:w="1843" w:type="dxa"/>
            <w:shd w:val="clear" w:color="auto" w:fill="4F81BD" w:themeFill="accent1"/>
            <w:vAlign w:val="center"/>
            <w:hideMark/>
          </w:tcPr>
          <w:p w:rsidR="004D224F" w:rsidRPr="00DA20F5" w:rsidRDefault="004D224F" w:rsidP="00D36FB8">
            <w:pPr>
              <w:jc w:val="center"/>
              <w:rPr>
                <w:b/>
                <w:color w:val="FFFFFF" w:themeColor="background1"/>
              </w:rPr>
            </w:pPr>
            <w:r w:rsidRPr="00DA20F5">
              <w:rPr>
                <w:b/>
                <w:color w:val="FFFFFF" w:themeColor="background1"/>
              </w:rPr>
              <w:t>Osvojenie</w:t>
            </w:r>
          </w:p>
          <w:p w:rsidR="004D224F" w:rsidRPr="00DA20F5" w:rsidRDefault="004D224F" w:rsidP="00D36FB8">
            <w:pPr>
              <w:jc w:val="center"/>
              <w:rPr>
                <w:b/>
                <w:color w:val="FFFFFF" w:themeColor="background1"/>
              </w:rPr>
            </w:pPr>
            <w:r w:rsidRPr="00DA20F5">
              <w:rPr>
                <w:b/>
                <w:color w:val="FFFFFF" w:themeColor="background1"/>
              </w:rPr>
              <w:t>(zverené do predosvojiteľskej starostlivosti)</w:t>
            </w:r>
          </w:p>
        </w:tc>
        <w:tc>
          <w:tcPr>
            <w:tcW w:w="1658" w:type="dxa"/>
            <w:shd w:val="clear" w:color="auto" w:fill="4F81BD" w:themeFill="accent1"/>
            <w:vAlign w:val="center"/>
          </w:tcPr>
          <w:p w:rsidR="004D224F" w:rsidRPr="00DA20F5" w:rsidRDefault="004D224F" w:rsidP="00D36FB8">
            <w:pPr>
              <w:jc w:val="center"/>
              <w:rPr>
                <w:b/>
                <w:color w:val="FFFFFF" w:themeColor="background1"/>
              </w:rPr>
            </w:pPr>
            <w:r w:rsidRPr="00DA20F5">
              <w:rPr>
                <w:b/>
                <w:color w:val="FFFFFF" w:themeColor="background1"/>
              </w:rPr>
              <w:t>Náhradná osobná starostlivosť</w:t>
            </w:r>
          </w:p>
        </w:tc>
        <w:tc>
          <w:tcPr>
            <w:tcW w:w="1702" w:type="dxa"/>
            <w:shd w:val="clear" w:color="auto" w:fill="4F81BD" w:themeFill="accent1"/>
            <w:vAlign w:val="center"/>
          </w:tcPr>
          <w:p w:rsidR="004D224F" w:rsidRPr="00DA20F5" w:rsidRDefault="004D224F" w:rsidP="00D36FB8">
            <w:pPr>
              <w:jc w:val="center"/>
              <w:rPr>
                <w:b/>
                <w:color w:val="FFFFFF" w:themeColor="background1"/>
              </w:rPr>
            </w:pPr>
            <w:r w:rsidRPr="00DA20F5">
              <w:rPr>
                <w:b/>
                <w:color w:val="FFFFFF" w:themeColor="background1"/>
              </w:rPr>
              <w:t>Pestúnska starostlivosť</w:t>
            </w:r>
          </w:p>
        </w:tc>
        <w:tc>
          <w:tcPr>
            <w:tcW w:w="1693" w:type="dxa"/>
            <w:shd w:val="clear" w:color="auto" w:fill="4F81BD" w:themeFill="accent1"/>
            <w:vAlign w:val="center"/>
            <w:hideMark/>
          </w:tcPr>
          <w:p w:rsidR="004D224F" w:rsidRPr="00DA20F5" w:rsidRDefault="004D224F" w:rsidP="00D36FB8">
            <w:pPr>
              <w:jc w:val="center"/>
              <w:rPr>
                <w:b/>
                <w:color w:val="FFFFFF" w:themeColor="background1"/>
              </w:rPr>
            </w:pPr>
            <w:bookmarkStart w:id="1185" w:name="_Toc325438214"/>
            <w:r w:rsidRPr="00DA20F5">
              <w:rPr>
                <w:b/>
                <w:color w:val="FFFFFF" w:themeColor="background1"/>
              </w:rPr>
              <w:t>Poručníctvo</w:t>
            </w:r>
            <w:bookmarkEnd w:id="1185"/>
          </w:p>
        </w:tc>
        <w:tc>
          <w:tcPr>
            <w:tcW w:w="1162" w:type="dxa"/>
            <w:shd w:val="clear" w:color="auto" w:fill="4F81BD" w:themeFill="accent1"/>
            <w:vAlign w:val="center"/>
          </w:tcPr>
          <w:p w:rsidR="004D224F" w:rsidRPr="00DA20F5" w:rsidRDefault="004D224F" w:rsidP="00D36FB8">
            <w:pPr>
              <w:jc w:val="center"/>
              <w:rPr>
                <w:b/>
                <w:color w:val="FFFFFF" w:themeColor="background1"/>
              </w:rPr>
            </w:pPr>
            <w:r w:rsidRPr="00DA20F5">
              <w:rPr>
                <w:b/>
                <w:color w:val="FFFFFF" w:themeColor="background1"/>
              </w:rPr>
              <w:t>Spolu</w:t>
            </w:r>
          </w:p>
        </w:tc>
      </w:tr>
      <w:tr w:rsidR="004D224F" w:rsidRPr="00DA20F5" w:rsidTr="0028665F">
        <w:trPr>
          <w:trHeight w:val="98"/>
          <w:jc w:val="center"/>
        </w:trPr>
        <w:tc>
          <w:tcPr>
            <w:tcW w:w="1242" w:type="dxa"/>
            <w:vAlign w:val="center"/>
            <w:hideMark/>
          </w:tcPr>
          <w:p w:rsidR="004D224F" w:rsidRPr="00DA20F5" w:rsidRDefault="004D224F" w:rsidP="00D36FB8">
            <w:pPr>
              <w:jc w:val="center"/>
              <w:rPr>
                <w:b/>
              </w:rPr>
            </w:pPr>
            <w:r w:rsidRPr="00DA20F5">
              <w:rPr>
                <w:b/>
              </w:rPr>
              <w:t>2010</w:t>
            </w:r>
          </w:p>
        </w:tc>
        <w:tc>
          <w:tcPr>
            <w:tcW w:w="1843" w:type="dxa"/>
            <w:vAlign w:val="center"/>
            <w:hideMark/>
          </w:tcPr>
          <w:p w:rsidR="004D224F" w:rsidRPr="00DA20F5" w:rsidRDefault="004D224F" w:rsidP="00D36FB8">
            <w:pPr>
              <w:jc w:val="center"/>
            </w:pPr>
            <w:r w:rsidRPr="00DA20F5">
              <w:t>297</w:t>
            </w:r>
          </w:p>
        </w:tc>
        <w:tc>
          <w:tcPr>
            <w:tcW w:w="1658" w:type="dxa"/>
            <w:vAlign w:val="center"/>
            <w:hideMark/>
          </w:tcPr>
          <w:p w:rsidR="004D224F" w:rsidRPr="00DA20F5" w:rsidRDefault="004D224F" w:rsidP="00D36FB8">
            <w:pPr>
              <w:jc w:val="center"/>
            </w:pPr>
            <w:r w:rsidRPr="00DA20F5">
              <w:t>1080</w:t>
            </w:r>
          </w:p>
        </w:tc>
        <w:tc>
          <w:tcPr>
            <w:tcW w:w="1702" w:type="dxa"/>
            <w:vAlign w:val="center"/>
            <w:hideMark/>
          </w:tcPr>
          <w:p w:rsidR="004D224F" w:rsidRPr="00DA20F5" w:rsidRDefault="004D224F" w:rsidP="00D36FB8">
            <w:pPr>
              <w:jc w:val="center"/>
            </w:pPr>
            <w:r w:rsidRPr="00DA20F5">
              <w:t>281</w:t>
            </w:r>
          </w:p>
        </w:tc>
        <w:tc>
          <w:tcPr>
            <w:tcW w:w="1693" w:type="dxa"/>
            <w:vAlign w:val="center"/>
            <w:hideMark/>
          </w:tcPr>
          <w:p w:rsidR="004D224F" w:rsidRPr="00DA20F5" w:rsidRDefault="004D224F" w:rsidP="00D36FB8">
            <w:pPr>
              <w:jc w:val="center"/>
            </w:pPr>
            <w:r w:rsidRPr="00DA20F5">
              <w:t>200</w:t>
            </w:r>
          </w:p>
        </w:tc>
        <w:tc>
          <w:tcPr>
            <w:tcW w:w="1162" w:type="dxa"/>
            <w:vAlign w:val="center"/>
            <w:hideMark/>
          </w:tcPr>
          <w:p w:rsidR="004D224F" w:rsidRPr="00DA20F5" w:rsidRDefault="004D224F" w:rsidP="00D36FB8">
            <w:pPr>
              <w:jc w:val="center"/>
              <w:rPr>
                <w:b/>
              </w:rPr>
            </w:pPr>
            <w:r w:rsidRPr="00DA20F5">
              <w:rPr>
                <w:b/>
              </w:rPr>
              <w:t>1 858</w:t>
            </w:r>
          </w:p>
        </w:tc>
      </w:tr>
      <w:tr w:rsidR="004D224F" w:rsidRPr="00DA20F5" w:rsidTr="0028665F">
        <w:trPr>
          <w:trHeight w:val="202"/>
          <w:jc w:val="center"/>
        </w:trPr>
        <w:tc>
          <w:tcPr>
            <w:tcW w:w="1242" w:type="dxa"/>
          </w:tcPr>
          <w:p w:rsidR="004D224F" w:rsidRPr="00DA20F5" w:rsidRDefault="004D224F" w:rsidP="00D36FB8">
            <w:pPr>
              <w:jc w:val="center"/>
              <w:rPr>
                <w:b/>
              </w:rPr>
            </w:pPr>
            <w:r w:rsidRPr="00DA20F5">
              <w:rPr>
                <w:b/>
              </w:rPr>
              <w:t>2011</w:t>
            </w:r>
          </w:p>
        </w:tc>
        <w:tc>
          <w:tcPr>
            <w:tcW w:w="1843" w:type="dxa"/>
          </w:tcPr>
          <w:p w:rsidR="004D224F" w:rsidRPr="00DA20F5" w:rsidRDefault="004D224F" w:rsidP="00D36FB8">
            <w:pPr>
              <w:jc w:val="center"/>
            </w:pPr>
            <w:r w:rsidRPr="00DA20F5">
              <w:t>252</w:t>
            </w:r>
          </w:p>
        </w:tc>
        <w:tc>
          <w:tcPr>
            <w:tcW w:w="1658" w:type="dxa"/>
          </w:tcPr>
          <w:p w:rsidR="004D224F" w:rsidRPr="00DA20F5" w:rsidRDefault="004D224F" w:rsidP="00D36FB8">
            <w:pPr>
              <w:jc w:val="center"/>
            </w:pPr>
            <w:r w:rsidRPr="00DA20F5">
              <w:t>1 126</w:t>
            </w:r>
          </w:p>
        </w:tc>
        <w:tc>
          <w:tcPr>
            <w:tcW w:w="1702" w:type="dxa"/>
          </w:tcPr>
          <w:p w:rsidR="004D224F" w:rsidRPr="00DA20F5" w:rsidRDefault="004D224F" w:rsidP="00D36FB8">
            <w:pPr>
              <w:jc w:val="center"/>
            </w:pPr>
            <w:r w:rsidRPr="00DA20F5">
              <w:t>234</w:t>
            </w:r>
          </w:p>
        </w:tc>
        <w:tc>
          <w:tcPr>
            <w:tcW w:w="1693" w:type="dxa"/>
          </w:tcPr>
          <w:p w:rsidR="004D224F" w:rsidRPr="00DA20F5" w:rsidRDefault="004D224F" w:rsidP="00D36FB8">
            <w:pPr>
              <w:jc w:val="center"/>
            </w:pPr>
            <w:r w:rsidRPr="00DA20F5">
              <w:t>204</w:t>
            </w:r>
          </w:p>
        </w:tc>
        <w:tc>
          <w:tcPr>
            <w:tcW w:w="1162" w:type="dxa"/>
          </w:tcPr>
          <w:p w:rsidR="004D224F" w:rsidRPr="00DA20F5" w:rsidRDefault="004D224F" w:rsidP="00D36FB8">
            <w:pPr>
              <w:jc w:val="center"/>
            </w:pPr>
            <w:r w:rsidRPr="00DA20F5">
              <w:rPr>
                <w:b/>
              </w:rPr>
              <w:t>1 816</w:t>
            </w:r>
          </w:p>
        </w:tc>
      </w:tr>
    </w:tbl>
    <w:p w:rsidR="004D224F" w:rsidRPr="00DA20F5" w:rsidRDefault="004D224F" w:rsidP="00D36FB8">
      <w:pPr>
        <w:pStyle w:val="zdroj"/>
      </w:pPr>
      <w:r w:rsidRPr="00DA20F5">
        <w:t>Zdroj: ÚPSVR</w:t>
      </w:r>
    </w:p>
    <w:p w:rsidR="0012729C" w:rsidRPr="00DA20F5" w:rsidRDefault="0012729C" w:rsidP="00D36FB8">
      <w:pPr>
        <w:jc w:val="left"/>
        <w:rPr>
          <w:b/>
        </w:rPr>
      </w:pPr>
      <w:r w:rsidRPr="00DA20F5">
        <w:rPr>
          <w:b/>
        </w:rPr>
        <w:br w:type="page"/>
      </w:r>
    </w:p>
    <w:p w:rsidR="004D224F" w:rsidRPr="00DA20F5" w:rsidRDefault="004D224F" w:rsidP="00D36FB8">
      <w:pPr>
        <w:rPr>
          <w:b/>
        </w:rPr>
      </w:pPr>
      <w:r w:rsidRPr="00DA20F5">
        <w:rPr>
          <w:b/>
        </w:rPr>
        <w:lastRenderedPageBreak/>
        <w:t>Poradensko – psychologické služby</w:t>
      </w:r>
    </w:p>
    <w:p w:rsidR="004D224F" w:rsidRPr="00DA20F5" w:rsidRDefault="004D224F" w:rsidP="00D36FB8">
      <w:pPr>
        <w:ind w:firstLine="708"/>
      </w:pPr>
    </w:p>
    <w:p w:rsidR="004D224F" w:rsidRPr="00DA20F5" w:rsidRDefault="004D224F" w:rsidP="00D36FB8">
      <w:pPr>
        <w:ind w:firstLine="708"/>
      </w:pPr>
      <w:r w:rsidRPr="00DA20F5">
        <w:t>V roku 2011 bol</w:t>
      </w:r>
      <w:r w:rsidR="0085181B" w:rsidRPr="00DA20F5">
        <w:t>o</w:t>
      </w:r>
      <w:r w:rsidRPr="00DA20F5">
        <w:t xml:space="preserve"> na referátoch poradensko-psychologických služieb (ďalej len „RPPS“) 81</w:t>
      </w:r>
      <w:r w:rsidR="0028665F" w:rsidRPr="00DA20F5">
        <w:t> </w:t>
      </w:r>
      <w:r w:rsidR="000A5E86" w:rsidRPr="00DA20F5">
        <w:t xml:space="preserve">pracovných </w:t>
      </w:r>
      <w:r w:rsidR="0085181B" w:rsidRPr="00DA20F5">
        <w:t>miest</w:t>
      </w:r>
      <w:r w:rsidRPr="00DA20F5">
        <w:t>,</w:t>
      </w:r>
      <w:r w:rsidR="00AC5AAB" w:rsidRPr="00DA20F5">
        <w:t xml:space="preserve"> </w:t>
      </w:r>
      <w:r w:rsidRPr="00DA20F5">
        <w:t>čo predstavuje oproti roku 2010 pokles o 9 zamestnancov. V roku 2011 poskytli 51 785</w:t>
      </w:r>
      <w:r w:rsidRPr="00DA20F5">
        <w:rPr>
          <w:b/>
        </w:rPr>
        <w:t xml:space="preserve"> </w:t>
      </w:r>
      <w:r w:rsidRPr="00DA20F5">
        <w:t xml:space="preserve">konzultácií pri celkovom počte </w:t>
      </w:r>
      <w:r w:rsidR="0085181B" w:rsidRPr="00DA20F5">
        <w:t xml:space="preserve">8 670 </w:t>
      </w:r>
      <w:r w:rsidRPr="00DA20F5">
        <w:t>prípadov.</w:t>
      </w:r>
      <w:r w:rsidR="0085181B" w:rsidRPr="00DA20F5">
        <w:t xml:space="preserve"> </w:t>
      </w:r>
      <w:r w:rsidR="002F5E10" w:rsidRPr="00DA20F5">
        <w:t>N</w:t>
      </w:r>
      <w:r w:rsidRPr="00DA20F5">
        <w:t xml:space="preserve">a jeden prípad </w:t>
      </w:r>
      <w:r w:rsidR="002F5E10" w:rsidRPr="00DA20F5">
        <w:t>v priemere pripadá</w:t>
      </w:r>
      <w:r w:rsidR="0028665F" w:rsidRPr="00DA20F5">
        <w:t xml:space="preserve"> 5,97 </w:t>
      </w:r>
      <w:r w:rsidRPr="00DA20F5">
        <w:t xml:space="preserve">konzultácií. V porovnaní s predchádzajúcim obdobím ide o celkový pokles činnosti, ktorý je spôsobený neustálym znižovaním počtu zamestnancov na </w:t>
      </w:r>
      <w:r w:rsidR="0085181B" w:rsidRPr="00DA20F5">
        <w:t>RPPS</w:t>
      </w:r>
      <w:r w:rsidRPr="00DA20F5">
        <w:t>.</w:t>
      </w:r>
      <w:r w:rsidR="0085181B" w:rsidRPr="00DA20F5">
        <w:t xml:space="preserve"> </w:t>
      </w:r>
    </w:p>
    <w:p w:rsidR="004D224F" w:rsidRPr="00DA20F5" w:rsidRDefault="004D224F" w:rsidP="00D36FB8">
      <w:pPr>
        <w:ind w:firstLine="708"/>
        <w:rPr>
          <w:b/>
          <w:u w:val="single"/>
        </w:rPr>
      </w:pPr>
      <w:r w:rsidRPr="00DA20F5">
        <w:t xml:space="preserve"> </w:t>
      </w:r>
    </w:p>
    <w:p w:rsidR="004D224F" w:rsidRPr="00DA20F5" w:rsidRDefault="004D224F" w:rsidP="00D36FB8">
      <w:pPr>
        <w:spacing w:after="120"/>
        <w:rPr>
          <w:i/>
        </w:rPr>
      </w:pPr>
      <w:r w:rsidRPr="00DA20F5">
        <w:rPr>
          <w:b/>
          <w:i/>
        </w:rPr>
        <w:t>Ťažiskové činnosti RPPS boli:</w:t>
      </w:r>
    </w:p>
    <w:p w:rsidR="004D224F" w:rsidRPr="00DA20F5" w:rsidRDefault="004D224F" w:rsidP="00D36FB8">
      <w:r w:rsidRPr="00DA20F5">
        <w:rPr>
          <w:b/>
        </w:rPr>
        <w:t>a) psychologické, partnerské, manželské a</w:t>
      </w:r>
      <w:r w:rsidR="00AC5AAB" w:rsidRPr="00DA20F5">
        <w:rPr>
          <w:b/>
        </w:rPr>
        <w:t xml:space="preserve"> </w:t>
      </w:r>
      <w:r w:rsidRPr="00DA20F5">
        <w:rPr>
          <w:b/>
        </w:rPr>
        <w:t>rodinné poradenstvo, psychologická diagnostika, krízová psychologická intervencia</w:t>
      </w:r>
    </w:p>
    <w:p w:rsidR="004D224F" w:rsidRPr="00DA20F5" w:rsidRDefault="004D224F" w:rsidP="00D36FB8">
      <w:pPr>
        <w:spacing w:after="120"/>
      </w:pPr>
      <w:r w:rsidRPr="00DA20F5">
        <w:rPr>
          <w:bCs/>
        </w:rPr>
        <w:t>- v oblasti pomoci dieťaťu, rodičom alebo plnoletej fyzickej osobe pri riešení</w:t>
      </w:r>
      <w:r w:rsidR="00AC5AAB" w:rsidRPr="00DA20F5">
        <w:rPr>
          <w:bCs/>
        </w:rPr>
        <w:t xml:space="preserve"> </w:t>
      </w:r>
      <w:r w:rsidRPr="00DA20F5">
        <w:rPr>
          <w:bCs/>
        </w:rPr>
        <w:t>výchovných, manželských, rodinných a iných sociálnych problémov, v oblasti pomoci manželom, rodičom maloletých detí v rozvode a</w:t>
      </w:r>
      <w:r w:rsidR="00AC5AAB" w:rsidRPr="00DA20F5">
        <w:rPr>
          <w:bCs/>
        </w:rPr>
        <w:t xml:space="preserve"> </w:t>
      </w:r>
      <w:r w:rsidRPr="00DA20F5">
        <w:rPr>
          <w:bCs/>
        </w:rPr>
        <w:t>po rozvode, taktiež</w:t>
      </w:r>
      <w:r w:rsidR="00AC5AAB" w:rsidRPr="00DA20F5">
        <w:rPr>
          <w:bCs/>
        </w:rPr>
        <w:t xml:space="preserve"> </w:t>
      </w:r>
      <w:r w:rsidRPr="00DA20F5">
        <w:rPr>
          <w:bCs/>
        </w:rPr>
        <w:t>ich maloletým deťom, v oblasti pomoci</w:t>
      </w:r>
      <w:r w:rsidR="002F5E10" w:rsidRPr="00DA20F5">
        <w:rPr>
          <w:bCs/>
        </w:rPr>
        <w:t xml:space="preserve"> </w:t>
      </w:r>
      <w:r w:rsidRPr="00DA20F5">
        <w:rPr>
          <w:bCs/>
        </w:rPr>
        <w:t>pri úprave styku</w:t>
      </w:r>
      <w:r w:rsidR="00AC5AAB" w:rsidRPr="00DA20F5">
        <w:rPr>
          <w:bCs/>
        </w:rPr>
        <w:t xml:space="preserve"> </w:t>
      </w:r>
      <w:r w:rsidRPr="00DA20F5">
        <w:rPr>
          <w:bCs/>
        </w:rPr>
        <w:t>rodičov s dieťaťom, v oblasti skúmania názoru dieťaťa vo veciach, ktoré sa ho týkajú,</w:t>
      </w:r>
      <w:r w:rsidR="00AC5AAB" w:rsidRPr="00DA20F5">
        <w:rPr>
          <w:bCs/>
        </w:rPr>
        <w:t xml:space="preserve"> </w:t>
      </w:r>
      <w:r w:rsidRPr="00DA20F5">
        <w:rPr>
          <w:bCs/>
        </w:rPr>
        <w:t>v oblasti pomoci jednotlivcom a rodine s problémom násilia a drogovej závislosti, v oblasti pomoci jednotlivcom a rodine v krízových situáciách a závažných životných zmenách,</w:t>
      </w:r>
    </w:p>
    <w:p w:rsidR="004D224F" w:rsidRPr="00DA20F5" w:rsidRDefault="004D224F" w:rsidP="00D36FB8">
      <w:r w:rsidRPr="00DA20F5">
        <w:rPr>
          <w:b/>
        </w:rPr>
        <w:t>b) špecializovaná príprava fyzických osôb</w:t>
      </w:r>
      <w:r w:rsidR="002F5E10" w:rsidRPr="00DA20F5">
        <w:rPr>
          <w:b/>
        </w:rPr>
        <w:t xml:space="preserve"> </w:t>
      </w:r>
      <w:r w:rsidRPr="00DA20F5">
        <w:rPr>
          <w:b/>
        </w:rPr>
        <w:t>prijať a vychovávať opustené dieťa</w:t>
      </w:r>
    </w:p>
    <w:p w:rsidR="004D224F" w:rsidRPr="00DA20F5" w:rsidRDefault="004D224F" w:rsidP="00D36FB8">
      <w:pPr>
        <w:rPr>
          <w:bCs/>
        </w:rPr>
      </w:pPr>
      <w:r w:rsidRPr="00DA20F5">
        <w:rPr>
          <w:sz w:val="24"/>
        </w:rPr>
        <w:t xml:space="preserve">- </w:t>
      </w:r>
      <w:r w:rsidRPr="00DA20F5">
        <w:rPr>
          <w:bCs/>
        </w:rPr>
        <w:t>špecializované psychologické posudzovanie predpokladov a vhodnosti fyzických osôb a ich špecializovaná príprava na vykonávanie náhradnej rodinnej starostlivosti, špecializovaná</w:t>
      </w:r>
      <w:r w:rsidR="00AC5AAB" w:rsidRPr="00DA20F5">
        <w:rPr>
          <w:bCs/>
        </w:rPr>
        <w:t xml:space="preserve"> </w:t>
      </w:r>
      <w:r w:rsidRPr="00DA20F5">
        <w:rPr>
          <w:bCs/>
        </w:rPr>
        <w:t>príprava fyzických osôb na profesionálne vykonávanie náhradnej starostlivosti</w:t>
      </w:r>
    </w:p>
    <w:p w:rsidR="004D224F" w:rsidRPr="00DA20F5" w:rsidRDefault="004D224F" w:rsidP="00D36FB8">
      <w:pPr>
        <w:rPr>
          <w:bCs/>
        </w:rPr>
      </w:pPr>
    </w:p>
    <w:p w:rsidR="002F5E10" w:rsidRPr="00DA20F5" w:rsidRDefault="004D224F" w:rsidP="00D36FB8">
      <w:pPr>
        <w:rPr>
          <w:b/>
          <w:bCs/>
        </w:rPr>
      </w:pPr>
      <w:r w:rsidRPr="00DA20F5">
        <w:rPr>
          <w:bCs/>
        </w:rPr>
        <w:t>Základné štatistické údaje o činnosti RPPS sa nachádzajú v</w:t>
      </w:r>
      <w:r w:rsidR="004E1A7F" w:rsidRPr="00DA20F5">
        <w:rPr>
          <w:bCs/>
        </w:rPr>
        <w:t> </w:t>
      </w:r>
      <w:r w:rsidRPr="00DA20F5">
        <w:rPr>
          <w:bCs/>
        </w:rPr>
        <w:t>tab</w:t>
      </w:r>
      <w:r w:rsidR="004E1A7F" w:rsidRPr="00DA20F5">
        <w:rPr>
          <w:bCs/>
        </w:rPr>
        <w:t xml:space="preserve">uľkách </w:t>
      </w:r>
      <w:r w:rsidR="00C725F5" w:rsidRPr="00DA20F5">
        <w:rPr>
          <w:bCs/>
        </w:rPr>
        <w:t>20 a 21</w:t>
      </w:r>
      <w:r w:rsidR="004E1A7F" w:rsidRPr="00DA20F5">
        <w:rPr>
          <w:bCs/>
        </w:rPr>
        <w:t xml:space="preserve"> v prílohe ku kapitole 3.</w:t>
      </w:r>
    </w:p>
    <w:p w:rsidR="004E1A7F" w:rsidRPr="00DA20F5" w:rsidRDefault="004E1A7F" w:rsidP="00D36FB8">
      <w:pPr>
        <w:rPr>
          <w:b/>
          <w:bCs/>
        </w:rPr>
      </w:pPr>
    </w:p>
    <w:p w:rsidR="004D224F" w:rsidRPr="00DA20F5" w:rsidRDefault="004D224F" w:rsidP="00D36FB8">
      <w:pPr>
        <w:rPr>
          <w:b/>
          <w:bCs/>
        </w:rPr>
      </w:pPr>
      <w:r w:rsidRPr="00DA20F5">
        <w:rPr>
          <w:b/>
          <w:bCs/>
        </w:rPr>
        <w:t>Proces udeľovania akreditácií v roku 2011</w:t>
      </w:r>
    </w:p>
    <w:p w:rsidR="004D224F" w:rsidRPr="00DA20F5" w:rsidRDefault="004D224F" w:rsidP="00D36FB8">
      <w:pPr>
        <w:ind w:firstLine="708"/>
      </w:pPr>
      <w:r w:rsidRPr="00DA20F5">
        <w:t>MPSVR SR aj v roku 2011 rozhodovalo podľa § 72 písm. c) zákona o sociálnoprávnej ochrane o udelení, o predĺžení platnosti, o zmene a o zrušení akreditácie po predchádzajúcom vyjadrení akreditačnej komisie. Akreditačná komisia je zriadená</w:t>
      </w:r>
      <w:r w:rsidR="0028665F" w:rsidRPr="00DA20F5">
        <w:t xml:space="preserve"> ako poradný orgán ministra pre </w:t>
      </w:r>
      <w:r w:rsidRPr="00DA20F5">
        <w:t>oblasť</w:t>
      </w:r>
      <w:r w:rsidR="00AC5AAB" w:rsidRPr="00DA20F5">
        <w:t xml:space="preserve"> </w:t>
      </w:r>
      <w:r w:rsidRPr="00DA20F5">
        <w:t xml:space="preserve">udeľovania akreditácií podľa zákona č. 305/2005 </w:t>
      </w:r>
      <w:r w:rsidR="00D719EB" w:rsidRPr="00DA20F5">
        <w:t>Z.</w:t>
      </w:r>
      <w:r w:rsidR="00DB4661" w:rsidRPr="00DA20F5">
        <w:t xml:space="preserve"> </w:t>
      </w:r>
      <w:r w:rsidR="00D719EB" w:rsidRPr="00DA20F5">
        <w:t>z.</w:t>
      </w:r>
      <w:r w:rsidRPr="00DA20F5">
        <w:t xml:space="preserve"> o sociálnoprávnej ochrane detí a</w:t>
      </w:r>
      <w:r w:rsidR="0028665F" w:rsidRPr="00DA20F5">
        <w:t> o </w:t>
      </w:r>
      <w:r w:rsidRPr="00DA20F5">
        <w:t xml:space="preserve">sociálnej kuratele v znení neskorších predpisov a podľa zákona č. 448/2008 </w:t>
      </w:r>
      <w:r w:rsidR="00D719EB" w:rsidRPr="00DA20F5">
        <w:t>Z.</w:t>
      </w:r>
      <w:r w:rsidR="00DB4661" w:rsidRPr="00DA20F5">
        <w:t xml:space="preserve"> </w:t>
      </w:r>
      <w:r w:rsidR="00D719EB" w:rsidRPr="00DA20F5">
        <w:t>z.</w:t>
      </w:r>
      <w:r w:rsidRPr="00DA20F5">
        <w:t xml:space="preserve"> o sociálnych službách a o zmene a doplnení zákona č. 455/1991 Zb. o živnostenskom podnikaní (Živnostenský zákon) v znení neskorších predpisov a to:</w:t>
      </w:r>
    </w:p>
    <w:p w:rsidR="004D224F" w:rsidRPr="00DA20F5" w:rsidRDefault="004D224F" w:rsidP="00DB509D">
      <w:pPr>
        <w:pStyle w:val="Odsekzoznamu"/>
        <w:numPr>
          <w:ilvl w:val="0"/>
          <w:numId w:val="22"/>
        </w:numPr>
      </w:pPr>
      <w:r w:rsidRPr="00DA20F5">
        <w:t>na vykonávanie vybraných opatrení sociálnoprávnej ochrany detí a sociálnej</w:t>
      </w:r>
      <w:r w:rsidR="00AC5AAB" w:rsidRPr="00DA20F5">
        <w:t xml:space="preserve"> </w:t>
      </w:r>
      <w:r w:rsidRPr="00DA20F5">
        <w:t xml:space="preserve">kurately podľa zákona č. 305/2005 </w:t>
      </w:r>
      <w:r w:rsidR="00D719EB" w:rsidRPr="00DA20F5">
        <w:t>Z.</w:t>
      </w:r>
      <w:r w:rsidR="00DB4661" w:rsidRPr="00DA20F5">
        <w:t xml:space="preserve"> </w:t>
      </w:r>
      <w:r w:rsidR="00D719EB" w:rsidRPr="00DA20F5">
        <w:t>z.</w:t>
      </w:r>
      <w:r w:rsidRPr="00DA20F5">
        <w:t xml:space="preserve">, </w:t>
      </w:r>
    </w:p>
    <w:p w:rsidR="004D224F" w:rsidRPr="00DA20F5" w:rsidRDefault="004D224F" w:rsidP="00DB509D">
      <w:pPr>
        <w:pStyle w:val="Odsekzoznamu"/>
        <w:numPr>
          <w:ilvl w:val="0"/>
          <w:numId w:val="22"/>
        </w:numPr>
      </w:pPr>
      <w:r w:rsidRPr="00DA20F5">
        <w:t>na vzdelávacie programy podľa zákona o sociálnych službách,</w:t>
      </w:r>
    </w:p>
    <w:p w:rsidR="004D224F" w:rsidRPr="00DA20F5" w:rsidRDefault="004D224F" w:rsidP="00DB509D">
      <w:pPr>
        <w:pStyle w:val="Odsekzoznamu"/>
        <w:numPr>
          <w:ilvl w:val="0"/>
          <w:numId w:val="22"/>
        </w:numPr>
      </w:pPr>
      <w:r w:rsidRPr="00DA20F5">
        <w:t>na odbornú činnosť podľa zákona o sociálnych službách a podľa</w:t>
      </w:r>
      <w:r w:rsidR="00AC5AAB" w:rsidRPr="00DA20F5">
        <w:t xml:space="preserve"> </w:t>
      </w:r>
      <w:r w:rsidRPr="00DA20F5">
        <w:t>§ 81 ods. 1 zá</w:t>
      </w:r>
      <w:r w:rsidR="0028665F" w:rsidRPr="00DA20F5">
        <w:t>kona o </w:t>
      </w:r>
      <w:r w:rsidR="002F5E10" w:rsidRPr="00DA20F5">
        <w:t>sociálnoprávnej ochrane (posudzuje žiadosti</w:t>
      </w:r>
      <w:r w:rsidRPr="00DA20F5">
        <w:t xml:space="preserve"> o udelení akreditácie, o predĺžení</w:t>
      </w:r>
      <w:r w:rsidR="002F5E10" w:rsidRPr="00DA20F5">
        <w:t xml:space="preserve"> platnosti akreditácie, o zmene</w:t>
      </w:r>
      <w:r w:rsidRPr="00DA20F5">
        <w:t xml:space="preserve"> akreditácie a</w:t>
      </w:r>
      <w:r w:rsidR="00AC5AAB" w:rsidRPr="00DA20F5">
        <w:t xml:space="preserve"> </w:t>
      </w:r>
      <w:r w:rsidR="002F5E10" w:rsidRPr="00DA20F5">
        <w:t>zrušení</w:t>
      </w:r>
      <w:r w:rsidRPr="00DA20F5">
        <w:t xml:space="preserve"> akreditácie</w:t>
      </w:r>
      <w:r w:rsidR="002F5E10" w:rsidRPr="00DA20F5">
        <w:t>).</w:t>
      </w:r>
    </w:p>
    <w:p w:rsidR="004D224F" w:rsidRPr="00DA20F5" w:rsidRDefault="004D224F" w:rsidP="00D36FB8">
      <w:pPr>
        <w:ind w:firstLine="708"/>
      </w:pPr>
    </w:p>
    <w:p w:rsidR="004D224F" w:rsidRPr="00DA20F5" w:rsidRDefault="004D224F" w:rsidP="00D36FB8">
      <w:pPr>
        <w:ind w:firstLine="708"/>
      </w:pPr>
      <w:r w:rsidRPr="00DA20F5">
        <w:t>Akreditačná komisia má trinásť členov, ktorých vymenú</w:t>
      </w:r>
      <w:r w:rsidR="0028665F" w:rsidRPr="00DA20F5">
        <w:t>va a odvoláva minister, a to zo </w:t>
      </w:r>
      <w:r w:rsidRPr="00DA20F5">
        <w:t>zástupcov orgánov štátnej správy, obcí, vyšších územných celkov a</w:t>
      </w:r>
      <w:r w:rsidR="00AC5AAB" w:rsidRPr="00DA20F5">
        <w:t xml:space="preserve"> </w:t>
      </w:r>
      <w:r w:rsidRPr="00DA20F5">
        <w:t>odborníkov z teórie a praxe. Univerzity a vysoké školy sú v komisii zastúpené najmenej tromi členmi.</w:t>
      </w:r>
      <w:r w:rsidR="00AC5AAB" w:rsidRPr="00DA20F5">
        <w:t xml:space="preserve"> </w:t>
      </w:r>
      <w:r w:rsidRPr="00DA20F5">
        <w:t xml:space="preserve">Akreditačná komisia prizýva na zasadnutia podľa potreby aj iných odborníkov z teórie a praxe, títo </w:t>
      </w:r>
      <w:r w:rsidR="002F5E10" w:rsidRPr="00DA20F5">
        <w:t xml:space="preserve">však </w:t>
      </w:r>
      <w:r w:rsidRPr="00DA20F5">
        <w:t>nemajú hlasovacie právo.</w:t>
      </w:r>
      <w:r w:rsidRPr="00DA20F5">
        <w:rPr>
          <w:color w:val="548DD4" w:themeColor="text2" w:themeTint="99"/>
        </w:rPr>
        <w:t xml:space="preserve"> </w:t>
      </w:r>
      <w:r w:rsidRPr="00DA20F5">
        <w:t xml:space="preserve">Činnosť akreditačnej komisie upravuje Rokovací poriadok Akreditačnej komisie </w:t>
      </w:r>
      <w:r w:rsidR="00021A3C" w:rsidRPr="00DA20F5">
        <w:t>MPSVR SR</w:t>
      </w:r>
      <w:r w:rsidRPr="00DA20F5">
        <w:t>, vydaný 3. marca 2009 ministerkou práce, sociálnych vecí a rodiny Slovenskej republiky.</w:t>
      </w:r>
    </w:p>
    <w:p w:rsidR="004D224F" w:rsidRPr="00DA20F5" w:rsidRDefault="004D224F" w:rsidP="00D36FB8">
      <w:pPr>
        <w:ind w:firstLine="708"/>
      </w:pPr>
      <w:r w:rsidRPr="00DA20F5">
        <w:t>Akreditačná komisia sa v priebehu roku 2011</w:t>
      </w:r>
      <w:r w:rsidR="00AC5AAB" w:rsidRPr="00DA20F5">
        <w:t xml:space="preserve"> </w:t>
      </w:r>
      <w:r w:rsidRPr="00DA20F5">
        <w:t>zišla spolu 10 - krát. Zasadnutia akreditačnej komisie boli</w:t>
      </w:r>
      <w:r w:rsidR="00AC5AAB" w:rsidRPr="00DA20F5">
        <w:t xml:space="preserve"> </w:t>
      </w:r>
      <w:r w:rsidRPr="00DA20F5">
        <w:t>neverejné.</w:t>
      </w:r>
    </w:p>
    <w:p w:rsidR="004D224F" w:rsidRPr="00DA20F5" w:rsidRDefault="004D224F" w:rsidP="00D36FB8">
      <w:pPr>
        <w:ind w:firstLine="708"/>
        <w:rPr>
          <w:b/>
          <w:i/>
        </w:rPr>
      </w:pPr>
    </w:p>
    <w:p w:rsidR="0012729C" w:rsidRPr="00DA20F5" w:rsidRDefault="0012729C" w:rsidP="00D36FB8">
      <w:pPr>
        <w:jc w:val="left"/>
        <w:rPr>
          <w:b/>
        </w:rPr>
      </w:pPr>
      <w:r w:rsidRPr="00DA20F5">
        <w:rPr>
          <w:b/>
        </w:rPr>
        <w:br w:type="page"/>
      </w:r>
    </w:p>
    <w:p w:rsidR="004D224F" w:rsidRPr="00DA20F5" w:rsidRDefault="004D224F" w:rsidP="00D36FB8">
      <w:pPr>
        <w:rPr>
          <w:b/>
        </w:rPr>
      </w:pPr>
      <w:r w:rsidRPr="00DA20F5">
        <w:rPr>
          <w:b/>
        </w:rPr>
        <w:lastRenderedPageBreak/>
        <w:t>Prehľad o počte podaných žiadostí o akreditáciu a iných podaní vo veci akreditácie na vykonávanie vybraných opatrení sociálnoprávnej ochrany detí a sociálnej</w:t>
      </w:r>
      <w:r w:rsidR="00AC5AAB" w:rsidRPr="00DA20F5">
        <w:rPr>
          <w:b/>
        </w:rPr>
        <w:t xml:space="preserve"> </w:t>
      </w:r>
      <w:r w:rsidRPr="00DA20F5">
        <w:rPr>
          <w:b/>
        </w:rPr>
        <w:t>kurately podľa zákona č. 305/2005 Z. z o sociálnoprávnej ochrane detí a o sociálnej kuratele v znení neskorších</w:t>
      </w:r>
      <w:r w:rsidR="00AC5AAB" w:rsidRPr="00DA20F5">
        <w:rPr>
          <w:b/>
        </w:rPr>
        <w:t xml:space="preserve"> </w:t>
      </w:r>
      <w:r w:rsidRPr="00DA20F5">
        <w:rPr>
          <w:b/>
        </w:rPr>
        <w:t>predpisov</w:t>
      </w:r>
    </w:p>
    <w:p w:rsidR="004D224F" w:rsidRPr="00DA20F5" w:rsidRDefault="004D224F" w:rsidP="00D36FB8">
      <w:pPr>
        <w:ind w:firstLine="708"/>
      </w:pPr>
    </w:p>
    <w:p w:rsidR="004D224F" w:rsidRPr="00DA20F5" w:rsidRDefault="004D224F" w:rsidP="00D36FB8">
      <w:pPr>
        <w:ind w:firstLine="708"/>
      </w:pPr>
      <w:r w:rsidRPr="00DA20F5">
        <w:t xml:space="preserve">Na </w:t>
      </w:r>
      <w:r w:rsidR="00E02178" w:rsidRPr="00DA20F5">
        <w:t>MPSVR SR</w:t>
      </w:r>
      <w:r w:rsidRPr="00DA20F5">
        <w:t xml:space="preserve"> bolo v čase od 1. januára 2011 do 31. decembra 2011 doručených</w:t>
      </w:r>
      <w:r w:rsidR="00AC5AAB" w:rsidRPr="00DA20F5">
        <w:t xml:space="preserve"> </w:t>
      </w:r>
      <w:r w:rsidR="0028665F" w:rsidRPr="00DA20F5">
        <w:t>spolu 129 </w:t>
      </w:r>
      <w:r w:rsidRPr="00DA20F5">
        <w:t xml:space="preserve">rôznych podaní pre oblasť akreditácií na vykonávanie opatrení sociálnoprávnej ochrany detí a sociálnej kurately . </w:t>
      </w:r>
    </w:p>
    <w:p w:rsidR="004D224F" w:rsidRPr="00DA20F5" w:rsidRDefault="004D224F" w:rsidP="00D36FB8">
      <w:pPr>
        <w:ind w:firstLine="708"/>
      </w:pPr>
      <w:r w:rsidRPr="00DA20F5">
        <w:t xml:space="preserve">Na základe odporúčania akreditačnej komisie </w:t>
      </w:r>
      <w:r w:rsidR="00E02178" w:rsidRPr="00DA20F5">
        <w:t>MPSVR SR</w:t>
      </w:r>
      <w:r w:rsidRPr="00DA20F5">
        <w:t xml:space="preserve"> v roku 2011 rozhodovalo o udelení akreditácie 3 žiadateľom, z toho udelilo na vykonávanie opatrení sociálnoprávnej ochrany detí a sociálnej kurately v zariadení podľa § 45 zákona o sociálnoprávnej ochrane</w:t>
      </w:r>
      <w:r w:rsidR="00AC5AAB" w:rsidRPr="00DA20F5">
        <w:t xml:space="preserve"> </w:t>
      </w:r>
      <w:r w:rsidRPr="00DA20F5">
        <w:t>jednému resocializačnému stredisku, jednému</w:t>
      </w:r>
      <w:r w:rsidR="00AC5AAB" w:rsidRPr="00DA20F5">
        <w:t xml:space="preserve"> </w:t>
      </w:r>
      <w:r w:rsidRPr="00DA20F5">
        <w:t>detskému domovu a jednému žiadateľovi nebola udelená akreditácia na vykonávanie vybraných opatrení</w:t>
      </w:r>
      <w:r w:rsidR="00AC5AAB" w:rsidRPr="00DA20F5">
        <w:t xml:space="preserve"> </w:t>
      </w:r>
      <w:r w:rsidR="002F5E10" w:rsidRPr="00DA20F5">
        <w:t>SPODaSK</w:t>
      </w:r>
      <w:r w:rsidRPr="00DA20F5">
        <w:t xml:space="preserve"> (výchovno-rekreačné programy, výchovné opatrenia, sociálne a výchovné programy a pod.).</w:t>
      </w:r>
    </w:p>
    <w:p w:rsidR="004D224F" w:rsidRPr="00DA20F5" w:rsidRDefault="004D224F" w:rsidP="00D36FB8">
      <w:pPr>
        <w:ind w:firstLine="708"/>
      </w:pPr>
      <w:r w:rsidRPr="00DA20F5">
        <w:t xml:space="preserve">Na základe odporúčania akreditačnej komisie rozhodovalo </w:t>
      </w:r>
      <w:r w:rsidR="00E02178" w:rsidRPr="00DA20F5">
        <w:t>MPSVR SR</w:t>
      </w:r>
      <w:r w:rsidRPr="00DA20F5">
        <w:t xml:space="preserve"> aj o piatich zmenách v existujúcich rozhodnutiach o udelení akreditácie. Zmeny sa týkali</w:t>
      </w:r>
      <w:r w:rsidR="0028665F" w:rsidRPr="00DA20F5">
        <w:t xml:space="preserve"> zmeny zodpovedného zástupcu za </w:t>
      </w:r>
      <w:r w:rsidRPr="00DA20F5">
        <w:t>vykonávanie opatrení sociálnoprávnej ochrany detí (3),</w:t>
      </w:r>
      <w:r w:rsidR="00AC5AAB" w:rsidRPr="00DA20F5">
        <w:t xml:space="preserve"> </w:t>
      </w:r>
      <w:r w:rsidRPr="00DA20F5">
        <w:t>miesta výkonu opatrení a sídla akreditovaného subjektu (2)</w:t>
      </w:r>
      <w:r w:rsidR="00CF74E1" w:rsidRPr="00DA20F5">
        <w:t>.</w:t>
      </w:r>
      <w:r w:rsidRPr="00DA20F5">
        <w:t xml:space="preserve"> </w:t>
      </w:r>
    </w:p>
    <w:p w:rsidR="004D224F" w:rsidRPr="00DA20F5" w:rsidRDefault="004D224F" w:rsidP="00D36FB8">
      <w:pPr>
        <w:ind w:firstLine="708"/>
      </w:pPr>
      <w:r w:rsidRPr="00DA20F5">
        <w:t>V 55</w:t>
      </w:r>
      <w:r w:rsidR="00AC5AAB" w:rsidRPr="00DA20F5">
        <w:t xml:space="preserve"> </w:t>
      </w:r>
      <w:r w:rsidRPr="00DA20F5">
        <w:t xml:space="preserve">prípadoch rozhodovalo </w:t>
      </w:r>
      <w:r w:rsidR="00E02178" w:rsidRPr="00DA20F5">
        <w:t>MPSVR SR</w:t>
      </w:r>
      <w:r w:rsidRPr="00DA20F5">
        <w:t xml:space="preserve"> o predĺžení akreditácie</w:t>
      </w:r>
      <w:r w:rsidR="002F5E10" w:rsidRPr="00DA20F5">
        <w:t>,</w:t>
      </w:r>
      <w:r w:rsidR="00383D43" w:rsidRPr="00DA20F5">
        <w:t xml:space="preserve"> a to</w:t>
      </w:r>
      <w:r w:rsidR="00AC5AAB" w:rsidRPr="00DA20F5">
        <w:t xml:space="preserve"> </w:t>
      </w:r>
      <w:r w:rsidR="00383D43" w:rsidRPr="00DA20F5">
        <w:t>u 13 krízových strediskách, 10 resocializačných strediskách</w:t>
      </w:r>
      <w:r w:rsidRPr="00DA20F5">
        <w:t>, 13 detských d</w:t>
      </w:r>
      <w:r w:rsidR="00383D43" w:rsidRPr="00DA20F5">
        <w:t>omovoch a 19 opatreniach</w:t>
      </w:r>
      <w:r w:rsidRPr="00DA20F5">
        <w:t xml:space="preserve"> na vykonávanie vybraných opatrení</w:t>
      </w:r>
      <w:r w:rsidR="00AC5AAB" w:rsidRPr="00DA20F5">
        <w:t xml:space="preserve"> </w:t>
      </w:r>
      <w:r w:rsidR="00383D43" w:rsidRPr="00DA20F5">
        <w:t xml:space="preserve">SPODaSK </w:t>
      </w:r>
      <w:r w:rsidRPr="00DA20F5">
        <w:t>(výchovno-rekreačné programy, výchovné opatrenia, sociálne a výchovné programy a pod.).</w:t>
      </w:r>
    </w:p>
    <w:p w:rsidR="004D224F" w:rsidRPr="00DA20F5" w:rsidRDefault="00E02178" w:rsidP="00D36FB8">
      <w:pPr>
        <w:ind w:firstLine="708"/>
      </w:pPr>
      <w:r w:rsidRPr="00DA20F5">
        <w:t>MPSVR SR</w:t>
      </w:r>
      <w:r w:rsidR="004D224F" w:rsidRPr="00DA20F5">
        <w:t xml:space="preserve"> rozhodovalo v</w:t>
      </w:r>
      <w:r w:rsidR="00AC5AAB" w:rsidRPr="00DA20F5">
        <w:t xml:space="preserve"> </w:t>
      </w:r>
      <w:r w:rsidR="004D224F" w:rsidRPr="00DA20F5">
        <w:t>1 prípade</w:t>
      </w:r>
      <w:r w:rsidR="00AC5AAB" w:rsidRPr="00DA20F5">
        <w:t xml:space="preserve"> </w:t>
      </w:r>
      <w:r w:rsidR="004D224F" w:rsidRPr="00DA20F5">
        <w:t>v rámci autoremedúry o zmene pôv</w:t>
      </w:r>
      <w:r w:rsidR="00383D43" w:rsidRPr="00DA20F5">
        <w:t>odného rozhodnutia</w:t>
      </w:r>
      <w:r w:rsidR="00AC5AAB" w:rsidRPr="00DA20F5">
        <w:t xml:space="preserve"> </w:t>
      </w:r>
      <w:r w:rsidR="00383D43" w:rsidRPr="00DA20F5">
        <w:t>v časti doby</w:t>
      </w:r>
      <w:r w:rsidR="004D224F" w:rsidRPr="00DA20F5">
        <w:t xml:space="preserve"> predĺženia akreditácie.</w:t>
      </w:r>
    </w:p>
    <w:p w:rsidR="004D224F" w:rsidRPr="00DA20F5" w:rsidRDefault="004D224F" w:rsidP="00D36FB8">
      <w:pPr>
        <w:ind w:firstLine="708"/>
      </w:pPr>
      <w:r w:rsidRPr="00DA20F5">
        <w:t>V roku 2011 bola akreditácia zrušená alebo zanikla z dôvodu nepožiadania o predĺženie</w:t>
      </w:r>
      <w:r w:rsidR="00AC5AAB" w:rsidRPr="00DA20F5">
        <w:t xml:space="preserve"> </w:t>
      </w:r>
      <w:r w:rsidRPr="00DA20F5">
        <w:t>podľa § 84 ods. b) zákona o sociálnoprávnej ochrane dňom skončenia platnosti akreditácie v lehote kratšej ako 90 dní pred uplynutím jej platnosti u 15 akreditovaných subjektov. </w:t>
      </w:r>
    </w:p>
    <w:p w:rsidR="004D224F" w:rsidRPr="00DA20F5" w:rsidRDefault="004D224F" w:rsidP="00D36FB8">
      <w:pPr>
        <w:ind w:firstLine="708"/>
      </w:pPr>
      <w:r w:rsidRPr="00DA20F5">
        <w:t>K 31. 12. 2011 bolo akreditovaných 91 neštátnych subjektov. Z toho bolo 18 resocializačných stredísk, 21 detských domovov, 18 krízových stredísk a 31 opatrení na vykonávanie vybraných opatrení</w:t>
      </w:r>
      <w:r w:rsidR="00AC5AAB" w:rsidRPr="00DA20F5">
        <w:t xml:space="preserve"> </w:t>
      </w:r>
      <w:r w:rsidR="00383D43" w:rsidRPr="00DA20F5">
        <w:t xml:space="preserve">SPODaSK </w:t>
      </w:r>
      <w:r w:rsidRPr="00DA20F5">
        <w:t>(výchovno-rekreačné programy, výchovné opatrenia, sociálne a výchovné programy a pod.).</w:t>
      </w:r>
    </w:p>
    <w:p w:rsidR="004D224F" w:rsidRPr="00DA20F5" w:rsidRDefault="004D224F" w:rsidP="00D36FB8">
      <w:pPr>
        <w:ind w:firstLine="708"/>
      </w:pPr>
      <w:r w:rsidRPr="00DA20F5">
        <w:t xml:space="preserve">Podľa § 93a) ods. 1 zákona č. 305/2005 </w:t>
      </w:r>
      <w:r w:rsidR="00D719EB" w:rsidRPr="00DA20F5">
        <w:t>Z.</w:t>
      </w:r>
      <w:r w:rsidR="00DB4661" w:rsidRPr="00DA20F5">
        <w:t xml:space="preserve"> </w:t>
      </w:r>
      <w:r w:rsidR="00D719EB" w:rsidRPr="00DA20F5">
        <w:t>z.</w:t>
      </w:r>
      <w:r w:rsidRPr="00DA20F5">
        <w:t xml:space="preserve"> o sociálnoprávnej ochrane detí a o sociálnej kuratele</w:t>
      </w:r>
      <w:r w:rsidR="00AC5AAB" w:rsidRPr="00DA20F5">
        <w:t xml:space="preserve"> </w:t>
      </w:r>
      <w:r w:rsidRPr="00DA20F5">
        <w:t>a o zmene a doplnení niektorých zákonov zapísalo minister</w:t>
      </w:r>
      <w:r w:rsidR="0028665F" w:rsidRPr="00DA20F5">
        <w:t>stvo do Zoznamu supervízorov do </w:t>
      </w:r>
      <w:r w:rsidRPr="00DA20F5">
        <w:t>31. 12. 2011</w:t>
      </w:r>
      <w:r w:rsidR="00AC5AAB" w:rsidRPr="00DA20F5">
        <w:t xml:space="preserve"> </w:t>
      </w:r>
      <w:r w:rsidRPr="00DA20F5">
        <w:t xml:space="preserve">43 osôb. </w:t>
      </w:r>
      <w:r w:rsidR="00383D43" w:rsidRPr="00DA20F5">
        <w:t>Z dôvodu nesplnenia podmienok n</w:t>
      </w:r>
      <w:r w:rsidRPr="00DA20F5">
        <w:t>ezapísalo 3 osoby.</w:t>
      </w:r>
    </w:p>
    <w:p w:rsidR="004D224F" w:rsidRPr="00DA20F5" w:rsidRDefault="004D224F" w:rsidP="00D36FB8">
      <w:pPr>
        <w:rPr>
          <w:b/>
          <w:color w:val="548DD4" w:themeColor="text2" w:themeTint="99"/>
        </w:rPr>
      </w:pPr>
    </w:p>
    <w:p w:rsidR="006B6C5F" w:rsidRPr="00DA20F5" w:rsidRDefault="006B6C5F" w:rsidP="00D36FB8">
      <w:pPr>
        <w:jc w:val="left"/>
        <w:rPr>
          <w:rFonts w:ascii="Times New Roman Bold" w:hAnsi="Times New Roman Bold"/>
          <w:b/>
          <w:color w:val="548DD4" w:themeColor="text2" w:themeTint="99"/>
          <w:sz w:val="24"/>
          <w:szCs w:val="20"/>
          <w:lang w:eastAsia="cs-CZ"/>
        </w:rPr>
      </w:pPr>
      <w:r w:rsidRPr="00DA20F5">
        <w:rPr>
          <w:color w:val="548DD4" w:themeColor="text2" w:themeTint="99"/>
        </w:rPr>
        <w:br w:type="page"/>
      </w:r>
    </w:p>
    <w:p w:rsidR="006138FA" w:rsidRPr="00DA20F5" w:rsidRDefault="006138FA" w:rsidP="000B4550">
      <w:pPr>
        <w:pStyle w:val="Nadpis6"/>
      </w:pPr>
      <w:bookmarkStart w:id="1186" w:name="_Toc326217057"/>
      <w:r w:rsidRPr="00DA20F5">
        <w:lastRenderedPageBreak/>
        <w:t>Príspevky na podporu náhradnej starostlivosti</w:t>
      </w:r>
      <w:bookmarkEnd w:id="1186"/>
    </w:p>
    <w:p w:rsidR="00C3107D" w:rsidRPr="00DA20F5" w:rsidRDefault="00C3107D" w:rsidP="00D36FB8">
      <w:pPr>
        <w:pStyle w:val="AAAodstavecsprava"/>
        <w:spacing w:after="0"/>
        <w:ind w:firstLine="567"/>
        <w:rPr>
          <w:sz w:val="22"/>
          <w:szCs w:val="22"/>
          <w:lang w:eastAsia="sk-SK"/>
        </w:rPr>
      </w:pPr>
      <w:r w:rsidRPr="00DA20F5">
        <w:rPr>
          <w:sz w:val="22"/>
          <w:szCs w:val="22"/>
          <w:lang w:eastAsia="sk-SK"/>
        </w:rPr>
        <w:t xml:space="preserve">Zákon č. 627/2005 </w:t>
      </w:r>
      <w:r w:rsidR="00D719EB" w:rsidRPr="00DA20F5">
        <w:rPr>
          <w:sz w:val="22"/>
          <w:szCs w:val="22"/>
          <w:lang w:eastAsia="sk-SK"/>
        </w:rPr>
        <w:t>Z.</w:t>
      </w:r>
      <w:r w:rsidR="00DB4661" w:rsidRPr="00DA20F5">
        <w:rPr>
          <w:sz w:val="22"/>
          <w:szCs w:val="22"/>
          <w:lang w:eastAsia="sk-SK"/>
        </w:rPr>
        <w:t xml:space="preserve"> </w:t>
      </w:r>
      <w:r w:rsidR="00D719EB" w:rsidRPr="00DA20F5">
        <w:rPr>
          <w:sz w:val="22"/>
          <w:szCs w:val="22"/>
          <w:lang w:eastAsia="sk-SK"/>
        </w:rPr>
        <w:t>z.</w:t>
      </w:r>
      <w:r w:rsidRPr="00DA20F5">
        <w:rPr>
          <w:sz w:val="22"/>
          <w:szCs w:val="22"/>
          <w:lang w:eastAsia="sk-SK"/>
        </w:rPr>
        <w:t xml:space="preserve"> o príspevkoch na podporu náhradnej starostlivosti o dieťa podporuje</w:t>
      </w:r>
      <w:r w:rsidR="00AC5AAB" w:rsidRPr="00DA20F5">
        <w:rPr>
          <w:sz w:val="22"/>
          <w:szCs w:val="22"/>
          <w:lang w:eastAsia="sk-SK"/>
        </w:rPr>
        <w:t xml:space="preserve"> </w:t>
      </w:r>
      <w:r w:rsidRPr="00DA20F5">
        <w:rPr>
          <w:sz w:val="22"/>
          <w:szCs w:val="22"/>
          <w:lang w:eastAsia="sk-SK"/>
        </w:rPr>
        <w:t xml:space="preserve">prostredníctvom finančných príspevkov vykonávanie osobnej starostlivosti o dieťa inou fyzickou osobou, ak rodičia dieťaťa nezabezpečujú alebo nemôžu zabezpečiť osobnú starostlivosť o dieťa. </w:t>
      </w:r>
    </w:p>
    <w:p w:rsidR="00C3107D" w:rsidRPr="00DA20F5" w:rsidRDefault="007B3C86" w:rsidP="00D36FB8">
      <w:pPr>
        <w:pStyle w:val="Nadpis7"/>
        <w:spacing w:before="120"/>
      </w:pPr>
      <w:bookmarkStart w:id="1187" w:name="_Toc325438216"/>
      <w:bookmarkStart w:id="1188" w:name="_Toc325440984"/>
      <w:bookmarkStart w:id="1189" w:name="_Toc325626797"/>
      <w:bookmarkStart w:id="1190" w:name="_Toc326217058"/>
      <w:r w:rsidRPr="00DA20F5">
        <w:rPr>
          <w:bCs/>
          <w:iCs/>
          <w:lang w:eastAsia="cs-CZ"/>
        </w:rPr>
        <w:t>Tab. 3.1</w:t>
      </w:r>
      <w:r w:rsidRPr="00DA20F5">
        <w:rPr>
          <w:bCs/>
          <w:iCs/>
        </w:rPr>
        <w:t>7</w:t>
      </w:r>
      <w:r w:rsidR="00AC5AAB" w:rsidRPr="00DA20F5">
        <w:rPr>
          <w:bCs/>
          <w:iCs/>
          <w:lang w:eastAsia="cs-CZ"/>
        </w:rPr>
        <w:t xml:space="preserve"> </w:t>
      </w:r>
      <w:r w:rsidR="00C3107D" w:rsidRPr="00DA20F5">
        <w:t>Sumy</w:t>
      </w:r>
      <w:r w:rsidR="00AC5AAB" w:rsidRPr="00DA20F5">
        <w:t xml:space="preserve"> </w:t>
      </w:r>
      <w:r w:rsidR="00C3107D" w:rsidRPr="00DA20F5">
        <w:t>príspevkov na podporu náhradnej starostlivosti</w:t>
      </w:r>
      <w:bookmarkEnd w:id="1187"/>
      <w:bookmarkEnd w:id="1188"/>
      <w:bookmarkEnd w:id="1189"/>
      <w:bookmarkEnd w:id="1190"/>
    </w:p>
    <w:tbl>
      <w:tblPr>
        <w:tblW w:w="9206" w:type="dxa"/>
        <w:jc w:val="center"/>
        <w:tblInd w:w="-33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firstRow="0" w:lastRow="0" w:firstColumn="0" w:lastColumn="0" w:noHBand="0" w:noVBand="0"/>
      </w:tblPr>
      <w:tblGrid>
        <w:gridCol w:w="5682"/>
        <w:gridCol w:w="1683"/>
        <w:gridCol w:w="1841"/>
      </w:tblGrid>
      <w:tr w:rsidR="00C3107D" w:rsidRPr="00DA20F5" w:rsidTr="00C51124">
        <w:trPr>
          <w:trHeight w:val="312"/>
          <w:jc w:val="center"/>
        </w:trPr>
        <w:tc>
          <w:tcPr>
            <w:tcW w:w="5682" w:type="dxa"/>
            <w:shd w:val="clear" w:color="auto" w:fill="4F81BD" w:themeFill="accent1"/>
            <w:vAlign w:val="center"/>
          </w:tcPr>
          <w:p w:rsidR="00C3107D" w:rsidRPr="00DA20F5" w:rsidRDefault="00C3107D" w:rsidP="00D36FB8">
            <w:pPr>
              <w:rPr>
                <w:b/>
                <w:bCs/>
                <w:iCs/>
                <w:color w:val="FFFFFF" w:themeColor="background1"/>
                <w:szCs w:val="22"/>
              </w:rPr>
            </w:pPr>
            <w:r w:rsidRPr="00DA20F5">
              <w:rPr>
                <w:b/>
                <w:bCs/>
                <w:iCs/>
                <w:color w:val="FFFFFF" w:themeColor="background1"/>
                <w:szCs w:val="22"/>
              </w:rPr>
              <w:t>Príspevky na podporu náhradnej starostlivosti</w:t>
            </w:r>
          </w:p>
        </w:tc>
        <w:tc>
          <w:tcPr>
            <w:tcW w:w="1683" w:type="dxa"/>
            <w:shd w:val="clear" w:color="auto" w:fill="4F81BD" w:themeFill="accent1"/>
            <w:vAlign w:val="center"/>
          </w:tcPr>
          <w:p w:rsidR="00C3107D" w:rsidRPr="00DA20F5" w:rsidRDefault="00C3107D" w:rsidP="00D36FB8">
            <w:pPr>
              <w:jc w:val="center"/>
              <w:rPr>
                <w:b/>
                <w:bCs/>
                <w:color w:val="FFFFFF" w:themeColor="background1"/>
                <w:szCs w:val="22"/>
              </w:rPr>
            </w:pPr>
            <w:r w:rsidRPr="00DA20F5">
              <w:rPr>
                <w:b/>
                <w:bCs/>
                <w:color w:val="FFFFFF" w:themeColor="background1"/>
                <w:szCs w:val="22"/>
              </w:rPr>
              <w:t>od 1.9.2010</w:t>
            </w:r>
          </w:p>
        </w:tc>
        <w:tc>
          <w:tcPr>
            <w:tcW w:w="1841" w:type="dxa"/>
            <w:shd w:val="clear" w:color="auto" w:fill="4F81BD" w:themeFill="accent1"/>
            <w:vAlign w:val="center"/>
          </w:tcPr>
          <w:p w:rsidR="00C3107D" w:rsidRPr="00DA20F5" w:rsidRDefault="00C3107D" w:rsidP="00D36FB8">
            <w:pPr>
              <w:jc w:val="center"/>
              <w:rPr>
                <w:b/>
                <w:bCs/>
                <w:color w:val="FFFFFF" w:themeColor="background1"/>
                <w:szCs w:val="22"/>
              </w:rPr>
            </w:pPr>
            <w:r w:rsidRPr="00DA20F5">
              <w:rPr>
                <w:b/>
                <w:bCs/>
                <w:color w:val="FFFFFF" w:themeColor="background1"/>
                <w:szCs w:val="22"/>
              </w:rPr>
              <w:t>od 1.9.2011</w:t>
            </w:r>
          </w:p>
        </w:tc>
      </w:tr>
      <w:tr w:rsidR="00C3107D" w:rsidRPr="00DA20F5" w:rsidTr="00C51124">
        <w:trPr>
          <w:trHeight w:val="312"/>
          <w:jc w:val="center"/>
        </w:trPr>
        <w:tc>
          <w:tcPr>
            <w:tcW w:w="5682" w:type="dxa"/>
            <w:vAlign w:val="center"/>
          </w:tcPr>
          <w:p w:rsidR="00C3107D" w:rsidRPr="00DA20F5" w:rsidRDefault="00C3107D" w:rsidP="00D36FB8">
            <w:pPr>
              <w:jc w:val="left"/>
              <w:rPr>
                <w:bCs/>
                <w:iCs/>
                <w:szCs w:val="22"/>
              </w:rPr>
            </w:pPr>
            <w:r w:rsidRPr="00DA20F5">
              <w:rPr>
                <w:bCs/>
                <w:iCs/>
                <w:szCs w:val="22"/>
              </w:rPr>
              <w:t>Jednorazový príspevok pri zverení do náhradnej starostlivosti</w:t>
            </w:r>
          </w:p>
        </w:tc>
        <w:tc>
          <w:tcPr>
            <w:tcW w:w="1683" w:type="dxa"/>
            <w:vAlign w:val="center"/>
          </w:tcPr>
          <w:p w:rsidR="00C3107D" w:rsidRPr="00DA20F5" w:rsidRDefault="00C3107D" w:rsidP="00D36FB8">
            <w:pPr>
              <w:jc w:val="center"/>
              <w:rPr>
                <w:bCs/>
                <w:szCs w:val="22"/>
              </w:rPr>
            </w:pPr>
            <w:r w:rsidRPr="00DA20F5">
              <w:rPr>
                <w:bCs/>
                <w:szCs w:val="22"/>
              </w:rPr>
              <w:t>344,59 €</w:t>
            </w:r>
          </w:p>
        </w:tc>
        <w:tc>
          <w:tcPr>
            <w:tcW w:w="1841" w:type="dxa"/>
            <w:vAlign w:val="center"/>
          </w:tcPr>
          <w:p w:rsidR="00C3107D" w:rsidRPr="00DA20F5" w:rsidRDefault="00C3107D" w:rsidP="00D36FB8">
            <w:pPr>
              <w:jc w:val="center"/>
              <w:rPr>
                <w:bCs/>
                <w:szCs w:val="22"/>
              </w:rPr>
            </w:pPr>
            <w:r w:rsidRPr="00DA20F5">
              <w:rPr>
                <w:bCs/>
                <w:szCs w:val="22"/>
              </w:rPr>
              <w:t>352,86 €</w:t>
            </w:r>
          </w:p>
        </w:tc>
      </w:tr>
      <w:tr w:rsidR="00C3107D" w:rsidRPr="00DA20F5" w:rsidTr="00C51124">
        <w:trPr>
          <w:trHeight w:val="312"/>
          <w:jc w:val="center"/>
        </w:trPr>
        <w:tc>
          <w:tcPr>
            <w:tcW w:w="5682" w:type="dxa"/>
            <w:vAlign w:val="center"/>
          </w:tcPr>
          <w:p w:rsidR="00C3107D" w:rsidRPr="00DA20F5" w:rsidRDefault="00C3107D" w:rsidP="00D36FB8">
            <w:pPr>
              <w:jc w:val="left"/>
              <w:rPr>
                <w:bCs/>
                <w:iCs/>
                <w:szCs w:val="22"/>
              </w:rPr>
            </w:pPr>
            <w:r w:rsidRPr="00DA20F5">
              <w:rPr>
                <w:bCs/>
                <w:iCs/>
                <w:szCs w:val="22"/>
              </w:rPr>
              <w:t>Jednorazový príspevok pri zániku náhradnej starostlivosti</w:t>
            </w:r>
          </w:p>
        </w:tc>
        <w:tc>
          <w:tcPr>
            <w:tcW w:w="1683" w:type="dxa"/>
            <w:vAlign w:val="center"/>
          </w:tcPr>
          <w:p w:rsidR="00C3107D" w:rsidRPr="00DA20F5" w:rsidRDefault="00C3107D" w:rsidP="00D36FB8">
            <w:pPr>
              <w:jc w:val="center"/>
              <w:rPr>
                <w:bCs/>
                <w:szCs w:val="22"/>
              </w:rPr>
            </w:pPr>
            <w:r w:rsidRPr="00DA20F5">
              <w:rPr>
                <w:bCs/>
                <w:szCs w:val="22"/>
              </w:rPr>
              <w:t>863,19 €</w:t>
            </w:r>
          </w:p>
        </w:tc>
        <w:tc>
          <w:tcPr>
            <w:tcW w:w="1841" w:type="dxa"/>
            <w:vAlign w:val="center"/>
          </w:tcPr>
          <w:p w:rsidR="00C3107D" w:rsidRPr="00DA20F5" w:rsidRDefault="00C3107D" w:rsidP="00D36FB8">
            <w:pPr>
              <w:jc w:val="center"/>
              <w:rPr>
                <w:bCs/>
                <w:szCs w:val="22"/>
              </w:rPr>
            </w:pPr>
            <w:r w:rsidRPr="00DA20F5">
              <w:rPr>
                <w:bCs/>
                <w:szCs w:val="22"/>
              </w:rPr>
              <w:t>883,90 €</w:t>
            </w:r>
          </w:p>
        </w:tc>
      </w:tr>
      <w:tr w:rsidR="00C3107D" w:rsidRPr="00DA20F5" w:rsidTr="00C51124">
        <w:trPr>
          <w:trHeight w:val="312"/>
          <w:jc w:val="center"/>
        </w:trPr>
        <w:tc>
          <w:tcPr>
            <w:tcW w:w="5682" w:type="dxa"/>
            <w:vAlign w:val="center"/>
          </w:tcPr>
          <w:p w:rsidR="00C3107D" w:rsidRPr="00DA20F5" w:rsidRDefault="00C3107D" w:rsidP="00D36FB8">
            <w:pPr>
              <w:jc w:val="left"/>
              <w:rPr>
                <w:bCs/>
                <w:iCs/>
                <w:szCs w:val="22"/>
              </w:rPr>
            </w:pPr>
            <w:r w:rsidRPr="00DA20F5">
              <w:rPr>
                <w:bCs/>
                <w:iCs/>
                <w:szCs w:val="22"/>
              </w:rPr>
              <w:t>Opakovaný príspevok dieťaťu</w:t>
            </w:r>
          </w:p>
        </w:tc>
        <w:tc>
          <w:tcPr>
            <w:tcW w:w="1683" w:type="dxa"/>
            <w:vAlign w:val="center"/>
          </w:tcPr>
          <w:p w:rsidR="00C3107D" w:rsidRPr="00DA20F5" w:rsidRDefault="00C3107D" w:rsidP="00D36FB8">
            <w:pPr>
              <w:jc w:val="center"/>
              <w:rPr>
                <w:bCs/>
                <w:szCs w:val="22"/>
              </w:rPr>
            </w:pPr>
            <w:r w:rsidRPr="00DA20F5">
              <w:rPr>
                <w:bCs/>
                <w:szCs w:val="22"/>
              </w:rPr>
              <w:t>129,29 €</w:t>
            </w:r>
          </w:p>
        </w:tc>
        <w:tc>
          <w:tcPr>
            <w:tcW w:w="1841" w:type="dxa"/>
            <w:vAlign w:val="center"/>
          </w:tcPr>
          <w:p w:rsidR="00C3107D" w:rsidRPr="00DA20F5" w:rsidRDefault="00C3107D" w:rsidP="00D36FB8">
            <w:pPr>
              <w:jc w:val="center"/>
              <w:rPr>
                <w:bCs/>
                <w:szCs w:val="22"/>
              </w:rPr>
            </w:pPr>
            <w:r w:rsidRPr="00DA20F5">
              <w:rPr>
                <w:bCs/>
                <w:szCs w:val="22"/>
              </w:rPr>
              <w:t>132,39 €</w:t>
            </w:r>
          </w:p>
        </w:tc>
      </w:tr>
      <w:tr w:rsidR="00C3107D" w:rsidRPr="00DA20F5" w:rsidTr="00C51124">
        <w:trPr>
          <w:trHeight w:val="312"/>
          <w:jc w:val="center"/>
        </w:trPr>
        <w:tc>
          <w:tcPr>
            <w:tcW w:w="5682" w:type="dxa"/>
            <w:vAlign w:val="center"/>
          </w:tcPr>
          <w:p w:rsidR="00C3107D" w:rsidRPr="00DA20F5" w:rsidRDefault="00C3107D" w:rsidP="00D36FB8">
            <w:pPr>
              <w:jc w:val="left"/>
              <w:rPr>
                <w:bCs/>
                <w:iCs/>
                <w:szCs w:val="22"/>
              </w:rPr>
            </w:pPr>
            <w:r w:rsidRPr="00DA20F5">
              <w:rPr>
                <w:bCs/>
                <w:iCs/>
                <w:szCs w:val="22"/>
              </w:rPr>
              <w:t>Opakovaný príspevok náhradnému rodičovi</w:t>
            </w:r>
          </w:p>
        </w:tc>
        <w:tc>
          <w:tcPr>
            <w:tcW w:w="1683" w:type="dxa"/>
            <w:vAlign w:val="center"/>
          </w:tcPr>
          <w:p w:rsidR="00C3107D" w:rsidRPr="00DA20F5" w:rsidRDefault="00C3107D" w:rsidP="00D36FB8">
            <w:pPr>
              <w:jc w:val="center"/>
              <w:rPr>
                <w:bCs/>
                <w:szCs w:val="22"/>
              </w:rPr>
            </w:pPr>
            <w:r w:rsidRPr="00DA20F5">
              <w:rPr>
                <w:bCs/>
                <w:szCs w:val="22"/>
              </w:rPr>
              <w:t>164,38 €</w:t>
            </w:r>
          </w:p>
        </w:tc>
        <w:tc>
          <w:tcPr>
            <w:tcW w:w="1841" w:type="dxa"/>
            <w:vAlign w:val="center"/>
          </w:tcPr>
          <w:p w:rsidR="00C3107D" w:rsidRPr="00DA20F5" w:rsidRDefault="00C3107D" w:rsidP="00D36FB8">
            <w:pPr>
              <w:jc w:val="center"/>
              <w:rPr>
                <w:bCs/>
                <w:szCs w:val="22"/>
              </w:rPr>
            </w:pPr>
            <w:r w:rsidRPr="00DA20F5">
              <w:rPr>
                <w:bCs/>
                <w:szCs w:val="22"/>
              </w:rPr>
              <w:t>168,32 €</w:t>
            </w:r>
          </w:p>
        </w:tc>
      </w:tr>
      <w:tr w:rsidR="00C3107D" w:rsidRPr="00DA20F5" w:rsidTr="00C51124">
        <w:trPr>
          <w:trHeight w:val="312"/>
          <w:jc w:val="center"/>
        </w:trPr>
        <w:tc>
          <w:tcPr>
            <w:tcW w:w="5682" w:type="dxa"/>
            <w:vAlign w:val="center"/>
          </w:tcPr>
          <w:p w:rsidR="00C3107D" w:rsidRPr="00DA20F5" w:rsidRDefault="00C3107D" w:rsidP="00D36FB8">
            <w:pPr>
              <w:jc w:val="left"/>
              <w:rPr>
                <w:bCs/>
                <w:iCs/>
                <w:szCs w:val="22"/>
              </w:rPr>
            </w:pPr>
            <w:r w:rsidRPr="00DA20F5">
              <w:rPr>
                <w:bCs/>
                <w:iCs/>
                <w:szCs w:val="22"/>
              </w:rPr>
              <w:t>Zvýšenie opakovaného príspevku náhradnému rodičovi</w:t>
            </w:r>
          </w:p>
        </w:tc>
        <w:tc>
          <w:tcPr>
            <w:tcW w:w="1683" w:type="dxa"/>
            <w:vAlign w:val="center"/>
          </w:tcPr>
          <w:p w:rsidR="00C3107D" w:rsidRPr="00DA20F5" w:rsidRDefault="00C3107D" w:rsidP="00D36FB8">
            <w:pPr>
              <w:jc w:val="center"/>
              <w:rPr>
                <w:bCs/>
                <w:szCs w:val="22"/>
              </w:rPr>
            </w:pPr>
            <w:r w:rsidRPr="00DA20F5">
              <w:rPr>
                <w:bCs/>
                <w:szCs w:val="22"/>
              </w:rPr>
              <w:t>116,92 €</w:t>
            </w:r>
          </w:p>
        </w:tc>
        <w:tc>
          <w:tcPr>
            <w:tcW w:w="1841" w:type="dxa"/>
            <w:vAlign w:val="center"/>
          </w:tcPr>
          <w:p w:rsidR="00C3107D" w:rsidRPr="00DA20F5" w:rsidRDefault="00C3107D" w:rsidP="00D36FB8">
            <w:pPr>
              <w:jc w:val="center"/>
              <w:rPr>
                <w:bCs/>
                <w:szCs w:val="22"/>
              </w:rPr>
            </w:pPr>
            <w:r w:rsidRPr="00DA20F5">
              <w:rPr>
                <w:bCs/>
                <w:szCs w:val="22"/>
              </w:rPr>
              <w:t>119,72 €</w:t>
            </w:r>
          </w:p>
        </w:tc>
      </w:tr>
      <w:tr w:rsidR="00C3107D" w:rsidRPr="00DA20F5" w:rsidTr="00C51124">
        <w:trPr>
          <w:trHeight w:val="312"/>
          <w:jc w:val="center"/>
        </w:trPr>
        <w:tc>
          <w:tcPr>
            <w:tcW w:w="5682" w:type="dxa"/>
            <w:vAlign w:val="center"/>
          </w:tcPr>
          <w:p w:rsidR="00C3107D" w:rsidRPr="00DA20F5" w:rsidRDefault="00C3107D" w:rsidP="00D36FB8">
            <w:pPr>
              <w:jc w:val="left"/>
              <w:rPr>
                <w:bCs/>
                <w:iCs/>
                <w:szCs w:val="22"/>
              </w:rPr>
            </w:pPr>
            <w:r w:rsidRPr="00DA20F5">
              <w:rPr>
                <w:bCs/>
                <w:iCs/>
                <w:szCs w:val="22"/>
              </w:rPr>
              <w:t>Osobitný opakovaný príspevok náhradnému rodičovi</w:t>
            </w:r>
          </w:p>
        </w:tc>
        <w:tc>
          <w:tcPr>
            <w:tcW w:w="1683" w:type="dxa"/>
            <w:vAlign w:val="center"/>
          </w:tcPr>
          <w:p w:rsidR="00C3107D" w:rsidRPr="00DA20F5" w:rsidRDefault="00C3107D" w:rsidP="00D36FB8">
            <w:pPr>
              <w:jc w:val="center"/>
              <w:rPr>
                <w:bCs/>
                <w:szCs w:val="22"/>
              </w:rPr>
            </w:pPr>
            <w:r w:rsidRPr="00DA20F5">
              <w:rPr>
                <w:bCs/>
                <w:szCs w:val="22"/>
              </w:rPr>
              <w:t>67,74 €</w:t>
            </w:r>
          </w:p>
        </w:tc>
        <w:tc>
          <w:tcPr>
            <w:tcW w:w="1841" w:type="dxa"/>
            <w:vAlign w:val="center"/>
          </w:tcPr>
          <w:p w:rsidR="00C3107D" w:rsidRPr="00DA20F5" w:rsidRDefault="00C3107D" w:rsidP="00D36FB8">
            <w:pPr>
              <w:jc w:val="center"/>
              <w:rPr>
                <w:bCs/>
                <w:szCs w:val="22"/>
              </w:rPr>
            </w:pPr>
            <w:r w:rsidRPr="00DA20F5">
              <w:rPr>
                <w:bCs/>
                <w:szCs w:val="22"/>
              </w:rPr>
              <w:t>69,36 €</w:t>
            </w:r>
          </w:p>
        </w:tc>
      </w:tr>
    </w:tbl>
    <w:p w:rsidR="00C3107D" w:rsidRPr="00DA20F5" w:rsidRDefault="00C3107D" w:rsidP="00D36FB8">
      <w:pPr>
        <w:pStyle w:val="AAAodstavecsprava"/>
        <w:spacing w:after="0"/>
        <w:ind w:firstLine="0"/>
        <w:rPr>
          <w:b/>
          <w:color w:val="548DD4" w:themeColor="text2" w:themeTint="99"/>
          <w:sz w:val="22"/>
          <w:szCs w:val="22"/>
        </w:rPr>
      </w:pPr>
    </w:p>
    <w:p w:rsidR="00C3107D" w:rsidRPr="00DA20F5" w:rsidRDefault="00C3107D" w:rsidP="00D36FB8">
      <w:pPr>
        <w:pStyle w:val="AAAodstavecsprava"/>
        <w:spacing w:after="0"/>
        <w:ind w:firstLine="567"/>
        <w:rPr>
          <w:sz w:val="22"/>
          <w:szCs w:val="22"/>
          <w:lang w:eastAsia="sk-SK"/>
        </w:rPr>
      </w:pPr>
      <w:r w:rsidRPr="00DA20F5">
        <w:rPr>
          <w:b/>
          <w:sz w:val="22"/>
          <w:szCs w:val="22"/>
          <w:lang w:eastAsia="sk-SK"/>
        </w:rPr>
        <w:t>Jednorazový príspevok pri zverení do náhradnej starostlivosti</w:t>
      </w:r>
      <w:r w:rsidRPr="00DA20F5">
        <w:rPr>
          <w:sz w:val="22"/>
          <w:szCs w:val="22"/>
          <w:lang w:eastAsia="sk-SK"/>
        </w:rPr>
        <w:t xml:space="preserve"> sa poskytuje za</w:t>
      </w:r>
      <w:r w:rsidR="00AC5AAB" w:rsidRPr="00DA20F5">
        <w:rPr>
          <w:sz w:val="22"/>
          <w:szCs w:val="22"/>
          <w:lang w:eastAsia="sk-SK"/>
        </w:rPr>
        <w:t xml:space="preserve"> </w:t>
      </w:r>
      <w:r w:rsidRPr="00DA20F5">
        <w:rPr>
          <w:sz w:val="22"/>
          <w:szCs w:val="22"/>
          <w:lang w:eastAsia="sk-SK"/>
        </w:rPr>
        <w:t>účelom</w:t>
      </w:r>
      <w:r w:rsidR="00AC5AAB" w:rsidRPr="00DA20F5">
        <w:rPr>
          <w:sz w:val="22"/>
          <w:szCs w:val="22"/>
          <w:lang w:eastAsia="sk-SK"/>
        </w:rPr>
        <w:t xml:space="preserve"> </w:t>
      </w:r>
      <w:r w:rsidRPr="00DA20F5">
        <w:rPr>
          <w:sz w:val="22"/>
          <w:szCs w:val="22"/>
          <w:lang w:eastAsia="sk-SK"/>
        </w:rPr>
        <w:t>zabezpečenia základného osobného vybavenia dieťaťa, najmä na zabezpečenie jeho ošatenia, obuvi, hygienických potrieb, nevyhnutného nábytku a iných vecí na uspokojenie potrieb dieťaťa. V roku 2011 bol príspevok poskytnutý na 815 detí, čo je o 17 detí viac ako v roku 2010. Z celkového počtu detí bolo 68,7 % detí zverených do náhradnej osobnej starostli</w:t>
      </w:r>
      <w:r w:rsidR="0028665F" w:rsidRPr="00DA20F5">
        <w:rPr>
          <w:sz w:val="22"/>
          <w:szCs w:val="22"/>
          <w:lang w:eastAsia="sk-SK"/>
        </w:rPr>
        <w:t>vosti, 24,5 % detí zverených do </w:t>
      </w:r>
      <w:r w:rsidRPr="00DA20F5">
        <w:rPr>
          <w:sz w:val="22"/>
          <w:szCs w:val="22"/>
          <w:lang w:eastAsia="sk-SK"/>
        </w:rPr>
        <w:t>pestúnskej starostlivosti a 6,7 % detí bolo zverených poručníkovi.</w:t>
      </w:r>
    </w:p>
    <w:p w:rsidR="00C3107D" w:rsidRPr="00DA20F5" w:rsidRDefault="00C3107D" w:rsidP="00D36FB8">
      <w:pPr>
        <w:pStyle w:val="AAAodstavecsprava"/>
        <w:spacing w:after="0"/>
        <w:ind w:firstLine="567"/>
        <w:rPr>
          <w:sz w:val="22"/>
          <w:szCs w:val="22"/>
          <w:lang w:eastAsia="sk-SK"/>
        </w:rPr>
      </w:pPr>
      <w:r w:rsidRPr="00DA20F5">
        <w:rPr>
          <w:b/>
          <w:sz w:val="22"/>
          <w:szCs w:val="22"/>
          <w:lang w:eastAsia="sk-SK"/>
        </w:rPr>
        <w:t>Jednorazový príspevok pri zániku náhradnej starostlivosti</w:t>
      </w:r>
      <w:r w:rsidRPr="00DA20F5">
        <w:rPr>
          <w:sz w:val="22"/>
          <w:szCs w:val="22"/>
          <w:lang w:eastAsia="sk-SK"/>
        </w:rPr>
        <w:t xml:space="preserve"> sa poskytuje za účelom podpory osamostatnenia sa dieťaťa. V roku 2011 bol príspevok vyplatený na 500 detí, čo je o 28 deti viac ako v roku 2010. Z celkového počtu detí u 54,4 % detí došlo k zániku náhradnej osobnej starostlivosti, u 38,8 % k zániku pestúnskej starostlivosti a u 6,8 % k zániku poručníctva. </w:t>
      </w:r>
    </w:p>
    <w:p w:rsidR="00C3107D" w:rsidRPr="00DA20F5" w:rsidRDefault="00C3107D" w:rsidP="00D36FB8">
      <w:pPr>
        <w:pStyle w:val="AAAodstavecsprava"/>
        <w:spacing w:after="0"/>
        <w:ind w:firstLine="567"/>
        <w:rPr>
          <w:sz w:val="22"/>
          <w:szCs w:val="22"/>
          <w:lang w:eastAsia="sk-SK"/>
        </w:rPr>
      </w:pPr>
      <w:r w:rsidRPr="00DA20F5">
        <w:rPr>
          <w:b/>
          <w:sz w:val="22"/>
          <w:szCs w:val="22"/>
          <w:lang w:eastAsia="sk-SK"/>
        </w:rPr>
        <w:t>Opakovaný príspevok dieťaťu</w:t>
      </w:r>
      <w:r w:rsidRPr="00DA20F5">
        <w:rPr>
          <w:sz w:val="22"/>
          <w:szCs w:val="22"/>
          <w:lang w:eastAsia="sk-SK"/>
        </w:rPr>
        <w:t xml:space="preserve"> sa poskytuje za účelom podpory uspokojovania potrieb dieťaťa, najmä na úhradu nákladov na výživu, výchovu, vzdelávanie a bývanie dieťaťa. V sledovanom období bol príspevok vyplatený priemerne mesačne na 7 919 detí (nárast oproti roku 2010 o 306 detí) v sume 9 256 tis. </w:t>
      </w:r>
      <w:r w:rsidR="00E364F3" w:rsidRPr="00DA20F5">
        <w:rPr>
          <w:sz w:val="22"/>
          <w:szCs w:val="22"/>
          <w:lang w:eastAsia="sk-SK"/>
        </w:rPr>
        <w:t>€</w:t>
      </w:r>
      <w:r w:rsidRPr="00DA20F5">
        <w:rPr>
          <w:sz w:val="22"/>
          <w:szCs w:val="22"/>
          <w:lang w:eastAsia="sk-SK"/>
        </w:rPr>
        <w:t xml:space="preserve">. Podľa jednotlivých foriem náhradnej starostlivosti bolo v priemere zastúpených 63,6 % detí v náhradnej osobnej starostlivosti, 29,6 % detí v pestúnskej starostlivosti, 1,9 % detí v poručníctve, 1 % detí v dočasnom zverení a 4 % detí zverených na základe predbežného opatrenia. </w:t>
      </w:r>
    </w:p>
    <w:p w:rsidR="00C3107D" w:rsidRPr="00DA20F5" w:rsidRDefault="00227469" w:rsidP="00D36FB8">
      <w:pPr>
        <w:pStyle w:val="Nadpis7"/>
        <w:spacing w:before="120"/>
        <w:rPr>
          <w:bCs/>
          <w:iCs/>
        </w:rPr>
      </w:pPr>
      <w:bookmarkStart w:id="1191" w:name="_Toc325438217"/>
      <w:bookmarkStart w:id="1192" w:name="_Toc325440985"/>
      <w:bookmarkStart w:id="1193" w:name="_Toc325626798"/>
      <w:bookmarkStart w:id="1194" w:name="_Toc326217059"/>
      <w:r w:rsidRPr="00DA20F5">
        <w:t>Graf 3.15</w:t>
      </w:r>
      <w:r w:rsidR="00AC5AAB" w:rsidRPr="00DA20F5">
        <w:t xml:space="preserve"> </w:t>
      </w:r>
      <w:r w:rsidR="00C3107D" w:rsidRPr="00DA20F5">
        <w:t>Počet detí, na ktoré bol poskytnutý opakovaný príspevok dieťaťu podľa veku</w:t>
      </w:r>
      <w:bookmarkEnd w:id="1191"/>
      <w:bookmarkEnd w:id="1192"/>
      <w:bookmarkEnd w:id="1193"/>
      <w:bookmarkEnd w:id="1194"/>
    </w:p>
    <w:p w:rsidR="00C3107D" w:rsidRPr="00DA20F5" w:rsidRDefault="00C3107D" w:rsidP="00D36FB8">
      <w:pPr>
        <w:pStyle w:val="AAAodstavecsprava"/>
        <w:spacing w:after="0"/>
        <w:rPr>
          <w:b/>
          <w:color w:val="548DD4" w:themeColor="text2" w:themeTint="99"/>
          <w:sz w:val="22"/>
          <w:szCs w:val="22"/>
        </w:rPr>
      </w:pPr>
      <w:r w:rsidRPr="00DA20F5">
        <w:rPr>
          <w:b/>
          <w:noProof/>
          <w:color w:val="548DD4" w:themeColor="text2" w:themeTint="99"/>
          <w:sz w:val="22"/>
          <w:szCs w:val="22"/>
          <w:lang w:eastAsia="sk-SK"/>
        </w:rPr>
        <w:drawing>
          <wp:inline distT="0" distB="0" distL="0" distR="0" wp14:anchorId="049B8146" wp14:editId="5CBB012B">
            <wp:extent cx="5529532" cy="2078966"/>
            <wp:effectExtent l="0" t="0" r="0" b="0"/>
            <wp:docPr id="1899" name="Graf 18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3107D" w:rsidRPr="00DA20F5" w:rsidRDefault="00C3107D" w:rsidP="00D36FB8">
      <w:pPr>
        <w:pStyle w:val="zdroj"/>
        <w:spacing w:before="0" w:after="60"/>
      </w:pPr>
      <w:r w:rsidRPr="00DA20F5">
        <w:t>Zdroj: ÚPSVR</w:t>
      </w:r>
    </w:p>
    <w:p w:rsidR="00C3107D" w:rsidRPr="00DA20F5" w:rsidRDefault="00C3107D" w:rsidP="00D36FB8">
      <w:pPr>
        <w:pStyle w:val="AAAodstavecsprava"/>
        <w:spacing w:after="0"/>
        <w:ind w:firstLine="567"/>
        <w:rPr>
          <w:sz w:val="22"/>
          <w:szCs w:val="22"/>
        </w:rPr>
      </w:pPr>
      <w:r w:rsidRPr="00DA20F5">
        <w:rPr>
          <w:b/>
          <w:sz w:val="22"/>
          <w:szCs w:val="22"/>
        </w:rPr>
        <w:t xml:space="preserve">Opakovaný príspevok náhradnému rodičovi </w:t>
      </w:r>
      <w:r w:rsidRPr="00DA20F5">
        <w:rPr>
          <w:sz w:val="22"/>
          <w:szCs w:val="22"/>
        </w:rPr>
        <w:t>sa poskytuje za účelom podpory</w:t>
      </w:r>
      <w:r w:rsidRPr="00DA20F5">
        <w:rPr>
          <w:b/>
          <w:sz w:val="22"/>
          <w:szCs w:val="22"/>
        </w:rPr>
        <w:t xml:space="preserve"> </w:t>
      </w:r>
      <w:r w:rsidRPr="00DA20F5">
        <w:rPr>
          <w:sz w:val="22"/>
          <w:szCs w:val="22"/>
        </w:rPr>
        <w:t xml:space="preserve">vykonávania osobnej starostlivosti o dieťa, ktoré má náhradný rodič zverené </w:t>
      </w:r>
      <w:r w:rsidR="0028665F" w:rsidRPr="00DA20F5">
        <w:rPr>
          <w:sz w:val="22"/>
          <w:szCs w:val="22"/>
        </w:rPr>
        <w:t>do náhradnej starostlivosti. Za </w:t>
      </w:r>
      <w:r w:rsidRPr="00DA20F5">
        <w:rPr>
          <w:sz w:val="22"/>
          <w:szCs w:val="22"/>
        </w:rPr>
        <w:t>sledované obdobie bol príspevok poskytnutý priemerne mesač</w:t>
      </w:r>
      <w:r w:rsidR="0028665F" w:rsidRPr="00DA20F5">
        <w:rPr>
          <w:sz w:val="22"/>
          <w:szCs w:val="22"/>
        </w:rPr>
        <w:t>ne 1 287 náhradným rodičom na 1 </w:t>
      </w:r>
      <w:r w:rsidRPr="00DA20F5">
        <w:rPr>
          <w:sz w:val="22"/>
          <w:szCs w:val="22"/>
        </w:rPr>
        <w:t>737 detí. V prípade, ak sa náhradný rodič osobne staral o tri ale</w:t>
      </w:r>
      <w:r w:rsidR="00B85CEA" w:rsidRPr="00DA20F5">
        <w:rPr>
          <w:sz w:val="22"/>
          <w:szCs w:val="22"/>
        </w:rPr>
        <w:t>bo viac detí, ktoré sú súrodencami</w:t>
      </w:r>
      <w:r w:rsidRPr="00DA20F5">
        <w:rPr>
          <w:sz w:val="22"/>
          <w:szCs w:val="22"/>
        </w:rPr>
        <w:t xml:space="preserve">, opakovaný príspevok náhradnému rodičovi sa zvýšil o 119,72 </w:t>
      </w:r>
      <w:r w:rsidR="00E364F3" w:rsidRPr="00DA20F5">
        <w:rPr>
          <w:sz w:val="22"/>
          <w:szCs w:val="22"/>
        </w:rPr>
        <w:t>€</w:t>
      </w:r>
      <w:r w:rsidRPr="00DA20F5">
        <w:rPr>
          <w:sz w:val="22"/>
          <w:szCs w:val="22"/>
        </w:rPr>
        <w:t xml:space="preserve"> mesačne. V sledovanom období bolo priemerne mesačne 83 takýchto prípadov.</w:t>
      </w:r>
    </w:p>
    <w:p w:rsidR="00C3107D" w:rsidRPr="00DA20F5" w:rsidRDefault="00C3107D" w:rsidP="00D36FB8">
      <w:pPr>
        <w:pStyle w:val="AAAodstavecsprava"/>
        <w:spacing w:after="0"/>
        <w:ind w:firstLine="567"/>
        <w:rPr>
          <w:sz w:val="22"/>
          <w:szCs w:val="22"/>
        </w:rPr>
      </w:pPr>
      <w:r w:rsidRPr="00DA20F5">
        <w:rPr>
          <w:b/>
          <w:sz w:val="22"/>
          <w:szCs w:val="22"/>
        </w:rPr>
        <w:lastRenderedPageBreak/>
        <w:t xml:space="preserve">Osobitný opakovaný príspevok náhradnému rodičovi </w:t>
      </w:r>
      <w:r w:rsidRPr="00DA20F5">
        <w:rPr>
          <w:sz w:val="22"/>
          <w:szCs w:val="22"/>
        </w:rPr>
        <w:t>sa poskytuje za účelom podpory</w:t>
      </w:r>
      <w:r w:rsidRPr="00DA20F5">
        <w:rPr>
          <w:b/>
          <w:sz w:val="22"/>
          <w:szCs w:val="22"/>
        </w:rPr>
        <w:t xml:space="preserve"> </w:t>
      </w:r>
      <w:r w:rsidRPr="00DA20F5">
        <w:rPr>
          <w:sz w:val="22"/>
          <w:szCs w:val="22"/>
        </w:rPr>
        <w:t>vykonávania osobnej starostlivosti o dieťa zverené do náhradnej starostlivosti, ktoré je občanom s ťažkým zdravotným postihnutím.</w:t>
      </w:r>
      <w:r w:rsidR="00AC5AAB" w:rsidRPr="00DA20F5">
        <w:rPr>
          <w:sz w:val="22"/>
          <w:szCs w:val="22"/>
        </w:rPr>
        <w:t xml:space="preserve"> </w:t>
      </w:r>
      <w:r w:rsidRPr="00DA20F5">
        <w:rPr>
          <w:sz w:val="22"/>
          <w:szCs w:val="22"/>
        </w:rPr>
        <w:t>Za sledované obdobie bol príspevok poskytnutý priemerne mesačne 66 náhradným rodičom, ktorí vykonávajú starostlivosť o</w:t>
      </w:r>
      <w:r w:rsidR="000A5E86" w:rsidRPr="00DA20F5">
        <w:rPr>
          <w:sz w:val="22"/>
          <w:szCs w:val="22"/>
        </w:rPr>
        <w:t> ťažk</w:t>
      </w:r>
      <w:r w:rsidR="00C51124" w:rsidRPr="00DA20F5">
        <w:rPr>
          <w:sz w:val="22"/>
          <w:szCs w:val="22"/>
        </w:rPr>
        <w:t>o</w:t>
      </w:r>
      <w:r w:rsidR="000A5E86" w:rsidRPr="00DA20F5">
        <w:rPr>
          <w:sz w:val="22"/>
          <w:szCs w:val="22"/>
        </w:rPr>
        <w:t xml:space="preserve"> zdravotne postihnuté </w:t>
      </w:r>
      <w:r w:rsidRPr="00DA20F5">
        <w:rPr>
          <w:sz w:val="22"/>
          <w:szCs w:val="22"/>
        </w:rPr>
        <w:t>deti.</w:t>
      </w:r>
    </w:p>
    <w:p w:rsidR="00C3107D" w:rsidRPr="00DA20F5" w:rsidRDefault="00C3107D" w:rsidP="00D36FB8">
      <w:pPr>
        <w:pStyle w:val="AAAodstavecsprava"/>
        <w:spacing w:after="0"/>
        <w:ind w:firstLine="567"/>
        <w:rPr>
          <w:sz w:val="22"/>
          <w:szCs w:val="22"/>
        </w:rPr>
      </w:pPr>
      <w:r w:rsidRPr="00DA20F5">
        <w:rPr>
          <w:b/>
          <w:sz w:val="22"/>
          <w:szCs w:val="22"/>
        </w:rPr>
        <w:t>Odmena pestúna - § 19 odst.3 .</w:t>
      </w:r>
      <w:r w:rsidR="00AC5AAB" w:rsidRPr="00DA20F5">
        <w:rPr>
          <w:b/>
          <w:sz w:val="22"/>
          <w:szCs w:val="22"/>
        </w:rPr>
        <w:t xml:space="preserve"> </w:t>
      </w:r>
      <w:r w:rsidRPr="00DA20F5">
        <w:rPr>
          <w:sz w:val="22"/>
          <w:szCs w:val="22"/>
        </w:rPr>
        <w:t xml:space="preserve">Fyzickej osobe, ktorej po </w:t>
      </w:r>
      <w:r w:rsidR="0028665F" w:rsidRPr="00DA20F5">
        <w:rPr>
          <w:sz w:val="22"/>
          <w:szCs w:val="22"/>
        </w:rPr>
        <w:t>31. decembri 2005 trvá nárok na </w:t>
      </w:r>
      <w:r w:rsidRPr="00DA20F5">
        <w:rPr>
          <w:sz w:val="22"/>
          <w:szCs w:val="22"/>
        </w:rPr>
        <w:t xml:space="preserve">výplatu odmeny pestúna podľa predpisu účinného do 31. decembra </w:t>
      </w:r>
      <w:smartTag w:uri="urn:schemas-microsoft-com:office:smarttags" w:element="metricconverter">
        <w:smartTagPr>
          <w:attr w:name="ProductID" w:val="2005 a"/>
        </w:smartTagPr>
        <w:r w:rsidRPr="00DA20F5">
          <w:rPr>
            <w:sz w:val="22"/>
            <w:szCs w:val="22"/>
          </w:rPr>
          <w:t>2005 a</w:t>
        </w:r>
      </w:smartTag>
      <w:r w:rsidRPr="00DA20F5">
        <w:rPr>
          <w:sz w:val="22"/>
          <w:szCs w:val="22"/>
        </w:rPr>
        <w:t xml:space="preserve"> zverené dieťa je jej príbuzný v priamom rade, poskytuje sa táto odmena do zániku zverenia tohto dieťaťa. Počet osôb, ktorým bola odmena pestúna vyplatená, v priemernom mesačnom vyjadrení tvorilo 383 poberateľov. </w:t>
      </w:r>
      <w:r w:rsidR="00DE20A1" w:rsidRPr="00DA20F5">
        <w:rPr>
          <w:sz w:val="22"/>
          <w:szCs w:val="22"/>
        </w:rPr>
        <w:t>Odmena bola v</w:t>
      </w:r>
      <w:r w:rsidRPr="00DA20F5">
        <w:rPr>
          <w:sz w:val="22"/>
          <w:szCs w:val="22"/>
        </w:rPr>
        <w:t xml:space="preserve">yplatená v sume cca 258 tis. </w:t>
      </w:r>
      <w:r w:rsidR="00E364F3" w:rsidRPr="00DA20F5">
        <w:rPr>
          <w:sz w:val="22"/>
          <w:szCs w:val="22"/>
        </w:rPr>
        <w:t>€</w:t>
      </w:r>
      <w:r w:rsidRPr="00DA20F5">
        <w:rPr>
          <w:sz w:val="22"/>
          <w:szCs w:val="22"/>
        </w:rPr>
        <w:t>.</w:t>
      </w:r>
    </w:p>
    <w:p w:rsidR="000A5E86" w:rsidRPr="00DA20F5" w:rsidRDefault="004625B0" w:rsidP="002E0641">
      <w:pPr>
        <w:spacing w:after="120"/>
        <w:rPr>
          <w:szCs w:val="22"/>
        </w:rPr>
      </w:pPr>
      <w:r w:rsidRPr="00DA20F5">
        <w:rPr>
          <w:szCs w:val="22"/>
        </w:rPr>
        <w:t>V roku 2011 bolo c</w:t>
      </w:r>
      <w:r w:rsidR="00C3107D" w:rsidRPr="00DA20F5">
        <w:rPr>
          <w:szCs w:val="22"/>
        </w:rPr>
        <w:t xml:space="preserve">elkové čerpanie finančných prostriedkov na príspevky na podporu náhradnej starostlivosti a odmeny pestúna v sume cca 12 981 tis. </w:t>
      </w:r>
      <w:r w:rsidR="00E364F3" w:rsidRPr="00DA20F5">
        <w:rPr>
          <w:szCs w:val="22"/>
        </w:rPr>
        <w:t>€</w:t>
      </w:r>
      <w:r w:rsidR="00C3107D" w:rsidRPr="00DA20F5">
        <w:rPr>
          <w:szCs w:val="22"/>
        </w:rPr>
        <w:t xml:space="preserve">. </w:t>
      </w:r>
    </w:p>
    <w:p w:rsidR="0038489B" w:rsidRDefault="0038489B">
      <w:pPr>
        <w:jc w:val="left"/>
        <w:rPr>
          <w:rFonts w:ascii="Times New Roman Bold" w:hAnsi="Times New Roman Bold"/>
          <w:b/>
          <w:color w:val="548DD4" w:themeColor="text2" w:themeTint="99"/>
          <w:sz w:val="24"/>
          <w:szCs w:val="20"/>
          <w:lang w:eastAsia="cs-CZ"/>
        </w:rPr>
      </w:pPr>
      <w:bookmarkStart w:id="1195" w:name="_Toc326217060"/>
      <w:r>
        <w:br w:type="page"/>
      </w:r>
    </w:p>
    <w:p w:rsidR="00BD2156" w:rsidRPr="00DA20F5" w:rsidRDefault="00BD2156" w:rsidP="000B4550">
      <w:pPr>
        <w:pStyle w:val="Nadpis6"/>
      </w:pPr>
      <w:r w:rsidRPr="00DA20F5">
        <w:lastRenderedPageBreak/>
        <w:t xml:space="preserve">Kompenzácia sociálnych dôsledkov </w:t>
      </w:r>
      <w:r w:rsidR="004F4ABA" w:rsidRPr="00DA20F5">
        <w:t>ťažkého zdravotného postihnutia</w:t>
      </w:r>
      <w:bookmarkEnd w:id="1195"/>
      <w:r w:rsidR="00142D12" w:rsidRPr="00DA20F5">
        <w:t xml:space="preserve"> </w:t>
      </w:r>
    </w:p>
    <w:p w:rsidR="004767B3" w:rsidRPr="00DA20F5" w:rsidRDefault="004767B3" w:rsidP="00D36FB8">
      <w:pPr>
        <w:ind w:firstLine="708"/>
        <w:rPr>
          <w:szCs w:val="22"/>
        </w:rPr>
      </w:pPr>
      <w:r w:rsidRPr="00DA20F5">
        <w:rPr>
          <w:szCs w:val="22"/>
        </w:rPr>
        <w:t>Právne vzťahy pri poskytovaní peňažných príspevkov</w:t>
      </w:r>
      <w:r w:rsidR="00A64288" w:rsidRPr="00DA20F5">
        <w:rPr>
          <w:szCs w:val="22"/>
        </w:rPr>
        <w:t xml:space="preserve"> (PP)</w:t>
      </w:r>
      <w:r w:rsidRPr="00DA20F5">
        <w:rPr>
          <w:szCs w:val="22"/>
        </w:rPr>
        <w:t xml:space="preserve"> na kompenzáciu sociálnych dôsledkov ťažkého zdravotného postihnutia upravuje zákon č. 447/2008</w:t>
      </w:r>
      <w:r w:rsidR="00AC5AAB" w:rsidRPr="00DA20F5">
        <w:rPr>
          <w:szCs w:val="22"/>
        </w:rPr>
        <w:t xml:space="preserve"> </w:t>
      </w:r>
      <w:r w:rsidRPr="00DA20F5">
        <w:rPr>
          <w:szCs w:val="22"/>
        </w:rPr>
        <w:t>Z. z. o peňažných príspevkoch na kompenzáciu ťažkého zdravotného postihnutia a o zmene a doplnení niektorých zákonov v znení neskorších predpisov (ďalej len „zákon o peňažných príspevkoch“), ktorý nadobudol účinnosť</w:t>
      </w:r>
      <w:r w:rsidR="00AC5AAB" w:rsidRPr="00DA20F5">
        <w:rPr>
          <w:szCs w:val="22"/>
        </w:rPr>
        <w:t xml:space="preserve"> </w:t>
      </w:r>
      <w:r w:rsidRPr="00DA20F5">
        <w:rPr>
          <w:szCs w:val="22"/>
        </w:rPr>
        <w:t>1. januára 2009. Cieľom tejto úpravy právnych vzťahov je podporiť sociálne začlenenie fyzickej osoby s ťažkým zdravotným postihnutím (ďalej len „fyzickej osoby s ŤZP“) do spoločnosti za jej aktívnej účasti pri zachovaní jej ľudskej dôstojnosti v štyroch oblastiach: oblasti mobility a orientácie, oblasti komunikác</w:t>
      </w:r>
      <w:r w:rsidR="00E02178" w:rsidRPr="00DA20F5">
        <w:rPr>
          <w:szCs w:val="22"/>
        </w:rPr>
        <w:t>ie, oblasti zvýšených výdavkov</w:t>
      </w:r>
      <w:r w:rsidRPr="00DA20F5">
        <w:rPr>
          <w:szCs w:val="22"/>
        </w:rPr>
        <w:t xml:space="preserve"> a oblasti sebaobsluhy.</w:t>
      </w:r>
    </w:p>
    <w:p w:rsidR="004767B3" w:rsidRPr="00DA20F5" w:rsidRDefault="004767B3" w:rsidP="00D36FB8">
      <w:pPr>
        <w:ind w:firstLine="708"/>
        <w:rPr>
          <w:szCs w:val="22"/>
        </w:rPr>
      </w:pPr>
      <w:r w:rsidRPr="00DA20F5">
        <w:rPr>
          <w:szCs w:val="22"/>
        </w:rPr>
        <w:t xml:space="preserve">Sociálne dôsledky ťažkého zdravotného postihnutia je možné kompenzovať peňažnými príspevkami na kompenzáciu, ktoré sa delia na jednorazové a opakované. Maximálne výšky jednorazových peňažných príspevkov na kompenzáciu ustanovuje zákon o peňažných príspevkoch pevnou sumou, výšky opakovaných peňažných príspevkov na kompenzáciu sú ustanovené percentom sumy životného minima pre jednu plnoletú fyzickú osobu </w:t>
      </w:r>
      <w:r w:rsidR="00A64288" w:rsidRPr="00DA20F5">
        <w:rPr>
          <w:szCs w:val="22"/>
        </w:rPr>
        <w:t xml:space="preserve">(FO) </w:t>
      </w:r>
      <w:r w:rsidRPr="00DA20F5">
        <w:rPr>
          <w:szCs w:val="22"/>
        </w:rPr>
        <w:t>(upravené zákonom č. 601/2003 Z. z. o životnom minime a o zmene a doplnení niektorých zákonov), čím sú opakované peňažné príspevky na kompenzáciu valorizované v závislosti od výšky valorizácie súm životného minima. V nadväznosti na účinnosť opatrenia MPSVR SR č</w:t>
      </w:r>
      <w:r w:rsidR="00D059C8" w:rsidRPr="00DA20F5">
        <w:rPr>
          <w:szCs w:val="22"/>
        </w:rPr>
        <w:t>.</w:t>
      </w:r>
      <w:r w:rsidRPr="00DA20F5">
        <w:rPr>
          <w:szCs w:val="22"/>
        </w:rPr>
        <w:t xml:space="preserve"> 194/2011 Z. z. o úprave súm životného minima, ktorým sa od</w:t>
      </w:r>
      <w:r w:rsidR="00AC5AAB" w:rsidRPr="00DA20F5">
        <w:rPr>
          <w:szCs w:val="22"/>
        </w:rPr>
        <w:t xml:space="preserve"> </w:t>
      </w:r>
      <w:r w:rsidR="002E0641" w:rsidRPr="00DA20F5">
        <w:rPr>
          <w:szCs w:val="22"/>
        </w:rPr>
        <w:t>1. </w:t>
      </w:r>
      <w:r w:rsidRPr="00DA20F5">
        <w:rPr>
          <w:szCs w:val="22"/>
        </w:rPr>
        <w:t>júla 2011 zvýšila suma životného minima pre jednu plnoletú fyzickú osobu zo sumy 185,38 € na sumu 189,83 € mesačne, boli upravené výšky opakovaných peňažných príspevkov na kompenzáciu.</w:t>
      </w:r>
      <w:r w:rsidR="0005627F" w:rsidRPr="00DA20F5">
        <w:rPr>
          <w:szCs w:val="22"/>
        </w:rPr>
        <w:t xml:space="preserve"> </w:t>
      </w:r>
      <w:r w:rsidR="00D059C8" w:rsidRPr="00DA20F5">
        <w:rPr>
          <w:szCs w:val="22"/>
        </w:rPr>
        <w:t>U</w:t>
      </w:r>
      <w:r w:rsidR="0005627F" w:rsidRPr="00DA20F5">
        <w:rPr>
          <w:szCs w:val="22"/>
        </w:rPr>
        <w:t xml:space="preserve">vedené </w:t>
      </w:r>
      <w:r w:rsidR="00D059C8" w:rsidRPr="00DA20F5">
        <w:rPr>
          <w:szCs w:val="22"/>
        </w:rPr>
        <w:t xml:space="preserve">sú </w:t>
      </w:r>
      <w:r w:rsidR="0005627F" w:rsidRPr="00DA20F5">
        <w:rPr>
          <w:szCs w:val="22"/>
        </w:rPr>
        <w:t>v nasledujúcej tabuľke</w:t>
      </w:r>
      <w:r w:rsidR="00D059C8" w:rsidRPr="00DA20F5">
        <w:rPr>
          <w:szCs w:val="22"/>
        </w:rPr>
        <w:t>:</w:t>
      </w:r>
    </w:p>
    <w:p w:rsidR="004767B3" w:rsidRPr="00DA20F5" w:rsidRDefault="007B3C86" w:rsidP="0038489B">
      <w:pPr>
        <w:pStyle w:val="Nadpis7"/>
        <w:rPr>
          <w:sz w:val="27"/>
          <w:szCs w:val="27"/>
        </w:rPr>
      </w:pPr>
      <w:bookmarkStart w:id="1196" w:name="_Toc325438219"/>
      <w:bookmarkStart w:id="1197" w:name="_Toc325440987"/>
      <w:bookmarkStart w:id="1198" w:name="_Toc325626800"/>
      <w:bookmarkStart w:id="1199" w:name="_Toc326217061"/>
      <w:r w:rsidRPr="00DA20F5">
        <w:rPr>
          <w:bCs/>
          <w:iCs/>
          <w:lang w:eastAsia="cs-CZ"/>
        </w:rPr>
        <w:t>Tab. 3.1</w:t>
      </w:r>
      <w:r w:rsidRPr="00DA20F5">
        <w:rPr>
          <w:bCs/>
          <w:iCs/>
        </w:rPr>
        <w:t>8</w:t>
      </w:r>
      <w:r w:rsidR="00AC5AAB" w:rsidRPr="00DA20F5">
        <w:rPr>
          <w:bCs/>
          <w:iCs/>
          <w:lang w:eastAsia="cs-CZ"/>
        </w:rPr>
        <w:t xml:space="preserve"> </w:t>
      </w:r>
      <w:r w:rsidR="00AF61CA" w:rsidRPr="00DA20F5">
        <w:t>Prehľad</w:t>
      </w:r>
      <w:r w:rsidR="004767B3" w:rsidRPr="00DA20F5">
        <w:t xml:space="preserve"> </w:t>
      </w:r>
      <w:r w:rsidR="004767B3" w:rsidRPr="0038489B">
        <w:t>opakovaných</w:t>
      </w:r>
      <w:r w:rsidR="004767B3" w:rsidRPr="00DA20F5">
        <w:t xml:space="preserve"> peňažných príspevkov na kompenzáciu</w:t>
      </w:r>
      <w:bookmarkEnd w:id="1196"/>
      <w:bookmarkEnd w:id="1197"/>
      <w:bookmarkEnd w:id="1198"/>
      <w:bookmarkEnd w:id="1199"/>
      <w:r w:rsidR="004767B3" w:rsidRPr="00DA20F5">
        <w:t xml:space="preserve">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5" w:type="dxa"/>
          <w:left w:w="15" w:type="dxa"/>
          <w:bottom w:w="15" w:type="dxa"/>
          <w:right w:w="15" w:type="dxa"/>
        </w:tblCellMar>
        <w:tblLook w:val="04A0" w:firstRow="1" w:lastRow="0" w:firstColumn="1" w:lastColumn="0" w:noHBand="0" w:noVBand="1"/>
      </w:tblPr>
      <w:tblGrid>
        <w:gridCol w:w="6452"/>
        <w:gridCol w:w="1418"/>
        <w:gridCol w:w="1350"/>
      </w:tblGrid>
      <w:tr w:rsidR="004767B3" w:rsidRPr="00DA20F5" w:rsidTr="00726076">
        <w:tc>
          <w:tcPr>
            <w:tcW w:w="6452" w:type="dxa"/>
            <w:shd w:val="clear" w:color="auto" w:fill="4F81BD" w:themeFill="accent1"/>
            <w:tcMar>
              <w:top w:w="0" w:type="dxa"/>
              <w:left w:w="75" w:type="dxa"/>
              <w:bottom w:w="0" w:type="dxa"/>
              <w:right w:w="75" w:type="dxa"/>
            </w:tcMar>
            <w:vAlign w:val="center"/>
          </w:tcPr>
          <w:p w:rsidR="004767B3" w:rsidRPr="00DA20F5" w:rsidRDefault="004767B3" w:rsidP="00D36FB8">
            <w:pPr>
              <w:jc w:val="center"/>
              <w:rPr>
                <w:b/>
                <w:color w:val="FFFFFF" w:themeColor="background1"/>
                <w:szCs w:val="22"/>
              </w:rPr>
            </w:pPr>
            <w:r w:rsidRPr="00DA20F5">
              <w:rPr>
                <w:b/>
                <w:bCs/>
                <w:color w:val="FFFFFF" w:themeColor="background1"/>
                <w:szCs w:val="22"/>
              </w:rPr>
              <w:t xml:space="preserve">Druhy opakovaných peňažných príspevkov </w:t>
            </w:r>
            <w:r w:rsidR="00AF61CA" w:rsidRPr="00DA20F5">
              <w:rPr>
                <w:b/>
                <w:bCs/>
                <w:color w:val="FFFFFF" w:themeColor="background1"/>
                <w:szCs w:val="22"/>
              </w:rPr>
              <w:t>v €</w:t>
            </w:r>
          </w:p>
        </w:tc>
        <w:tc>
          <w:tcPr>
            <w:tcW w:w="1418" w:type="dxa"/>
            <w:shd w:val="clear" w:color="auto" w:fill="4F81BD" w:themeFill="accent1"/>
            <w:tcMar>
              <w:top w:w="0" w:type="dxa"/>
              <w:left w:w="75" w:type="dxa"/>
              <w:bottom w:w="0" w:type="dxa"/>
              <w:right w:w="75" w:type="dxa"/>
            </w:tcMar>
          </w:tcPr>
          <w:p w:rsidR="004767B3" w:rsidRPr="00DA20F5" w:rsidRDefault="004767B3" w:rsidP="00A64288">
            <w:pPr>
              <w:jc w:val="center"/>
              <w:rPr>
                <w:b/>
                <w:color w:val="FFFFFF" w:themeColor="background1"/>
                <w:sz w:val="20"/>
                <w:szCs w:val="20"/>
              </w:rPr>
            </w:pPr>
            <w:r w:rsidRPr="00DA20F5">
              <w:rPr>
                <w:b/>
                <w:color w:val="FFFFFF" w:themeColor="background1"/>
                <w:sz w:val="20"/>
                <w:szCs w:val="20"/>
              </w:rPr>
              <w:t>Výšky</w:t>
            </w:r>
            <w:r w:rsidR="00AC5AAB" w:rsidRPr="00DA20F5">
              <w:rPr>
                <w:b/>
                <w:color w:val="FFFFFF" w:themeColor="background1"/>
                <w:sz w:val="20"/>
                <w:szCs w:val="20"/>
              </w:rPr>
              <w:t xml:space="preserve"> </w:t>
            </w:r>
            <w:r w:rsidRPr="00DA20F5">
              <w:rPr>
                <w:b/>
                <w:color w:val="FFFFFF" w:themeColor="background1"/>
                <w:sz w:val="20"/>
                <w:szCs w:val="20"/>
              </w:rPr>
              <w:t>PP</w:t>
            </w:r>
            <w:r w:rsidR="00AC5AAB" w:rsidRPr="00DA20F5">
              <w:rPr>
                <w:b/>
                <w:color w:val="FFFFFF" w:themeColor="background1"/>
                <w:sz w:val="20"/>
                <w:szCs w:val="20"/>
              </w:rPr>
              <w:t xml:space="preserve"> </w:t>
            </w:r>
            <w:r w:rsidRPr="00DA20F5">
              <w:rPr>
                <w:b/>
                <w:color w:val="FFFFFF" w:themeColor="background1"/>
                <w:sz w:val="20"/>
                <w:szCs w:val="20"/>
              </w:rPr>
              <w:t>do</w:t>
            </w:r>
            <w:r w:rsidR="00AF61CA" w:rsidRPr="00DA20F5">
              <w:rPr>
                <w:b/>
                <w:color w:val="FFFFFF" w:themeColor="background1"/>
                <w:sz w:val="20"/>
                <w:szCs w:val="20"/>
              </w:rPr>
              <w:t xml:space="preserve"> </w:t>
            </w:r>
            <w:r w:rsidRPr="00DA20F5">
              <w:rPr>
                <w:b/>
                <w:color w:val="FFFFFF" w:themeColor="background1"/>
                <w:sz w:val="20"/>
                <w:szCs w:val="20"/>
              </w:rPr>
              <w:t>31.6.2011</w:t>
            </w:r>
            <w:r w:rsidR="00DE6270" w:rsidRPr="00DA20F5">
              <w:rPr>
                <w:b/>
                <w:color w:val="FFFFFF" w:themeColor="background1"/>
                <w:sz w:val="20"/>
                <w:szCs w:val="20"/>
              </w:rPr>
              <w:t xml:space="preserve"> v €</w:t>
            </w:r>
          </w:p>
        </w:tc>
        <w:tc>
          <w:tcPr>
            <w:tcW w:w="1350" w:type="dxa"/>
            <w:shd w:val="clear" w:color="auto" w:fill="4F81BD" w:themeFill="accent1"/>
            <w:tcMar>
              <w:top w:w="0" w:type="dxa"/>
              <w:left w:w="75" w:type="dxa"/>
              <w:bottom w:w="0" w:type="dxa"/>
              <w:right w:w="75" w:type="dxa"/>
            </w:tcMar>
          </w:tcPr>
          <w:p w:rsidR="004767B3" w:rsidRPr="00DA20F5" w:rsidRDefault="004767B3" w:rsidP="00D36FB8">
            <w:pPr>
              <w:jc w:val="center"/>
              <w:rPr>
                <w:b/>
                <w:color w:val="FFFFFF" w:themeColor="background1"/>
                <w:sz w:val="20"/>
                <w:szCs w:val="20"/>
              </w:rPr>
            </w:pPr>
            <w:r w:rsidRPr="00DA20F5">
              <w:rPr>
                <w:b/>
                <w:color w:val="FFFFFF" w:themeColor="background1"/>
                <w:sz w:val="20"/>
                <w:szCs w:val="20"/>
              </w:rPr>
              <w:t>Výšky</w:t>
            </w:r>
            <w:r w:rsidR="00AC5AAB" w:rsidRPr="00DA20F5">
              <w:rPr>
                <w:b/>
                <w:color w:val="FFFFFF" w:themeColor="background1"/>
                <w:sz w:val="20"/>
                <w:szCs w:val="20"/>
              </w:rPr>
              <w:t xml:space="preserve"> </w:t>
            </w:r>
            <w:r w:rsidRPr="00DA20F5">
              <w:rPr>
                <w:b/>
                <w:color w:val="FFFFFF" w:themeColor="background1"/>
                <w:sz w:val="20"/>
                <w:szCs w:val="20"/>
              </w:rPr>
              <w:t>PP</w:t>
            </w:r>
            <w:r w:rsidR="00AC5AAB" w:rsidRPr="00DA20F5">
              <w:rPr>
                <w:b/>
                <w:color w:val="FFFFFF" w:themeColor="background1"/>
                <w:sz w:val="20"/>
                <w:szCs w:val="20"/>
              </w:rPr>
              <w:t xml:space="preserve"> </w:t>
            </w:r>
            <w:r w:rsidRPr="00DA20F5">
              <w:rPr>
                <w:b/>
                <w:color w:val="FFFFFF" w:themeColor="background1"/>
                <w:sz w:val="20"/>
                <w:szCs w:val="20"/>
              </w:rPr>
              <w:t>od</w:t>
            </w:r>
            <w:r w:rsidRPr="00DA20F5">
              <w:rPr>
                <w:b/>
                <w:color w:val="FFFFFF" w:themeColor="background1"/>
                <w:sz w:val="20"/>
                <w:szCs w:val="20"/>
              </w:rPr>
              <w:br/>
              <w:t>1.7.2011</w:t>
            </w:r>
            <w:r w:rsidR="00DE6270" w:rsidRPr="00DA20F5">
              <w:rPr>
                <w:b/>
                <w:color w:val="FFFFFF" w:themeColor="background1"/>
                <w:sz w:val="20"/>
                <w:szCs w:val="20"/>
              </w:rPr>
              <w:t xml:space="preserve"> v €</w:t>
            </w:r>
          </w:p>
        </w:tc>
      </w:tr>
      <w:tr w:rsidR="004767B3" w:rsidRPr="00DA20F5" w:rsidTr="00726076">
        <w:tc>
          <w:tcPr>
            <w:tcW w:w="6452" w:type="dxa"/>
            <w:tcMar>
              <w:top w:w="0" w:type="dxa"/>
              <w:left w:w="75" w:type="dxa"/>
              <w:bottom w:w="0" w:type="dxa"/>
              <w:right w:w="75" w:type="dxa"/>
            </w:tcMar>
          </w:tcPr>
          <w:p w:rsidR="004767B3" w:rsidRPr="00DA20F5" w:rsidRDefault="004767B3" w:rsidP="0036562F">
            <w:pPr>
              <w:rPr>
                <w:szCs w:val="22"/>
              </w:rPr>
            </w:pPr>
            <w:r w:rsidRPr="00DA20F5">
              <w:rPr>
                <w:b/>
                <w:bCs/>
                <w:szCs w:val="22"/>
              </w:rPr>
              <w:t>PP na osobnú asistenciu</w:t>
            </w:r>
            <w:r w:rsidRPr="00DA20F5">
              <w:rPr>
                <w:szCs w:val="22"/>
              </w:rPr>
              <w:t xml:space="preserve"> – sadzba na jednu hodinu </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2,58</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2,64</w:t>
            </w:r>
          </w:p>
        </w:tc>
      </w:tr>
      <w:tr w:rsidR="004767B3" w:rsidRPr="00DA20F5" w:rsidTr="00726076">
        <w:tc>
          <w:tcPr>
            <w:tcW w:w="6452" w:type="dxa"/>
            <w:tcMar>
              <w:top w:w="0" w:type="dxa"/>
              <w:left w:w="75" w:type="dxa"/>
              <w:bottom w:w="0" w:type="dxa"/>
              <w:right w:w="75" w:type="dxa"/>
            </w:tcMar>
            <w:vAlign w:val="center"/>
          </w:tcPr>
          <w:p w:rsidR="004767B3" w:rsidRPr="00DA20F5" w:rsidRDefault="004767B3" w:rsidP="00D36FB8">
            <w:pPr>
              <w:rPr>
                <w:szCs w:val="22"/>
              </w:rPr>
            </w:pPr>
            <w:r w:rsidRPr="00DA20F5">
              <w:rPr>
                <w:b/>
                <w:bCs/>
                <w:szCs w:val="22"/>
              </w:rPr>
              <w:t>PP na prepravu</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94,59</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96,86</w:t>
            </w:r>
          </w:p>
        </w:tc>
      </w:tr>
      <w:tr w:rsidR="00AF61CA" w:rsidRPr="00DA20F5" w:rsidTr="00726076">
        <w:tc>
          <w:tcPr>
            <w:tcW w:w="9220" w:type="dxa"/>
            <w:gridSpan w:val="3"/>
            <w:tcMar>
              <w:top w:w="0" w:type="dxa"/>
              <w:left w:w="75" w:type="dxa"/>
              <w:bottom w:w="0" w:type="dxa"/>
              <w:right w:w="75" w:type="dxa"/>
            </w:tcMar>
            <w:vAlign w:val="center"/>
          </w:tcPr>
          <w:p w:rsidR="00AF61CA" w:rsidRPr="00DA20F5" w:rsidRDefault="00AF61CA" w:rsidP="00D36FB8">
            <w:pPr>
              <w:jc w:val="left"/>
              <w:rPr>
                <w:szCs w:val="22"/>
              </w:rPr>
            </w:pPr>
            <w:r w:rsidRPr="00DA20F5">
              <w:rPr>
                <w:b/>
                <w:bCs/>
                <w:szCs w:val="22"/>
              </w:rPr>
              <w:t>PP na kompenzáciu</w:t>
            </w:r>
            <w:r w:rsidR="00AC5AAB" w:rsidRPr="00DA20F5">
              <w:rPr>
                <w:b/>
                <w:bCs/>
                <w:szCs w:val="22"/>
              </w:rPr>
              <w:t xml:space="preserve"> </w:t>
            </w:r>
            <w:r w:rsidRPr="00DA20F5">
              <w:rPr>
                <w:b/>
                <w:bCs/>
                <w:szCs w:val="22"/>
              </w:rPr>
              <w:t>zvýšených</w:t>
            </w:r>
            <w:r w:rsidR="00AC5AAB" w:rsidRPr="00DA20F5">
              <w:rPr>
                <w:b/>
                <w:bCs/>
                <w:szCs w:val="22"/>
              </w:rPr>
              <w:t xml:space="preserve"> </w:t>
            </w:r>
            <w:r w:rsidRPr="00DA20F5">
              <w:rPr>
                <w:b/>
                <w:bCs/>
                <w:szCs w:val="22"/>
              </w:rPr>
              <w:t>výdavkov</w:t>
            </w:r>
            <w:r w:rsidRPr="00DA20F5">
              <w:rPr>
                <w:szCs w:val="22"/>
              </w:rPr>
              <w:t>:</w:t>
            </w:r>
          </w:p>
        </w:tc>
      </w:tr>
      <w:tr w:rsidR="004767B3" w:rsidRPr="00DA20F5" w:rsidTr="00726076">
        <w:tc>
          <w:tcPr>
            <w:tcW w:w="6452" w:type="dxa"/>
            <w:tcMar>
              <w:top w:w="0" w:type="dxa"/>
              <w:left w:w="75" w:type="dxa"/>
              <w:bottom w:w="0" w:type="dxa"/>
              <w:right w:w="75" w:type="dxa"/>
            </w:tcMar>
          </w:tcPr>
          <w:p w:rsidR="004767B3" w:rsidRPr="00DA20F5" w:rsidRDefault="004767B3" w:rsidP="00D36FB8">
            <w:pPr>
              <w:rPr>
                <w:szCs w:val="22"/>
              </w:rPr>
            </w:pPr>
            <w:r w:rsidRPr="00DA20F5">
              <w:rPr>
                <w:szCs w:val="22"/>
              </w:rPr>
              <w:t>1. na diétne stravovanie</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p>
        </w:tc>
      </w:tr>
      <w:tr w:rsidR="004767B3" w:rsidRPr="00DA20F5" w:rsidTr="00726076">
        <w:trPr>
          <w:trHeight w:val="265"/>
        </w:trPr>
        <w:tc>
          <w:tcPr>
            <w:tcW w:w="6452" w:type="dxa"/>
            <w:tcMar>
              <w:top w:w="0" w:type="dxa"/>
              <w:left w:w="75" w:type="dxa"/>
              <w:bottom w:w="0" w:type="dxa"/>
              <w:right w:w="75" w:type="dxa"/>
            </w:tcMar>
          </w:tcPr>
          <w:p w:rsidR="004767B3" w:rsidRPr="00DA20F5" w:rsidRDefault="004767B3" w:rsidP="00D36FB8">
            <w:pPr>
              <w:ind w:left="284"/>
              <w:rPr>
                <w:szCs w:val="22"/>
              </w:rPr>
            </w:pPr>
            <w:r w:rsidRPr="00DA20F5">
              <w:rPr>
                <w:szCs w:val="22"/>
              </w:rPr>
              <w:t>1a) choroby a poruchy uvedené v prvej skupine prílohy č.5 zákona</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34,41</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35,24</w:t>
            </w:r>
          </w:p>
        </w:tc>
      </w:tr>
      <w:tr w:rsidR="004767B3" w:rsidRPr="00DA20F5" w:rsidTr="00726076">
        <w:tc>
          <w:tcPr>
            <w:tcW w:w="6452" w:type="dxa"/>
            <w:tcMar>
              <w:top w:w="0" w:type="dxa"/>
              <w:left w:w="75" w:type="dxa"/>
              <w:bottom w:w="0" w:type="dxa"/>
              <w:right w:w="75" w:type="dxa"/>
            </w:tcMar>
          </w:tcPr>
          <w:p w:rsidR="004767B3" w:rsidRPr="00DA20F5" w:rsidRDefault="004767B3" w:rsidP="00D36FB8">
            <w:pPr>
              <w:ind w:left="284"/>
              <w:rPr>
                <w:szCs w:val="22"/>
              </w:rPr>
            </w:pPr>
            <w:r w:rsidRPr="00DA20F5">
              <w:rPr>
                <w:szCs w:val="22"/>
              </w:rPr>
              <w:t>1b) choroby a poruchy uvedené v druhej skupine prílohy č.5 zákona</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17,21</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17,62</w:t>
            </w:r>
          </w:p>
        </w:tc>
      </w:tr>
      <w:tr w:rsidR="004767B3" w:rsidRPr="00DA20F5" w:rsidTr="00726076">
        <w:tc>
          <w:tcPr>
            <w:tcW w:w="6452" w:type="dxa"/>
            <w:tcMar>
              <w:top w:w="0" w:type="dxa"/>
              <w:left w:w="75" w:type="dxa"/>
              <w:bottom w:w="0" w:type="dxa"/>
              <w:right w:w="75" w:type="dxa"/>
            </w:tcMar>
          </w:tcPr>
          <w:p w:rsidR="004767B3" w:rsidRPr="00DA20F5" w:rsidRDefault="004767B3" w:rsidP="00D36FB8">
            <w:pPr>
              <w:ind w:left="284"/>
              <w:rPr>
                <w:szCs w:val="22"/>
              </w:rPr>
            </w:pPr>
            <w:r w:rsidRPr="00DA20F5">
              <w:rPr>
                <w:szCs w:val="22"/>
              </w:rPr>
              <w:t>1c) choroby a poruchy uvedené v tretej skupine prílohy č.5 zákona</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10,33</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10,58</w:t>
            </w:r>
          </w:p>
        </w:tc>
      </w:tr>
      <w:tr w:rsidR="004767B3" w:rsidRPr="00DA20F5" w:rsidTr="00726076">
        <w:tc>
          <w:tcPr>
            <w:tcW w:w="6452" w:type="dxa"/>
            <w:tcMar>
              <w:top w:w="0" w:type="dxa"/>
              <w:left w:w="75" w:type="dxa"/>
              <w:bottom w:w="0" w:type="dxa"/>
              <w:right w:w="75" w:type="dxa"/>
            </w:tcMar>
          </w:tcPr>
          <w:p w:rsidR="004767B3" w:rsidRPr="00DA20F5" w:rsidRDefault="004767B3" w:rsidP="00D36FB8">
            <w:pPr>
              <w:rPr>
                <w:szCs w:val="22"/>
              </w:rPr>
            </w:pPr>
            <w:r w:rsidRPr="00DA20F5">
              <w:rPr>
                <w:szCs w:val="22"/>
              </w:rPr>
              <w:t xml:space="preserve">2. </w:t>
            </w:r>
            <w:r w:rsidR="00CE53EB" w:rsidRPr="00DA20F5">
              <w:rPr>
                <w:szCs w:val="22"/>
              </w:rPr>
              <w:t xml:space="preserve">na </w:t>
            </w:r>
            <w:r w:rsidRPr="00DA20F5">
              <w:rPr>
                <w:szCs w:val="22"/>
              </w:rPr>
              <w:t>hygienu alebo opotrebovanie šatstva, bielizne, obuvi a bytového</w:t>
            </w:r>
            <w:r w:rsidR="00AC5AAB" w:rsidRPr="00DA20F5">
              <w:rPr>
                <w:szCs w:val="22"/>
              </w:rPr>
              <w:t xml:space="preserve"> </w:t>
            </w:r>
            <w:r w:rsidRPr="00DA20F5">
              <w:rPr>
                <w:szCs w:val="22"/>
              </w:rPr>
              <w:t>zariadenia</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17,21</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17,62</w:t>
            </w:r>
          </w:p>
        </w:tc>
      </w:tr>
      <w:tr w:rsidR="004767B3" w:rsidRPr="00DA20F5" w:rsidTr="00726076">
        <w:tc>
          <w:tcPr>
            <w:tcW w:w="6452" w:type="dxa"/>
            <w:tcMar>
              <w:top w:w="0" w:type="dxa"/>
              <w:left w:w="75" w:type="dxa"/>
              <w:bottom w:w="0" w:type="dxa"/>
              <w:right w:w="75" w:type="dxa"/>
            </w:tcMar>
          </w:tcPr>
          <w:p w:rsidR="004767B3" w:rsidRPr="00DA20F5" w:rsidRDefault="004767B3" w:rsidP="00D36FB8">
            <w:pPr>
              <w:rPr>
                <w:szCs w:val="22"/>
              </w:rPr>
            </w:pPr>
            <w:r w:rsidRPr="00DA20F5">
              <w:rPr>
                <w:szCs w:val="22"/>
              </w:rPr>
              <w:t>3.</w:t>
            </w:r>
            <w:r w:rsidR="00CE53EB" w:rsidRPr="00DA20F5">
              <w:rPr>
                <w:szCs w:val="22"/>
              </w:rPr>
              <w:t xml:space="preserve">na </w:t>
            </w:r>
            <w:r w:rsidRPr="00DA20F5">
              <w:rPr>
                <w:szCs w:val="22"/>
              </w:rPr>
              <w:t>zabezpečenie prevádzky osobného motorového vozidla</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30,96</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31,71</w:t>
            </w:r>
          </w:p>
        </w:tc>
      </w:tr>
      <w:tr w:rsidR="004767B3" w:rsidRPr="00DA20F5" w:rsidTr="00726076">
        <w:tc>
          <w:tcPr>
            <w:tcW w:w="6452" w:type="dxa"/>
            <w:tcMar>
              <w:top w:w="0" w:type="dxa"/>
              <w:left w:w="75" w:type="dxa"/>
              <w:bottom w:w="0" w:type="dxa"/>
              <w:right w:w="75" w:type="dxa"/>
            </w:tcMar>
          </w:tcPr>
          <w:p w:rsidR="004767B3" w:rsidRPr="00DA20F5" w:rsidRDefault="004767B3" w:rsidP="00D36FB8">
            <w:pPr>
              <w:rPr>
                <w:szCs w:val="22"/>
              </w:rPr>
            </w:pPr>
            <w:r w:rsidRPr="00DA20F5">
              <w:rPr>
                <w:szCs w:val="22"/>
              </w:rPr>
              <w:t xml:space="preserve">4. </w:t>
            </w:r>
            <w:r w:rsidR="00CE53EB" w:rsidRPr="00DA20F5">
              <w:rPr>
                <w:szCs w:val="22"/>
              </w:rPr>
              <w:t xml:space="preserve">na </w:t>
            </w:r>
            <w:r w:rsidRPr="00DA20F5">
              <w:rPr>
                <w:szCs w:val="22"/>
              </w:rPr>
              <w:t>starostlivosť</w:t>
            </w:r>
            <w:r w:rsidR="00AC5AAB" w:rsidRPr="00DA20F5">
              <w:rPr>
                <w:szCs w:val="22"/>
              </w:rPr>
              <w:t xml:space="preserve"> </w:t>
            </w:r>
            <w:r w:rsidRPr="00DA20F5">
              <w:rPr>
                <w:szCs w:val="22"/>
              </w:rPr>
              <w:t>o psa so špeciálnym výcvikom</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41,29</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42,28</w:t>
            </w:r>
          </w:p>
        </w:tc>
      </w:tr>
      <w:tr w:rsidR="00F05995" w:rsidRPr="00DA20F5" w:rsidTr="00726076">
        <w:tc>
          <w:tcPr>
            <w:tcW w:w="9220" w:type="dxa"/>
            <w:gridSpan w:val="3"/>
            <w:tcMar>
              <w:top w:w="0" w:type="dxa"/>
              <w:left w:w="75" w:type="dxa"/>
              <w:bottom w:w="0" w:type="dxa"/>
              <w:right w:w="75" w:type="dxa"/>
            </w:tcMar>
            <w:vAlign w:val="center"/>
          </w:tcPr>
          <w:p w:rsidR="00F05995" w:rsidRPr="00DA20F5" w:rsidRDefault="00F05995" w:rsidP="00D36FB8">
            <w:pPr>
              <w:jc w:val="left"/>
              <w:rPr>
                <w:szCs w:val="22"/>
              </w:rPr>
            </w:pPr>
            <w:r w:rsidRPr="00DA20F5">
              <w:rPr>
                <w:b/>
                <w:bCs/>
                <w:szCs w:val="22"/>
              </w:rPr>
              <w:t>PP na opatrovanie</w:t>
            </w:r>
            <w:r w:rsidRPr="00DA20F5">
              <w:rPr>
                <w:szCs w:val="22"/>
              </w:rPr>
              <w:t>:</w:t>
            </w:r>
          </w:p>
        </w:tc>
      </w:tr>
      <w:tr w:rsidR="00F05995" w:rsidRPr="00DA20F5" w:rsidTr="00726076">
        <w:tc>
          <w:tcPr>
            <w:tcW w:w="9220" w:type="dxa"/>
            <w:gridSpan w:val="3"/>
            <w:tcMar>
              <w:top w:w="0" w:type="dxa"/>
              <w:left w:w="75" w:type="dxa"/>
              <w:bottom w:w="0" w:type="dxa"/>
              <w:right w:w="75" w:type="dxa"/>
            </w:tcMar>
            <w:vAlign w:val="center"/>
          </w:tcPr>
          <w:p w:rsidR="00F05995" w:rsidRPr="00DA20F5" w:rsidRDefault="00F05995" w:rsidP="00A64288">
            <w:pPr>
              <w:jc w:val="left"/>
              <w:rPr>
                <w:szCs w:val="22"/>
              </w:rPr>
            </w:pPr>
            <w:r w:rsidRPr="00DA20F5">
              <w:rPr>
                <w:szCs w:val="22"/>
              </w:rPr>
              <w:t>1.FO</w:t>
            </w:r>
            <w:r w:rsidRPr="00DA20F5">
              <w:rPr>
                <w:szCs w:val="22"/>
                <w:vertAlign w:val="superscript"/>
              </w:rPr>
              <w:t xml:space="preserve"> </w:t>
            </w:r>
            <w:r w:rsidRPr="00DA20F5">
              <w:rPr>
                <w:szCs w:val="22"/>
              </w:rPr>
              <w:t>(opatrovateľ) nepoberá niektorú zo zákonom ustanovených dôchodkových dávok:</w:t>
            </w:r>
          </w:p>
        </w:tc>
      </w:tr>
      <w:tr w:rsidR="004767B3" w:rsidRPr="00DA20F5" w:rsidTr="00726076">
        <w:tc>
          <w:tcPr>
            <w:tcW w:w="6452" w:type="dxa"/>
            <w:tcMar>
              <w:top w:w="0" w:type="dxa"/>
              <w:left w:w="75" w:type="dxa"/>
              <w:bottom w:w="0" w:type="dxa"/>
              <w:right w:w="75" w:type="dxa"/>
            </w:tcMar>
          </w:tcPr>
          <w:p w:rsidR="004767B3" w:rsidRPr="00DA20F5" w:rsidRDefault="004767B3" w:rsidP="00D36FB8">
            <w:pPr>
              <w:ind w:left="284"/>
              <w:rPr>
                <w:szCs w:val="22"/>
              </w:rPr>
            </w:pPr>
            <w:r w:rsidRPr="00DA20F5">
              <w:rPr>
                <w:szCs w:val="22"/>
              </w:rPr>
              <w:t>1a) opatruje jednu</w:t>
            </w:r>
            <w:r w:rsidR="00AC5AAB" w:rsidRPr="00DA20F5">
              <w:rPr>
                <w:szCs w:val="22"/>
              </w:rPr>
              <w:t xml:space="preserve"> </w:t>
            </w:r>
            <w:r w:rsidRPr="00DA20F5">
              <w:rPr>
                <w:szCs w:val="22"/>
              </w:rPr>
              <w:t>FO s ŤZP</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206,37</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211,32</w:t>
            </w:r>
          </w:p>
        </w:tc>
      </w:tr>
      <w:tr w:rsidR="004767B3" w:rsidRPr="00DA20F5" w:rsidTr="00726076">
        <w:tc>
          <w:tcPr>
            <w:tcW w:w="6452" w:type="dxa"/>
            <w:tcMar>
              <w:top w:w="0" w:type="dxa"/>
              <w:left w:w="75" w:type="dxa"/>
              <w:bottom w:w="0" w:type="dxa"/>
              <w:right w:w="75" w:type="dxa"/>
            </w:tcMar>
          </w:tcPr>
          <w:p w:rsidR="004767B3" w:rsidRPr="00DA20F5" w:rsidRDefault="004767B3" w:rsidP="00D36FB8">
            <w:pPr>
              <w:ind w:left="284"/>
              <w:rPr>
                <w:szCs w:val="22"/>
              </w:rPr>
            </w:pPr>
            <w:r w:rsidRPr="00DA20F5">
              <w:rPr>
                <w:szCs w:val="22"/>
              </w:rPr>
              <w:t>1b) opatruje dve alebo viaceré FO s ŤZP</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275,15</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281,75</w:t>
            </w:r>
          </w:p>
        </w:tc>
      </w:tr>
      <w:tr w:rsidR="004767B3" w:rsidRPr="00DA20F5" w:rsidTr="00726076">
        <w:tc>
          <w:tcPr>
            <w:tcW w:w="6452" w:type="dxa"/>
            <w:tcMar>
              <w:top w:w="0" w:type="dxa"/>
              <w:left w:w="75" w:type="dxa"/>
              <w:bottom w:w="0" w:type="dxa"/>
              <w:right w:w="75" w:type="dxa"/>
            </w:tcMar>
          </w:tcPr>
          <w:p w:rsidR="004767B3" w:rsidRPr="00DA20F5" w:rsidRDefault="004767B3" w:rsidP="00D36FB8">
            <w:pPr>
              <w:ind w:left="284"/>
              <w:rPr>
                <w:szCs w:val="22"/>
              </w:rPr>
            </w:pPr>
            <w:r w:rsidRPr="00DA20F5">
              <w:rPr>
                <w:szCs w:val="22"/>
              </w:rPr>
              <w:t>1c) opatruje jednu FO s ŤZP, ktorá je viac ako 20 hodín týždenne v zariadení</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182,29</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186,66</w:t>
            </w:r>
          </w:p>
        </w:tc>
      </w:tr>
      <w:tr w:rsidR="004767B3" w:rsidRPr="00DA20F5" w:rsidTr="00726076">
        <w:tc>
          <w:tcPr>
            <w:tcW w:w="6452" w:type="dxa"/>
            <w:tcMar>
              <w:top w:w="0" w:type="dxa"/>
              <w:left w:w="75" w:type="dxa"/>
              <w:bottom w:w="0" w:type="dxa"/>
              <w:right w:w="75" w:type="dxa"/>
            </w:tcMar>
          </w:tcPr>
          <w:p w:rsidR="004767B3" w:rsidRPr="00DA20F5" w:rsidRDefault="004767B3" w:rsidP="00D36FB8">
            <w:pPr>
              <w:ind w:left="284"/>
              <w:rPr>
                <w:szCs w:val="22"/>
              </w:rPr>
            </w:pPr>
            <w:r w:rsidRPr="00DA20F5">
              <w:rPr>
                <w:szCs w:val="22"/>
              </w:rPr>
              <w:t>1d) opatruje dve alebo viaceré FO s ŤZP, ktoré sú viac ako 20 hodín týždenne v zariadení</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257,96</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264,15</w:t>
            </w:r>
          </w:p>
        </w:tc>
      </w:tr>
      <w:tr w:rsidR="004767B3" w:rsidRPr="00DA20F5" w:rsidTr="00726076">
        <w:tc>
          <w:tcPr>
            <w:tcW w:w="6452" w:type="dxa"/>
            <w:tcMar>
              <w:top w:w="0" w:type="dxa"/>
              <w:left w:w="75" w:type="dxa"/>
              <w:bottom w:w="0" w:type="dxa"/>
              <w:right w:w="75" w:type="dxa"/>
            </w:tcMar>
          </w:tcPr>
          <w:p w:rsidR="004767B3" w:rsidRPr="00DA20F5" w:rsidRDefault="004767B3" w:rsidP="00D36FB8">
            <w:pPr>
              <w:ind w:left="284"/>
              <w:rPr>
                <w:szCs w:val="22"/>
              </w:rPr>
            </w:pPr>
            <w:r w:rsidRPr="00DA20F5">
              <w:rPr>
                <w:szCs w:val="22"/>
              </w:rPr>
              <w:t>1e) opatruje FO s ŤZP, ktorá je v zariadení viac ako 20 hodín týždenne a súčasne opatruje aj druhú FO s ŤZP, ktorá nie je v zariadení alebo je v zariadení najviac 20 hodín týždenne</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268,27</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274,71</w:t>
            </w:r>
          </w:p>
        </w:tc>
      </w:tr>
      <w:tr w:rsidR="00F05995" w:rsidRPr="00DA20F5" w:rsidTr="00726076">
        <w:tc>
          <w:tcPr>
            <w:tcW w:w="9220" w:type="dxa"/>
            <w:gridSpan w:val="3"/>
            <w:tcMar>
              <w:top w:w="0" w:type="dxa"/>
              <w:left w:w="75" w:type="dxa"/>
              <w:bottom w:w="0" w:type="dxa"/>
              <w:right w:w="75" w:type="dxa"/>
            </w:tcMar>
            <w:vAlign w:val="center"/>
          </w:tcPr>
          <w:p w:rsidR="00F05995" w:rsidRPr="00DA20F5" w:rsidRDefault="00F05995" w:rsidP="00D36FB8">
            <w:pPr>
              <w:jc w:val="left"/>
              <w:rPr>
                <w:szCs w:val="22"/>
              </w:rPr>
            </w:pPr>
            <w:r w:rsidRPr="00DA20F5">
              <w:rPr>
                <w:szCs w:val="22"/>
              </w:rPr>
              <w:t>2. FO (opatrovateľ) poberá niektorú zo zákonom ustanovených dôchodkových dávok</w:t>
            </w:r>
            <w:r w:rsidR="00415172" w:rsidRPr="00DA20F5">
              <w:rPr>
                <w:szCs w:val="22"/>
              </w:rPr>
              <w:t>:</w:t>
            </w:r>
          </w:p>
        </w:tc>
      </w:tr>
      <w:tr w:rsidR="004767B3" w:rsidRPr="00DA20F5" w:rsidTr="00726076">
        <w:tc>
          <w:tcPr>
            <w:tcW w:w="6452" w:type="dxa"/>
            <w:tcMar>
              <w:top w:w="0" w:type="dxa"/>
              <w:left w:w="75" w:type="dxa"/>
              <w:bottom w:w="0" w:type="dxa"/>
              <w:right w:w="75" w:type="dxa"/>
            </w:tcMar>
          </w:tcPr>
          <w:p w:rsidR="004767B3" w:rsidRPr="00DA20F5" w:rsidRDefault="004767B3" w:rsidP="00D36FB8">
            <w:pPr>
              <w:ind w:left="284"/>
              <w:rPr>
                <w:szCs w:val="22"/>
              </w:rPr>
            </w:pPr>
            <w:r w:rsidRPr="00DA20F5">
              <w:rPr>
                <w:szCs w:val="22"/>
              </w:rPr>
              <w:t>2a) opatruje jednu FO s ŤZP</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85,98</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88,05</w:t>
            </w:r>
          </w:p>
        </w:tc>
      </w:tr>
      <w:tr w:rsidR="004767B3" w:rsidRPr="00DA20F5" w:rsidTr="00726076">
        <w:tc>
          <w:tcPr>
            <w:tcW w:w="6452" w:type="dxa"/>
            <w:tcMar>
              <w:top w:w="0" w:type="dxa"/>
              <w:left w:w="75" w:type="dxa"/>
              <w:bottom w:w="0" w:type="dxa"/>
              <w:right w:w="75" w:type="dxa"/>
            </w:tcMar>
          </w:tcPr>
          <w:p w:rsidR="004767B3" w:rsidRPr="00DA20F5" w:rsidRDefault="004767B3" w:rsidP="00D36FB8">
            <w:pPr>
              <w:ind w:left="284"/>
              <w:rPr>
                <w:szCs w:val="22"/>
              </w:rPr>
            </w:pPr>
            <w:r w:rsidRPr="00DA20F5">
              <w:rPr>
                <w:szCs w:val="22"/>
              </w:rPr>
              <w:t>2b) opatruje dve alebo viaceré FO s ŤZP</w:t>
            </w:r>
          </w:p>
        </w:tc>
        <w:tc>
          <w:tcPr>
            <w:tcW w:w="1418"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113,49</w:t>
            </w:r>
          </w:p>
        </w:tc>
        <w:tc>
          <w:tcPr>
            <w:tcW w:w="1350" w:type="dxa"/>
            <w:tcMar>
              <w:top w:w="0" w:type="dxa"/>
              <w:left w:w="75" w:type="dxa"/>
              <w:bottom w:w="0" w:type="dxa"/>
              <w:right w:w="75" w:type="dxa"/>
            </w:tcMar>
            <w:vAlign w:val="center"/>
          </w:tcPr>
          <w:p w:rsidR="004767B3" w:rsidRPr="00DA20F5" w:rsidRDefault="004767B3" w:rsidP="00D36FB8">
            <w:pPr>
              <w:jc w:val="center"/>
              <w:rPr>
                <w:szCs w:val="22"/>
              </w:rPr>
            </w:pPr>
            <w:r w:rsidRPr="00DA20F5">
              <w:rPr>
                <w:szCs w:val="22"/>
              </w:rPr>
              <w:t>116,22</w:t>
            </w:r>
          </w:p>
        </w:tc>
      </w:tr>
    </w:tbl>
    <w:p w:rsidR="000A5E86" w:rsidRPr="00DA20F5" w:rsidRDefault="000A5E86" w:rsidP="00A64288">
      <w:pPr>
        <w:pStyle w:val="zdroj"/>
      </w:pPr>
    </w:p>
    <w:p w:rsidR="00D059C8" w:rsidRPr="00DA20F5" w:rsidRDefault="004767B3" w:rsidP="00D36FB8">
      <w:pPr>
        <w:rPr>
          <w:szCs w:val="22"/>
        </w:rPr>
      </w:pPr>
      <w:r w:rsidRPr="00DA20F5">
        <w:rPr>
          <w:color w:val="365F91" w:themeColor="accent1" w:themeShade="BF"/>
          <w:szCs w:val="22"/>
        </w:rPr>
        <w:tab/>
      </w:r>
      <w:r w:rsidRPr="00DA20F5">
        <w:rPr>
          <w:szCs w:val="22"/>
        </w:rPr>
        <w:t>V roku 2011 bol prijatý zákon č. 180/2011 Z. z</w:t>
      </w:r>
      <w:r w:rsidR="00F05995" w:rsidRPr="00DA20F5">
        <w:rPr>
          <w:szCs w:val="22"/>
        </w:rPr>
        <w:t>., ktorým sa mení a dopĺňa zákon</w:t>
      </w:r>
      <w:r w:rsidRPr="00DA20F5">
        <w:rPr>
          <w:szCs w:val="22"/>
        </w:rPr>
        <w:t xml:space="preserve"> č. 447/2008</w:t>
      </w:r>
      <w:r w:rsidR="00AC5AAB" w:rsidRPr="00DA20F5">
        <w:rPr>
          <w:szCs w:val="22"/>
        </w:rPr>
        <w:t xml:space="preserve"> </w:t>
      </w:r>
      <w:r w:rsidRPr="00DA20F5">
        <w:rPr>
          <w:szCs w:val="22"/>
        </w:rPr>
        <w:t>Z.</w:t>
      </w:r>
      <w:r w:rsidR="00C51124" w:rsidRPr="00DA20F5">
        <w:rPr>
          <w:szCs w:val="22"/>
        </w:rPr>
        <w:t> </w:t>
      </w:r>
      <w:r w:rsidRPr="00DA20F5">
        <w:rPr>
          <w:szCs w:val="22"/>
        </w:rPr>
        <w:t xml:space="preserve">z. o peňažných príspevkoch na kompenzáciu ťažkého zdravotného postihnutia a o zmene a doplnení </w:t>
      </w:r>
      <w:r w:rsidRPr="00DA20F5">
        <w:rPr>
          <w:szCs w:val="22"/>
        </w:rPr>
        <w:lastRenderedPageBreak/>
        <w:t xml:space="preserve">niektorých zákonov v znení </w:t>
      </w:r>
      <w:r w:rsidRPr="00DA20F5">
        <w:rPr>
          <w:color w:val="000000" w:themeColor="text1"/>
          <w:szCs w:val="22"/>
        </w:rPr>
        <w:t>zákona č. 551/2010 Z. z.</w:t>
      </w:r>
      <w:r w:rsidR="00415172" w:rsidRPr="00DA20F5">
        <w:rPr>
          <w:color w:val="000000" w:themeColor="text1"/>
          <w:szCs w:val="22"/>
        </w:rPr>
        <w:t xml:space="preserve"> a</w:t>
      </w:r>
      <w:r w:rsidRPr="00DA20F5">
        <w:rPr>
          <w:color w:val="000000" w:themeColor="text1"/>
          <w:szCs w:val="22"/>
        </w:rPr>
        <w:t> ktorým sa menia a dopĺňajú niektoré zákony. Článok č. I</w:t>
      </w:r>
      <w:r w:rsidR="00D059C8" w:rsidRPr="00DA20F5">
        <w:rPr>
          <w:color w:val="000000" w:themeColor="text1"/>
          <w:szCs w:val="22"/>
        </w:rPr>
        <w:t>.</w:t>
      </w:r>
      <w:r w:rsidRPr="00DA20F5">
        <w:rPr>
          <w:color w:val="000000" w:themeColor="text1"/>
          <w:szCs w:val="22"/>
        </w:rPr>
        <w:t xml:space="preserve"> tohto </w:t>
      </w:r>
      <w:r w:rsidR="00D059C8" w:rsidRPr="00DA20F5">
        <w:rPr>
          <w:color w:val="000000" w:themeColor="text1"/>
          <w:szCs w:val="22"/>
        </w:rPr>
        <w:t xml:space="preserve">novelizujúceho </w:t>
      </w:r>
      <w:r w:rsidRPr="00DA20F5">
        <w:rPr>
          <w:color w:val="000000" w:themeColor="text1"/>
          <w:szCs w:val="22"/>
        </w:rPr>
        <w:t>zákona</w:t>
      </w:r>
      <w:r w:rsidR="00D059C8" w:rsidRPr="00DA20F5">
        <w:rPr>
          <w:color w:val="000000" w:themeColor="text1"/>
          <w:szCs w:val="22"/>
        </w:rPr>
        <w:t xml:space="preserve"> o peňažných</w:t>
      </w:r>
      <w:r w:rsidR="00D059C8" w:rsidRPr="00DA20F5">
        <w:rPr>
          <w:szCs w:val="22"/>
        </w:rPr>
        <w:t xml:space="preserve"> príspevkoch</w:t>
      </w:r>
      <w:r w:rsidRPr="00DA20F5">
        <w:rPr>
          <w:szCs w:val="22"/>
        </w:rPr>
        <w:t xml:space="preserve"> nadobudol účinnosť 1. júla 2011. Cieľom tejto legislatívnej zmeny bolo odstrániť aplikačné nejasnosti, uľahčiť konanie, precizovať spoločné ustanovenia, zlepšiť prepojenie s inými súvisiacimi právnymi predpismi a upraviť podmienky poskytovania vybraných peňažných príspevkov. Najvýznamnejšie zmeny v podmienkach poskytovania peňažných príspevkoch na kompenzáciu uvádzame v nasledovnom prehľade: </w:t>
      </w:r>
    </w:p>
    <w:p w:rsidR="004767B3" w:rsidRPr="00DA20F5" w:rsidRDefault="004767B3" w:rsidP="00DB509D">
      <w:pPr>
        <w:pStyle w:val="bullet1"/>
        <w:numPr>
          <w:ilvl w:val="0"/>
          <w:numId w:val="35"/>
        </w:numPr>
      </w:pPr>
      <w:r w:rsidRPr="00DA20F5">
        <w:t>rozšíril sa okruh tých príjmov, ktoré sa pri posudzovaní príjmu na účely peňažných príspevkov</w:t>
      </w:r>
      <w:r w:rsidR="00AC5AAB" w:rsidRPr="00DA20F5">
        <w:t xml:space="preserve"> </w:t>
      </w:r>
      <w:r w:rsidRPr="00DA20F5">
        <w:t xml:space="preserve">na kompenzáciu za príjem nepovažujú, čím sa zvýšila jeho ochrana, </w:t>
      </w:r>
    </w:p>
    <w:p w:rsidR="004767B3" w:rsidRPr="00DA20F5" w:rsidRDefault="004767B3" w:rsidP="00DB509D">
      <w:pPr>
        <w:pStyle w:val="bullet1"/>
        <w:numPr>
          <w:ilvl w:val="0"/>
          <w:numId w:val="35"/>
        </w:numPr>
      </w:pPr>
      <w:r w:rsidRPr="00DA20F5">
        <w:t>pri peňažnom príspevku na osobnú asistenciu:</w:t>
      </w:r>
    </w:p>
    <w:p w:rsidR="004767B3" w:rsidRPr="00DA20F5" w:rsidRDefault="004767B3" w:rsidP="00DB509D">
      <w:pPr>
        <w:numPr>
          <w:ilvl w:val="0"/>
          <w:numId w:val="34"/>
        </w:numPr>
        <w:ind w:left="993"/>
        <w:textAlignment w:val="baseline"/>
        <w:rPr>
          <w:szCs w:val="22"/>
        </w:rPr>
      </w:pPr>
      <w:r w:rsidRPr="00DA20F5">
        <w:rPr>
          <w:szCs w:val="22"/>
        </w:rPr>
        <w:t xml:space="preserve">na účely tohto peňažného príspevku sa zvýšila ochrana príjmu fyzickej osoby s ŤZP z trojnásobku na štvornásobok sumy životného minima pre jednu plnoletú fyzickú osobu, </w:t>
      </w:r>
    </w:p>
    <w:p w:rsidR="004767B3" w:rsidRPr="00DA20F5" w:rsidRDefault="00446386" w:rsidP="00DB509D">
      <w:pPr>
        <w:numPr>
          <w:ilvl w:val="0"/>
          <w:numId w:val="34"/>
        </w:numPr>
        <w:ind w:left="993"/>
        <w:textAlignment w:val="baseline"/>
        <w:rPr>
          <w:szCs w:val="22"/>
        </w:rPr>
      </w:pPr>
      <w:r w:rsidRPr="00DA20F5">
        <w:rPr>
          <w:szCs w:val="22"/>
        </w:rPr>
        <w:t>rozšíril sa zoznam</w:t>
      </w:r>
      <w:r w:rsidR="004767B3" w:rsidRPr="00DA20F5">
        <w:rPr>
          <w:szCs w:val="22"/>
        </w:rPr>
        <w:t xml:space="preserve"> činností osobnej asistencie o novú činnosť - sprostredkovanie komunikácie pre sluchovo postihnuté osoby a pre hluchoslepé osoby, na vykonávanie ktorej je možné poskytnúť peňažný príspevok, </w:t>
      </w:r>
    </w:p>
    <w:p w:rsidR="004767B3" w:rsidRPr="00DA20F5" w:rsidRDefault="004767B3" w:rsidP="00DB509D">
      <w:pPr>
        <w:numPr>
          <w:ilvl w:val="0"/>
          <w:numId w:val="34"/>
        </w:numPr>
        <w:ind w:left="993"/>
        <w:textAlignment w:val="baseline"/>
        <w:rPr>
          <w:szCs w:val="22"/>
        </w:rPr>
      </w:pPr>
      <w:r w:rsidRPr="00DA20F5">
        <w:rPr>
          <w:szCs w:val="22"/>
        </w:rPr>
        <w:t>boli vypustené limitujúce podmienky pre fyzickú osobu s ŤZP (ktorými boli zamestnanie, štúdium, alebo</w:t>
      </w:r>
      <w:r w:rsidR="00AC5AAB" w:rsidRPr="00DA20F5">
        <w:rPr>
          <w:szCs w:val="22"/>
        </w:rPr>
        <w:t xml:space="preserve"> </w:t>
      </w:r>
      <w:r w:rsidRPr="00DA20F5">
        <w:rPr>
          <w:szCs w:val="22"/>
        </w:rPr>
        <w:t xml:space="preserve">minimálny ročný rozsah hodín osobnej asistencie) na účely vykonávania osobnej asistencie rodinnými príslušníkmi, </w:t>
      </w:r>
    </w:p>
    <w:p w:rsidR="004767B3" w:rsidRPr="00DA20F5" w:rsidRDefault="004767B3" w:rsidP="00DB509D">
      <w:pPr>
        <w:numPr>
          <w:ilvl w:val="0"/>
          <w:numId w:val="34"/>
        </w:numPr>
        <w:ind w:left="993"/>
        <w:textAlignment w:val="baseline"/>
        <w:rPr>
          <w:szCs w:val="22"/>
        </w:rPr>
      </w:pPr>
      <w:r w:rsidRPr="00DA20F5">
        <w:rPr>
          <w:szCs w:val="22"/>
        </w:rPr>
        <w:t>rozšíril sa okruhu činností osobnej asistencie, ktoré môžu vykonávať rodinní príslušníci o tlmočenie (artikulačné, taktilné a v posunkovej reči) a o sprostredkovanie komunikácie pre sluchovo postihnuté osoby a pre hluchoslepé osoby,</w:t>
      </w:r>
    </w:p>
    <w:p w:rsidR="004767B3" w:rsidRPr="00DA20F5" w:rsidRDefault="004767B3" w:rsidP="00DB509D">
      <w:pPr>
        <w:numPr>
          <w:ilvl w:val="0"/>
          <w:numId w:val="34"/>
        </w:numPr>
        <w:ind w:left="993"/>
        <w:textAlignment w:val="baseline"/>
        <w:rPr>
          <w:szCs w:val="22"/>
        </w:rPr>
      </w:pPr>
      <w:r w:rsidRPr="00DA20F5">
        <w:rPr>
          <w:szCs w:val="22"/>
        </w:rPr>
        <w:t>bola vypustená povinnosť fyzickej osoby s ŤZP vo výkazoch o odpracovaných hodinách osobnej asistencie uvádzať druh činnosti osobnej asistencie a čas ich vykonávania v danom mesiaci,</w:t>
      </w:r>
    </w:p>
    <w:p w:rsidR="004767B3" w:rsidRPr="00DA20F5" w:rsidRDefault="004767B3" w:rsidP="00DB509D">
      <w:pPr>
        <w:pStyle w:val="Odsekzoznamu"/>
        <w:numPr>
          <w:ilvl w:val="0"/>
          <w:numId w:val="23"/>
        </w:numPr>
        <w:rPr>
          <w:szCs w:val="22"/>
        </w:rPr>
      </w:pPr>
      <w:r w:rsidRPr="00DA20F5">
        <w:rPr>
          <w:szCs w:val="22"/>
        </w:rPr>
        <w:t>pri peňažnom príspevku na kúpu pomôcky</w:t>
      </w:r>
      <w:r w:rsidRPr="00DA20F5">
        <w:rPr>
          <w:b/>
          <w:bCs/>
          <w:szCs w:val="22"/>
        </w:rPr>
        <w:t xml:space="preserve"> </w:t>
      </w:r>
      <w:r w:rsidRPr="00DA20F5">
        <w:rPr>
          <w:szCs w:val="22"/>
        </w:rPr>
        <w:t>sa vypustila povinnosť príslušného orgánu</w:t>
      </w:r>
      <w:r w:rsidR="00AC5AAB" w:rsidRPr="00DA20F5">
        <w:rPr>
          <w:szCs w:val="22"/>
        </w:rPr>
        <w:t xml:space="preserve"> </w:t>
      </w:r>
      <w:r w:rsidRPr="00DA20F5">
        <w:rPr>
          <w:szCs w:val="22"/>
        </w:rPr>
        <w:t>uplatňovať ho</w:t>
      </w:r>
      <w:r w:rsidR="00AC5AAB" w:rsidRPr="00DA20F5">
        <w:rPr>
          <w:szCs w:val="22"/>
        </w:rPr>
        <w:t xml:space="preserve"> </w:t>
      </w:r>
      <w:r w:rsidRPr="00DA20F5">
        <w:rPr>
          <w:szCs w:val="22"/>
        </w:rPr>
        <w:t xml:space="preserve">ako pohľadávku v konaní o dedičstve v prípade, ak výška peňažného príspevku použitého na kúpu pomôcky alebo jeho pomerná časť nepresahuje sumu 165,97 </w:t>
      </w:r>
      <w:r w:rsidR="00CB33A6" w:rsidRPr="00DA20F5">
        <w:rPr>
          <w:szCs w:val="22"/>
        </w:rPr>
        <w:t>€</w:t>
      </w:r>
      <w:r w:rsidR="00446386" w:rsidRPr="00DA20F5">
        <w:rPr>
          <w:szCs w:val="22"/>
        </w:rPr>
        <w:t>,</w:t>
      </w:r>
    </w:p>
    <w:p w:rsidR="004767B3" w:rsidRPr="00DA20F5" w:rsidRDefault="004767B3" w:rsidP="00DB509D">
      <w:pPr>
        <w:pStyle w:val="bullet1"/>
        <w:numPr>
          <w:ilvl w:val="0"/>
          <w:numId w:val="23"/>
        </w:numPr>
      </w:pPr>
      <w:r w:rsidRPr="00DA20F5">
        <w:t>pri</w:t>
      </w:r>
      <w:r w:rsidR="00AC5AAB" w:rsidRPr="00DA20F5">
        <w:t xml:space="preserve"> </w:t>
      </w:r>
      <w:r w:rsidRPr="00DA20F5">
        <w:t>peňažnom príspevku na kúpu zdvíhacieho zariadenia sa ustanovila možnosť jeho</w:t>
      </w:r>
      <w:r w:rsidR="00AC5AAB" w:rsidRPr="00DA20F5">
        <w:t xml:space="preserve"> </w:t>
      </w:r>
      <w:r w:rsidRPr="00DA20F5">
        <w:t>poskytnutia fyzickej osobe s ŤZP, ktorej sa poskytuje celoročná pobytová sociálna služba</w:t>
      </w:r>
      <w:r w:rsidR="00AC5AAB" w:rsidRPr="00DA20F5">
        <w:t xml:space="preserve"> </w:t>
      </w:r>
      <w:r w:rsidRPr="00DA20F5">
        <w:t>len v tom prípade, ak je fyzická osoba s ŤZP nezaopatreným dieťaťom a celoročná</w:t>
      </w:r>
      <w:r w:rsidR="00AC5AAB" w:rsidRPr="00DA20F5">
        <w:t xml:space="preserve"> </w:t>
      </w:r>
      <w:r w:rsidRPr="00DA20F5">
        <w:t>pobytová sociálna služba sa jej poskytuje na účely plnenia povinnej školskej dochádzky alebo sústavnej prípravy na povolanie,</w:t>
      </w:r>
    </w:p>
    <w:p w:rsidR="004767B3" w:rsidRPr="00DA20F5" w:rsidRDefault="004767B3" w:rsidP="00DB509D">
      <w:pPr>
        <w:pStyle w:val="bullet1"/>
        <w:numPr>
          <w:ilvl w:val="0"/>
          <w:numId w:val="23"/>
        </w:numPr>
      </w:pPr>
      <w:r w:rsidRPr="00DA20F5">
        <w:t>pri peňažných príspevkoch na úpravu bytu, na úpravu rodinného domu a na úpravu garáže:</w:t>
      </w:r>
    </w:p>
    <w:p w:rsidR="004767B3" w:rsidRPr="00DA20F5" w:rsidRDefault="004767B3" w:rsidP="00DB509D">
      <w:pPr>
        <w:numPr>
          <w:ilvl w:val="0"/>
          <w:numId w:val="36"/>
        </w:numPr>
        <w:tabs>
          <w:tab w:val="clear" w:pos="720"/>
        </w:tabs>
        <w:ind w:left="993"/>
        <w:textAlignment w:val="baseline"/>
        <w:rPr>
          <w:szCs w:val="22"/>
        </w:rPr>
      </w:pPr>
      <w:r w:rsidRPr="00DA20F5">
        <w:rPr>
          <w:szCs w:val="22"/>
        </w:rPr>
        <w:t>bolo špecifikované, že za úpravu rodinného domu a úpravu garáže sa považuje aj úprava vstupu a úprava prístupu k nim,</w:t>
      </w:r>
    </w:p>
    <w:p w:rsidR="004767B3" w:rsidRPr="00DA20F5" w:rsidRDefault="004767B3" w:rsidP="00DB509D">
      <w:pPr>
        <w:numPr>
          <w:ilvl w:val="0"/>
          <w:numId w:val="36"/>
        </w:numPr>
        <w:tabs>
          <w:tab w:val="clear" w:pos="720"/>
        </w:tabs>
        <w:ind w:left="993"/>
        <w:textAlignment w:val="baseline"/>
        <w:rPr>
          <w:szCs w:val="22"/>
        </w:rPr>
      </w:pPr>
      <w:r w:rsidRPr="00DA20F5">
        <w:rPr>
          <w:szCs w:val="22"/>
        </w:rPr>
        <w:t>ustanovila sa povinnosť vrátiť peňažný príspevok alebo jeho pomernú časť aj v tom prípade, ak fyzická osoba s ŤZP upravený byt, rodinný dom alebo garáž nevyužíva,</w:t>
      </w:r>
    </w:p>
    <w:p w:rsidR="004767B3" w:rsidRPr="00DA20F5" w:rsidRDefault="004767B3" w:rsidP="00DB509D">
      <w:pPr>
        <w:numPr>
          <w:ilvl w:val="0"/>
          <w:numId w:val="36"/>
        </w:numPr>
        <w:tabs>
          <w:tab w:val="clear" w:pos="720"/>
        </w:tabs>
        <w:ind w:left="993"/>
        <w:textAlignment w:val="baseline"/>
        <w:rPr>
          <w:szCs w:val="22"/>
        </w:rPr>
      </w:pPr>
      <w:r w:rsidRPr="00DA20F5">
        <w:rPr>
          <w:szCs w:val="22"/>
        </w:rPr>
        <w:t>upravila sa povinnosť peňažný príspevok alebo jeho pomernú časť uplatňovať ako pohľadávku v konaní o dedičstve len v tom prípade, ak je upravený byt, rodinný dom alebo garáž predmetom konania o dedičstve,</w:t>
      </w:r>
    </w:p>
    <w:p w:rsidR="004767B3" w:rsidRPr="00DA20F5" w:rsidRDefault="004767B3" w:rsidP="00DB509D">
      <w:pPr>
        <w:numPr>
          <w:ilvl w:val="0"/>
          <w:numId w:val="36"/>
        </w:numPr>
        <w:tabs>
          <w:tab w:val="clear" w:pos="720"/>
        </w:tabs>
        <w:ind w:left="993"/>
        <w:textAlignment w:val="baseline"/>
        <w:rPr>
          <w:szCs w:val="22"/>
        </w:rPr>
      </w:pPr>
      <w:r w:rsidRPr="00DA20F5">
        <w:rPr>
          <w:szCs w:val="22"/>
        </w:rPr>
        <w:t>v prípade, ak fyzická osoba s ŤZP zomrie pred začatím stavebných prác súvisiacich s úpravou bytu, rodinného domu alebo garáže</w:t>
      </w:r>
      <w:r w:rsidR="00446386" w:rsidRPr="00DA20F5">
        <w:rPr>
          <w:szCs w:val="22"/>
        </w:rPr>
        <w:t>,</w:t>
      </w:r>
      <w:r w:rsidRPr="00DA20F5">
        <w:rPr>
          <w:szCs w:val="22"/>
        </w:rPr>
        <w:t xml:space="preserve"> v konaní o dedičstve </w:t>
      </w:r>
      <w:r w:rsidR="00446386" w:rsidRPr="00DA20F5">
        <w:rPr>
          <w:szCs w:val="22"/>
        </w:rPr>
        <w:t xml:space="preserve">sa </w:t>
      </w:r>
      <w:r w:rsidRPr="00DA20F5">
        <w:rPr>
          <w:szCs w:val="22"/>
        </w:rPr>
        <w:t>uplatňuje ako pohľadávka celá výška poskytnutého peňažného príspevku a to aj vtedy, ak byt, rodinný dom alebo garáž nie je predmetom konania o dedičstve,</w:t>
      </w:r>
    </w:p>
    <w:p w:rsidR="00CB33A6" w:rsidRPr="00DA20F5" w:rsidRDefault="004767B3" w:rsidP="00DB509D">
      <w:pPr>
        <w:pStyle w:val="bullet1"/>
        <w:numPr>
          <w:ilvl w:val="0"/>
          <w:numId w:val="24"/>
        </w:numPr>
      </w:pPr>
      <w:r w:rsidRPr="00DA20F5">
        <w:t>pri peňažnom príspevku na opatrovanie, ktorý poberá fyzická osoba v produktívnom veku (t.j.</w:t>
      </w:r>
      <w:r w:rsidR="002E0641" w:rsidRPr="00DA20F5">
        <w:t> </w:t>
      </w:r>
      <w:r w:rsidRPr="00DA20F5">
        <w:t>ak</w:t>
      </w:r>
      <w:r w:rsidR="00AC5AAB" w:rsidRPr="00DA20F5">
        <w:t xml:space="preserve"> </w:t>
      </w:r>
      <w:r w:rsidRPr="00DA20F5">
        <w:t>nepoberá žiadnu zo zákonom ustanovených dôchodkových dávok), ochrana príjmu</w:t>
      </w:r>
      <w:r w:rsidR="00AC5AAB" w:rsidRPr="00DA20F5">
        <w:t xml:space="preserve"> </w:t>
      </w:r>
      <w:r w:rsidRPr="00DA20F5">
        <w:t xml:space="preserve">fyzickej osoby s ŤZP </w:t>
      </w:r>
      <w:r w:rsidR="00446386" w:rsidRPr="00DA20F5">
        <w:t xml:space="preserve">sa </w:t>
      </w:r>
      <w:r w:rsidRPr="00DA20F5">
        <w:t>zvýšila z 1,3 násobku na 1,4 ná</w:t>
      </w:r>
      <w:r w:rsidR="002E0641" w:rsidRPr="00DA20F5">
        <w:t>sobok sumy životného minima pre </w:t>
      </w:r>
      <w:r w:rsidRPr="00DA20F5">
        <w:t>jednu plnoletú fyzickú osobu,</w:t>
      </w:r>
    </w:p>
    <w:p w:rsidR="004767B3" w:rsidRPr="00DA20F5" w:rsidRDefault="004767B3" w:rsidP="00DB509D">
      <w:pPr>
        <w:pStyle w:val="Odsekzoznamu"/>
        <w:numPr>
          <w:ilvl w:val="0"/>
          <w:numId w:val="24"/>
        </w:numPr>
        <w:rPr>
          <w:szCs w:val="22"/>
        </w:rPr>
      </w:pPr>
      <w:r w:rsidRPr="00DA20F5">
        <w:rPr>
          <w:szCs w:val="22"/>
        </w:rPr>
        <w:t>umožnilo sa využívať vrátené funkčné pomôcky a zdvíhacie zariadenia aj úradmi/ústredím práce,</w:t>
      </w:r>
      <w:r w:rsidR="00AC5AAB" w:rsidRPr="00DA20F5">
        <w:rPr>
          <w:szCs w:val="22"/>
        </w:rPr>
        <w:t xml:space="preserve"> </w:t>
      </w:r>
      <w:r w:rsidRPr="00DA20F5">
        <w:rPr>
          <w:szCs w:val="22"/>
        </w:rPr>
        <w:t>sociálnych vecí a rodiny a zariadeniami sociálnoprávnej ochrany detí a sociálnej kurately,</w:t>
      </w:r>
    </w:p>
    <w:p w:rsidR="004767B3" w:rsidRPr="00DA20F5" w:rsidRDefault="004767B3" w:rsidP="00DB509D">
      <w:pPr>
        <w:pStyle w:val="bullet1"/>
        <w:numPr>
          <w:ilvl w:val="0"/>
          <w:numId w:val="24"/>
        </w:numPr>
      </w:pPr>
      <w:r w:rsidRPr="00DA20F5">
        <w:t>upravila sa povinnosť vrátenia celého jednorazového peňažného príspevku</w:t>
      </w:r>
      <w:r w:rsidR="00AC5AAB" w:rsidRPr="00DA20F5">
        <w:t xml:space="preserve"> </w:t>
      </w:r>
      <w:r w:rsidRPr="00DA20F5">
        <w:t>na kompenzáciu</w:t>
      </w:r>
      <w:r w:rsidR="00AC5AAB" w:rsidRPr="00DA20F5">
        <w:t xml:space="preserve"> </w:t>
      </w:r>
      <w:r w:rsidRPr="00DA20F5">
        <w:t>dedičmi</w:t>
      </w:r>
      <w:r w:rsidR="00AC5AAB" w:rsidRPr="00DA20F5">
        <w:t xml:space="preserve"> </w:t>
      </w:r>
      <w:r w:rsidRPr="00DA20F5">
        <w:t>v prípade, ak fyzická osoba s ŤZP zomrela a nepoužila jednorazový peňažný príspevok na účel, na ktorý jej bol poskytnutý.</w:t>
      </w:r>
    </w:p>
    <w:p w:rsidR="000A5E86" w:rsidRPr="00DA20F5" w:rsidRDefault="004767B3" w:rsidP="00D36FB8">
      <w:pPr>
        <w:rPr>
          <w:szCs w:val="22"/>
        </w:rPr>
      </w:pPr>
      <w:r w:rsidRPr="00DA20F5">
        <w:rPr>
          <w:szCs w:val="22"/>
        </w:rPr>
        <w:t>V roku 2011 boli na peňažné príspevky na kompenzáciu vynaložené finančné prostriedky v celkovej</w:t>
      </w:r>
      <w:r w:rsidR="00AC5AAB" w:rsidRPr="00DA20F5">
        <w:rPr>
          <w:szCs w:val="22"/>
        </w:rPr>
        <w:t xml:space="preserve"> </w:t>
      </w:r>
      <w:r w:rsidRPr="00DA20F5">
        <w:rPr>
          <w:szCs w:val="22"/>
        </w:rPr>
        <w:t>sume 210,64 mil.</w:t>
      </w:r>
      <w:r w:rsidR="00446386" w:rsidRPr="00DA20F5">
        <w:rPr>
          <w:szCs w:val="22"/>
        </w:rPr>
        <w:t xml:space="preserve"> €</w:t>
      </w:r>
      <w:r w:rsidRPr="00DA20F5">
        <w:rPr>
          <w:szCs w:val="22"/>
        </w:rPr>
        <w:t>. Rozloženie čerpania finančných prost</w:t>
      </w:r>
      <w:r w:rsidR="002E0641" w:rsidRPr="00DA20F5">
        <w:rPr>
          <w:szCs w:val="22"/>
        </w:rPr>
        <w:t xml:space="preserve">riedkov na peňažné príspevky </w:t>
      </w:r>
      <w:r w:rsidR="002E0641" w:rsidRPr="00DA20F5">
        <w:rPr>
          <w:szCs w:val="22"/>
        </w:rPr>
        <w:lastRenderedPageBreak/>
        <w:t>na </w:t>
      </w:r>
      <w:r w:rsidRPr="00DA20F5">
        <w:rPr>
          <w:szCs w:val="22"/>
        </w:rPr>
        <w:t>kompenzáciu bolo v roku 2011 obdobné ako v predchádzajúcom roku. Najväčší objem finančných prostriedkov bol vynaložený na peňažný príspevok na opatrovanie</w:t>
      </w:r>
      <w:r w:rsidR="00AC5AAB" w:rsidRPr="00DA20F5">
        <w:rPr>
          <w:szCs w:val="22"/>
        </w:rPr>
        <w:t xml:space="preserve"> </w:t>
      </w:r>
      <w:r w:rsidRPr="00DA20F5">
        <w:rPr>
          <w:szCs w:val="22"/>
        </w:rPr>
        <w:t>(95,93 mil. €), nasledovali peňažný príspevok na kompenzáciu zvýšených výdavkov (spolu 56,73 mil. €) a peňažný príspevok na osobnú asistenciu (31,99 mil. €). Údaje o vynaložených sumách a o počte poberateľov sú uvedené v</w:t>
      </w:r>
      <w:r w:rsidR="00AC5AAB" w:rsidRPr="00DA20F5">
        <w:rPr>
          <w:szCs w:val="22"/>
        </w:rPr>
        <w:t xml:space="preserve"> </w:t>
      </w:r>
      <w:r w:rsidRPr="00DA20F5">
        <w:rPr>
          <w:szCs w:val="22"/>
        </w:rPr>
        <w:t>tabuľke</w:t>
      </w:r>
      <w:r w:rsidR="00FC5CE3" w:rsidRPr="00DA20F5">
        <w:rPr>
          <w:szCs w:val="22"/>
        </w:rPr>
        <w:t>:</w:t>
      </w:r>
      <w:r w:rsidRPr="00DA20F5">
        <w:rPr>
          <w:szCs w:val="22"/>
        </w:rPr>
        <w:t xml:space="preserve"> </w:t>
      </w:r>
    </w:p>
    <w:p w:rsidR="004767B3" w:rsidRPr="00DA20F5" w:rsidRDefault="007B3C86" w:rsidP="00D36FB8">
      <w:pPr>
        <w:pStyle w:val="Nadpis7"/>
        <w:spacing w:before="120"/>
      </w:pPr>
      <w:bookmarkStart w:id="1200" w:name="_Toc325438220"/>
      <w:bookmarkStart w:id="1201" w:name="_Toc325440988"/>
      <w:bookmarkStart w:id="1202" w:name="_Toc325626801"/>
      <w:bookmarkStart w:id="1203" w:name="_Toc326217062"/>
      <w:r w:rsidRPr="00DA20F5">
        <w:t>Tab. 3.19</w:t>
      </w:r>
      <w:r w:rsidR="00AC5AAB" w:rsidRPr="00DA20F5">
        <w:t xml:space="preserve"> </w:t>
      </w:r>
      <w:r w:rsidR="00FC5CE3" w:rsidRPr="00DA20F5">
        <w:t>Priemerný mesačný počet poberateľov a vynaložené finančné prostriedky na</w:t>
      </w:r>
      <w:r w:rsidR="002E0641" w:rsidRPr="00DA20F5">
        <w:t> </w:t>
      </w:r>
      <w:r w:rsidR="00FC5CE3" w:rsidRPr="00DA20F5">
        <w:t>kompenzáciu</w:t>
      </w:r>
      <w:bookmarkEnd w:id="1200"/>
      <w:bookmarkEnd w:id="1201"/>
      <w:bookmarkEnd w:id="1202"/>
      <w:bookmarkEnd w:id="1203"/>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15" w:type="dxa"/>
          <w:left w:w="15" w:type="dxa"/>
          <w:bottom w:w="15" w:type="dxa"/>
          <w:right w:w="15" w:type="dxa"/>
        </w:tblCellMar>
        <w:tblLook w:val="04A0" w:firstRow="1" w:lastRow="0" w:firstColumn="1" w:lastColumn="0" w:noHBand="0" w:noVBand="1"/>
      </w:tblPr>
      <w:tblGrid>
        <w:gridCol w:w="4541"/>
        <w:gridCol w:w="1985"/>
        <w:gridCol w:w="2554"/>
      </w:tblGrid>
      <w:tr w:rsidR="004767B3" w:rsidRPr="00DA20F5" w:rsidTr="00C51124">
        <w:tc>
          <w:tcPr>
            <w:tcW w:w="4541" w:type="dxa"/>
            <w:shd w:val="clear" w:color="auto" w:fill="4F81BD" w:themeFill="accent1"/>
            <w:tcMar>
              <w:top w:w="0" w:type="dxa"/>
              <w:left w:w="0" w:type="dxa"/>
              <w:bottom w:w="0" w:type="dxa"/>
              <w:right w:w="0" w:type="dxa"/>
            </w:tcMar>
          </w:tcPr>
          <w:p w:rsidR="004767B3" w:rsidRPr="00DA20F5" w:rsidRDefault="004767B3" w:rsidP="00D36FB8">
            <w:pPr>
              <w:rPr>
                <w:color w:val="FFFFFF" w:themeColor="background1"/>
                <w:szCs w:val="22"/>
              </w:rPr>
            </w:pPr>
            <w:r w:rsidRPr="00DA20F5">
              <w:rPr>
                <w:color w:val="FFFFFF" w:themeColor="background1"/>
                <w:szCs w:val="22"/>
              </w:rPr>
              <w:br/>
            </w:r>
            <w:r w:rsidRPr="00DA20F5">
              <w:rPr>
                <w:b/>
                <w:bCs/>
                <w:color w:val="FFFFFF" w:themeColor="background1"/>
                <w:szCs w:val="22"/>
              </w:rPr>
              <w:t>Peňažné príspevky na kompenzáciu</w:t>
            </w:r>
          </w:p>
        </w:tc>
        <w:tc>
          <w:tcPr>
            <w:tcW w:w="1985"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Cs w:val="22"/>
              </w:rPr>
            </w:pPr>
            <w:r w:rsidRPr="00DA20F5">
              <w:rPr>
                <w:b/>
                <w:color w:val="FFFFFF" w:themeColor="background1"/>
                <w:szCs w:val="22"/>
              </w:rPr>
              <w:t>Priemerný mesačný počet poberateľov</w:t>
            </w:r>
          </w:p>
        </w:tc>
        <w:tc>
          <w:tcPr>
            <w:tcW w:w="2554"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Cs w:val="22"/>
              </w:rPr>
            </w:pPr>
            <w:r w:rsidRPr="00DA20F5">
              <w:rPr>
                <w:b/>
                <w:color w:val="FFFFFF" w:themeColor="background1"/>
                <w:szCs w:val="22"/>
              </w:rPr>
              <w:t>Vynaložené finančné prostriedky v €</w:t>
            </w:r>
          </w:p>
        </w:tc>
      </w:tr>
      <w:tr w:rsidR="004767B3" w:rsidRPr="00DA20F5" w:rsidTr="00C51124">
        <w:tc>
          <w:tcPr>
            <w:tcW w:w="4541" w:type="dxa"/>
            <w:tcMar>
              <w:top w:w="0" w:type="dxa"/>
              <w:left w:w="0" w:type="dxa"/>
              <w:bottom w:w="0" w:type="dxa"/>
              <w:right w:w="0" w:type="dxa"/>
            </w:tcMar>
          </w:tcPr>
          <w:p w:rsidR="004767B3" w:rsidRPr="00DA20F5" w:rsidRDefault="004767B3" w:rsidP="00D36FB8">
            <w:pPr>
              <w:rPr>
                <w:szCs w:val="22"/>
              </w:rPr>
            </w:pPr>
            <w:r w:rsidRPr="00DA20F5">
              <w:rPr>
                <w:b/>
                <w:bCs/>
                <w:szCs w:val="22"/>
              </w:rPr>
              <w:t>Peňažné príspevky poskytované FO s ŤZP:</w:t>
            </w:r>
          </w:p>
        </w:tc>
        <w:tc>
          <w:tcPr>
            <w:tcW w:w="1985" w:type="dxa"/>
            <w:tcMar>
              <w:top w:w="0" w:type="dxa"/>
              <w:left w:w="0" w:type="dxa"/>
              <w:bottom w:w="0" w:type="dxa"/>
              <w:right w:w="0" w:type="dxa"/>
            </w:tcMar>
            <w:vAlign w:val="bottom"/>
          </w:tcPr>
          <w:p w:rsidR="004767B3" w:rsidRPr="00DA20F5" w:rsidRDefault="004767B3" w:rsidP="00D36FB8">
            <w:pPr>
              <w:rPr>
                <w:szCs w:val="22"/>
              </w:rPr>
            </w:pPr>
          </w:p>
        </w:tc>
        <w:tc>
          <w:tcPr>
            <w:tcW w:w="2554" w:type="dxa"/>
            <w:tcMar>
              <w:top w:w="0" w:type="dxa"/>
              <w:left w:w="0" w:type="dxa"/>
              <w:bottom w:w="0" w:type="dxa"/>
              <w:right w:w="0" w:type="dxa"/>
            </w:tcMar>
          </w:tcPr>
          <w:p w:rsidR="004767B3" w:rsidRPr="00DA20F5" w:rsidRDefault="004767B3" w:rsidP="00D36FB8">
            <w:pPr>
              <w:rPr>
                <w:szCs w:val="22"/>
              </w:rPr>
            </w:pPr>
          </w:p>
        </w:tc>
      </w:tr>
      <w:tr w:rsidR="004767B3" w:rsidRPr="00DA20F5" w:rsidTr="00C51124">
        <w:tc>
          <w:tcPr>
            <w:tcW w:w="4541" w:type="dxa"/>
            <w:tcMar>
              <w:top w:w="0" w:type="dxa"/>
              <w:left w:w="0" w:type="dxa"/>
              <w:bottom w:w="0" w:type="dxa"/>
              <w:right w:w="0" w:type="dxa"/>
            </w:tcMar>
          </w:tcPr>
          <w:p w:rsidR="004767B3" w:rsidRPr="00DA20F5" w:rsidRDefault="004767B3" w:rsidP="002E0641">
            <w:pPr>
              <w:rPr>
                <w:szCs w:val="22"/>
              </w:rPr>
            </w:pPr>
            <w:r w:rsidRPr="00DA20F5">
              <w:rPr>
                <w:szCs w:val="22"/>
              </w:rPr>
              <w:t>- PP na kompenzáciu</w:t>
            </w:r>
            <w:r w:rsidR="00AC5AAB" w:rsidRPr="00DA20F5">
              <w:rPr>
                <w:szCs w:val="22"/>
              </w:rPr>
              <w:t xml:space="preserve"> </w:t>
            </w:r>
            <w:r w:rsidRPr="00DA20F5">
              <w:rPr>
                <w:szCs w:val="22"/>
              </w:rPr>
              <w:t>zvýšených</w:t>
            </w:r>
            <w:r w:rsidR="00AC5AAB" w:rsidRPr="00DA20F5">
              <w:rPr>
                <w:szCs w:val="22"/>
              </w:rPr>
              <w:t xml:space="preserve"> </w:t>
            </w:r>
            <w:r w:rsidRPr="00DA20F5">
              <w:rPr>
                <w:szCs w:val="22"/>
              </w:rPr>
              <w:t>výdavkov spolu</w:t>
            </w:r>
          </w:p>
        </w:tc>
        <w:tc>
          <w:tcPr>
            <w:tcW w:w="1985" w:type="dxa"/>
            <w:tcMar>
              <w:top w:w="0" w:type="dxa"/>
              <w:left w:w="0" w:type="dxa"/>
              <w:bottom w:w="0" w:type="dxa"/>
              <w:right w:w="0" w:type="dxa"/>
            </w:tcMar>
            <w:vAlign w:val="bottom"/>
          </w:tcPr>
          <w:p w:rsidR="004767B3" w:rsidRPr="00DA20F5" w:rsidRDefault="004767B3" w:rsidP="00D36FB8">
            <w:pPr>
              <w:ind w:left="463" w:right="709"/>
              <w:jc w:val="right"/>
              <w:rPr>
                <w:szCs w:val="22"/>
              </w:rPr>
            </w:pPr>
            <w:r w:rsidRPr="00DA20F5">
              <w:rPr>
                <w:szCs w:val="22"/>
              </w:rPr>
              <w:t>159 262</w:t>
            </w:r>
          </w:p>
        </w:tc>
        <w:tc>
          <w:tcPr>
            <w:tcW w:w="2554" w:type="dxa"/>
            <w:tcMar>
              <w:top w:w="0" w:type="dxa"/>
              <w:left w:w="0" w:type="dxa"/>
              <w:bottom w:w="0" w:type="dxa"/>
              <w:right w:w="0" w:type="dxa"/>
            </w:tcMar>
          </w:tcPr>
          <w:p w:rsidR="004767B3" w:rsidRPr="00DA20F5" w:rsidRDefault="004767B3" w:rsidP="00D36FB8">
            <w:pPr>
              <w:ind w:left="463" w:right="711"/>
              <w:jc w:val="right"/>
              <w:rPr>
                <w:szCs w:val="22"/>
              </w:rPr>
            </w:pPr>
            <w:r w:rsidRPr="00DA20F5">
              <w:rPr>
                <w:szCs w:val="22"/>
              </w:rPr>
              <w:t>56 732 897</w:t>
            </w:r>
          </w:p>
        </w:tc>
      </w:tr>
      <w:tr w:rsidR="004767B3" w:rsidRPr="00DA20F5" w:rsidTr="00C51124">
        <w:tc>
          <w:tcPr>
            <w:tcW w:w="4541" w:type="dxa"/>
            <w:tcMar>
              <w:top w:w="0" w:type="dxa"/>
              <w:left w:w="0" w:type="dxa"/>
              <w:bottom w:w="0" w:type="dxa"/>
              <w:right w:w="0" w:type="dxa"/>
            </w:tcMar>
            <w:vAlign w:val="center"/>
          </w:tcPr>
          <w:p w:rsidR="004767B3" w:rsidRPr="00DA20F5" w:rsidRDefault="004767B3" w:rsidP="00D36FB8">
            <w:pPr>
              <w:rPr>
                <w:szCs w:val="22"/>
              </w:rPr>
            </w:pPr>
            <w:r w:rsidRPr="00DA20F5">
              <w:rPr>
                <w:szCs w:val="22"/>
              </w:rPr>
              <w:t>- PP na osobnú asistenciu</w:t>
            </w:r>
          </w:p>
        </w:tc>
        <w:tc>
          <w:tcPr>
            <w:tcW w:w="1985" w:type="dxa"/>
            <w:tcMar>
              <w:top w:w="0" w:type="dxa"/>
              <w:left w:w="0" w:type="dxa"/>
              <w:bottom w:w="0" w:type="dxa"/>
              <w:right w:w="0" w:type="dxa"/>
            </w:tcMar>
            <w:vAlign w:val="bottom"/>
          </w:tcPr>
          <w:p w:rsidR="004767B3" w:rsidRPr="00DA20F5" w:rsidRDefault="004767B3" w:rsidP="00D36FB8">
            <w:pPr>
              <w:ind w:left="463" w:right="709"/>
              <w:jc w:val="right"/>
              <w:rPr>
                <w:szCs w:val="22"/>
              </w:rPr>
            </w:pPr>
            <w:r w:rsidRPr="00DA20F5">
              <w:rPr>
                <w:szCs w:val="22"/>
              </w:rPr>
              <w:t>7 416</w:t>
            </w:r>
          </w:p>
        </w:tc>
        <w:tc>
          <w:tcPr>
            <w:tcW w:w="2554" w:type="dxa"/>
            <w:tcMar>
              <w:top w:w="0" w:type="dxa"/>
              <w:left w:w="0" w:type="dxa"/>
              <w:bottom w:w="0" w:type="dxa"/>
              <w:right w:w="0" w:type="dxa"/>
            </w:tcMar>
          </w:tcPr>
          <w:p w:rsidR="004767B3" w:rsidRPr="00DA20F5" w:rsidRDefault="004767B3" w:rsidP="00D36FB8">
            <w:pPr>
              <w:ind w:left="463" w:right="711"/>
              <w:jc w:val="right"/>
              <w:rPr>
                <w:szCs w:val="22"/>
              </w:rPr>
            </w:pPr>
            <w:r w:rsidRPr="00DA20F5">
              <w:rPr>
                <w:szCs w:val="22"/>
              </w:rPr>
              <w:t>31 998 516</w:t>
            </w:r>
          </w:p>
        </w:tc>
      </w:tr>
      <w:tr w:rsidR="004767B3" w:rsidRPr="00DA20F5" w:rsidTr="00C51124">
        <w:tc>
          <w:tcPr>
            <w:tcW w:w="4541" w:type="dxa"/>
            <w:tcMar>
              <w:top w:w="0" w:type="dxa"/>
              <w:left w:w="0" w:type="dxa"/>
              <w:bottom w:w="0" w:type="dxa"/>
              <w:right w:w="0" w:type="dxa"/>
            </w:tcMar>
            <w:vAlign w:val="center"/>
          </w:tcPr>
          <w:p w:rsidR="004767B3" w:rsidRPr="00DA20F5" w:rsidRDefault="004767B3" w:rsidP="00D36FB8">
            <w:pPr>
              <w:rPr>
                <w:szCs w:val="22"/>
              </w:rPr>
            </w:pPr>
            <w:r w:rsidRPr="00DA20F5">
              <w:rPr>
                <w:szCs w:val="22"/>
              </w:rPr>
              <w:t>- PP na prepravu</w:t>
            </w:r>
          </w:p>
        </w:tc>
        <w:tc>
          <w:tcPr>
            <w:tcW w:w="1985" w:type="dxa"/>
            <w:tcMar>
              <w:top w:w="0" w:type="dxa"/>
              <w:left w:w="0" w:type="dxa"/>
              <w:bottom w:w="0" w:type="dxa"/>
              <w:right w:w="0" w:type="dxa"/>
            </w:tcMar>
            <w:vAlign w:val="bottom"/>
          </w:tcPr>
          <w:p w:rsidR="004767B3" w:rsidRPr="00DA20F5" w:rsidRDefault="004767B3" w:rsidP="00D36FB8">
            <w:pPr>
              <w:ind w:left="463" w:right="709"/>
              <w:jc w:val="right"/>
              <w:rPr>
                <w:szCs w:val="22"/>
              </w:rPr>
            </w:pPr>
            <w:r w:rsidRPr="00DA20F5">
              <w:rPr>
                <w:szCs w:val="22"/>
              </w:rPr>
              <w:t>2 659</w:t>
            </w:r>
          </w:p>
        </w:tc>
        <w:tc>
          <w:tcPr>
            <w:tcW w:w="2554" w:type="dxa"/>
            <w:tcMar>
              <w:top w:w="0" w:type="dxa"/>
              <w:left w:w="0" w:type="dxa"/>
              <w:bottom w:w="0" w:type="dxa"/>
              <w:right w:w="0" w:type="dxa"/>
            </w:tcMar>
          </w:tcPr>
          <w:p w:rsidR="004767B3" w:rsidRPr="00DA20F5" w:rsidRDefault="004767B3" w:rsidP="00D36FB8">
            <w:pPr>
              <w:ind w:left="463" w:right="711"/>
              <w:jc w:val="right"/>
              <w:rPr>
                <w:szCs w:val="22"/>
              </w:rPr>
            </w:pPr>
            <w:r w:rsidRPr="00DA20F5">
              <w:rPr>
                <w:szCs w:val="22"/>
              </w:rPr>
              <w:t>2 746 365</w:t>
            </w:r>
          </w:p>
        </w:tc>
      </w:tr>
      <w:tr w:rsidR="004767B3" w:rsidRPr="00DA20F5" w:rsidTr="00C51124">
        <w:tc>
          <w:tcPr>
            <w:tcW w:w="4541" w:type="dxa"/>
            <w:tcMar>
              <w:top w:w="0" w:type="dxa"/>
              <w:left w:w="0" w:type="dxa"/>
              <w:bottom w:w="0" w:type="dxa"/>
              <w:right w:w="0" w:type="dxa"/>
            </w:tcMar>
          </w:tcPr>
          <w:p w:rsidR="004767B3" w:rsidRPr="00DA20F5" w:rsidRDefault="004767B3" w:rsidP="00D36FB8">
            <w:pPr>
              <w:rPr>
                <w:szCs w:val="22"/>
              </w:rPr>
            </w:pPr>
            <w:r w:rsidRPr="00DA20F5">
              <w:rPr>
                <w:szCs w:val="22"/>
              </w:rPr>
              <w:t>- Jednorazové peňažné príspevky spolu</w:t>
            </w:r>
          </w:p>
        </w:tc>
        <w:tc>
          <w:tcPr>
            <w:tcW w:w="1985" w:type="dxa"/>
            <w:tcMar>
              <w:top w:w="0" w:type="dxa"/>
              <w:left w:w="0" w:type="dxa"/>
              <w:bottom w:w="0" w:type="dxa"/>
              <w:right w:w="0" w:type="dxa"/>
            </w:tcMar>
          </w:tcPr>
          <w:p w:rsidR="004767B3" w:rsidRPr="00DA20F5" w:rsidRDefault="004767B3" w:rsidP="00D36FB8">
            <w:pPr>
              <w:ind w:left="463" w:right="709"/>
              <w:jc w:val="right"/>
              <w:rPr>
                <w:szCs w:val="22"/>
              </w:rPr>
            </w:pPr>
          </w:p>
        </w:tc>
        <w:tc>
          <w:tcPr>
            <w:tcW w:w="2554" w:type="dxa"/>
            <w:tcMar>
              <w:top w:w="0" w:type="dxa"/>
              <w:left w:w="0" w:type="dxa"/>
              <w:bottom w:w="0" w:type="dxa"/>
              <w:right w:w="0" w:type="dxa"/>
            </w:tcMar>
          </w:tcPr>
          <w:p w:rsidR="004767B3" w:rsidRPr="00DA20F5" w:rsidRDefault="004767B3" w:rsidP="00D36FB8">
            <w:pPr>
              <w:ind w:left="463" w:right="711"/>
              <w:jc w:val="right"/>
              <w:rPr>
                <w:szCs w:val="22"/>
              </w:rPr>
            </w:pPr>
            <w:r w:rsidRPr="00DA20F5">
              <w:rPr>
                <w:szCs w:val="22"/>
              </w:rPr>
              <w:t>23 231 026</w:t>
            </w:r>
          </w:p>
        </w:tc>
      </w:tr>
      <w:tr w:rsidR="004767B3" w:rsidRPr="00DA20F5" w:rsidTr="00C51124">
        <w:tc>
          <w:tcPr>
            <w:tcW w:w="4541" w:type="dxa"/>
            <w:tcMar>
              <w:top w:w="0" w:type="dxa"/>
              <w:left w:w="0" w:type="dxa"/>
              <w:bottom w:w="0" w:type="dxa"/>
              <w:right w:w="0" w:type="dxa"/>
            </w:tcMar>
          </w:tcPr>
          <w:p w:rsidR="004767B3" w:rsidRPr="00DA20F5" w:rsidRDefault="004767B3" w:rsidP="00D36FB8">
            <w:pPr>
              <w:rPr>
                <w:szCs w:val="22"/>
              </w:rPr>
            </w:pPr>
            <w:r w:rsidRPr="00DA20F5">
              <w:rPr>
                <w:szCs w:val="22"/>
              </w:rPr>
              <w:t>Spolu peňažné príspevky poskytované FO s ŤZP</w:t>
            </w:r>
          </w:p>
        </w:tc>
        <w:tc>
          <w:tcPr>
            <w:tcW w:w="1985" w:type="dxa"/>
            <w:tcMar>
              <w:top w:w="0" w:type="dxa"/>
              <w:left w:w="0" w:type="dxa"/>
              <w:bottom w:w="0" w:type="dxa"/>
              <w:right w:w="0" w:type="dxa"/>
            </w:tcMar>
          </w:tcPr>
          <w:p w:rsidR="004767B3" w:rsidRPr="00DA20F5" w:rsidRDefault="004767B3" w:rsidP="00D36FB8">
            <w:pPr>
              <w:ind w:left="463" w:right="709"/>
              <w:jc w:val="right"/>
              <w:rPr>
                <w:szCs w:val="22"/>
              </w:rPr>
            </w:pPr>
            <w:r w:rsidRPr="00DA20F5">
              <w:rPr>
                <w:szCs w:val="22"/>
              </w:rPr>
              <w:t>162 393</w:t>
            </w:r>
          </w:p>
        </w:tc>
        <w:tc>
          <w:tcPr>
            <w:tcW w:w="2554" w:type="dxa"/>
            <w:tcMar>
              <w:top w:w="0" w:type="dxa"/>
              <w:left w:w="0" w:type="dxa"/>
              <w:bottom w:w="0" w:type="dxa"/>
              <w:right w:w="0" w:type="dxa"/>
            </w:tcMar>
          </w:tcPr>
          <w:p w:rsidR="004767B3" w:rsidRPr="00DA20F5" w:rsidRDefault="004767B3" w:rsidP="00D36FB8">
            <w:pPr>
              <w:ind w:left="463" w:right="711"/>
              <w:jc w:val="right"/>
              <w:rPr>
                <w:szCs w:val="22"/>
              </w:rPr>
            </w:pPr>
            <w:r w:rsidRPr="00DA20F5">
              <w:rPr>
                <w:szCs w:val="22"/>
              </w:rPr>
              <w:t>114 708 803</w:t>
            </w:r>
          </w:p>
        </w:tc>
      </w:tr>
      <w:tr w:rsidR="004767B3" w:rsidRPr="00DA20F5" w:rsidTr="00C51124">
        <w:tc>
          <w:tcPr>
            <w:tcW w:w="4541" w:type="dxa"/>
            <w:tcMar>
              <w:top w:w="0" w:type="dxa"/>
              <w:left w:w="0" w:type="dxa"/>
              <w:bottom w:w="0" w:type="dxa"/>
              <w:right w:w="0" w:type="dxa"/>
            </w:tcMar>
          </w:tcPr>
          <w:p w:rsidR="004767B3" w:rsidRPr="00DA20F5" w:rsidRDefault="004767B3" w:rsidP="00D36FB8">
            <w:pPr>
              <w:rPr>
                <w:b/>
                <w:szCs w:val="22"/>
              </w:rPr>
            </w:pPr>
            <w:r w:rsidRPr="00DA20F5">
              <w:rPr>
                <w:b/>
                <w:bCs/>
                <w:szCs w:val="22"/>
              </w:rPr>
              <w:t xml:space="preserve">Peňažný príspevok na opatrovanie </w:t>
            </w:r>
            <w:r w:rsidR="00A64288" w:rsidRPr="00DA20F5">
              <w:rPr>
                <w:b/>
                <w:bCs/>
                <w:szCs w:val="22"/>
                <w:vertAlign w:val="superscript"/>
              </w:rPr>
              <w:t>1</w:t>
            </w:r>
            <w:r w:rsidRPr="00DA20F5">
              <w:rPr>
                <w:b/>
                <w:bCs/>
                <w:szCs w:val="22"/>
                <w:vertAlign w:val="superscript"/>
              </w:rPr>
              <w:t>)</w:t>
            </w:r>
          </w:p>
        </w:tc>
        <w:tc>
          <w:tcPr>
            <w:tcW w:w="1985" w:type="dxa"/>
            <w:tcMar>
              <w:top w:w="0" w:type="dxa"/>
              <w:left w:w="0" w:type="dxa"/>
              <w:bottom w:w="0" w:type="dxa"/>
              <w:right w:w="0" w:type="dxa"/>
            </w:tcMar>
          </w:tcPr>
          <w:p w:rsidR="004767B3" w:rsidRPr="00DA20F5" w:rsidRDefault="004767B3" w:rsidP="00D36FB8">
            <w:pPr>
              <w:ind w:left="463" w:right="709"/>
              <w:jc w:val="right"/>
              <w:rPr>
                <w:szCs w:val="22"/>
              </w:rPr>
            </w:pPr>
            <w:r w:rsidRPr="00DA20F5">
              <w:rPr>
                <w:szCs w:val="22"/>
              </w:rPr>
              <w:t>57 175</w:t>
            </w:r>
          </w:p>
        </w:tc>
        <w:tc>
          <w:tcPr>
            <w:tcW w:w="2554" w:type="dxa"/>
            <w:tcMar>
              <w:top w:w="0" w:type="dxa"/>
              <w:left w:w="0" w:type="dxa"/>
              <w:bottom w:w="0" w:type="dxa"/>
              <w:right w:w="0" w:type="dxa"/>
            </w:tcMar>
          </w:tcPr>
          <w:p w:rsidR="004767B3" w:rsidRPr="00DA20F5" w:rsidRDefault="004767B3" w:rsidP="00D36FB8">
            <w:pPr>
              <w:ind w:left="463" w:right="711"/>
              <w:jc w:val="right"/>
              <w:rPr>
                <w:szCs w:val="22"/>
              </w:rPr>
            </w:pPr>
            <w:r w:rsidRPr="00DA20F5">
              <w:rPr>
                <w:szCs w:val="22"/>
              </w:rPr>
              <w:t>95 931 591</w:t>
            </w:r>
          </w:p>
        </w:tc>
      </w:tr>
      <w:tr w:rsidR="004767B3" w:rsidRPr="00DA20F5" w:rsidTr="00C51124">
        <w:tc>
          <w:tcPr>
            <w:tcW w:w="4541" w:type="dxa"/>
            <w:tcMar>
              <w:top w:w="0" w:type="dxa"/>
              <w:left w:w="0" w:type="dxa"/>
              <w:bottom w:w="0" w:type="dxa"/>
              <w:right w:w="0" w:type="dxa"/>
            </w:tcMar>
          </w:tcPr>
          <w:p w:rsidR="004767B3" w:rsidRPr="00DA20F5" w:rsidRDefault="004767B3" w:rsidP="00D36FB8">
            <w:pPr>
              <w:rPr>
                <w:b/>
                <w:szCs w:val="22"/>
              </w:rPr>
            </w:pPr>
            <w:r w:rsidRPr="00DA20F5">
              <w:rPr>
                <w:b/>
                <w:szCs w:val="22"/>
              </w:rPr>
              <w:t>SPOLU všetky peňažné príspevky</w:t>
            </w:r>
          </w:p>
        </w:tc>
        <w:tc>
          <w:tcPr>
            <w:tcW w:w="1985" w:type="dxa"/>
            <w:tcMar>
              <w:top w:w="0" w:type="dxa"/>
              <w:left w:w="0" w:type="dxa"/>
              <w:bottom w:w="0" w:type="dxa"/>
              <w:right w:w="0" w:type="dxa"/>
            </w:tcMar>
          </w:tcPr>
          <w:p w:rsidR="004767B3" w:rsidRPr="00DA20F5" w:rsidRDefault="004767B3" w:rsidP="00D36FB8">
            <w:pPr>
              <w:ind w:left="463" w:right="709"/>
              <w:jc w:val="right"/>
              <w:rPr>
                <w:szCs w:val="22"/>
              </w:rPr>
            </w:pPr>
          </w:p>
        </w:tc>
        <w:tc>
          <w:tcPr>
            <w:tcW w:w="2554" w:type="dxa"/>
            <w:tcMar>
              <w:top w:w="0" w:type="dxa"/>
              <w:left w:w="0" w:type="dxa"/>
              <w:bottom w:w="0" w:type="dxa"/>
              <w:right w:w="0" w:type="dxa"/>
            </w:tcMar>
          </w:tcPr>
          <w:p w:rsidR="004767B3" w:rsidRPr="00DA20F5" w:rsidRDefault="004767B3" w:rsidP="00D36FB8">
            <w:pPr>
              <w:ind w:left="463" w:right="711"/>
              <w:jc w:val="right"/>
              <w:rPr>
                <w:szCs w:val="22"/>
              </w:rPr>
            </w:pPr>
            <w:r w:rsidRPr="00DA20F5">
              <w:rPr>
                <w:b/>
                <w:bCs/>
                <w:szCs w:val="22"/>
              </w:rPr>
              <w:t>210 640 394</w:t>
            </w:r>
          </w:p>
        </w:tc>
      </w:tr>
    </w:tbl>
    <w:p w:rsidR="00243FD2" w:rsidRPr="00DA20F5" w:rsidRDefault="004767B3" w:rsidP="00D36FB8">
      <w:pPr>
        <w:pStyle w:val="zdroj"/>
        <w:spacing w:after="0"/>
      </w:pPr>
      <w:r w:rsidRPr="00DA20F5">
        <w:t>Zdroj</w:t>
      </w:r>
      <w:r w:rsidR="00121035" w:rsidRPr="00DA20F5">
        <w:t>:</w:t>
      </w:r>
      <w:r w:rsidRPr="00DA20F5">
        <w:t xml:space="preserve"> </w:t>
      </w:r>
      <w:r w:rsidR="00121035" w:rsidRPr="00DA20F5">
        <w:t>ÚPSVR</w:t>
      </w:r>
      <w:r w:rsidRPr="00DA20F5">
        <w:t xml:space="preserve"> </w:t>
      </w:r>
    </w:p>
    <w:p w:rsidR="00227469" w:rsidRPr="00DA20F5" w:rsidRDefault="0036562F" w:rsidP="00D36FB8">
      <w:pPr>
        <w:pStyle w:val="zdroj"/>
        <w:spacing w:before="0"/>
      </w:pPr>
      <w:r w:rsidRPr="00DA20F5">
        <w:rPr>
          <w:vertAlign w:val="superscript"/>
        </w:rPr>
        <w:t>1</w:t>
      </w:r>
      <w:r w:rsidR="004767B3" w:rsidRPr="00DA20F5">
        <w:rPr>
          <w:vertAlign w:val="superscript"/>
        </w:rPr>
        <w:t xml:space="preserve">) </w:t>
      </w:r>
      <w:r w:rsidR="004767B3" w:rsidRPr="00DA20F5">
        <w:t>PP na opatrovanie je poskytovaný fyzickej osobe, ktorá opatruje FO</w:t>
      </w:r>
      <w:r w:rsidR="00A64288" w:rsidRPr="00DA20F5">
        <w:t xml:space="preserve"> s</w:t>
      </w:r>
      <w:r w:rsidR="004767B3" w:rsidRPr="00DA20F5">
        <w:t xml:space="preserve"> ŤZP</w:t>
      </w:r>
    </w:p>
    <w:p w:rsidR="004767B3" w:rsidRPr="00DA20F5" w:rsidRDefault="004767B3" w:rsidP="00D36FB8">
      <w:pPr>
        <w:rPr>
          <w:szCs w:val="22"/>
        </w:rPr>
      </w:pPr>
      <w:r w:rsidRPr="00DA20F5">
        <w:rPr>
          <w:szCs w:val="22"/>
        </w:rPr>
        <w:tab/>
        <w:t xml:space="preserve">Z hľadiska počtu poberateľov bol pri opakovaných peňažných príspevkoch zaznamenaný ich najvyšší priemerný mesačný počet pri peňažnom príspevku na kompenzáciu zvýšených výdavkov (celkový priemer 159 262). Tento peňažný príspevok sa člení podľa účelu poskytovania na štyri skupiny a v rámci tohto členenia bol najvyšší priemerný mesačný počet poberateľov pri kompenzácii zvýšených výdavkov súvisiacich s hygienou alebo opotrebovaním šatstva, bielizne, obuvi a bytového zariadenia (91 949), </w:t>
      </w:r>
      <w:r w:rsidR="00523C30" w:rsidRPr="00DA20F5">
        <w:rPr>
          <w:szCs w:val="22"/>
        </w:rPr>
        <w:t>ďalej</w:t>
      </w:r>
      <w:r w:rsidRPr="00DA20F5">
        <w:rPr>
          <w:szCs w:val="22"/>
        </w:rPr>
        <w:t xml:space="preserve"> kompenzácie zvýšených výdavkov súvisiacich so zabezpečením prevádzky osobného motorového vozidla (63 965), kompenzácie zvýšených výdavkov na diétne stravovanie (51 125) a kompenzácie zvýšených výdavkov súvisiacich so starostlivosťou o psa so špeciálnym výcvikom (69). Druhú najpočetnejšiu skupinu opakovaných peňažných príspevkov tvoria poberatelia peň</w:t>
      </w:r>
      <w:r w:rsidR="00523C30" w:rsidRPr="00DA20F5">
        <w:rPr>
          <w:szCs w:val="22"/>
        </w:rPr>
        <w:t>ažného príspevku na opatrovanie</w:t>
      </w:r>
      <w:r w:rsidRPr="00DA20F5">
        <w:rPr>
          <w:szCs w:val="22"/>
        </w:rPr>
        <w:t xml:space="preserve"> v priemernom mesačnom počte 57 175. </w:t>
      </w:r>
    </w:p>
    <w:p w:rsidR="004767B3" w:rsidRPr="00DA20F5" w:rsidRDefault="004767B3" w:rsidP="00D36FB8">
      <w:pPr>
        <w:ind w:firstLine="708"/>
        <w:rPr>
          <w:szCs w:val="22"/>
        </w:rPr>
      </w:pPr>
      <w:r w:rsidRPr="00DA20F5">
        <w:rPr>
          <w:szCs w:val="22"/>
        </w:rPr>
        <w:t>V roku 2011 bol najvyšší počet poskytnutých jednor</w:t>
      </w:r>
      <w:r w:rsidR="002E0641" w:rsidRPr="00DA20F5">
        <w:rPr>
          <w:szCs w:val="22"/>
        </w:rPr>
        <w:t>azových peňažných príspevkov na </w:t>
      </w:r>
      <w:r w:rsidRPr="00DA20F5">
        <w:rPr>
          <w:szCs w:val="22"/>
        </w:rPr>
        <w:t>kompenzáciu pri peňažnom príspevku na kúpu pomôcky (2 402), n</w:t>
      </w:r>
      <w:r w:rsidR="002E0641" w:rsidRPr="00DA20F5">
        <w:rPr>
          <w:szCs w:val="22"/>
        </w:rPr>
        <w:t>asledovali peňažný príspevok na </w:t>
      </w:r>
      <w:r w:rsidRPr="00DA20F5">
        <w:rPr>
          <w:szCs w:val="22"/>
        </w:rPr>
        <w:t>úpravu rodinného domu (1 699), peňažný príspevok na kúpu osobného motorového vozidla (1 485), peňažný príspevok na úpravu bytu (865) a peňažný príspevok na kúpu zdvíhacieho zariadenia (543). Uvedené údaje o počte poskytnutých jednorazových peňažných p</w:t>
      </w:r>
      <w:r w:rsidR="002E0641" w:rsidRPr="00DA20F5">
        <w:rPr>
          <w:szCs w:val="22"/>
        </w:rPr>
        <w:t>ríspevkov predstavujú sumáre za </w:t>
      </w:r>
      <w:r w:rsidRPr="00DA20F5">
        <w:rPr>
          <w:szCs w:val="22"/>
        </w:rPr>
        <w:t>celý rok 2011 (spolu za všetkých 12 mesiacov). Prehľad č</w:t>
      </w:r>
      <w:r w:rsidR="002E0641" w:rsidRPr="00DA20F5">
        <w:rPr>
          <w:szCs w:val="22"/>
        </w:rPr>
        <w:t>erpania peňažných príspevkov na </w:t>
      </w:r>
      <w:r w:rsidRPr="00DA20F5">
        <w:rPr>
          <w:szCs w:val="22"/>
        </w:rPr>
        <w:t xml:space="preserve">kompenzáciu v roku 2011 </w:t>
      </w:r>
      <w:r w:rsidR="00FC5CE3" w:rsidRPr="00DA20F5">
        <w:rPr>
          <w:szCs w:val="22"/>
        </w:rPr>
        <w:t>uvádza nasledujúca</w:t>
      </w:r>
      <w:r w:rsidR="00AC5AAB" w:rsidRPr="00DA20F5">
        <w:rPr>
          <w:szCs w:val="22"/>
        </w:rPr>
        <w:t xml:space="preserve"> </w:t>
      </w:r>
      <w:r w:rsidR="00FC5CE3" w:rsidRPr="00DA20F5">
        <w:rPr>
          <w:szCs w:val="22"/>
        </w:rPr>
        <w:t>tabuľka.</w:t>
      </w:r>
    </w:p>
    <w:p w:rsidR="004767B3" w:rsidRPr="00DA20F5" w:rsidRDefault="000B3663" w:rsidP="00D36FB8">
      <w:pPr>
        <w:pStyle w:val="Nadpis7"/>
      </w:pPr>
      <w:bookmarkStart w:id="1204" w:name="_Toc325438223"/>
      <w:bookmarkStart w:id="1205" w:name="_Toc325440991"/>
      <w:bookmarkStart w:id="1206" w:name="_Toc325626804"/>
      <w:bookmarkStart w:id="1207" w:name="_Toc326217065"/>
      <w:r w:rsidRPr="00DA20F5">
        <w:rPr>
          <w:bCs/>
          <w:iCs/>
          <w:lang w:eastAsia="cs-CZ"/>
        </w:rPr>
        <w:t>Tab. 3.1</w:t>
      </w:r>
      <w:r w:rsidRPr="00DA20F5">
        <w:rPr>
          <w:bCs/>
          <w:iCs/>
        </w:rPr>
        <w:t>9</w:t>
      </w:r>
      <w:r w:rsidR="00AC5AAB" w:rsidRPr="00DA20F5">
        <w:t xml:space="preserve"> </w:t>
      </w:r>
      <w:r w:rsidR="004767B3" w:rsidRPr="00DA20F5">
        <w:t>Prehľad čerpania peňažných príspevkov na kompenzáciu ŤZP v roku 2011</w:t>
      </w:r>
      <w:bookmarkEnd w:id="1204"/>
      <w:bookmarkEnd w:id="1205"/>
      <w:bookmarkEnd w:id="1206"/>
      <w:bookmarkEnd w:id="1207"/>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5" w:type="dxa"/>
          <w:left w:w="15" w:type="dxa"/>
          <w:bottom w:w="15" w:type="dxa"/>
          <w:right w:w="15" w:type="dxa"/>
        </w:tblCellMar>
        <w:tblLook w:val="04A0" w:firstRow="1" w:lastRow="0" w:firstColumn="1" w:lastColumn="0" w:noHBand="0" w:noVBand="1"/>
      </w:tblPr>
      <w:tblGrid>
        <w:gridCol w:w="3549"/>
        <w:gridCol w:w="1838"/>
        <w:gridCol w:w="2126"/>
        <w:gridCol w:w="1567"/>
      </w:tblGrid>
      <w:tr w:rsidR="004767B3" w:rsidRPr="00DA20F5" w:rsidTr="00C51124">
        <w:tc>
          <w:tcPr>
            <w:tcW w:w="3549" w:type="dxa"/>
            <w:shd w:val="clear" w:color="auto" w:fill="4F81BD" w:themeFill="accent1"/>
            <w:tcMar>
              <w:top w:w="0" w:type="dxa"/>
              <w:left w:w="0" w:type="dxa"/>
              <w:bottom w:w="0" w:type="dxa"/>
              <w:right w:w="0" w:type="dxa"/>
            </w:tcMar>
            <w:vAlign w:val="center"/>
          </w:tcPr>
          <w:p w:rsidR="004767B3" w:rsidRPr="00DA20F5" w:rsidRDefault="004767B3" w:rsidP="00D36FB8">
            <w:pPr>
              <w:rPr>
                <w:b/>
                <w:bCs/>
                <w:color w:val="FFFFFF" w:themeColor="background1"/>
                <w:sz w:val="20"/>
                <w:szCs w:val="22"/>
              </w:rPr>
            </w:pPr>
            <w:r w:rsidRPr="00DA20F5">
              <w:rPr>
                <w:b/>
                <w:bCs/>
                <w:color w:val="FFFFFF" w:themeColor="background1"/>
                <w:sz w:val="20"/>
                <w:szCs w:val="22"/>
              </w:rPr>
              <w:t>Opakované peňažné príspevky</w:t>
            </w:r>
          </w:p>
          <w:p w:rsidR="004767B3" w:rsidRPr="00DA20F5" w:rsidRDefault="004767B3" w:rsidP="00D36FB8">
            <w:pPr>
              <w:rPr>
                <w:color w:val="FFFFFF" w:themeColor="background1"/>
                <w:sz w:val="20"/>
                <w:szCs w:val="22"/>
              </w:rPr>
            </w:pPr>
            <w:r w:rsidRPr="00DA20F5">
              <w:rPr>
                <w:b/>
                <w:bCs/>
                <w:color w:val="FFFFFF" w:themeColor="background1"/>
                <w:sz w:val="20"/>
                <w:szCs w:val="22"/>
              </w:rPr>
              <w:t xml:space="preserve"> na kompenzáciu ŤZP</w:t>
            </w:r>
          </w:p>
        </w:tc>
        <w:tc>
          <w:tcPr>
            <w:tcW w:w="1838"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 w:val="20"/>
                <w:szCs w:val="22"/>
              </w:rPr>
            </w:pPr>
            <w:r w:rsidRPr="00DA20F5">
              <w:rPr>
                <w:b/>
                <w:color w:val="FFFFFF" w:themeColor="background1"/>
                <w:sz w:val="20"/>
                <w:szCs w:val="22"/>
              </w:rPr>
              <w:t>Priemerný mesačný</w:t>
            </w:r>
          </w:p>
          <w:p w:rsidR="004767B3" w:rsidRPr="00DA20F5" w:rsidRDefault="004767B3" w:rsidP="00D36FB8">
            <w:pPr>
              <w:jc w:val="center"/>
              <w:rPr>
                <w:b/>
                <w:color w:val="FFFFFF" w:themeColor="background1"/>
                <w:sz w:val="20"/>
                <w:szCs w:val="22"/>
              </w:rPr>
            </w:pPr>
            <w:r w:rsidRPr="00DA20F5">
              <w:rPr>
                <w:b/>
                <w:color w:val="FFFFFF" w:themeColor="background1"/>
                <w:sz w:val="20"/>
                <w:szCs w:val="22"/>
              </w:rPr>
              <w:t xml:space="preserve"> počet poberateľov</w:t>
            </w:r>
          </w:p>
          <w:p w:rsidR="004767B3" w:rsidRPr="00DA20F5" w:rsidRDefault="004767B3" w:rsidP="00D36FB8">
            <w:pPr>
              <w:jc w:val="center"/>
              <w:rPr>
                <w:b/>
                <w:color w:val="FFFFFF" w:themeColor="background1"/>
                <w:sz w:val="20"/>
                <w:szCs w:val="22"/>
              </w:rPr>
            </w:pPr>
            <w:r w:rsidRPr="00DA20F5">
              <w:rPr>
                <w:b/>
                <w:color w:val="FFFFFF" w:themeColor="background1"/>
                <w:sz w:val="20"/>
                <w:szCs w:val="22"/>
              </w:rPr>
              <w:t xml:space="preserve"> v roku 2011</w:t>
            </w:r>
          </w:p>
        </w:tc>
        <w:tc>
          <w:tcPr>
            <w:tcW w:w="2126"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 w:val="20"/>
                <w:szCs w:val="22"/>
              </w:rPr>
            </w:pPr>
            <w:r w:rsidRPr="00DA20F5">
              <w:rPr>
                <w:b/>
                <w:color w:val="FFFFFF" w:themeColor="background1"/>
                <w:sz w:val="20"/>
                <w:szCs w:val="22"/>
              </w:rPr>
              <w:t>Vynaložené finančné prostriedky</w:t>
            </w:r>
          </w:p>
          <w:p w:rsidR="004767B3" w:rsidRPr="00DA20F5" w:rsidRDefault="004767B3" w:rsidP="00D36FB8">
            <w:pPr>
              <w:jc w:val="center"/>
              <w:rPr>
                <w:b/>
                <w:color w:val="FFFFFF" w:themeColor="background1"/>
                <w:sz w:val="20"/>
                <w:szCs w:val="22"/>
              </w:rPr>
            </w:pPr>
            <w:r w:rsidRPr="00DA20F5">
              <w:rPr>
                <w:b/>
                <w:color w:val="FFFFFF" w:themeColor="background1"/>
                <w:sz w:val="20"/>
                <w:szCs w:val="22"/>
              </w:rPr>
              <w:t>v €</w:t>
            </w:r>
          </w:p>
        </w:tc>
        <w:tc>
          <w:tcPr>
            <w:tcW w:w="1567"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 w:val="20"/>
                <w:szCs w:val="22"/>
              </w:rPr>
            </w:pPr>
            <w:r w:rsidRPr="00DA20F5">
              <w:rPr>
                <w:b/>
                <w:color w:val="FFFFFF" w:themeColor="background1"/>
                <w:sz w:val="20"/>
                <w:szCs w:val="22"/>
              </w:rPr>
              <w:t>Priemerná</w:t>
            </w:r>
          </w:p>
          <w:p w:rsidR="004767B3" w:rsidRPr="00DA20F5" w:rsidRDefault="004767B3" w:rsidP="00D36FB8">
            <w:pPr>
              <w:jc w:val="center"/>
              <w:rPr>
                <w:b/>
                <w:color w:val="FFFFFF" w:themeColor="background1"/>
                <w:sz w:val="20"/>
                <w:szCs w:val="22"/>
              </w:rPr>
            </w:pPr>
            <w:r w:rsidRPr="00DA20F5">
              <w:rPr>
                <w:b/>
                <w:color w:val="FFFFFF" w:themeColor="background1"/>
                <w:sz w:val="20"/>
                <w:szCs w:val="22"/>
              </w:rPr>
              <w:t>mesačná výška PP</w:t>
            </w:r>
            <w:r w:rsidR="00AC5AAB" w:rsidRPr="00DA20F5">
              <w:rPr>
                <w:b/>
                <w:color w:val="FFFFFF" w:themeColor="background1"/>
                <w:sz w:val="20"/>
                <w:szCs w:val="22"/>
                <w:vertAlign w:val="superscript"/>
              </w:rPr>
              <w:t xml:space="preserve"> </w:t>
            </w:r>
            <w:r w:rsidRPr="00DA20F5">
              <w:rPr>
                <w:b/>
                <w:color w:val="FFFFFF" w:themeColor="background1"/>
                <w:sz w:val="20"/>
                <w:szCs w:val="22"/>
              </w:rPr>
              <w:t>v €</w:t>
            </w:r>
          </w:p>
        </w:tc>
      </w:tr>
      <w:tr w:rsidR="004767B3" w:rsidRPr="00DA20F5" w:rsidTr="00C51124">
        <w:tc>
          <w:tcPr>
            <w:tcW w:w="3549"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osobnú asistenciu</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7 416</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31 998 516</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352,77</w:t>
            </w:r>
          </w:p>
        </w:tc>
      </w:tr>
      <w:tr w:rsidR="004767B3" w:rsidRPr="00DA20F5" w:rsidTr="00C51124">
        <w:tc>
          <w:tcPr>
            <w:tcW w:w="3549"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prepravu</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2 659</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2 746 365</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84,21</w:t>
            </w:r>
          </w:p>
        </w:tc>
      </w:tr>
      <w:tr w:rsidR="004767B3" w:rsidRPr="00DA20F5" w:rsidTr="00C51124">
        <w:tc>
          <w:tcPr>
            <w:tcW w:w="3549"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kompenzáciu</w:t>
            </w:r>
            <w:r w:rsidR="00AC5AAB" w:rsidRPr="00DA20F5">
              <w:rPr>
                <w:sz w:val="20"/>
                <w:szCs w:val="22"/>
              </w:rPr>
              <w:t xml:space="preserve"> </w:t>
            </w:r>
            <w:r w:rsidRPr="00DA20F5">
              <w:rPr>
                <w:sz w:val="20"/>
                <w:szCs w:val="22"/>
              </w:rPr>
              <w:t>zvýšených</w:t>
            </w:r>
            <w:r w:rsidR="00AC5AAB" w:rsidRPr="00DA20F5">
              <w:rPr>
                <w:sz w:val="20"/>
                <w:szCs w:val="22"/>
              </w:rPr>
              <w:t xml:space="preserve"> </w:t>
            </w:r>
          </w:p>
          <w:p w:rsidR="004767B3" w:rsidRPr="00DA20F5" w:rsidRDefault="004767B3" w:rsidP="00D36FB8">
            <w:pPr>
              <w:rPr>
                <w:sz w:val="20"/>
                <w:szCs w:val="22"/>
              </w:rPr>
            </w:pPr>
            <w:r w:rsidRPr="00DA20F5">
              <w:rPr>
                <w:sz w:val="20"/>
                <w:szCs w:val="22"/>
              </w:rPr>
              <w:t>výdavkov:</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159 262</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56 732 897</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29,06</w:t>
            </w:r>
          </w:p>
        </w:tc>
      </w:tr>
      <w:tr w:rsidR="004767B3" w:rsidRPr="00DA20F5" w:rsidTr="00C51124">
        <w:tc>
          <w:tcPr>
            <w:tcW w:w="3549" w:type="dxa"/>
            <w:tcMar>
              <w:top w:w="0" w:type="dxa"/>
              <w:left w:w="0" w:type="dxa"/>
              <w:bottom w:w="0" w:type="dxa"/>
              <w:right w:w="0" w:type="dxa"/>
            </w:tcMar>
            <w:vAlign w:val="center"/>
          </w:tcPr>
          <w:p w:rsidR="004767B3" w:rsidRPr="00DA20F5" w:rsidRDefault="004767B3" w:rsidP="00D36FB8">
            <w:pPr>
              <w:jc w:val="left"/>
              <w:rPr>
                <w:i/>
                <w:sz w:val="20"/>
                <w:szCs w:val="22"/>
              </w:rPr>
            </w:pPr>
            <w:r w:rsidRPr="00DA20F5">
              <w:rPr>
                <w:i/>
                <w:sz w:val="20"/>
                <w:szCs w:val="22"/>
              </w:rPr>
              <w:t>- na diétne stravovanie</w:t>
            </w:r>
          </w:p>
        </w:tc>
        <w:tc>
          <w:tcPr>
            <w:tcW w:w="1838" w:type="dxa"/>
            <w:tcMar>
              <w:top w:w="0" w:type="dxa"/>
              <w:left w:w="0" w:type="dxa"/>
              <w:bottom w:w="0" w:type="dxa"/>
              <w:right w:w="0" w:type="dxa"/>
            </w:tcMar>
            <w:vAlign w:val="bottom"/>
          </w:tcPr>
          <w:p w:rsidR="004767B3" w:rsidRPr="00DA20F5" w:rsidRDefault="004767B3" w:rsidP="00D36FB8">
            <w:pPr>
              <w:jc w:val="center"/>
              <w:rPr>
                <w:i/>
                <w:sz w:val="20"/>
                <w:szCs w:val="22"/>
              </w:rPr>
            </w:pPr>
            <w:r w:rsidRPr="00DA20F5">
              <w:rPr>
                <w:i/>
                <w:sz w:val="20"/>
                <w:szCs w:val="22"/>
              </w:rPr>
              <w:t>51 125</w:t>
            </w:r>
          </w:p>
        </w:tc>
        <w:tc>
          <w:tcPr>
            <w:tcW w:w="2126" w:type="dxa"/>
            <w:tcMar>
              <w:top w:w="0" w:type="dxa"/>
              <w:left w:w="0" w:type="dxa"/>
              <w:bottom w:w="0" w:type="dxa"/>
              <w:right w:w="0" w:type="dxa"/>
            </w:tcMar>
          </w:tcPr>
          <w:p w:rsidR="004767B3" w:rsidRPr="00DA20F5" w:rsidRDefault="004767B3" w:rsidP="00D36FB8">
            <w:pPr>
              <w:jc w:val="center"/>
              <w:rPr>
                <w:i/>
                <w:sz w:val="20"/>
                <w:szCs w:val="22"/>
              </w:rPr>
            </w:pPr>
            <w:r w:rsidRPr="00DA20F5">
              <w:rPr>
                <w:i/>
                <w:sz w:val="20"/>
                <w:szCs w:val="22"/>
              </w:rPr>
              <w:t>12 619 927</w:t>
            </w:r>
          </w:p>
        </w:tc>
        <w:tc>
          <w:tcPr>
            <w:tcW w:w="1567" w:type="dxa"/>
            <w:tcMar>
              <w:top w:w="0" w:type="dxa"/>
              <w:left w:w="0" w:type="dxa"/>
              <w:bottom w:w="0" w:type="dxa"/>
              <w:right w:w="0" w:type="dxa"/>
            </w:tcMar>
          </w:tcPr>
          <w:p w:rsidR="004767B3" w:rsidRPr="00DA20F5" w:rsidRDefault="004767B3" w:rsidP="00D36FB8">
            <w:pPr>
              <w:jc w:val="center"/>
              <w:rPr>
                <w:i/>
                <w:sz w:val="20"/>
                <w:szCs w:val="22"/>
              </w:rPr>
            </w:pPr>
            <w:r w:rsidRPr="00DA20F5">
              <w:rPr>
                <w:i/>
                <w:sz w:val="20"/>
                <w:szCs w:val="22"/>
              </w:rPr>
              <w:t>20,08</w:t>
            </w:r>
          </w:p>
        </w:tc>
      </w:tr>
      <w:tr w:rsidR="004767B3" w:rsidRPr="00DA20F5" w:rsidTr="00C51124">
        <w:tc>
          <w:tcPr>
            <w:tcW w:w="3549" w:type="dxa"/>
            <w:tcMar>
              <w:top w:w="0" w:type="dxa"/>
              <w:left w:w="0" w:type="dxa"/>
              <w:bottom w:w="0" w:type="dxa"/>
              <w:right w:w="0" w:type="dxa"/>
            </w:tcMar>
            <w:vAlign w:val="center"/>
          </w:tcPr>
          <w:p w:rsidR="004767B3" w:rsidRPr="00DA20F5" w:rsidRDefault="004767B3" w:rsidP="00D36FB8">
            <w:pPr>
              <w:jc w:val="left"/>
              <w:rPr>
                <w:i/>
                <w:sz w:val="20"/>
                <w:szCs w:val="22"/>
              </w:rPr>
            </w:pPr>
            <w:r w:rsidRPr="00DA20F5">
              <w:rPr>
                <w:i/>
                <w:sz w:val="20"/>
                <w:szCs w:val="22"/>
              </w:rPr>
              <w:t>- hygienu alebo opotrebovanie šatstva,</w:t>
            </w:r>
            <w:r w:rsidR="00AC5AAB" w:rsidRPr="00DA20F5">
              <w:rPr>
                <w:i/>
                <w:sz w:val="20"/>
                <w:szCs w:val="22"/>
              </w:rPr>
              <w:t xml:space="preserve"> </w:t>
            </w:r>
            <w:r w:rsidRPr="00DA20F5">
              <w:rPr>
                <w:i/>
                <w:sz w:val="20"/>
                <w:szCs w:val="22"/>
              </w:rPr>
              <w:t>bielizne, obuvi a bytového zariadenia</w:t>
            </w:r>
          </w:p>
        </w:tc>
        <w:tc>
          <w:tcPr>
            <w:tcW w:w="1838" w:type="dxa"/>
            <w:tcMar>
              <w:top w:w="0" w:type="dxa"/>
              <w:left w:w="0" w:type="dxa"/>
              <w:bottom w:w="0" w:type="dxa"/>
              <w:right w:w="0" w:type="dxa"/>
            </w:tcMar>
            <w:vAlign w:val="bottom"/>
          </w:tcPr>
          <w:p w:rsidR="004767B3" w:rsidRPr="00DA20F5" w:rsidRDefault="004767B3" w:rsidP="00D36FB8">
            <w:pPr>
              <w:jc w:val="center"/>
              <w:rPr>
                <w:i/>
                <w:sz w:val="20"/>
                <w:szCs w:val="22"/>
              </w:rPr>
            </w:pPr>
            <w:r w:rsidRPr="00DA20F5">
              <w:rPr>
                <w:i/>
                <w:sz w:val="20"/>
                <w:szCs w:val="22"/>
              </w:rPr>
              <w:t>91 949</w:t>
            </w:r>
          </w:p>
        </w:tc>
        <w:tc>
          <w:tcPr>
            <w:tcW w:w="2126" w:type="dxa"/>
            <w:tcMar>
              <w:top w:w="0" w:type="dxa"/>
              <w:left w:w="0" w:type="dxa"/>
              <w:bottom w:w="0" w:type="dxa"/>
              <w:right w:w="0" w:type="dxa"/>
            </w:tcMar>
          </w:tcPr>
          <w:p w:rsidR="004767B3" w:rsidRPr="00DA20F5" w:rsidRDefault="004767B3" w:rsidP="00D36FB8">
            <w:pPr>
              <w:jc w:val="center"/>
              <w:rPr>
                <w:i/>
                <w:sz w:val="20"/>
                <w:szCs w:val="22"/>
              </w:rPr>
            </w:pPr>
            <w:r w:rsidRPr="00DA20F5">
              <w:rPr>
                <w:i/>
                <w:sz w:val="20"/>
                <w:szCs w:val="22"/>
              </w:rPr>
              <w:br/>
              <w:t>19 527 145</w:t>
            </w:r>
          </w:p>
        </w:tc>
        <w:tc>
          <w:tcPr>
            <w:tcW w:w="1567" w:type="dxa"/>
            <w:tcMar>
              <w:top w:w="0" w:type="dxa"/>
              <w:left w:w="0" w:type="dxa"/>
              <w:bottom w:w="0" w:type="dxa"/>
              <w:right w:w="0" w:type="dxa"/>
            </w:tcMar>
          </w:tcPr>
          <w:p w:rsidR="004767B3" w:rsidRPr="00DA20F5" w:rsidRDefault="004767B3" w:rsidP="00D36FB8">
            <w:pPr>
              <w:jc w:val="center"/>
              <w:rPr>
                <w:i/>
                <w:sz w:val="20"/>
                <w:szCs w:val="22"/>
              </w:rPr>
            </w:pPr>
            <w:r w:rsidRPr="00DA20F5">
              <w:rPr>
                <w:i/>
                <w:sz w:val="20"/>
                <w:szCs w:val="22"/>
              </w:rPr>
              <w:br/>
              <w:t>17,38</w:t>
            </w:r>
          </w:p>
        </w:tc>
      </w:tr>
      <w:tr w:rsidR="004767B3" w:rsidRPr="00DA20F5" w:rsidTr="00C51124">
        <w:tc>
          <w:tcPr>
            <w:tcW w:w="3549" w:type="dxa"/>
            <w:tcMar>
              <w:top w:w="0" w:type="dxa"/>
              <w:left w:w="0" w:type="dxa"/>
              <w:bottom w:w="0" w:type="dxa"/>
              <w:right w:w="0" w:type="dxa"/>
            </w:tcMar>
            <w:vAlign w:val="center"/>
          </w:tcPr>
          <w:p w:rsidR="004767B3" w:rsidRPr="00DA20F5" w:rsidRDefault="004767B3" w:rsidP="00D36FB8">
            <w:pPr>
              <w:jc w:val="left"/>
              <w:rPr>
                <w:i/>
                <w:sz w:val="20"/>
                <w:szCs w:val="22"/>
              </w:rPr>
            </w:pPr>
            <w:r w:rsidRPr="00DA20F5">
              <w:rPr>
                <w:i/>
                <w:sz w:val="20"/>
                <w:szCs w:val="22"/>
              </w:rPr>
              <w:t>- prevádzku osobného motorového vozidla</w:t>
            </w:r>
          </w:p>
        </w:tc>
        <w:tc>
          <w:tcPr>
            <w:tcW w:w="1838" w:type="dxa"/>
            <w:tcMar>
              <w:top w:w="0" w:type="dxa"/>
              <w:left w:w="0" w:type="dxa"/>
              <w:bottom w:w="0" w:type="dxa"/>
              <w:right w:w="0" w:type="dxa"/>
            </w:tcMar>
            <w:vAlign w:val="bottom"/>
          </w:tcPr>
          <w:p w:rsidR="004767B3" w:rsidRPr="00DA20F5" w:rsidRDefault="004767B3" w:rsidP="00D36FB8">
            <w:pPr>
              <w:jc w:val="center"/>
              <w:rPr>
                <w:i/>
                <w:sz w:val="20"/>
                <w:szCs w:val="22"/>
              </w:rPr>
            </w:pPr>
            <w:r w:rsidRPr="00DA20F5">
              <w:rPr>
                <w:i/>
                <w:sz w:val="20"/>
                <w:szCs w:val="22"/>
              </w:rPr>
              <w:t>63 965</w:t>
            </w:r>
          </w:p>
        </w:tc>
        <w:tc>
          <w:tcPr>
            <w:tcW w:w="2126" w:type="dxa"/>
            <w:tcMar>
              <w:top w:w="0" w:type="dxa"/>
              <w:left w:w="0" w:type="dxa"/>
              <w:bottom w:w="0" w:type="dxa"/>
              <w:right w:w="0" w:type="dxa"/>
            </w:tcMar>
          </w:tcPr>
          <w:p w:rsidR="004767B3" w:rsidRPr="00DA20F5" w:rsidRDefault="004767B3" w:rsidP="00D36FB8">
            <w:pPr>
              <w:jc w:val="center"/>
              <w:rPr>
                <w:i/>
                <w:sz w:val="20"/>
                <w:szCs w:val="22"/>
              </w:rPr>
            </w:pPr>
            <w:r w:rsidRPr="00DA20F5">
              <w:rPr>
                <w:i/>
                <w:sz w:val="20"/>
                <w:szCs w:val="22"/>
              </w:rPr>
              <w:t>24 550 711</w:t>
            </w:r>
          </w:p>
        </w:tc>
        <w:tc>
          <w:tcPr>
            <w:tcW w:w="1567" w:type="dxa"/>
            <w:tcMar>
              <w:top w:w="0" w:type="dxa"/>
              <w:left w:w="0" w:type="dxa"/>
              <w:bottom w:w="0" w:type="dxa"/>
              <w:right w:w="0" w:type="dxa"/>
            </w:tcMar>
          </w:tcPr>
          <w:p w:rsidR="004767B3" w:rsidRPr="00DA20F5" w:rsidRDefault="004767B3" w:rsidP="00D36FB8">
            <w:pPr>
              <w:jc w:val="center"/>
              <w:rPr>
                <w:i/>
                <w:sz w:val="20"/>
                <w:szCs w:val="22"/>
              </w:rPr>
            </w:pPr>
            <w:r w:rsidRPr="00DA20F5">
              <w:rPr>
                <w:i/>
                <w:sz w:val="20"/>
                <w:szCs w:val="22"/>
              </w:rPr>
              <w:t>31,27</w:t>
            </w:r>
          </w:p>
        </w:tc>
      </w:tr>
      <w:tr w:rsidR="004767B3" w:rsidRPr="00DA20F5" w:rsidTr="00C51124">
        <w:tc>
          <w:tcPr>
            <w:tcW w:w="3549" w:type="dxa"/>
            <w:tcMar>
              <w:top w:w="0" w:type="dxa"/>
              <w:left w:w="0" w:type="dxa"/>
              <w:bottom w:w="0" w:type="dxa"/>
              <w:right w:w="0" w:type="dxa"/>
            </w:tcMar>
            <w:vAlign w:val="center"/>
          </w:tcPr>
          <w:p w:rsidR="004767B3" w:rsidRPr="00DA20F5" w:rsidRDefault="004767B3" w:rsidP="00D36FB8">
            <w:pPr>
              <w:jc w:val="left"/>
              <w:rPr>
                <w:i/>
                <w:sz w:val="20"/>
                <w:szCs w:val="22"/>
              </w:rPr>
            </w:pPr>
            <w:r w:rsidRPr="00DA20F5">
              <w:rPr>
                <w:i/>
                <w:sz w:val="20"/>
                <w:szCs w:val="22"/>
              </w:rPr>
              <w:t>- starostlivosť o psa so špeciálnym výcvikom</w:t>
            </w:r>
          </w:p>
        </w:tc>
        <w:tc>
          <w:tcPr>
            <w:tcW w:w="1838" w:type="dxa"/>
            <w:tcMar>
              <w:top w:w="0" w:type="dxa"/>
              <w:left w:w="0" w:type="dxa"/>
              <w:bottom w:w="0" w:type="dxa"/>
              <w:right w:w="0" w:type="dxa"/>
            </w:tcMar>
            <w:vAlign w:val="bottom"/>
          </w:tcPr>
          <w:p w:rsidR="004767B3" w:rsidRPr="00DA20F5" w:rsidRDefault="004767B3" w:rsidP="00D36FB8">
            <w:pPr>
              <w:jc w:val="center"/>
              <w:rPr>
                <w:i/>
                <w:sz w:val="20"/>
                <w:szCs w:val="22"/>
              </w:rPr>
            </w:pPr>
            <w:r w:rsidRPr="00DA20F5">
              <w:rPr>
                <w:i/>
                <w:sz w:val="20"/>
                <w:szCs w:val="22"/>
              </w:rPr>
              <w:br/>
              <w:t>69</w:t>
            </w:r>
          </w:p>
        </w:tc>
        <w:tc>
          <w:tcPr>
            <w:tcW w:w="2126" w:type="dxa"/>
            <w:tcMar>
              <w:top w:w="0" w:type="dxa"/>
              <w:left w:w="0" w:type="dxa"/>
              <w:bottom w:w="0" w:type="dxa"/>
              <w:right w:w="0" w:type="dxa"/>
            </w:tcMar>
          </w:tcPr>
          <w:p w:rsidR="004767B3" w:rsidRPr="00DA20F5" w:rsidRDefault="004767B3" w:rsidP="00D36FB8">
            <w:pPr>
              <w:jc w:val="center"/>
              <w:rPr>
                <w:i/>
                <w:sz w:val="20"/>
                <w:szCs w:val="22"/>
              </w:rPr>
            </w:pPr>
            <w:r w:rsidRPr="00DA20F5">
              <w:rPr>
                <w:i/>
                <w:sz w:val="20"/>
                <w:szCs w:val="22"/>
              </w:rPr>
              <w:br/>
              <w:t>35 114</w:t>
            </w:r>
          </w:p>
        </w:tc>
        <w:tc>
          <w:tcPr>
            <w:tcW w:w="1567" w:type="dxa"/>
            <w:tcMar>
              <w:top w:w="0" w:type="dxa"/>
              <w:left w:w="0" w:type="dxa"/>
              <w:bottom w:w="0" w:type="dxa"/>
              <w:right w:w="0" w:type="dxa"/>
            </w:tcMar>
          </w:tcPr>
          <w:p w:rsidR="004767B3" w:rsidRPr="00DA20F5" w:rsidRDefault="004767B3" w:rsidP="00D36FB8">
            <w:pPr>
              <w:jc w:val="center"/>
              <w:rPr>
                <w:i/>
                <w:sz w:val="20"/>
                <w:szCs w:val="22"/>
              </w:rPr>
            </w:pPr>
            <w:r w:rsidRPr="00DA20F5">
              <w:rPr>
                <w:i/>
                <w:sz w:val="20"/>
                <w:szCs w:val="22"/>
              </w:rPr>
              <w:br/>
              <w:t>41,70</w:t>
            </w:r>
          </w:p>
        </w:tc>
      </w:tr>
      <w:tr w:rsidR="004767B3" w:rsidRPr="00DA20F5" w:rsidTr="00C51124">
        <w:tc>
          <w:tcPr>
            <w:tcW w:w="3549" w:type="dxa"/>
            <w:tcMar>
              <w:top w:w="0" w:type="dxa"/>
              <w:left w:w="0" w:type="dxa"/>
              <w:bottom w:w="0" w:type="dxa"/>
              <w:right w:w="0" w:type="dxa"/>
            </w:tcMar>
            <w:vAlign w:val="center"/>
          </w:tcPr>
          <w:p w:rsidR="004767B3" w:rsidRPr="00DA20F5" w:rsidRDefault="004767B3" w:rsidP="00D36FB8">
            <w:pPr>
              <w:jc w:val="left"/>
              <w:rPr>
                <w:sz w:val="20"/>
                <w:szCs w:val="22"/>
              </w:rPr>
            </w:pPr>
            <w:r w:rsidRPr="00DA20F5">
              <w:rPr>
                <w:sz w:val="20"/>
                <w:szCs w:val="22"/>
              </w:rPr>
              <w:t>PP na opatrovanie</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57 175</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95 931 591</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134,75</w:t>
            </w:r>
          </w:p>
        </w:tc>
      </w:tr>
    </w:tbl>
    <w:p w:rsidR="0012729C" w:rsidRDefault="0012729C" w:rsidP="00D36FB8"/>
    <w:p w:rsidR="0038489B" w:rsidRPr="00DA20F5" w:rsidRDefault="0038489B" w:rsidP="00D36FB8"/>
    <w:tbl>
      <w:tblPr>
        <w:tblW w:w="0" w:type="auto"/>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5" w:type="dxa"/>
          <w:left w:w="15" w:type="dxa"/>
          <w:bottom w:w="15" w:type="dxa"/>
          <w:right w:w="15" w:type="dxa"/>
        </w:tblCellMar>
        <w:tblLook w:val="04A0" w:firstRow="1" w:lastRow="0" w:firstColumn="1" w:lastColumn="0" w:noHBand="0" w:noVBand="1"/>
      </w:tblPr>
      <w:tblGrid>
        <w:gridCol w:w="3544"/>
        <w:gridCol w:w="1838"/>
        <w:gridCol w:w="2126"/>
        <w:gridCol w:w="1567"/>
      </w:tblGrid>
      <w:tr w:rsidR="004767B3" w:rsidRPr="00DA20F5" w:rsidTr="002E0641">
        <w:tc>
          <w:tcPr>
            <w:tcW w:w="3544" w:type="dxa"/>
            <w:shd w:val="clear" w:color="auto" w:fill="4F81BD" w:themeFill="accent1"/>
            <w:tcMar>
              <w:top w:w="0" w:type="dxa"/>
              <w:left w:w="0" w:type="dxa"/>
              <w:bottom w:w="0" w:type="dxa"/>
              <w:right w:w="0" w:type="dxa"/>
            </w:tcMar>
            <w:vAlign w:val="center"/>
          </w:tcPr>
          <w:p w:rsidR="004767B3" w:rsidRPr="00DA20F5" w:rsidRDefault="004767B3" w:rsidP="00D36FB8">
            <w:pPr>
              <w:rPr>
                <w:b/>
                <w:bCs/>
                <w:color w:val="FFFFFF" w:themeColor="background1"/>
                <w:sz w:val="20"/>
                <w:szCs w:val="22"/>
              </w:rPr>
            </w:pPr>
            <w:r w:rsidRPr="00DA20F5">
              <w:rPr>
                <w:b/>
                <w:bCs/>
                <w:color w:val="FFFFFF" w:themeColor="background1"/>
                <w:sz w:val="20"/>
                <w:szCs w:val="22"/>
              </w:rPr>
              <w:lastRenderedPageBreak/>
              <w:t>Jednorazové peňažné príspevky</w:t>
            </w:r>
          </w:p>
          <w:p w:rsidR="004767B3" w:rsidRPr="00DA20F5" w:rsidRDefault="004767B3" w:rsidP="00D36FB8">
            <w:pPr>
              <w:rPr>
                <w:b/>
                <w:color w:val="FFFFFF" w:themeColor="background1"/>
                <w:sz w:val="20"/>
                <w:szCs w:val="22"/>
              </w:rPr>
            </w:pPr>
            <w:r w:rsidRPr="00DA20F5">
              <w:rPr>
                <w:b/>
                <w:bCs/>
                <w:color w:val="FFFFFF" w:themeColor="background1"/>
                <w:sz w:val="20"/>
                <w:szCs w:val="22"/>
              </w:rPr>
              <w:t xml:space="preserve"> na kompenzáciu ŤZP</w:t>
            </w:r>
          </w:p>
        </w:tc>
        <w:tc>
          <w:tcPr>
            <w:tcW w:w="1838" w:type="dxa"/>
            <w:shd w:val="clear" w:color="auto" w:fill="4F81BD" w:themeFill="accent1"/>
            <w:tcMar>
              <w:top w:w="0" w:type="dxa"/>
              <w:left w:w="0" w:type="dxa"/>
              <w:bottom w:w="0" w:type="dxa"/>
              <w:right w:w="0" w:type="dxa"/>
            </w:tcMar>
            <w:vAlign w:val="bottom"/>
          </w:tcPr>
          <w:p w:rsidR="004767B3" w:rsidRPr="00DA20F5" w:rsidRDefault="004767B3" w:rsidP="00D36FB8">
            <w:pPr>
              <w:jc w:val="center"/>
              <w:rPr>
                <w:b/>
                <w:color w:val="FFFFFF" w:themeColor="background1"/>
                <w:sz w:val="20"/>
                <w:szCs w:val="22"/>
              </w:rPr>
            </w:pPr>
            <w:r w:rsidRPr="00DA20F5">
              <w:rPr>
                <w:b/>
                <w:color w:val="FFFFFF" w:themeColor="background1"/>
                <w:sz w:val="20"/>
                <w:szCs w:val="22"/>
              </w:rPr>
              <w:t>Počet poskytnutých</w:t>
            </w:r>
          </w:p>
          <w:p w:rsidR="004767B3" w:rsidRPr="00DA20F5" w:rsidRDefault="004767B3" w:rsidP="00D36FB8">
            <w:pPr>
              <w:jc w:val="center"/>
              <w:rPr>
                <w:b/>
                <w:color w:val="FFFFFF" w:themeColor="background1"/>
                <w:sz w:val="20"/>
                <w:szCs w:val="22"/>
              </w:rPr>
            </w:pPr>
            <w:r w:rsidRPr="00DA20F5">
              <w:rPr>
                <w:b/>
                <w:color w:val="FFFFFF" w:themeColor="background1"/>
                <w:sz w:val="20"/>
                <w:szCs w:val="22"/>
              </w:rPr>
              <w:t>PP</w:t>
            </w:r>
            <w:r w:rsidR="00D346C6" w:rsidRPr="00DA20F5">
              <w:rPr>
                <w:b/>
                <w:color w:val="FFFFFF" w:themeColor="background1"/>
                <w:sz w:val="20"/>
                <w:szCs w:val="22"/>
              </w:rPr>
              <w:t xml:space="preserve"> </w:t>
            </w:r>
            <w:r w:rsidRPr="00DA20F5">
              <w:rPr>
                <w:b/>
                <w:color w:val="FFFFFF" w:themeColor="background1"/>
                <w:sz w:val="20"/>
                <w:szCs w:val="22"/>
              </w:rPr>
              <w:t>v roku 2011</w:t>
            </w:r>
          </w:p>
        </w:tc>
        <w:tc>
          <w:tcPr>
            <w:tcW w:w="2126" w:type="dxa"/>
            <w:shd w:val="clear" w:color="auto" w:fill="4F81BD" w:themeFill="accent1"/>
            <w:tcMar>
              <w:top w:w="0" w:type="dxa"/>
              <w:left w:w="0" w:type="dxa"/>
              <w:bottom w:w="0" w:type="dxa"/>
              <w:right w:w="0" w:type="dxa"/>
            </w:tcMar>
          </w:tcPr>
          <w:p w:rsidR="004767B3" w:rsidRPr="00DA20F5" w:rsidRDefault="00D346C6" w:rsidP="00D36FB8">
            <w:pPr>
              <w:jc w:val="center"/>
              <w:rPr>
                <w:b/>
                <w:color w:val="FFFFFF" w:themeColor="background1"/>
                <w:sz w:val="20"/>
                <w:szCs w:val="22"/>
              </w:rPr>
            </w:pPr>
            <w:r w:rsidRPr="00DA20F5">
              <w:rPr>
                <w:b/>
                <w:color w:val="FFFFFF" w:themeColor="background1"/>
                <w:sz w:val="20"/>
                <w:szCs w:val="22"/>
              </w:rPr>
              <w:t>Vynaložené finančné</w:t>
            </w:r>
            <w:r w:rsidR="004767B3" w:rsidRPr="00DA20F5">
              <w:rPr>
                <w:b/>
                <w:color w:val="FFFFFF" w:themeColor="background1"/>
                <w:sz w:val="20"/>
                <w:szCs w:val="22"/>
              </w:rPr>
              <w:t xml:space="preserve"> prostriedky</w:t>
            </w:r>
            <w:r w:rsidRPr="00DA20F5">
              <w:rPr>
                <w:b/>
                <w:color w:val="FFFFFF" w:themeColor="background1"/>
                <w:sz w:val="20"/>
                <w:szCs w:val="22"/>
              </w:rPr>
              <w:t xml:space="preserve"> </w:t>
            </w:r>
            <w:r w:rsidR="004767B3" w:rsidRPr="00DA20F5">
              <w:rPr>
                <w:b/>
                <w:color w:val="FFFFFF" w:themeColor="background1"/>
                <w:sz w:val="20"/>
                <w:szCs w:val="22"/>
              </w:rPr>
              <w:t>v €</w:t>
            </w:r>
          </w:p>
        </w:tc>
        <w:tc>
          <w:tcPr>
            <w:tcW w:w="1567"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 w:val="20"/>
                <w:szCs w:val="22"/>
              </w:rPr>
            </w:pPr>
            <w:r w:rsidRPr="00DA20F5">
              <w:rPr>
                <w:b/>
                <w:color w:val="FFFFFF" w:themeColor="background1"/>
                <w:sz w:val="20"/>
                <w:szCs w:val="22"/>
              </w:rPr>
              <w:t>Priemerná výška PP</w:t>
            </w:r>
            <w:r w:rsidR="00AC5AAB" w:rsidRPr="00DA20F5">
              <w:rPr>
                <w:b/>
                <w:color w:val="FFFFFF" w:themeColor="background1"/>
                <w:sz w:val="20"/>
                <w:szCs w:val="22"/>
              </w:rPr>
              <w:t xml:space="preserve"> </w:t>
            </w:r>
            <w:r w:rsidRPr="00DA20F5">
              <w:rPr>
                <w:b/>
                <w:color w:val="FFFFFF" w:themeColor="background1"/>
                <w:sz w:val="20"/>
                <w:szCs w:val="22"/>
              </w:rPr>
              <w:t>v €</w:t>
            </w:r>
          </w:p>
        </w:tc>
      </w:tr>
      <w:tr w:rsidR="004767B3" w:rsidRPr="00DA20F5" w:rsidTr="002E0641">
        <w:tc>
          <w:tcPr>
            <w:tcW w:w="3544"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kúpu pomôcky</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2 402</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2 510 870</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1 049,47</w:t>
            </w:r>
          </w:p>
        </w:tc>
      </w:tr>
      <w:tr w:rsidR="004767B3" w:rsidRPr="00DA20F5" w:rsidTr="002E0641">
        <w:tc>
          <w:tcPr>
            <w:tcW w:w="3544"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výcvik používania pomôcky</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65</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44 423</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683,42</w:t>
            </w:r>
          </w:p>
        </w:tc>
      </w:tr>
      <w:tr w:rsidR="004767B3" w:rsidRPr="00DA20F5" w:rsidTr="002E0641">
        <w:tc>
          <w:tcPr>
            <w:tcW w:w="3544"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úpravu pomôcky</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13</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8 906</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685,07</w:t>
            </w:r>
          </w:p>
        </w:tc>
      </w:tr>
      <w:tr w:rsidR="004767B3" w:rsidRPr="00DA20F5" w:rsidTr="002E0641">
        <w:tc>
          <w:tcPr>
            <w:tcW w:w="3544"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opravu pomôcky</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368</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106 600</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289,67</w:t>
            </w:r>
          </w:p>
        </w:tc>
      </w:tr>
      <w:tr w:rsidR="004767B3" w:rsidRPr="00DA20F5" w:rsidTr="002E0641">
        <w:tc>
          <w:tcPr>
            <w:tcW w:w="3544"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kúpu zdvíhacieho zariadenia</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543</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4 855 864</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8 971,73</w:t>
            </w:r>
          </w:p>
        </w:tc>
      </w:tr>
      <w:tr w:rsidR="004767B3" w:rsidRPr="00DA20F5" w:rsidTr="002E0641">
        <w:tc>
          <w:tcPr>
            <w:tcW w:w="3544"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kúpu osobného motorového vozidla</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1</w:t>
            </w:r>
            <w:r w:rsidR="00D346C6" w:rsidRPr="00DA20F5">
              <w:rPr>
                <w:sz w:val="20"/>
                <w:szCs w:val="22"/>
              </w:rPr>
              <w:t> </w:t>
            </w:r>
            <w:r w:rsidRPr="00DA20F5">
              <w:rPr>
                <w:sz w:val="20"/>
                <w:szCs w:val="22"/>
              </w:rPr>
              <w:t>485</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9 777</w:t>
            </w:r>
            <w:r w:rsidR="00D346C6" w:rsidRPr="00DA20F5">
              <w:rPr>
                <w:sz w:val="20"/>
                <w:szCs w:val="22"/>
              </w:rPr>
              <w:t> </w:t>
            </w:r>
            <w:r w:rsidRPr="00DA20F5">
              <w:rPr>
                <w:sz w:val="20"/>
                <w:szCs w:val="22"/>
              </w:rPr>
              <w:t>104</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6 585,56</w:t>
            </w:r>
          </w:p>
        </w:tc>
      </w:tr>
      <w:tr w:rsidR="004767B3" w:rsidRPr="00DA20F5" w:rsidTr="002E0641">
        <w:tc>
          <w:tcPr>
            <w:tcW w:w="3544" w:type="dxa"/>
            <w:tcMar>
              <w:top w:w="0" w:type="dxa"/>
              <w:left w:w="0" w:type="dxa"/>
              <w:bottom w:w="0" w:type="dxa"/>
              <w:right w:w="0" w:type="dxa"/>
            </w:tcMar>
            <w:vAlign w:val="center"/>
          </w:tcPr>
          <w:p w:rsidR="004767B3" w:rsidRPr="00DA20F5" w:rsidRDefault="004767B3" w:rsidP="00D36FB8">
            <w:pPr>
              <w:jc w:val="left"/>
              <w:rPr>
                <w:sz w:val="20"/>
                <w:szCs w:val="22"/>
              </w:rPr>
            </w:pPr>
            <w:r w:rsidRPr="00DA20F5">
              <w:rPr>
                <w:sz w:val="20"/>
                <w:szCs w:val="22"/>
              </w:rPr>
              <w:t>PP na úpravu osobného motorového vozidla</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112</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303</w:t>
            </w:r>
            <w:r w:rsidR="00D346C6" w:rsidRPr="00DA20F5">
              <w:rPr>
                <w:sz w:val="20"/>
                <w:szCs w:val="22"/>
              </w:rPr>
              <w:t> </w:t>
            </w:r>
            <w:r w:rsidRPr="00DA20F5">
              <w:rPr>
                <w:sz w:val="20"/>
                <w:szCs w:val="22"/>
              </w:rPr>
              <w:t>970</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2 715,15</w:t>
            </w:r>
          </w:p>
        </w:tc>
      </w:tr>
      <w:tr w:rsidR="004767B3" w:rsidRPr="00DA20F5" w:rsidTr="002E0641">
        <w:tc>
          <w:tcPr>
            <w:tcW w:w="3544"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úpravu bytu</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865</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2 010 369</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2 338,56</w:t>
            </w:r>
          </w:p>
        </w:tc>
      </w:tr>
      <w:tr w:rsidR="004767B3" w:rsidRPr="00DA20F5" w:rsidTr="002E0641">
        <w:tc>
          <w:tcPr>
            <w:tcW w:w="3544"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úpravu rodinného domu</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1 699</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3 583 752</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2 116,16</w:t>
            </w:r>
          </w:p>
        </w:tc>
      </w:tr>
      <w:tr w:rsidR="004767B3" w:rsidRPr="00DA20F5" w:rsidTr="002E0641">
        <w:tc>
          <w:tcPr>
            <w:tcW w:w="3544" w:type="dxa"/>
            <w:tcMar>
              <w:top w:w="0" w:type="dxa"/>
              <w:left w:w="0" w:type="dxa"/>
              <w:bottom w:w="0" w:type="dxa"/>
              <w:right w:w="0" w:type="dxa"/>
            </w:tcMar>
            <w:vAlign w:val="center"/>
          </w:tcPr>
          <w:p w:rsidR="004767B3" w:rsidRPr="00DA20F5" w:rsidRDefault="004767B3" w:rsidP="00D36FB8">
            <w:pPr>
              <w:rPr>
                <w:sz w:val="20"/>
                <w:szCs w:val="22"/>
              </w:rPr>
            </w:pPr>
            <w:r w:rsidRPr="00DA20F5">
              <w:rPr>
                <w:sz w:val="20"/>
                <w:szCs w:val="22"/>
              </w:rPr>
              <w:t>PP na úpravu garáže</w:t>
            </w:r>
          </w:p>
        </w:tc>
        <w:tc>
          <w:tcPr>
            <w:tcW w:w="1838" w:type="dxa"/>
            <w:tcMar>
              <w:top w:w="0" w:type="dxa"/>
              <w:left w:w="0" w:type="dxa"/>
              <w:bottom w:w="0" w:type="dxa"/>
              <w:right w:w="0" w:type="dxa"/>
            </w:tcMar>
            <w:vAlign w:val="bottom"/>
          </w:tcPr>
          <w:p w:rsidR="004767B3" w:rsidRPr="00DA20F5" w:rsidRDefault="004767B3" w:rsidP="00D36FB8">
            <w:pPr>
              <w:jc w:val="center"/>
              <w:rPr>
                <w:sz w:val="20"/>
                <w:szCs w:val="22"/>
              </w:rPr>
            </w:pPr>
            <w:r w:rsidRPr="00DA20F5">
              <w:rPr>
                <w:sz w:val="20"/>
                <w:szCs w:val="22"/>
              </w:rPr>
              <w:t>22</w:t>
            </w: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29 169</w:t>
            </w:r>
          </w:p>
        </w:tc>
        <w:tc>
          <w:tcPr>
            <w:tcW w:w="1567" w:type="dxa"/>
            <w:tcMar>
              <w:top w:w="0" w:type="dxa"/>
              <w:left w:w="0" w:type="dxa"/>
              <w:bottom w:w="0" w:type="dxa"/>
              <w:right w:w="0" w:type="dxa"/>
            </w:tcMar>
          </w:tcPr>
          <w:p w:rsidR="004767B3" w:rsidRPr="00DA20F5" w:rsidRDefault="004767B3" w:rsidP="00D36FB8">
            <w:pPr>
              <w:jc w:val="center"/>
              <w:rPr>
                <w:sz w:val="20"/>
                <w:szCs w:val="22"/>
              </w:rPr>
            </w:pPr>
            <w:r w:rsidRPr="00DA20F5">
              <w:rPr>
                <w:sz w:val="20"/>
                <w:szCs w:val="22"/>
              </w:rPr>
              <w:t>1 325,85</w:t>
            </w:r>
          </w:p>
        </w:tc>
      </w:tr>
      <w:tr w:rsidR="004767B3" w:rsidRPr="00DA20F5" w:rsidTr="002E0641">
        <w:tc>
          <w:tcPr>
            <w:tcW w:w="3544" w:type="dxa"/>
            <w:tcMar>
              <w:top w:w="0" w:type="dxa"/>
              <w:left w:w="0" w:type="dxa"/>
              <w:bottom w:w="0" w:type="dxa"/>
              <w:right w:w="0" w:type="dxa"/>
            </w:tcMar>
            <w:vAlign w:val="bottom"/>
          </w:tcPr>
          <w:p w:rsidR="004767B3" w:rsidRPr="00DA20F5" w:rsidRDefault="004767B3" w:rsidP="00D36FB8">
            <w:pPr>
              <w:rPr>
                <w:sz w:val="20"/>
                <w:szCs w:val="22"/>
              </w:rPr>
            </w:pPr>
            <w:r w:rsidRPr="00DA20F5">
              <w:rPr>
                <w:b/>
                <w:bCs/>
                <w:sz w:val="20"/>
                <w:szCs w:val="22"/>
              </w:rPr>
              <w:t>Peňažné príspevky SPOLU</w:t>
            </w:r>
          </w:p>
        </w:tc>
        <w:tc>
          <w:tcPr>
            <w:tcW w:w="1838" w:type="dxa"/>
            <w:tcMar>
              <w:top w:w="0" w:type="dxa"/>
              <w:left w:w="0" w:type="dxa"/>
              <w:bottom w:w="0" w:type="dxa"/>
              <w:right w:w="0" w:type="dxa"/>
            </w:tcMar>
          </w:tcPr>
          <w:p w:rsidR="004767B3" w:rsidRPr="00DA20F5" w:rsidRDefault="004767B3" w:rsidP="00D36FB8">
            <w:pPr>
              <w:rPr>
                <w:sz w:val="20"/>
                <w:szCs w:val="22"/>
              </w:rPr>
            </w:pPr>
          </w:p>
        </w:tc>
        <w:tc>
          <w:tcPr>
            <w:tcW w:w="2126" w:type="dxa"/>
            <w:tcMar>
              <w:top w:w="0" w:type="dxa"/>
              <w:left w:w="0" w:type="dxa"/>
              <w:bottom w:w="0" w:type="dxa"/>
              <w:right w:w="0" w:type="dxa"/>
            </w:tcMar>
          </w:tcPr>
          <w:p w:rsidR="004767B3" w:rsidRPr="00DA20F5" w:rsidRDefault="004767B3" w:rsidP="00D36FB8">
            <w:pPr>
              <w:jc w:val="center"/>
              <w:rPr>
                <w:sz w:val="20"/>
                <w:szCs w:val="22"/>
              </w:rPr>
            </w:pPr>
            <w:r w:rsidRPr="00DA20F5">
              <w:rPr>
                <w:b/>
                <w:bCs/>
                <w:sz w:val="20"/>
                <w:szCs w:val="22"/>
              </w:rPr>
              <w:t>210 640 394</w:t>
            </w:r>
          </w:p>
        </w:tc>
        <w:tc>
          <w:tcPr>
            <w:tcW w:w="1567" w:type="dxa"/>
            <w:tcMar>
              <w:top w:w="0" w:type="dxa"/>
              <w:left w:w="0" w:type="dxa"/>
              <w:bottom w:w="0" w:type="dxa"/>
              <w:right w:w="0" w:type="dxa"/>
            </w:tcMar>
          </w:tcPr>
          <w:p w:rsidR="004767B3" w:rsidRPr="00DA20F5" w:rsidRDefault="004767B3" w:rsidP="00D36FB8">
            <w:pPr>
              <w:rPr>
                <w:sz w:val="20"/>
                <w:szCs w:val="22"/>
              </w:rPr>
            </w:pPr>
          </w:p>
        </w:tc>
      </w:tr>
    </w:tbl>
    <w:p w:rsidR="00243FD2" w:rsidRPr="00DA20F5" w:rsidRDefault="004C469D" w:rsidP="0038489B">
      <w:pPr>
        <w:pStyle w:val="zdroj"/>
      </w:pPr>
      <w:r w:rsidRPr="00DA20F5">
        <w:t>Zdroj: ÚPSVR</w:t>
      </w:r>
    </w:p>
    <w:p w:rsidR="004767B3" w:rsidRPr="00DA20F5" w:rsidRDefault="004767B3" w:rsidP="00D36FB8">
      <w:pPr>
        <w:ind w:firstLine="708"/>
        <w:rPr>
          <w:szCs w:val="22"/>
        </w:rPr>
      </w:pPr>
      <w:r w:rsidRPr="00DA20F5">
        <w:rPr>
          <w:szCs w:val="22"/>
        </w:rPr>
        <w:t>Peňažný príspevok na opatrovanie, ako jediný peňažný príspevok na kompenzáciu, sa neposkytuje fyzickej osobe s ŤZP, ale priamo fyzickej osobe - opatrovateľovi. Jeho výška je stanovená v závislosti od viacerých skutočností. Ak opatrovateľ poberá niektorú zo zákonom ustanovených dôchodkových dávok, peňažný príspevok na opatrovanie je ustanovený v paušálnej výške. Ak opatrovateľ nepoberá dôchodkovú dávku, na výšku peňažného príspevku má vplyv príjem opatrovanej fyzickej osoby s ŤZP, ktorý bol chránený do výšky 1,3 násobku sumy životného minima pre jednu plnoletú fyzickú osobu, resp. ak je fyzickou osobou s ŤZP nezaopat</w:t>
      </w:r>
      <w:r w:rsidR="007E7996" w:rsidRPr="00DA20F5">
        <w:rPr>
          <w:szCs w:val="22"/>
        </w:rPr>
        <w:t>rené dieťa</w:t>
      </w:r>
      <w:r w:rsidRPr="00DA20F5">
        <w:rPr>
          <w:szCs w:val="22"/>
        </w:rPr>
        <w:t>, jeho príjem je chránený do 3</w:t>
      </w:r>
      <w:r w:rsidR="007E7996" w:rsidRPr="00DA20F5">
        <w:rPr>
          <w:szCs w:val="22"/>
        </w:rPr>
        <w:t>,0</w:t>
      </w:r>
      <w:r w:rsidRPr="00DA20F5">
        <w:rPr>
          <w:szCs w:val="22"/>
        </w:rPr>
        <w:t xml:space="preserve"> násobku. S účinnosťou od 1. júla 2011 zmenou legislatívy sa ochrana príjmu zvýšila z 1,3 násobku (cca 246,78 €) na 1,4 násobok sumy životného minima (cca 265,76 €). Bližši</w:t>
      </w:r>
      <w:r w:rsidR="007E7996" w:rsidRPr="00DA20F5">
        <w:rPr>
          <w:szCs w:val="22"/>
        </w:rPr>
        <w:t>u</w:t>
      </w:r>
      <w:r w:rsidRPr="00DA20F5">
        <w:rPr>
          <w:szCs w:val="22"/>
        </w:rPr>
        <w:t xml:space="preserve"> štruktúr</w:t>
      </w:r>
      <w:r w:rsidR="007E7996" w:rsidRPr="00DA20F5">
        <w:rPr>
          <w:szCs w:val="22"/>
        </w:rPr>
        <w:t>u</w:t>
      </w:r>
      <w:r w:rsidRPr="00DA20F5">
        <w:rPr>
          <w:szCs w:val="22"/>
        </w:rPr>
        <w:t xml:space="preserve"> údajov o peňažnom príspevku na opatrovanie </w:t>
      </w:r>
      <w:r w:rsidR="007E7996" w:rsidRPr="00DA20F5">
        <w:rPr>
          <w:szCs w:val="22"/>
        </w:rPr>
        <w:t>uvádza</w:t>
      </w:r>
      <w:r w:rsidRPr="00DA20F5">
        <w:rPr>
          <w:szCs w:val="22"/>
        </w:rPr>
        <w:t> tabuľka</w:t>
      </w:r>
      <w:r w:rsidR="007E7996" w:rsidRPr="00DA20F5">
        <w:rPr>
          <w:szCs w:val="22"/>
        </w:rPr>
        <w:t>:</w:t>
      </w:r>
    </w:p>
    <w:p w:rsidR="004767B3" w:rsidRPr="00DA20F5" w:rsidRDefault="000B3663" w:rsidP="00D36FB8">
      <w:pPr>
        <w:pStyle w:val="Nadpis7"/>
        <w:spacing w:before="120"/>
      </w:pPr>
      <w:bookmarkStart w:id="1208" w:name="_Toc325438225"/>
      <w:bookmarkStart w:id="1209" w:name="_Toc325440993"/>
      <w:bookmarkStart w:id="1210" w:name="_Toc325626806"/>
      <w:bookmarkStart w:id="1211" w:name="_Toc326217067"/>
      <w:r w:rsidRPr="00DA20F5">
        <w:rPr>
          <w:bCs/>
          <w:iCs/>
          <w:lang w:eastAsia="cs-CZ"/>
        </w:rPr>
        <w:t xml:space="preserve">Tab. 3.20 </w:t>
      </w:r>
      <w:r w:rsidR="00B236AD" w:rsidRPr="00DA20F5">
        <w:t xml:space="preserve">Prehľad peňažného </w:t>
      </w:r>
      <w:r w:rsidR="004767B3" w:rsidRPr="00DA20F5">
        <w:t>príspevku na opatrovanie v hlbšej štruktúre v roku 2011</w:t>
      </w:r>
      <w:bookmarkEnd w:id="1208"/>
      <w:bookmarkEnd w:id="1209"/>
      <w:bookmarkEnd w:id="1210"/>
      <w:bookmarkEnd w:id="1211"/>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5" w:type="dxa"/>
          <w:left w:w="15" w:type="dxa"/>
          <w:bottom w:w="15" w:type="dxa"/>
          <w:right w:w="15" w:type="dxa"/>
        </w:tblCellMar>
        <w:tblLook w:val="04A0" w:firstRow="1" w:lastRow="0" w:firstColumn="1" w:lastColumn="0" w:noHBand="0" w:noVBand="1"/>
      </w:tblPr>
      <w:tblGrid>
        <w:gridCol w:w="4259"/>
        <w:gridCol w:w="2593"/>
        <w:gridCol w:w="2228"/>
      </w:tblGrid>
      <w:tr w:rsidR="004767B3" w:rsidRPr="00DA20F5" w:rsidTr="00177D15">
        <w:tc>
          <w:tcPr>
            <w:tcW w:w="4259"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Cs w:val="22"/>
              </w:rPr>
            </w:pPr>
            <w:r w:rsidRPr="00DA20F5">
              <w:rPr>
                <w:b/>
                <w:bCs/>
                <w:color w:val="FFFFFF" w:themeColor="background1"/>
                <w:szCs w:val="22"/>
              </w:rPr>
              <w:t>Peňažný príspevok na opatrovanie</w:t>
            </w:r>
          </w:p>
        </w:tc>
        <w:tc>
          <w:tcPr>
            <w:tcW w:w="2593"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Cs w:val="22"/>
              </w:rPr>
            </w:pPr>
            <w:r w:rsidRPr="00DA20F5">
              <w:rPr>
                <w:b/>
                <w:color w:val="FFFFFF" w:themeColor="background1"/>
                <w:szCs w:val="22"/>
              </w:rPr>
              <w:t>Priemerný mesačný počet poberateľov</w:t>
            </w:r>
          </w:p>
        </w:tc>
        <w:tc>
          <w:tcPr>
            <w:tcW w:w="0" w:type="auto"/>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Cs w:val="22"/>
              </w:rPr>
            </w:pPr>
            <w:r w:rsidRPr="00DA20F5">
              <w:rPr>
                <w:b/>
                <w:color w:val="FFFFFF" w:themeColor="background1"/>
                <w:szCs w:val="22"/>
              </w:rPr>
              <w:t>Priemerná mesačná výška v €</w:t>
            </w:r>
          </w:p>
        </w:tc>
      </w:tr>
      <w:tr w:rsidR="004767B3" w:rsidRPr="00DA20F5" w:rsidTr="00177D15">
        <w:tc>
          <w:tcPr>
            <w:tcW w:w="4259" w:type="dxa"/>
            <w:tcMar>
              <w:top w:w="0" w:type="dxa"/>
              <w:left w:w="0" w:type="dxa"/>
              <w:bottom w:w="0" w:type="dxa"/>
              <w:right w:w="0" w:type="dxa"/>
            </w:tcMar>
          </w:tcPr>
          <w:p w:rsidR="004767B3" w:rsidRPr="00DA20F5" w:rsidRDefault="004767B3" w:rsidP="00D36FB8">
            <w:pPr>
              <w:jc w:val="left"/>
              <w:rPr>
                <w:szCs w:val="22"/>
              </w:rPr>
            </w:pPr>
            <w:r w:rsidRPr="00DA20F5">
              <w:rPr>
                <w:szCs w:val="22"/>
              </w:rPr>
              <w:t>1. FO</w:t>
            </w:r>
            <w:r w:rsidRPr="00DA20F5">
              <w:rPr>
                <w:szCs w:val="22"/>
                <w:vertAlign w:val="superscript"/>
              </w:rPr>
              <w:t>1)</w:t>
            </w:r>
            <w:r w:rsidRPr="00DA20F5">
              <w:rPr>
                <w:szCs w:val="22"/>
              </w:rPr>
              <w:t xml:space="preserve"> poberajúca dôchodkovú dávku </w:t>
            </w:r>
          </w:p>
        </w:tc>
        <w:tc>
          <w:tcPr>
            <w:tcW w:w="2593"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19 048</w:t>
            </w:r>
          </w:p>
        </w:tc>
        <w:tc>
          <w:tcPr>
            <w:tcW w:w="0" w:type="auto"/>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83,26</w:t>
            </w:r>
          </w:p>
        </w:tc>
      </w:tr>
      <w:tr w:rsidR="004767B3" w:rsidRPr="00DA20F5" w:rsidTr="00177D15">
        <w:tc>
          <w:tcPr>
            <w:tcW w:w="4259" w:type="dxa"/>
            <w:tcMar>
              <w:top w:w="0" w:type="dxa"/>
              <w:left w:w="0" w:type="dxa"/>
              <w:bottom w:w="0" w:type="dxa"/>
              <w:right w:w="0" w:type="dxa"/>
            </w:tcMar>
          </w:tcPr>
          <w:p w:rsidR="004767B3" w:rsidRPr="00DA20F5" w:rsidRDefault="004767B3" w:rsidP="00D36FB8">
            <w:pPr>
              <w:jc w:val="left"/>
              <w:rPr>
                <w:szCs w:val="22"/>
              </w:rPr>
            </w:pPr>
            <w:r w:rsidRPr="00DA20F5">
              <w:rPr>
                <w:szCs w:val="22"/>
              </w:rPr>
              <w:t xml:space="preserve">2. FO nepoberajúca dôchodkovú dávku </w:t>
            </w:r>
          </w:p>
        </w:tc>
        <w:tc>
          <w:tcPr>
            <w:tcW w:w="2593"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35 661</w:t>
            </w:r>
          </w:p>
        </w:tc>
        <w:tc>
          <w:tcPr>
            <w:tcW w:w="0" w:type="auto"/>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165,43</w:t>
            </w:r>
          </w:p>
        </w:tc>
      </w:tr>
      <w:tr w:rsidR="004767B3" w:rsidRPr="00DA20F5" w:rsidTr="00177D15">
        <w:tc>
          <w:tcPr>
            <w:tcW w:w="4259" w:type="dxa"/>
            <w:tcMar>
              <w:top w:w="0" w:type="dxa"/>
              <w:left w:w="0" w:type="dxa"/>
              <w:bottom w:w="0" w:type="dxa"/>
              <w:right w:w="0" w:type="dxa"/>
            </w:tcMar>
          </w:tcPr>
          <w:p w:rsidR="004767B3" w:rsidRPr="00DA20F5" w:rsidRDefault="004767B3" w:rsidP="00D36FB8">
            <w:pPr>
              <w:jc w:val="left"/>
              <w:rPr>
                <w:szCs w:val="22"/>
              </w:rPr>
            </w:pPr>
            <w:r w:rsidRPr="00DA20F5">
              <w:rPr>
                <w:szCs w:val="22"/>
              </w:rPr>
              <w:t xml:space="preserve">3. FO poberajúce príspevok podľa </w:t>
            </w:r>
            <w:r w:rsidR="002E0641" w:rsidRPr="00DA20F5">
              <w:rPr>
                <w:szCs w:val="22"/>
              </w:rPr>
              <w:br/>
            </w:r>
            <w:r w:rsidRPr="00DA20F5">
              <w:rPr>
                <w:szCs w:val="22"/>
              </w:rPr>
              <w:t>prechodného</w:t>
            </w:r>
            <w:r w:rsidR="00C51124" w:rsidRPr="00DA20F5">
              <w:rPr>
                <w:szCs w:val="22"/>
              </w:rPr>
              <w:t xml:space="preserve"> </w:t>
            </w:r>
            <w:r w:rsidRPr="00DA20F5">
              <w:rPr>
                <w:szCs w:val="22"/>
              </w:rPr>
              <w:t>ustanovenia</w:t>
            </w:r>
          </w:p>
        </w:tc>
        <w:tc>
          <w:tcPr>
            <w:tcW w:w="2593"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2 428</w:t>
            </w:r>
          </w:p>
        </w:tc>
        <w:tc>
          <w:tcPr>
            <w:tcW w:w="0" w:type="auto"/>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90,21</w:t>
            </w:r>
          </w:p>
        </w:tc>
      </w:tr>
      <w:tr w:rsidR="004767B3" w:rsidRPr="00DA20F5" w:rsidTr="00177D15">
        <w:tc>
          <w:tcPr>
            <w:tcW w:w="4259" w:type="dxa"/>
            <w:tcMar>
              <w:top w:w="0" w:type="dxa"/>
              <w:left w:w="0" w:type="dxa"/>
              <w:bottom w:w="0" w:type="dxa"/>
              <w:right w:w="0" w:type="dxa"/>
            </w:tcMar>
          </w:tcPr>
          <w:p w:rsidR="004767B3" w:rsidRPr="00DA20F5" w:rsidRDefault="004767B3" w:rsidP="00D36FB8">
            <w:pPr>
              <w:rPr>
                <w:szCs w:val="22"/>
              </w:rPr>
            </w:pPr>
            <w:r w:rsidRPr="00DA20F5">
              <w:rPr>
                <w:b/>
                <w:bCs/>
                <w:szCs w:val="22"/>
              </w:rPr>
              <w:t>P</w:t>
            </w:r>
            <w:r w:rsidR="0012729C" w:rsidRPr="00DA20F5">
              <w:rPr>
                <w:b/>
                <w:bCs/>
                <w:szCs w:val="22"/>
              </w:rPr>
              <w:t>P</w:t>
            </w:r>
            <w:r w:rsidRPr="00DA20F5">
              <w:rPr>
                <w:b/>
                <w:bCs/>
                <w:szCs w:val="22"/>
              </w:rPr>
              <w:t xml:space="preserve"> na opatrovanie SPOLU</w:t>
            </w:r>
          </w:p>
        </w:tc>
        <w:tc>
          <w:tcPr>
            <w:tcW w:w="2593" w:type="dxa"/>
            <w:tcMar>
              <w:top w:w="0" w:type="dxa"/>
              <w:left w:w="0" w:type="dxa"/>
              <w:bottom w:w="0" w:type="dxa"/>
              <w:right w:w="0" w:type="dxa"/>
            </w:tcMar>
            <w:vAlign w:val="bottom"/>
          </w:tcPr>
          <w:p w:rsidR="004767B3" w:rsidRPr="00DA20F5" w:rsidRDefault="004767B3" w:rsidP="00D36FB8">
            <w:pPr>
              <w:jc w:val="center"/>
              <w:rPr>
                <w:szCs w:val="22"/>
              </w:rPr>
            </w:pPr>
            <w:r w:rsidRPr="00DA20F5">
              <w:rPr>
                <w:b/>
                <w:bCs/>
                <w:szCs w:val="22"/>
              </w:rPr>
              <w:t>57 175</w:t>
            </w:r>
          </w:p>
        </w:tc>
        <w:tc>
          <w:tcPr>
            <w:tcW w:w="0" w:type="auto"/>
            <w:tcMar>
              <w:top w:w="0" w:type="dxa"/>
              <w:left w:w="0" w:type="dxa"/>
              <w:bottom w:w="0" w:type="dxa"/>
              <w:right w:w="0" w:type="dxa"/>
            </w:tcMar>
            <w:vAlign w:val="bottom"/>
          </w:tcPr>
          <w:p w:rsidR="004767B3" w:rsidRPr="00DA20F5" w:rsidRDefault="004767B3" w:rsidP="00D36FB8">
            <w:pPr>
              <w:jc w:val="center"/>
              <w:rPr>
                <w:szCs w:val="22"/>
              </w:rPr>
            </w:pPr>
            <w:r w:rsidRPr="00DA20F5">
              <w:rPr>
                <w:b/>
                <w:bCs/>
                <w:szCs w:val="22"/>
              </w:rPr>
              <w:t>134,75</w:t>
            </w:r>
          </w:p>
        </w:tc>
      </w:tr>
    </w:tbl>
    <w:p w:rsidR="007C0D64" w:rsidRPr="00DA20F5" w:rsidRDefault="004767B3" w:rsidP="00D36FB8">
      <w:pPr>
        <w:pStyle w:val="zdroj"/>
        <w:spacing w:after="0"/>
      </w:pPr>
      <w:r w:rsidRPr="00DA20F5">
        <w:t>Zdroj</w:t>
      </w:r>
      <w:r w:rsidR="004C469D" w:rsidRPr="00DA20F5">
        <w:t>. ÚPSVR</w:t>
      </w:r>
    </w:p>
    <w:p w:rsidR="00177D15" w:rsidRPr="00DA20F5" w:rsidRDefault="00177D15" w:rsidP="002E0641">
      <w:pPr>
        <w:pStyle w:val="zdroj"/>
      </w:pPr>
      <w:r w:rsidRPr="00DA20F5">
        <w:t xml:space="preserve"> </w:t>
      </w:r>
      <w:r w:rsidR="00AC5AAB" w:rsidRPr="00DA20F5">
        <w:t xml:space="preserve"> </w:t>
      </w:r>
      <w:r w:rsidR="004767B3" w:rsidRPr="00DA20F5">
        <w:rPr>
          <w:vertAlign w:val="superscript"/>
        </w:rPr>
        <w:t xml:space="preserve">1) </w:t>
      </w:r>
      <w:r w:rsidR="004767B3" w:rsidRPr="00DA20F5">
        <w:t>FO- fyzická osoba, poberajúca peňažný príspevok na opatrovanie (poberateľ</w:t>
      </w:r>
      <w:r w:rsidR="00B55B9E" w:rsidRPr="00DA20F5">
        <w:t>)</w:t>
      </w:r>
    </w:p>
    <w:p w:rsidR="004767B3" w:rsidRPr="00DA20F5" w:rsidRDefault="004767B3" w:rsidP="00D36FB8">
      <w:pPr>
        <w:rPr>
          <w:szCs w:val="22"/>
        </w:rPr>
      </w:pPr>
      <w:r w:rsidRPr="00DA20F5">
        <w:rPr>
          <w:szCs w:val="22"/>
        </w:rPr>
        <w:t>Pri porovnávaní údajov o poskytnutých peňažných príspevkoch na kompenzáciu v roku 2011 s rokom 2010 naďalej prevažuje trend rastu počtu poberateľov a nadväzne aj nárast čerpania finančných prostriedkov na tento účel. Priemerný mesačný počet pobe</w:t>
      </w:r>
      <w:r w:rsidR="002E0641" w:rsidRPr="00DA20F5">
        <w:rPr>
          <w:szCs w:val="22"/>
        </w:rPr>
        <w:t>rateľov peňažných príspevkov na </w:t>
      </w:r>
      <w:r w:rsidRPr="00DA20F5">
        <w:rPr>
          <w:szCs w:val="22"/>
        </w:rPr>
        <w:t>kompenzáciu, ktoré sa poskytujú priamo fyzickej osobe s</w:t>
      </w:r>
      <w:r w:rsidR="007E7996" w:rsidRPr="00DA20F5">
        <w:rPr>
          <w:szCs w:val="22"/>
        </w:rPr>
        <w:t> </w:t>
      </w:r>
      <w:r w:rsidRPr="00DA20F5">
        <w:rPr>
          <w:szCs w:val="22"/>
        </w:rPr>
        <w:t>ŤZP</w:t>
      </w:r>
      <w:r w:rsidR="007E7996" w:rsidRPr="00DA20F5">
        <w:rPr>
          <w:szCs w:val="22"/>
        </w:rPr>
        <w:t>,</w:t>
      </w:r>
      <w:r w:rsidR="002E0641" w:rsidRPr="00DA20F5">
        <w:rPr>
          <w:szCs w:val="22"/>
        </w:rPr>
        <w:t xml:space="preserve"> vzrástol z počtu 156 901 </w:t>
      </w:r>
      <w:r w:rsidRPr="00DA20F5">
        <w:rPr>
          <w:szCs w:val="22"/>
        </w:rPr>
        <w:t>poberateľov v roku 2010 na 162 393 v roku 2011.</w:t>
      </w:r>
      <w:r w:rsidR="007E7996" w:rsidRPr="00DA20F5">
        <w:rPr>
          <w:szCs w:val="22"/>
        </w:rPr>
        <w:t xml:space="preserve"> </w:t>
      </w:r>
      <w:r w:rsidRPr="00DA20F5">
        <w:rPr>
          <w:szCs w:val="22"/>
        </w:rPr>
        <w:t>Pri peňažnom príspevku na opatrovanie (poskytovaný opatrovateľovi) ide o nárast priemerného mesačného počtu poberateľov z</w:t>
      </w:r>
      <w:r w:rsidR="00AC5AAB" w:rsidRPr="00DA20F5">
        <w:rPr>
          <w:szCs w:val="22"/>
        </w:rPr>
        <w:t xml:space="preserve"> </w:t>
      </w:r>
      <w:r w:rsidRPr="00DA20F5">
        <w:rPr>
          <w:szCs w:val="22"/>
        </w:rPr>
        <w:t>55 933 v roku 2010 na 57 175 v roku 2011.</w:t>
      </w:r>
      <w:r w:rsidR="007E7996" w:rsidRPr="00DA20F5">
        <w:rPr>
          <w:szCs w:val="22"/>
        </w:rPr>
        <w:t xml:space="preserve"> </w:t>
      </w:r>
      <w:r w:rsidRPr="00DA20F5">
        <w:rPr>
          <w:szCs w:val="22"/>
        </w:rPr>
        <w:t>Finančné prostriedky boli v roku 2011 čerpané v celkovej sume cca</w:t>
      </w:r>
      <w:r w:rsidR="002E0641" w:rsidRPr="00DA20F5">
        <w:rPr>
          <w:szCs w:val="22"/>
        </w:rPr>
        <w:t> 210, </w:t>
      </w:r>
      <w:r w:rsidRPr="00DA20F5">
        <w:rPr>
          <w:szCs w:val="22"/>
        </w:rPr>
        <w:t xml:space="preserve">64 mil. </w:t>
      </w:r>
      <w:r w:rsidR="007E7996" w:rsidRPr="00DA20F5">
        <w:rPr>
          <w:szCs w:val="22"/>
        </w:rPr>
        <w:t>€</w:t>
      </w:r>
      <w:r w:rsidRPr="00DA20F5">
        <w:rPr>
          <w:szCs w:val="22"/>
        </w:rPr>
        <w:t xml:space="preserve">, čo predstavuje nárast v porovnaní s rokom 2010 o cca 3,53 mil. </w:t>
      </w:r>
      <w:r w:rsidR="007E7996" w:rsidRPr="00DA20F5">
        <w:rPr>
          <w:szCs w:val="22"/>
        </w:rPr>
        <w:t>€</w:t>
      </w:r>
      <w:r w:rsidRPr="00DA20F5">
        <w:rPr>
          <w:szCs w:val="22"/>
        </w:rPr>
        <w:t>. Prehľad údajov o poskytnutých peňažných príspevkoch na kompenzáciu v roku 2010 a v roku 2011 je uvedený v</w:t>
      </w:r>
      <w:r w:rsidR="007E7996" w:rsidRPr="00DA20F5">
        <w:rPr>
          <w:szCs w:val="22"/>
        </w:rPr>
        <w:t> ďalšej tabuľke.</w:t>
      </w:r>
    </w:p>
    <w:p w:rsidR="0038489B" w:rsidRDefault="0038489B">
      <w:pPr>
        <w:jc w:val="left"/>
        <w:rPr>
          <w:b/>
          <w:bCs/>
          <w:iCs/>
          <w:lang w:eastAsia="cs-CZ"/>
        </w:rPr>
      </w:pPr>
      <w:bookmarkStart w:id="1212" w:name="_Toc325438226"/>
      <w:bookmarkStart w:id="1213" w:name="_Toc325440994"/>
      <w:bookmarkStart w:id="1214" w:name="_Toc325626807"/>
      <w:bookmarkStart w:id="1215" w:name="_Toc326217068"/>
      <w:r>
        <w:rPr>
          <w:bCs/>
          <w:iCs/>
          <w:lang w:eastAsia="cs-CZ"/>
        </w:rPr>
        <w:br w:type="page"/>
      </w:r>
    </w:p>
    <w:p w:rsidR="004767B3" w:rsidRPr="00DA20F5" w:rsidRDefault="000B3663" w:rsidP="00D36FB8">
      <w:pPr>
        <w:pStyle w:val="Nadpis7"/>
        <w:rPr>
          <w:sz w:val="27"/>
          <w:szCs w:val="27"/>
        </w:rPr>
      </w:pPr>
      <w:r w:rsidRPr="00DA20F5">
        <w:rPr>
          <w:bCs/>
          <w:iCs/>
          <w:lang w:eastAsia="cs-CZ"/>
        </w:rPr>
        <w:lastRenderedPageBreak/>
        <w:t xml:space="preserve">Tab. 3.21 </w:t>
      </w:r>
      <w:r w:rsidR="004767B3" w:rsidRPr="00DA20F5">
        <w:t>Prehľad vývoja počtu poberateľov a čerpania finančných prostriedkov na peňažné príspevky na kompenzáciu ŤZP</w:t>
      </w:r>
      <w:bookmarkEnd w:id="1212"/>
      <w:bookmarkEnd w:id="1213"/>
      <w:bookmarkEnd w:id="1214"/>
      <w:bookmarkEnd w:id="1215"/>
    </w:p>
    <w:tbl>
      <w:tblPr>
        <w:tblW w:w="908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15" w:type="dxa"/>
          <w:left w:w="15" w:type="dxa"/>
          <w:bottom w:w="15" w:type="dxa"/>
          <w:right w:w="15" w:type="dxa"/>
        </w:tblCellMar>
        <w:tblLook w:val="04A0" w:firstRow="1" w:lastRow="0" w:firstColumn="1" w:lastColumn="0" w:noHBand="0" w:noVBand="1"/>
      </w:tblPr>
      <w:tblGrid>
        <w:gridCol w:w="3407"/>
        <w:gridCol w:w="1502"/>
        <w:gridCol w:w="1478"/>
        <w:gridCol w:w="1418"/>
        <w:gridCol w:w="1275"/>
        <w:gridCol w:w="8"/>
      </w:tblGrid>
      <w:tr w:rsidR="004767B3" w:rsidRPr="00DA20F5" w:rsidTr="00C51124">
        <w:trPr>
          <w:gridAfter w:val="1"/>
          <w:wAfter w:w="8" w:type="dxa"/>
        </w:trPr>
        <w:tc>
          <w:tcPr>
            <w:tcW w:w="3407" w:type="dxa"/>
            <w:vMerge w:val="restart"/>
            <w:shd w:val="clear" w:color="auto" w:fill="4F81BD" w:themeFill="accent1"/>
            <w:tcMar>
              <w:top w:w="0" w:type="dxa"/>
              <w:left w:w="0" w:type="dxa"/>
              <w:bottom w:w="0" w:type="dxa"/>
              <w:right w:w="0" w:type="dxa"/>
            </w:tcMar>
            <w:vAlign w:val="center"/>
          </w:tcPr>
          <w:p w:rsidR="004767B3" w:rsidRPr="00DA20F5" w:rsidRDefault="004767B3" w:rsidP="00D36FB8">
            <w:pPr>
              <w:rPr>
                <w:b/>
                <w:bCs/>
                <w:color w:val="FFFFFF" w:themeColor="background1"/>
                <w:szCs w:val="22"/>
              </w:rPr>
            </w:pPr>
            <w:r w:rsidRPr="00DA20F5">
              <w:rPr>
                <w:b/>
                <w:bCs/>
                <w:color w:val="FFFFFF" w:themeColor="background1"/>
                <w:szCs w:val="22"/>
              </w:rPr>
              <w:t xml:space="preserve">Opakované peňažné príspevky </w:t>
            </w:r>
          </w:p>
          <w:p w:rsidR="004767B3" w:rsidRPr="00DA20F5" w:rsidRDefault="004767B3" w:rsidP="00D36FB8">
            <w:pPr>
              <w:rPr>
                <w:color w:val="FFFFFF" w:themeColor="background1"/>
                <w:szCs w:val="22"/>
              </w:rPr>
            </w:pPr>
            <w:r w:rsidRPr="00DA20F5">
              <w:rPr>
                <w:b/>
                <w:bCs/>
                <w:color w:val="FFFFFF" w:themeColor="background1"/>
                <w:szCs w:val="22"/>
              </w:rPr>
              <w:t>na kompenzáciu ŤZP</w:t>
            </w:r>
          </w:p>
        </w:tc>
        <w:tc>
          <w:tcPr>
            <w:tcW w:w="2980" w:type="dxa"/>
            <w:gridSpan w:val="2"/>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Cs w:val="22"/>
              </w:rPr>
            </w:pPr>
            <w:r w:rsidRPr="00DA20F5">
              <w:rPr>
                <w:b/>
                <w:bCs/>
                <w:color w:val="FFFFFF" w:themeColor="background1"/>
                <w:szCs w:val="22"/>
              </w:rPr>
              <w:t>2010</w:t>
            </w:r>
          </w:p>
        </w:tc>
        <w:tc>
          <w:tcPr>
            <w:tcW w:w="2693" w:type="dxa"/>
            <w:gridSpan w:val="2"/>
            <w:shd w:val="clear" w:color="auto" w:fill="4F81BD" w:themeFill="accent1"/>
          </w:tcPr>
          <w:p w:rsidR="004767B3" w:rsidRPr="00DA20F5" w:rsidRDefault="004767B3" w:rsidP="00D36FB8">
            <w:pPr>
              <w:jc w:val="center"/>
              <w:rPr>
                <w:b/>
                <w:color w:val="FFFFFF" w:themeColor="background1"/>
                <w:szCs w:val="22"/>
              </w:rPr>
            </w:pPr>
            <w:r w:rsidRPr="00DA20F5">
              <w:rPr>
                <w:b/>
                <w:bCs/>
                <w:color w:val="FFFFFF" w:themeColor="background1"/>
                <w:szCs w:val="22"/>
              </w:rPr>
              <w:t>2011</w:t>
            </w:r>
          </w:p>
        </w:tc>
      </w:tr>
      <w:tr w:rsidR="004767B3" w:rsidRPr="00DA20F5" w:rsidTr="00C51124">
        <w:tc>
          <w:tcPr>
            <w:tcW w:w="3407" w:type="dxa"/>
            <w:vMerge/>
            <w:shd w:val="clear" w:color="auto" w:fill="4F81BD" w:themeFill="accent1"/>
            <w:tcMar>
              <w:top w:w="0" w:type="dxa"/>
              <w:left w:w="0" w:type="dxa"/>
              <w:bottom w:w="0" w:type="dxa"/>
              <w:right w:w="0" w:type="dxa"/>
            </w:tcMar>
            <w:vAlign w:val="center"/>
          </w:tcPr>
          <w:p w:rsidR="004767B3" w:rsidRPr="00DA20F5" w:rsidRDefault="004767B3" w:rsidP="00D36FB8">
            <w:pPr>
              <w:rPr>
                <w:color w:val="FFFFFF" w:themeColor="background1"/>
                <w:szCs w:val="22"/>
              </w:rPr>
            </w:pPr>
          </w:p>
        </w:tc>
        <w:tc>
          <w:tcPr>
            <w:tcW w:w="1502"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Cs w:val="22"/>
              </w:rPr>
            </w:pPr>
            <w:r w:rsidRPr="00DA20F5">
              <w:rPr>
                <w:b/>
                <w:color w:val="FFFFFF" w:themeColor="background1"/>
                <w:szCs w:val="22"/>
              </w:rPr>
              <w:t>Priemerný mesačný počet poberateľov</w:t>
            </w:r>
          </w:p>
        </w:tc>
        <w:tc>
          <w:tcPr>
            <w:tcW w:w="1478"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Cs w:val="22"/>
              </w:rPr>
            </w:pPr>
            <w:r w:rsidRPr="00DA20F5">
              <w:rPr>
                <w:b/>
                <w:color w:val="FFFFFF" w:themeColor="background1"/>
                <w:szCs w:val="22"/>
              </w:rPr>
              <w:t xml:space="preserve">Priemerná </w:t>
            </w:r>
          </w:p>
          <w:p w:rsidR="004767B3" w:rsidRPr="00DA20F5" w:rsidRDefault="004767B3" w:rsidP="00D36FB8">
            <w:pPr>
              <w:jc w:val="center"/>
              <w:rPr>
                <w:b/>
                <w:color w:val="FFFFFF" w:themeColor="background1"/>
                <w:szCs w:val="22"/>
              </w:rPr>
            </w:pPr>
            <w:r w:rsidRPr="00DA20F5">
              <w:rPr>
                <w:b/>
                <w:color w:val="FFFFFF" w:themeColor="background1"/>
                <w:szCs w:val="22"/>
              </w:rPr>
              <w:t> mesačná výška</w:t>
            </w:r>
          </w:p>
          <w:p w:rsidR="004767B3" w:rsidRPr="00DA20F5" w:rsidRDefault="004767B3" w:rsidP="0036562F">
            <w:pPr>
              <w:jc w:val="center"/>
              <w:rPr>
                <w:b/>
                <w:color w:val="FFFFFF" w:themeColor="background1"/>
                <w:szCs w:val="22"/>
              </w:rPr>
            </w:pPr>
            <w:r w:rsidRPr="00DA20F5">
              <w:rPr>
                <w:b/>
                <w:color w:val="FFFFFF" w:themeColor="background1"/>
                <w:szCs w:val="22"/>
              </w:rPr>
              <w:t>PP</w:t>
            </w:r>
            <w:r w:rsidRPr="00DA20F5">
              <w:rPr>
                <w:b/>
                <w:color w:val="FFFFFF" w:themeColor="background1"/>
                <w:szCs w:val="22"/>
                <w:vertAlign w:val="superscript"/>
              </w:rPr>
              <w:t xml:space="preserve"> </w:t>
            </w:r>
            <w:r w:rsidRPr="00DA20F5">
              <w:rPr>
                <w:b/>
                <w:color w:val="FFFFFF" w:themeColor="background1"/>
                <w:szCs w:val="22"/>
              </w:rPr>
              <w:t>v €</w:t>
            </w:r>
          </w:p>
        </w:tc>
        <w:tc>
          <w:tcPr>
            <w:tcW w:w="1418" w:type="dxa"/>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Cs w:val="22"/>
              </w:rPr>
            </w:pPr>
            <w:r w:rsidRPr="00DA20F5">
              <w:rPr>
                <w:b/>
                <w:color w:val="FFFFFF" w:themeColor="background1"/>
                <w:szCs w:val="22"/>
              </w:rPr>
              <w:t>Priemerný mesačný</w:t>
            </w:r>
            <w:r w:rsidR="00F61FFA" w:rsidRPr="00DA20F5">
              <w:rPr>
                <w:b/>
                <w:color w:val="FFFFFF" w:themeColor="background1"/>
                <w:szCs w:val="22"/>
              </w:rPr>
              <w:t xml:space="preserve"> </w:t>
            </w:r>
            <w:r w:rsidRPr="00DA20F5">
              <w:rPr>
                <w:b/>
                <w:color w:val="FFFFFF" w:themeColor="background1"/>
                <w:szCs w:val="22"/>
              </w:rPr>
              <w:t>počet poberateľov</w:t>
            </w:r>
          </w:p>
        </w:tc>
        <w:tc>
          <w:tcPr>
            <w:tcW w:w="1283" w:type="dxa"/>
            <w:gridSpan w:val="2"/>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Cs w:val="22"/>
              </w:rPr>
            </w:pPr>
            <w:r w:rsidRPr="00DA20F5">
              <w:rPr>
                <w:b/>
                <w:color w:val="FFFFFF" w:themeColor="background1"/>
                <w:szCs w:val="22"/>
              </w:rPr>
              <w:t>Priemerná</w:t>
            </w:r>
          </w:p>
          <w:p w:rsidR="004767B3" w:rsidRPr="00DA20F5" w:rsidRDefault="004767B3" w:rsidP="00D36FB8">
            <w:pPr>
              <w:jc w:val="center"/>
              <w:rPr>
                <w:b/>
                <w:color w:val="FFFFFF" w:themeColor="background1"/>
                <w:szCs w:val="22"/>
              </w:rPr>
            </w:pPr>
            <w:r w:rsidRPr="00DA20F5">
              <w:rPr>
                <w:b/>
                <w:color w:val="FFFFFF" w:themeColor="background1"/>
                <w:szCs w:val="22"/>
              </w:rPr>
              <w:t>mesačná výška</w:t>
            </w:r>
            <w:r w:rsidR="00F61FFA" w:rsidRPr="00DA20F5">
              <w:rPr>
                <w:b/>
                <w:color w:val="FFFFFF" w:themeColor="background1"/>
                <w:szCs w:val="22"/>
              </w:rPr>
              <w:t xml:space="preserve"> </w:t>
            </w:r>
            <w:r w:rsidRPr="00DA20F5">
              <w:rPr>
                <w:b/>
                <w:color w:val="FFFFFF" w:themeColor="background1"/>
                <w:szCs w:val="22"/>
              </w:rPr>
              <w:t>PP v €</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36562F">
            <w:pPr>
              <w:jc w:val="left"/>
              <w:rPr>
                <w:szCs w:val="22"/>
              </w:rPr>
            </w:pPr>
            <w:r w:rsidRPr="00DA20F5">
              <w:rPr>
                <w:szCs w:val="22"/>
              </w:rPr>
              <w:t>PP na osobnú asistenciu</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6 945</w:t>
            </w:r>
          </w:p>
        </w:tc>
        <w:tc>
          <w:tcPr>
            <w:tcW w:w="1478" w:type="dxa"/>
            <w:tcMar>
              <w:top w:w="0" w:type="dxa"/>
              <w:left w:w="0" w:type="dxa"/>
              <w:bottom w:w="0" w:type="dxa"/>
              <w:right w:w="0" w:type="dxa"/>
            </w:tcMar>
          </w:tcPr>
          <w:p w:rsidR="004767B3" w:rsidRPr="00DA20F5" w:rsidRDefault="004767B3" w:rsidP="00D36FB8">
            <w:pPr>
              <w:jc w:val="center"/>
              <w:rPr>
                <w:szCs w:val="22"/>
              </w:rPr>
            </w:pPr>
            <w:r w:rsidRPr="00DA20F5">
              <w:rPr>
                <w:szCs w:val="22"/>
              </w:rPr>
              <w:br/>
              <w:t>344,22</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7 416</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br/>
              <w:t>352,77</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36FB8">
            <w:pPr>
              <w:jc w:val="left"/>
              <w:rPr>
                <w:szCs w:val="22"/>
              </w:rPr>
            </w:pPr>
            <w:r w:rsidRPr="00DA20F5">
              <w:rPr>
                <w:szCs w:val="22"/>
              </w:rPr>
              <w:t>PP na prepravu</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2 581</w:t>
            </w:r>
          </w:p>
        </w:tc>
        <w:tc>
          <w:tcPr>
            <w:tcW w:w="1478" w:type="dxa"/>
            <w:tcMar>
              <w:top w:w="0" w:type="dxa"/>
              <w:left w:w="0" w:type="dxa"/>
              <w:bottom w:w="0" w:type="dxa"/>
              <w:right w:w="0" w:type="dxa"/>
            </w:tcMar>
          </w:tcPr>
          <w:p w:rsidR="004767B3" w:rsidRPr="00DA20F5" w:rsidRDefault="004767B3" w:rsidP="00D36FB8">
            <w:pPr>
              <w:jc w:val="center"/>
              <w:rPr>
                <w:szCs w:val="22"/>
              </w:rPr>
            </w:pPr>
            <w:r w:rsidRPr="00DA20F5">
              <w:rPr>
                <w:szCs w:val="22"/>
              </w:rPr>
              <w:t>83,53</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2 659</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t>84,21</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36FB8">
            <w:pPr>
              <w:jc w:val="left"/>
              <w:rPr>
                <w:szCs w:val="22"/>
              </w:rPr>
            </w:pPr>
            <w:r w:rsidRPr="00DA20F5">
              <w:rPr>
                <w:szCs w:val="22"/>
              </w:rPr>
              <w:t>PP na kompenzáciu</w:t>
            </w:r>
            <w:r w:rsidR="00AC5AAB" w:rsidRPr="00DA20F5">
              <w:rPr>
                <w:szCs w:val="22"/>
              </w:rPr>
              <w:t xml:space="preserve"> </w:t>
            </w:r>
            <w:r w:rsidRPr="00DA20F5">
              <w:rPr>
                <w:szCs w:val="22"/>
              </w:rPr>
              <w:t>zvýšených</w:t>
            </w:r>
            <w:r w:rsidR="00AC5AAB" w:rsidRPr="00DA20F5">
              <w:rPr>
                <w:szCs w:val="22"/>
              </w:rPr>
              <w:t xml:space="preserve"> </w:t>
            </w:r>
            <w:r w:rsidRPr="00DA20F5">
              <w:rPr>
                <w:szCs w:val="22"/>
              </w:rPr>
              <w:t>výdavkov:</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153 841</w:t>
            </w:r>
          </w:p>
        </w:tc>
        <w:tc>
          <w:tcPr>
            <w:tcW w:w="1478" w:type="dxa"/>
            <w:tcMar>
              <w:top w:w="0" w:type="dxa"/>
              <w:left w:w="0" w:type="dxa"/>
              <w:bottom w:w="0" w:type="dxa"/>
              <w:right w:w="0" w:type="dxa"/>
            </w:tcMar>
          </w:tcPr>
          <w:p w:rsidR="004767B3" w:rsidRPr="00DA20F5" w:rsidRDefault="004767B3" w:rsidP="00D36FB8">
            <w:pPr>
              <w:jc w:val="center"/>
              <w:rPr>
                <w:szCs w:val="22"/>
              </w:rPr>
            </w:pPr>
            <w:r w:rsidRPr="00DA20F5">
              <w:rPr>
                <w:szCs w:val="22"/>
              </w:rPr>
              <w:br/>
              <w:t>28,41</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159 262</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br/>
              <w:t>29,06</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5"/>
              </w:numPr>
              <w:jc w:val="left"/>
              <w:rPr>
                <w:i/>
                <w:szCs w:val="22"/>
              </w:rPr>
            </w:pPr>
            <w:r w:rsidRPr="00DA20F5">
              <w:rPr>
                <w:i/>
                <w:szCs w:val="22"/>
              </w:rPr>
              <w:t>na diétne stravovanie</w:t>
            </w:r>
          </w:p>
        </w:tc>
        <w:tc>
          <w:tcPr>
            <w:tcW w:w="1502" w:type="dxa"/>
            <w:tcMar>
              <w:top w:w="0" w:type="dxa"/>
              <w:left w:w="0" w:type="dxa"/>
              <w:bottom w:w="0" w:type="dxa"/>
              <w:right w:w="0" w:type="dxa"/>
            </w:tcMar>
            <w:vAlign w:val="bottom"/>
          </w:tcPr>
          <w:p w:rsidR="004767B3" w:rsidRPr="00DA20F5" w:rsidRDefault="004767B3" w:rsidP="00D36FB8">
            <w:pPr>
              <w:jc w:val="center"/>
              <w:rPr>
                <w:i/>
                <w:szCs w:val="22"/>
              </w:rPr>
            </w:pPr>
            <w:r w:rsidRPr="00DA20F5">
              <w:rPr>
                <w:i/>
                <w:szCs w:val="22"/>
              </w:rPr>
              <w:t>48 463</w:t>
            </w:r>
          </w:p>
        </w:tc>
        <w:tc>
          <w:tcPr>
            <w:tcW w:w="1478" w:type="dxa"/>
            <w:tcMar>
              <w:top w:w="0" w:type="dxa"/>
              <w:left w:w="0" w:type="dxa"/>
              <w:bottom w:w="0" w:type="dxa"/>
              <w:right w:w="0" w:type="dxa"/>
            </w:tcMar>
          </w:tcPr>
          <w:p w:rsidR="004767B3" w:rsidRPr="00DA20F5" w:rsidRDefault="004767B3" w:rsidP="00D36FB8">
            <w:pPr>
              <w:jc w:val="center"/>
              <w:rPr>
                <w:i/>
                <w:szCs w:val="22"/>
              </w:rPr>
            </w:pPr>
            <w:r w:rsidRPr="00DA20F5">
              <w:rPr>
                <w:i/>
                <w:szCs w:val="22"/>
              </w:rPr>
              <w:br/>
              <w:t>19,56</w:t>
            </w:r>
          </w:p>
        </w:tc>
        <w:tc>
          <w:tcPr>
            <w:tcW w:w="1418" w:type="dxa"/>
            <w:tcMar>
              <w:top w:w="0" w:type="dxa"/>
              <w:left w:w="0" w:type="dxa"/>
              <w:bottom w:w="0" w:type="dxa"/>
              <w:right w:w="0" w:type="dxa"/>
            </w:tcMar>
            <w:vAlign w:val="bottom"/>
          </w:tcPr>
          <w:p w:rsidR="004767B3" w:rsidRPr="00DA20F5" w:rsidRDefault="004767B3" w:rsidP="00D36FB8">
            <w:pPr>
              <w:jc w:val="center"/>
              <w:rPr>
                <w:i/>
                <w:szCs w:val="22"/>
              </w:rPr>
            </w:pPr>
            <w:r w:rsidRPr="00DA20F5">
              <w:rPr>
                <w:i/>
                <w:szCs w:val="22"/>
              </w:rPr>
              <w:t>51 125</w:t>
            </w:r>
          </w:p>
        </w:tc>
        <w:tc>
          <w:tcPr>
            <w:tcW w:w="1283" w:type="dxa"/>
            <w:gridSpan w:val="2"/>
            <w:tcMar>
              <w:top w:w="0" w:type="dxa"/>
              <w:left w:w="0" w:type="dxa"/>
              <w:bottom w:w="0" w:type="dxa"/>
              <w:right w:w="0" w:type="dxa"/>
            </w:tcMar>
          </w:tcPr>
          <w:p w:rsidR="004767B3" w:rsidRPr="00DA20F5" w:rsidRDefault="004767B3" w:rsidP="00D36FB8">
            <w:pPr>
              <w:jc w:val="center"/>
              <w:rPr>
                <w:i/>
                <w:szCs w:val="22"/>
              </w:rPr>
            </w:pPr>
            <w:r w:rsidRPr="00DA20F5">
              <w:rPr>
                <w:i/>
                <w:szCs w:val="22"/>
              </w:rPr>
              <w:br/>
              <w:t>20,08</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5"/>
              </w:numPr>
              <w:jc w:val="left"/>
              <w:rPr>
                <w:i/>
                <w:szCs w:val="22"/>
              </w:rPr>
            </w:pPr>
            <w:r w:rsidRPr="00DA20F5">
              <w:rPr>
                <w:i/>
                <w:szCs w:val="22"/>
              </w:rPr>
              <w:t xml:space="preserve">hygienu alebo opotrebovanie </w:t>
            </w:r>
          </w:p>
          <w:p w:rsidR="004767B3" w:rsidRPr="00DA20F5" w:rsidRDefault="004767B3" w:rsidP="00D36FB8">
            <w:pPr>
              <w:pStyle w:val="Odsekzoznamu"/>
              <w:ind w:left="720"/>
              <w:jc w:val="left"/>
              <w:rPr>
                <w:i/>
                <w:szCs w:val="22"/>
              </w:rPr>
            </w:pPr>
            <w:r w:rsidRPr="00DA20F5">
              <w:rPr>
                <w:i/>
                <w:szCs w:val="22"/>
              </w:rPr>
              <w:t>šatstva, bielizne, obuvi</w:t>
            </w:r>
          </w:p>
          <w:p w:rsidR="004767B3" w:rsidRPr="00DA20F5" w:rsidRDefault="004767B3" w:rsidP="00D36FB8">
            <w:pPr>
              <w:pStyle w:val="Odsekzoznamu"/>
              <w:ind w:left="720"/>
              <w:jc w:val="left"/>
              <w:rPr>
                <w:i/>
                <w:szCs w:val="22"/>
              </w:rPr>
            </w:pPr>
            <w:r w:rsidRPr="00DA20F5">
              <w:rPr>
                <w:i/>
                <w:szCs w:val="22"/>
              </w:rPr>
              <w:t>a bytového zariadenia</w:t>
            </w:r>
          </w:p>
        </w:tc>
        <w:tc>
          <w:tcPr>
            <w:tcW w:w="1502" w:type="dxa"/>
            <w:tcMar>
              <w:top w:w="0" w:type="dxa"/>
              <w:left w:w="0" w:type="dxa"/>
              <w:bottom w:w="0" w:type="dxa"/>
              <w:right w:w="0" w:type="dxa"/>
            </w:tcMar>
            <w:vAlign w:val="bottom"/>
          </w:tcPr>
          <w:p w:rsidR="004767B3" w:rsidRPr="00DA20F5" w:rsidRDefault="004767B3" w:rsidP="00D36FB8">
            <w:pPr>
              <w:jc w:val="center"/>
              <w:rPr>
                <w:i/>
                <w:szCs w:val="22"/>
              </w:rPr>
            </w:pPr>
          </w:p>
          <w:p w:rsidR="004767B3" w:rsidRPr="00DA20F5" w:rsidRDefault="004767B3" w:rsidP="00D36FB8">
            <w:pPr>
              <w:jc w:val="center"/>
              <w:rPr>
                <w:i/>
                <w:szCs w:val="22"/>
              </w:rPr>
            </w:pPr>
          </w:p>
          <w:p w:rsidR="004767B3" w:rsidRPr="00DA20F5" w:rsidRDefault="004767B3" w:rsidP="00D36FB8">
            <w:pPr>
              <w:jc w:val="center"/>
              <w:rPr>
                <w:i/>
                <w:szCs w:val="22"/>
              </w:rPr>
            </w:pPr>
            <w:r w:rsidRPr="00DA20F5">
              <w:rPr>
                <w:i/>
                <w:szCs w:val="22"/>
              </w:rPr>
              <w:t>90 163</w:t>
            </w:r>
          </w:p>
        </w:tc>
        <w:tc>
          <w:tcPr>
            <w:tcW w:w="1478" w:type="dxa"/>
            <w:tcMar>
              <w:top w:w="0" w:type="dxa"/>
              <w:left w:w="0" w:type="dxa"/>
              <w:bottom w:w="0" w:type="dxa"/>
              <w:right w:w="0" w:type="dxa"/>
            </w:tcMar>
          </w:tcPr>
          <w:p w:rsidR="004767B3" w:rsidRPr="00DA20F5" w:rsidRDefault="004767B3" w:rsidP="00D36FB8">
            <w:pPr>
              <w:jc w:val="center"/>
              <w:rPr>
                <w:i/>
                <w:szCs w:val="22"/>
              </w:rPr>
            </w:pPr>
            <w:r w:rsidRPr="00DA20F5">
              <w:rPr>
                <w:i/>
                <w:szCs w:val="22"/>
              </w:rPr>
              <w:br/>
            </w:r>
            <w:r w:rsidRPr="00DA20F5">
              <w:rPr>
                <w:i/>
                <w:szCs w:val="22"/>
              </w:rPr>
              <w:br/>
              <w:t>17,20</w:t>
            </w:r>
          </w:p>
        </w:tc>
        <w:tc>
          <w:tcPr>
            <w:tcW w:w="1418" w:type="dxa"/>
            <w:tcMar>
              <w:top w:w="0" w:type="dxa"/>
              <w:left w:w="0" w:type="dxa"/>
              <w:bottom w:w="0" w:type="dxa"/>
              <w:right w:w="0" w:type="dxa"/>
            </w:tcMar>
            <w:vAlign w:val="bottom"/>
          </w:tcPr>
          <w:p w:rsidR="004767B3" w:rsidRPr="00DA20F5" w:rsidRDefault="004767B3" w:rsidP="00D36FB8">
            <w:pPr>
              <w:jc w:val="center"/>
              <w:rPr>
                <w:i/>
                <w:szCs w:val="22"/>
              </w:rPr>
            </w:pPr>
          </w:p>
          <w:p w:rsidR="004767B3" w:rsidRPr="00DA20F5" w:rsidRDefault="004767B3" w:rsidP="00D36FB8">
            <w:pPr>
              <w:jc w:val="center"/>
              <w:rPr>
                <w:i/>
                <w:szCs w:val="22"/>
              </w:rPr>
            </w:pPr>
          </w:p>
          <w:p w:rsidR="004767B3" w:rsidRPr="00DA20F5" w:rsidRDefault="004767B3" w:rsidP="00D36FB8">
            <w:pPr>
              <w:jc w:val="center"/>
              <w:rPr>
                <w:i/>
                <w:szCs w:val="22"/>
              </w:rPr>
            </w:pPr>
            <w:r w:rsidRPr="00DA20F5">
              <w:rPr>
                <w:i/>
                <w:szCs w:val="22"/>
              </w:rPr>
              <w:t>91 949</w:t>
            </w:r>
          </w:p>
        </w:tc>
        <w:tc>
          <w:tcPr>
            <w:tcW w:w="1283" w:type="dxa"/>
            <w:gridSpan w:val="2"/>
            <w:tcMar>
              <w:top w:w="0" w:type="dxa"/>
              <w:left w:w="0" w:type="dxa"/>
              <w:bottom w:w="0" w:type="dxa"/>
              <w:right w:w="0" w:type="dxa"/>
            </w:tcMar>
          </w:tcPr>
          <w:p w:rsidR="004767B3" w:rsidRPr="00DA20F5" w:rsidRDefault="004767B3" w:rsidP="00D36FB8">
            <w:pPr>
              <w:jc w:val="center"/>
              <w:rPr>
                <w:i/>
                <w:szCs w:val="22"/>
              </w:rPr>
            </w:pPr>
            <w:r w:rsidRPr="00DA20F5">
              <w:rPr>
                <w:i/>
                <w:szCs w:val="22"/>
              </w:rPr>
              <w:br/>
            </w:r>
            <w:r w:rsidRPr="00DA20F5">
              <w:rPr>
                <w:i/>
                <w:szCs w:val="22"/>
              </w:rPr>
              <w:br/>
              <w:t>17,38</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5"/>
              </w:numPr>
              <w:jc w:val="left"/>
              <w:rPr>
                <w:i/>
                <w:szCs w:val="22"/>
              </w:rPr>
            </w:pPr>
            <w:r w:rsidRPr="00DA20F5">
              <w:rPr>
                <w:i/>
                <w:szCs w:val="22"/>
              </w:rPr>
              <w:t>prevádzku osobného motorového</w:t>
            </w:r>
            <w:r w:rsidR="00AC5AAB" w:rsidRPr="00DA20F5">
              <w:rPr>
                <w:i/>
                <w:szCs w:val="22"/>
              </w:rPr>
              <w:t xml:space="preserve"> </w:t>
            </w:r>
            <w:r w:rsidRPr="00DA20F5">
              <w:rPr>
                <w:i/>
                <w:szCs w:val="22"/>
              </w:rPr>
              <w:t>vozidla</w:t>
            </w:r>
          </w:p>
        </w:tc>
        <w:tc>
          <w:tcPr>
            <w:tcW w:w="1502" w:type="dxa"/>
            <w:tcMar>
              <w:top w:w="0" w:type="dxa"/>
              <w:left w:w="0" w:type="dxa"/>
              <w:bottom w:w="0" w:type="dxa"/>
              <w:right w:w="0" w:type="dxa"/>
            </w:tcMar>
            <w:vAlign w:val="bottom"/>
          </w:tcPr>
          <w:p w:rsidR="004767B3" w:rsidRPr="00DA20F5" w:rsidRDefault="004767B3" w:rsidP="00D36FB8">
            <w:pPr>
              <w:jc w:val="center"/>
              <w:rPr>
                <w:i/>
                <w:szCs w:val="22"/>
              </w:rPr>
            </w:pPr>
            <w:r w:rsidRPr="00DA20F5">
              <w:rPr>
                <w:i/>
                <w:szCs w:val="22"/>
              </w:rPr>
              <w:t>60 422</w:t>
            </w:r>
          </w:p>
        </w:tc>
        <w:tc>
          <w:tcPr>
            <w:tcW w:w="1478" w:type="dxa"/>
            <w:tcMar>
              <w:top w:w="0" w:type="dxa"/>
              <w:left w:w="0" w:type="dxa"/>
              <w:bottom w:w="0" w:type="dxa"/>
              <w:right w:w="0" w:type="dxa"/>
            </w:tcMar>
          </w:tcPr>
          <w:p w:rsidR="004767B3" w:rsidRPr="00DA20F5" w:rsidRDefault="004767B3" w:rsidP="00D36FB8">
            <w:pPr>
              <w:jc w:val="center"/>
              <w:rPr>
                <w:i/>
                <w:szCs w:val="22"/>
              </w:rPr>
            </w:pPr>
            <w:r w:rsidRPr="00DA20F5">
              <w:rPr>
                <w:i/>
                <w:szCs w:val="22"/>
              </w:rPr>
              <w:br/>
              <w:t>30,94</w:t>
            </w:r>
          </w:p>
        </w:tc>
        <w:tc>
          <w:tcPr>
            <w:tcW w:w="1418" w:type="dxa"/>
            <w:tcMar>
              <w:top w:w="0" w:type="dxa"/>
              <w:left w:w="0" w:type="dxa"/>
              <w:bottom w:w="0" w:type="dxa"/>
              <w:right w:w="0" w:type="dxa"/>
            </w:tcMar>
            <w:vAlign w:val="bottom"/>
          </w:tcPr>
          <w:p w:rsidR="004767B3" w:rsidRPr="00DA20F5" w:rsidRDefault="004767B3" w:rsidP="00D36FB8">
            <w:pPr>
              <w:jc w:val="center"/>
              <w:rPr>
                <w:i/>
                <w:szCs w:val="22"/>
              </w:rPr>
            </w:pPr>
            <w:r w:rsidRPr="00DA20F5">
              <w:rPr>
                <w:i/>
                <w:szCs w:val="22"/>
              </w:rPr>
              <w:t>63 965</w:t>
            </w:r>
          </w:p>
        </w:tc>
        <w:tc>
          <w:tcPr>
            <w:tcW w:w="1283" w:type="dxa"/>
            <w:gridSpan w:val="2"/>
            <w:tcMar>
              <w:top w:w="0" w:type="dxa"/>
              <w:left w:w="0" w:type="dxa"/>
              <w:bottom w:w="0" w:type="dxa"/>
              <w:right w:w="0" w:type="dxa"/>
            </w:tcMar>
          </w:tcPr>
          <w:p w:rsidR="004767B3" w:rsidRPr="00DA20F5" w:rsidRDefault="004767B3" w:rsidP="00D36FB8">
            <w:pPr>
              <w:jc w:val="center"/>
              <w:rPr>
                <w:i/>
                <w:szCs w:val="22"/>
              </w:rPr>
            </w:pPr>
            <w:r w:rsidRPr="00DA20F5">
              <w:rPr>
                <w:i/>
                <w:szCs w:val="22"/>
              </w:rPr>
              <w:br/>
              <w:t>31,27</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5"/>
              </w:numPr>
              <w:jc w:val="left"/>
              <w:rPr>
                <w:i/>
                <w:szCs w:val="22"/>
              </w:rPr>
            </w:pPr>
            <w:r w:rsidRPr="00DA20F5">
              <w:rPr>
                <w:i/>
                <w:szCs w:val="22"/>
              </w:rPr>
              <w:t>starostlivosť o psa so špeciálnym výcvikom</w:t>
            </w:r>
          </w:p>
        </w:tc>
        <w:tc>
          <w:tcPr>
            <w:tcW w:w="1502" w:type="dxa"/>
            <w:tcMar>
              <w:top w:w="0" w:type="dxa"/>
              <w:left w:w="0" w:type="dxa"/>
              <w:bottom w:w="0" w:type="dxa"/>
              <w:right w:w="0" w:type="dxa"/>
            </w:tcMar>
            <w:vAlign w:val="bottom"/>
          </w:tcPr>
          <w:p w:rsidR="004767B3" w:rsidRPr="00DA20F5" w:rsidRDefault="004767B3" w:rsidP="00D36FB8">
            <w:pPr>
              <w:jc w:val="center"/>
              <w:rPr>
                <w:i/>
                <w:szCs w:val="22"/>
              </w:rPr>
            </w:pPr>
            <w:r w:rsidRPr="00DA20F5">
              <w:rPr>
                <w:i/>
                <w:szCs w:val="22"/>
              </w:rPr>
              <w:t>71</w:t>
            </w:r>
          </w:p>
        </w:tc>
        <w:tc>
          <w:tcPr>
            <w:tcW w:w="1478" w:type="dxa"/>
            <w:tcMar>
              <w:top w:w="0" w:type="dxa"/>
              <w:left w:w="0" w:type="dxa"/>
              <w:bottom w:w="0" w:type="dxa"/>
              <w:right w:w="0" w:type="dxa"/>
            </w:tcMar>
          </w:tcPr>
          <w:p w:rsidR="004767B3" w:rsidRPr="00DA20F5" w:rsidRDefault="004767B3" w:rsidP="00D36FB8">
            <w:pPr>
              <w:jc w:val="center"/>
              <w:rPr>
                <w:i/>
                <w:szCs w:val="22"/>
              </w:rPr>
            </w:pPr>
            <w:r w:rsidRPr="00DA20F5">
              <w:rPr>
                <w:i/>
                <w:szCs w:val="22"/>
              </w:rPr>
              <w:br/>
              <w:t>41,27</w:t>
            </w:r>
          </w:p>
        </w:tc>
        <w:tc>
          <w:tcPr>
            <w:tcW w:w="1418" w:type="dxa"/>
            <w:tcMar>
              <w:top w:w="0" w:type="dxa"/>
              <w:left w:w="0" w:type="dxa"/>
              <w:bottom w:w="0" w:type="dxa"/>
              <w:right w:w="0" w:type="dxa"/>
            </w:tcMar>
            <w:vAlign w:val="bottom"/>
          </w:tcPr>
          <w:p w:rsidR="004767B3" w:rsidRPr="00DA20F5" w:rsidRDefault="004767B3" w:rsidP="00D36FB8">
            <w:pPr>
              <w:jc w:val="center"/>
              <w:rPr>
                <w:i/>
                <w:szCs w:val="22"/>
              </w:rPr>
            </w:pPr>
            <w:r w:rsidRPr="00DA20F5">
              <w:rPr>
                <w:i/>
                <w:szCs w:val="22"/>
              </w:rPr>
              <w:t>69</w:t>
            </w:r>
          </w:p>
        </w:tc>
        <w:tc>
          <w:tcPr>
            <w:tcW w:w="1283" w:type="dxa"/>
            <w:gridSpan w:val="2"/>
            <w:tcMar>
              <w:top w:w="0" w:type="dxa"/>
              <w:left w:w="0" w:type="dxa"/>
              <w:bottom w:w="0" w:type="dxa"/>
              <w:right w:w="0" w:type="dxa"/>
            </w:tcMar>
          </w:tcPr>
          <w:p w:rsidR="004767B3" w:rsidRPr="00DA20F5" w:rsidRDefault="004767B3" w:rsidP="00D36FB8">
            <w:pPr>
              <w:jc w:val="center"/>
              <w:rPr>
                <w:i/>
                <w:szCs w:val="22"/>
              </w:rPr>
            </w:pPr>
            <w:r w:rsidRPr="00DA20F5">
              <w:rPr>
                <w:i/>
                <w:szCs w:val="22"/>
              </w:rPr>
              <w:br/>
              <w:t>41,70</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36FB8">
            <w:pPr>
              <w:rPr>
                <w:szCs w:val="22"/>
              </w:rPr>
            </w:pPr>
            <w:r w:rsidRPr="00DA20F5">
              <w:rPr>
                <w:szCs w:val="22"/>
              </w:rPr>
              <w:t>PP na opatrovanie</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br/>
              <w:t>55 933</w:t>
            </w:r>
          </w:p>
        </w:tc>
        <w:tc>
          <w:tcPr>
            <w:tcW w:w="1478" w:type="dxa"/>
            <w:tcMar>
              <w:top w:w="0" w:type="dxa"/>
              <w:left w:w="0" w:type="dxa"/>
              <w:bottom w:w="0" w:type="dxa"/>
              <w:right w:w="0" w:type="dxa"/>
            </w:tcMar>
          </w:tcPr>
          <w:p w:rsidR="004767B3" w:rsidRPr="00DA20F5" w:rsidRDefault="004767B3" w:rsidP="00D36FB8">
            <w:pPr>
              <w:jc w:val="center"/>
              <w:rPr>
                <w:szCs w:val="22"/>
              </w:rPr>
            </w:pPr>
            <w:r w:rsidRPr="00DA20F5">
              <w:rPr>
                <w:szCs w:val="22"/>
              </w:rPr>
              <w:br/>
              <w:t>137,65</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57 175</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br/>
              <w:t>134,75</w:t>
            </w:r>
          </w:p>
        </w:tc>
      </w:tr>
      <w:tr w:rsidR="00F61FFA" w:rsidRPr="00DA20F5" w:rsidTr="00C51124">
        <w:tc>
          <w:tcPr>
            <w:tcW w:w="3407" w:type="dxa"/>
            <w:shd w:val="clear" w:color="auto" w:fill="4F81BD" w:themeFill="accent1"/>
            <w:tcMar>
              <w:top w:w="0" w:type="dxa"/>
              <w:left w:w="0" w:type="dxa"/>
              <w:bottom w:w="0" w:type="dxa"/>
              <w:right w:w="0" w:type="dxa"/>
            </w:tcMar>
            <w:vAlign w:val="center"/>
          </w:tcPr>
          <w:p w:rsidR="00F61FFA" w:rsidRPr="00DA20F5" w:rsidRDefault="00F61FFA" w:rsidP="00D36FB8">
            <w:pPr>
              <w:rPr>
                <w:b/>
                <w:bCs/>
                <w:color w:val="FFFFFF" w:themeColor="background1"/>
                <w:szCs w:val="22"/>
              </w:rPr>
            </w:pPr>
            <w:r w:rsidRPr="00DA20F5">
              <w:rPr>
                <w:b/>
                <w:bCs/>
                <w:color w:val="FFFFFF" w:themeColor="background1"/>
                <w:szCs w:val="22"/>
              </w:rPr>
              <w:t xml:space="preserve">Jednorazové peňažné príspevky </w:t>
            </w:r>
          </w:p>
          <w:p w:rsidR="00F61FFA" w:rsidRPr="00DA20F5" w:rsidRDefault="00F61FFA" w:rsidP="00D36FB8">
            <w:pPr>
              <w:rPr>
                <w:color w:val="FFFFFF" w:themeColor="background1"/>
                <w:szCs w:val="22"/>
              </w:rPr>
            </w:pPr>
            <w:r w:rsidRPr="00DA20F5">
              <w:rPr>
                <w:b/>
                <w:bCs/>
                <w:color w:val="FFFFFF" w:themeColor="background1"/>
                <w:szCs w:val="22"/>
              </w:rPr>
              <w:t>na kompenzáciu ŤZP</w:t>
            </w:r>
          </w:p>
        </w:tc>
        <w:tc>
          <w:tcPr>
            <w:tcW w:w="1502" w:type="dxa"/>
            <w:shd w:val="clear" w:color="auto" w:fill="4F81BD" w:themeFill="accent1"/>
            <w:tcMar>
              <w:top w:w="0" w:type="dxa"/>
              <w:left w:w="0" w:type="dxa"/>
              <w:bottom w:w="0" w:type="dxa"/>
              <w:right w:w="0" w:type="dxa"/>
            </w:tcMar>
          </w:tcPr>
          <w:p w:rsidR="00F61FFA" w:rsidRPr="00DA20F5" w:rsidRDefault="00F61FFA" w:rsidP="00D36FB8">
            <w:pPr>
              <w:jc w:val="center"/>
              <w:rPr>
                <w:b/>
                <w:color w:val="FFFFFF" w:themeColor="background1"/>
                <w:szCs w:val="22"/>
              </w:rPr>
            </w:pPr>
            <w:r w:rsidRPr="00DA20F5">
              <w:rPr>
                <w:b/>
                <w:color w:val="FFFFFF" w:themeColor="background1"/>
                <w:szCs w:val="22"/>
              </w:rPr>
              <w:t>Priemerný mesačný počet poberateľov</w:t>
            </w:r>
          </w:p>
        </w:tc>
        <w:tc>
          <w:tcPr>
            <w:tcW w:w="1478" w:type="dxa"/>
            <w:shd w:val="clear" w:color="auto" w:fill="4F81BD" w:themeFill="accent1"/>
            <w:tcMar>
              <w:top w:w="0" w:type="dxa"/>
              <w:left w:w="0" w:type="dxa"/>
              <w:bottom w:w="0" w:type="dxa"/>
              <w:right w:w="0" w:type="dxa"/>
            </w:tcMar>
          </w:tcPr>
          <w:p w:rsidR="00F61FFA" w:rsidRPr="00DA20F5" w:rsidRDefault="00F61FFA" w:rsidP="00D36FB8">
            <w:pPr>
              <w:jc w:val="center"/>
              <w:rPr>
                <w:b/>
                <w:color w:val="FFFFFF" w:themeColor="background1"/>
                <w:szCs w:val="22"/>
              </w:rPr>
            </w:pPr>
            <w:r w:rsidRPr="00DA20F5">
              <w:rPr>
                <w:b/>
                <w:color w:val="FFFFFF" w:themeColor="background1"/>
                <w:szCs w:val="22"/>
              </w:rPr>
              <w:t xml:space="preserve">Priemerná </w:t>
            </w:r>
          </w:p>
          <w:p w:rsidR="00F61FFA" w:rsidRPr="00DA20F5" w:rsidRDefault="00F61FFA" w:rsidP="00D36FB8">
            <w:pPr>
              <w:jc w:val="center"/>
              <w:rPr>
                <w:b/>
                <w:color w:val="FFFFFF" w:themeColor="background1"/>
                <w:szCs w:val="22"/>
              </w:rPr>
            </w:pPr>
            <w:r w:rsidRPr="00DA20F5">
              <w:rPr>
                <w:b/>
                <w:color w:val="FFFFFF" w:themeColor="background1"/>
                <w:szCs w:val="22"/>
              </w:rPr>
              <w:t> mesačná výška</w:t>
            </w:r>
          </w:p>
          <w:p w:rsidR="00F61FFA" w:rsidRPr="00DA20F5" w:rsidRDefault="00F61FFA" w:rsidP="00D36FB8">
            <w:pPr>
              <w:jc w:val="center"/>
              <w:rPr>
                <w:b/>
                <w:color w:val="FFFFFF" w:themeColor="background1"/>
                <w:szCs w:val="22"/>
              </w:rPr>
            </w:pPr>
            <w:r w:rsidRPr="00DA20F5">
              <w:rPr>
                <w:b/>
                <w:color w:val="FFFFFF" w:themeColor="background1"/>
                <w:szCs w:val="22"/>
              </w:rPr>
              <w:t>PP</w:t>
            </w:r>
            <w:r w:rsidRPr="00DA20F5">
              <w:rPr>
                <w:b/>
                <w:color w:val="FFFFFF" w:themeColor="background1"/>
                <w:szCs w:val="22"/>
                <w:vertAlign w:val="superscript"/>
              </w:rPr>
              <w:t xml:space="preserve">2) </w:t>
            </w:r>
            <w:r w:rsidRPr="00DA20F5">
              <w:rPr>
                <w:b/>
                <w:color w:val="FFFFFF" w:themeColor="background1"/>
                <w:szCs w:val="22"/>
              </w:rPr>
              <w:t>v €</w:t>
            </w:r>
          </w:p>
        </w:tc>
        <w:tc>
          <w:tcPr>
            <w:tcW w:w="1418" w:type="dxa"/>
            <w:shd w:val="clear" w:color="auto" w:fill="4F81BD" w:themeFill="accent1"/>
            <w:tcMar>
              <w:top w:w="0" w:type="dxa"/>
              <w:left w:w="0" w:type="dxa"/>
              <w:bottom w:w="0" w:type="dxa"/>
              <w:right w:w="0" w:type="dxa"/>
            </w:tcMar>
          </w:tcPr>
          <w:p w:rsidR="00F61FFA" w:rsidRPr="00DA20F5" w:rsidRDefault="00F61FFA" w:rsidP="00D36FB8">
            <w:pPr>
              <w:jc w:val="center"/>
              <w:rPr>
                <w:b/>
                <w:color w:val="FFFFFF" w:themeColor="background1"/>
                <w:szCs w:val="22"/>
              </w:rPr>
            </w:pPr>
            <w:r w:rsidRPr="00DA20F5">
              <w:rPr>
                <w:b/>
                <w:color w:val="FFFFFF" w:themeColor="background1"/>
                <w:szCs w:val="22"/>
              </w:rPr>
              <w:t>Priemerný mesačný počet poberateľov</w:t>
            </w:r>
          </w:p>
        </w:tc>
        <w:tc>
          <w:tcPr>
            <w:tcW w:w="1283" w:type="dxa"/>
            <w:gridSpan w:val="2"/>
            <w:shd w:val="clear" w:color="auto" w:fill="4F81BD" w:themeFill="accent1"/>
            <w:tcMar>
              <w:top w:w="0" w:type="dxa"/>
              <w:left w:w="0" w:type="dxa"/>
              <w:bottom w:w="0" w:type="dxa"/>
              <w:right w:w="0" w:type="dxa"/>
            </w:tcMar>
          </w:tcPr>
          <w:p w:rsidR="00F61FFA" w:rsidRPr="00DA20F5" w:rsidRDefault="00F61FFA" w:rsidP="00D36FB8">
            <w:pPr>
              <w:jc w:val="center"/>
              <w:rPr>
                <w:b/>
                <w:color w:val="FFFFFF" w:themeColor="background1"/>
                <w:szCs w:val="22"/>
              </w:rPr>
            </w:pPr>
            <w:r w:rsidRPr="00DA20F5">
              <w:rPr>
                <w:b/>
                <w:color w:val="FFFFFF" w:themeColor="background1"/>
                <w:szCs w:val="22"/>
              </w:rPr>
              <w:t>Priemerná</w:t>
            </w:r>
          </w:p>
          <w:p w:rsidR="00F61FFA" w:rsidRPr="00DA20F5" w:rsidRDefault="00F61FFA" w:rsidP="00D36FB8">
            <w:pPr>
              <w:jc w:val="center"/>
              <w:rPr>
                <w:b/>
                <w:color w:val="FFFFFF" w:themeColor="background1"/>
                <w:szCs w:val="22"/>
              </w:rPr>
            </w:pPr>
            <w:r w:rsidRPr="00DA20F5">
              <w:rPr>
                <w:b/>
                <w:color w:val="FFFFFF" w:themeColor="background1"/>
                <w:szCs w:val="22"/>
              </w:rPr>
              <w:t>mesačná výška PP v €</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6"/>
              </w:numPr>
              <w:jc w:val="left"/>
              <w:rPr>
                <w:szCs w:val="22"/>
              </w:rPr>
            </w:pPr>
            <w:r w:rsidRPr="00DA20F5">
              <w:rPr>
                <w:szCs w:val="22"/>
              </w:rPr>
              <w:t>PP na kúpu pomôcky</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229</w:t>
            </w: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1 033,49</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200</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t>1 049,47</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6"/>
              </w:numPr>
              <w:jc w:val="left"/>
              <w:rPr>
                <w:szCs w:val="22"/>
              </w:rPr>
            </w:pPr>
            <w:r w:rsidRPr="00DA20F5">
              <w:rPr>
                <w:szCs w:val="22"/>
              </w:rPr>
              <w:t>PP na výcvik používania pomôcky</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4</w:t>
            </w: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535,44</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5</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br/>
              <w:t>683,42</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6"/>
              </w:numPr>
              <w:jc w:val="left"/>
              <w:rPr>
                <w:szCs w:val="22"/>
              </w:rPr>
            </w:pPr>
            <w:r w:rsidRPr="00DA20F5">
              <w:rPr>
                <w:szCs w:val="22"/>
              </w:rPr>
              <w:t>PP na úpravu pomôcky</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w:t>
            </w: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897,53</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t>685,07</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6"/>
              </w:numPr>
              <w:jc w:val="left"/>
              <w:rPr>
                <w:szCs w:val="22"/>
              </w:rPr>
            </w:pPr>
            <w:r w:rsidRPr="00DA20F5">
              <w:rPr>
                <w:szCs w:val="22"/>
              </w:rPr>
              <w:t>PP na opravu pomôcky</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29</w:t>
            </w: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301,05</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31</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t>289,67</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6"/>
              </w:numPr>
              <w:jc w:val="left"/>
              <w:rPr>
                <w:szCs w:val="22"/>
              </w:rPr>
            </w:pPr>
            <w:r w:rsidRPr="00DA20F5">
              <w:rPr>
                <w:szCs w:val="22"/>
              </w:rPr>
              <w:t>PP na kúpu zdvíhacieho zariadenia</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39</w:t>
            </w: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8 752,82</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45</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br/>
              <w:t>8 971,73</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6"/>
              </w:numPr>
              <w:jc w:val="left"/>
              <w:rPr>
                <w:szCs w:val="22"/>
              </w:rPr>
            </w:pPr>
            <w:r w:rsidRPr="00DA20F5">
              <w:rPr>
                <w:szCs w:val="22"/>
              </w:rPr>
              <w:t>PP na kúpu osobného motorového vozidla</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141</w:t>
            </w: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6 645,04</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124</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br/>
              <w:t>6 585,56</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6"/>
              </w:numPr>
              <w:jc w:val="left"/>
              <w:rPr>
                <w:szCs w:val="22"/>
              </w:rPr>
            </w:pPr>
            <w:r w:rsidRPr="00DA20F5">
              <w:rPr>
                <w:szCs w:val="22"/>
              </w:rPr>
              <w:t>PP na úpravu osobného motorového vozidla</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12</w:t>
            </w: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2 489,64</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9</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br/>
            </w:r>
            <w:r w:rsidRPr="00DA20F5">
              <w:rPr>
                <w:szCs w:val="22"/>
              </w:rPr>
              <w:br/>
              <w:t>2 715,15</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6"/>
              </w:numPr>
              <w:jc w:val="left"/>
              <w:rPr>
                <w:szCs w:val="22"/>
              </w:rPr>
            </w:pPr>
            <w:r w:rsidRPr="00DA20F5">
              <w:rPr>
                <w:szCs w:val="22"/>
              </w:rPr>
              <w:t>PP na úpravu bytu</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79</w:t>
            </w: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2 328,55</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72</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t>2 338,56</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6"/>
              </w:numPr>
              <w:jc w:val="left"/>
              <w:rPr>
                <w:szCs w:val="22"/>
              </w:rPr>
            </w:pPr>
            <w:r w:rsidRPr="00DA20F5">
              <w:rPr>
                <w:szCs w:val="22"/>
              </w:rPr>
              <w:t>PP na úpravu rodinného domu</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175</w:t>
            </w: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2 098,79</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142</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t>2 116,16</w:t>
            </w:r>
          </w:p>
        </w:tc>
      </w:tr>
      <w:tr w:rsidR="004767B3" w:rsidRPr="00DA20F5" w:rsidTr="00C51124">
        <w:tc>
          <w:tcPr>
            <w:tcW w:w="3407" w:type="dxa"/>
            <w:tcMar>
              <w:top w:w="0" w:type="dxa"/>
              <w:left w:w="0" w:type="dxa"/>
              <w:bottom w:w="0" w:type="dxa"/>
              <w:right w:w="0" w:type="dxa"/>
            </w:tcMar>
            <w:vAlign w:val="center"/>
          </w:tcPr>
          <w:p w:rsidR="004767B3" w:rsidRPr="00DA20F5" w:rsidRDefault="004767B3" w:rsidP="00DB509D">
            <w:pPr>
              <w:pStyle w:val="Odsekzoznamu"/>
              <w:numPr>
                <w:ilvl w:val="0"/>
                <w:numId w:val="26"/>
              </w:numPr>
              <w:jc w:val="left"/>
              <w:rPr>
                <w:szCs w:val="22"/>
              </w:rPr>
            </w:pPr>
            <w:r w:rsidRPr="00DA20F5">
              <w:rPr>
                <w:szCs w:val="22"/>
              </w:rPr>
              <w:t>PP na úpravu garáže</w:t>
            </w:r>
          </w:p>
        </w:tc>
        <w:tc>
          <w:tcPr>
            <w:tcW w:w="1502"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w:t>
            </w: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1 425,59</w:t>
            </w:r>
          </w:p>
        </w:tc>
        <w:tc>
          <w:tcPr>
            <w:tcW w:w="1418"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w:t>
            </w: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szCs w:val="22"/>
              </w:rPr>
              <w:t>1 325,85</w:t>
            </w:r>
          </w:p>
        </w:tc>
      </w:tr>
      <w:tr w:rsidR="004767B3" w:rsidRPr="00DA20F5" w:rsidTr="00C51124">
        <w:tc>
          <w:tcPr>
            <w:tcW w:w="3407" w:type="dxa"/>
            <w:tcMar>
              <w:top w:w="0" w:type="dxa"/>
              <w:left w:w="0" w:type="dxa"/>
              <w:bottom w:w="0" w:type="dxa"/>
              <w:right w:w="0" w:type="dxa"/>
            </w:tcMar>
            <w:vAlign w:val="bottom"/>
          </w:tcPr>
          <w:p w:rsidR="004767B3" w:rsidRPr="00DA20F5" w:rsidRDefault="00F61FFA" w:rsidP="00D36FB8">
            <w:pPr>
              <w:rPr>
                <w:szCs w:val="22"/>
              </w:rPr>
            </w:pPr>
            <w:r w:rsidRPr="00DA20F5">
              <w:rPr>
                <w:b/>
                <w:bCs/>
                <w:szCs w:val="22"/>
              </w:rPr>
              <w:t>Peňažné príspevky</w:t>
            </w:r>
            <w:r w:rsidR="00AC5AAB" w:rsidRPr="00DA20F5">
              <w:rPr>
                <w:b/>
                <w:bCs/>
                <w:szCs w:val="22"/>
              </w:rPr>
              <w:t xml:space="preserve"> </w:t>
            </w:r>
            <w:r w:rsidR="004767B3" w:rsidRPr="00DA20F5">
              <w:rPr>
                <w:b/>
                <w:bCs/>
                <w:szCs w:val="22"/>
              </w:rPr>
              <w:t xml:space="preserve">SPOLU </w:t>
            </w:r>
          </w:p>
        </w:tc>
        <w:tc>
          <w:tcPr>
            <w:tcW w:w="1502" w:type="dxa"/>
            <w:tcMar>
              <w:top w:w="0" w:type="dxa"/>
              <w:left w:w="0" w:type="dxa"/>
              <w:bottom w:w="0" w:type="dxa"/>
              <w:right w:w="0" w:type="dxa"/>
            </w:tcMar>
          </w:tcPr>
          <w:p w:rsidR="004767B3" w:rsidRPr="00DA20F5" w:rsidRDefault="004767B3" w:rsidP="00D36FB8">
            <w:pPr>
              <w:rPr>
                <w:szCs w:val="22"/>
              </w:rPr>
            </w:pPr>
          </w:p>
        </w:tc>
        <w:tc>
          <w:tcPr>
            <w:tcW w:w="1478" w:type="dxa"/>
            <w:tcMar>
              <w:top w:w="0" w:type="dxa"/>
              <w:left w:w="0" w:type="dxa"/>
              <w:bottom w:w="0" w:type="dxa"/>
              <w:right w:w="0" w:type="dxa"/>
            </w:tcMar>
            <w:vAlign w:val="bottom"/>
          </w:tcPr>
          <w:p w:rsidR="004767B3" w:rsidRPr="00DA20F5" w:rsidRDefault="004767B3" w:rsidP="00D36FB8">
            <w:pPr>
              <w:jc w:val="center"/>
              <w:rPr>
                <w:szCs w:val="22"/>
              </w:rPr>
            </w:pPr>
            <w:r w:rsidRPr="00DA20F5">
              <w:rPr>
                <w:b/>
                <w:bCs/>
                <w:szCs w:val="22"/>
              </w:rPr>
              <w:t>207 111 396</w:t>
            </w:r>
          </w:p>
        </w:tc>
        <w:tc>
          <w:tcPr>
            <w:tcW w:w="1418" w:type="dxa"/>
            <w:tcMar>
              <w:top w:w="0" w:type="dxa"/>
              <w:left w:w="0" w:type="dxa"/>
              <w:bottom w:w="0" w:type="dxa"/>
              <w:right w:w="0" w:type="dxa"/>
            </w:tcMar>
          </w:tcPr>
          <w:p w:rsidR="004767B3" w:rsidRPr="00DA20F5" w:rsidRDefault="004767B3" w:rsidP="00D36FB8">
            <w:pPr>
              <w:rPr>
                <w:szCs w:val="22"/>
              </w:rPr>
            </w:pPr>
          </w:p>
        </w:tc>
        <w:tc>
          <w:tcPr>
            <w:tcW w:w="1283" w:type="dxa"/>
            <w:gridSpan w:val="2"/>
            <w:tcMar>
              <w:top w:w="0" w:type="dxa"/>
              <w:left w:w="0" w:type="dxa"/>
              <w:bottom w:w="0" w:type="dxa"/>
              <w:right w:w="0" w:type="dxa"/>
            </w:tcMar>
          </w:tcPr>
          <w:p w:rsidR="004767B3" w:rsidRPr="00DA20F5" w:rsidRDefault="004767B3" w:rsidP="00D36FB8">
            <w:pPr>
              <w:jc w:val="center"/>
              <w:rPr>
                <w:szCs w:val="22"/>
              </w:rPr>
            </w:pPr>
            <w:r w:rsidRPr="00DA20F5">
              <w:rPr>
                <w:b/>
                <w:bCs/>
                <w:szCs w:val="22"/>
              </w:rPr>
              <w:t>210 640 394</w:t>
            </w:r>
          </w:p>
        </w:tc>
      </w:tr>
    </w:tbl>
    <w:p w:rsidR="00E40C0F" w:rsidRPr="00DA20F5" w:rsidRDefault="00726076" w:rsidP="00D36FB8">
      <w:pPr>
        <w:pStyle w:val="zdroj"/>
      </w:pPr>
      <w:r w:rsidRPr="00DA20F5">
        <w:t>Zdroj. APV ISOP</w:t>
      </w:r>
    </w:p>
    <w:p w:rsidR="0038489B" w:rsidRDefault="0038489B">
      <w:pPr>
        <w:jc w:val="left"/>
        <w:rPr>
          <w:b/>
        </w:rPr>
      </w:pPr>
      <w:r>
        <w:br w:type="page"/>
      </w:r>
    </w:p>
    <w:p w:rsidR="00184541" w:rsidRPr="00DA20F5" w:rsidRDefault="00184541" w:rsidP="00184541">
      <w:pPr>
        <w:pStyle w:val="Nadpis7"/>
      </w:pPr>
      <w:r w:rsidRPr="00DA20F5">
        <w:lastRenderedPageBreak/>
        <w:t xml:space="preserve">Graf 3.16 </w:t>
      </w:r>
      <w:r w:rsidRPr="00DA20F5">
        <w:rPr>
          <w:bCs/>
        </w:rPr>
        <w:t>Vývoj počtu poberateľov PP na kompenzáciu za rok 2010 a 2011</w:t>
      </w:r>
    </w:p>
    <w:p w:rsidR="00184541" w:rsidRPr="00DA20F5" w:rsidRDefault="00184541" w:rsidP="00184541">
      <w:pPr>
        <w:jc w:val="center"/>
        <w:rPr>
          <w:noProof/>
          <w:color w:val="365F91" w:themeColor="accent1" w:themeShade="BF"/>
          <w:sz w:val="27"/>
          <w:szCs w:val="27"/>
        </w:rPr>
      </w:pPr>
      <w:r w:rsidRPr="00DA20F5">
        <w:rPr>
          <w:noProof/>
        </w:rPr>
        <w:drawing>
          <wp:inline distT="0" distB="0" distL="0" distR="0" wp14:anchorId="085B4C1E" wp14:editId="3183E035">
            <wp:extent cx="4210334" cy="2381534"/>
            <wp:effectExtent l="0" t="0" r="0" b="0"/>
            <wp:docPr id="56"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84541" w:rsidRPr="00DA20F5" w:rsidRDefault="00184541" w:rsidP="00184541">
      <w:pPr>
        <w:pStyle w:val="zdroj"/>
        <w:ind w:left="567"/>
      </w:pPr>
      <w:r w:rsidRPr="00DA20F5">
        <w:t>Zdroj: APV ISOP</w:t>
      </w:r>
    </w:p>
    <w:p w:rsidR="004767B3" w:rsidRDefault="004767B3" w:rsidP="00D36FB8">
      <w:pPr>
        <w:ind w:firstLine="567"/>
        <w:rPr>
          <w:szCs w:val="22"/>
        </w:rPr>
      </w:pPr>
      <w:r w:rsidRPr="00DA20F5">
        <w:rPr>
          <w:szCs w:val="22"/>
        </w:rPr>
        <w:t xml:space="preserve">Pri konkrétnych peňažných príspevkoch na kompenzáciu sa nárast počtu poberateľov v roku 2011 prejavil najmä pri opakovaných peňažných príspevkoch, najvýraznejšie pri peňažnom príspevku na kompenzáciu zvýšených výdavkov, kde </w:t>
      </w:r>
      <w:r w:rsidR="00126014" w:rsidRPr="00DA20F5">
        <w:rPr>
          <w:szCs w:val="22"/>
        </w:rPr>
        <w:t>bol zaznamenaný</w:t>
      </w:r>
      <w:r w:rsidRPr="00DA20F5">
        <w:rPr>
          <w:szCs w:val="22"/>
        </w:rPr>
        <w:t xml:space="preserve"> celkový nárast o 5 421 poberateľov (spolu na všetky zvýšené výdavky) v porovnaní s rokom 2010. Konkrétne pri kompenzácii zvýšených výdavkov súvisiacich so zabezpečením prevádzky osobného motorového vozidla </w:t>
      </w:r>
      <w:r w:rsidR="00126014" w:rsidRPr="00DA20F5">
        <w:rPr>
          <w:szCs w:val="22"/>
        </w:rPr>
        <w:t xml:space="preserve">bol </w:t>
      </w:r>
      <w:r w:rsidR="002E0641" w:rsidRPr="00DA20F5">
        <w:rPr>
          <w:szCs w:val="22"/>
        </w:rPr>
        <w:t>nárast o 3 543 </w:t>
      </w:r>
      <w:r w:rsidRPr="00DA20F5">
        <w:rPr>
          <w:szCs w:val="22"/>
        </w:rPr>
        <w:t>poberateľov, pri kompenzácii zvýšených výdavkov na di</w:t>
      </w:r>
      <w:r w:rsidR="002E0641" w:rsidRPr="00DA20F5">
        <w:rPr>
          <w:szCs w:val="22"/>
        </w:rPr>
        <w:t>étne stravovanie nárast o 2 662 </w:t>
      </w:r>
      <w:r w:rsidRPr="00DA20F5">
        <w:rPr>
          <w:szCs w:val="22"/>
        </w:rPr>
        <w:t>poberateľov, pri kompenzácii zvýšených výdavkov súvisiacich s hygienou alebo opotrebovaní</w:t>
      </w:r>
      <w:r w:rsidR="00126014" w:rsidRPr="00DA20F5">
        <w:rPr>
          <w:szCs w:val="22"/>
        </w:rPr>
        <w:t>m</w:t>
      </w:r>
      <w:r w:rsidRPr="00DA20F5">
        <w:rPr>
          <w:szCs w:val="22"/>
        </w:rPr>
        <w:t xml:space="preserve"> šatstva, bielizne, obuvi a bytového zariadenia nárast o 1 786 poberateľov. Výnimku tvorí kompenzácia zvýšených výdavkov súvisiacich so starostlivosťou o psa so špeciálnym výcvikom, kde </w:t>
      </w:r>
      <w:r w:rsidR="00126014" w:rsidRPr="00DA20F5">
        <w:rPr>
          <w:szCs w:val="22"/>
        </w:rPr>
        <w:t>bol zaznamenaný</w:t>
      </w:r>
      <w:r w:rsidR="00AC5AAB" w:rsidRPr="00DA20F5">
        <w:rPr>
          <w:szCs w:val="22"/>
        </w:rPr>
        <w:t xml:space="preserve"> </w:t>
      </w:r>
      <w:r w:rsidRPr="00DA20F5">
        <w:rPr>
          <w:szCs w:val="22"/>
        </w:rPr>
        <w:t>mierny pokles počtu poberateľov.</w:t>
      </w:r>
    </w:p>
    <w:p w:rsidR="00184541" w:rsidRPr="00DA20F5" w:rsidRDefault="00184541" w:rsidP="00184541">
      <w:pPr>
        <w:pStyle w:val="Nadpis7"/>
      </w:pPr>
      <w:r w:rsidRPr="00DA20F5">
        <w:t xml:space="preserve">Graf 3.17 </w:t>
      </w:r>
      <w:r w:rsidRPr="00DA20F5">
        <w:rPr>
          <w:bCs/>
        </w:rPr>
        <w:t>Vývoj počtu poberateľov PP príspevkov na kompenzáciu zvýšených výdavkov</w:t>
      </w:r>
      <w:r w:rsidRPr="00DA20F5">
        <w:t xml:space="preserve"> </w:t>
      </w:r>
      <w:r w:rsidRPr="00DA20F5">
        <w:br/>
        <w:t>za rok 2010 a 2011</w:t>
      </w:r>
    </w:p>
    <w:p w:rsidR="00184541" w:rsidRPr="00DA20F5" w:rsidRDefault="00184541" w:rsidP="00184541">
      <w:pPr>
        <w:ind w:firstLine="708"/>
        <w:jc w:val="center"/>
        <w:rPr>
          <w:color w:val="365F91" w:themeColor="accent1" w:themeShade="BF"/>
          <w:sz w:val="23"/>
          <w:szCs w:val="23"/>
        </w:rPr>
      </w:pPr>
      <w:r w:rsidRPr="00DA20F5">
        <w:rPr>
          <w:noProof/>
        </w:rPr>
        <w:drawing>
          <wp:inline distT="0" distB="0" distL="0" distR="0" wp14:anchorId="1FE59F8A" wp14:editId="47264128">
            <wp:extent cx="4080681" cy="2374711"/>
            <wp:effectExtent l="0" t="0" r="0" b="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84541" w:rsidRPr="00DA20F5" w:rsidRDefault="00184541" w:rsidP="00184541">
      <w:pPr>
        <w:pStyle w:val="zdroj"/>
      </w:pPr>
      <w:r w:rsidRPr="00DA20F5">
        <w:t>Zdroj: APV ISOP</w:t>
      </w:r>
    </w:p>
    <w:p w:rsidR="00307230" w:rsidRPr="00DA20F5" w:rsidRDefault="00AC5AAB" w:rsidP="00D36FB8">
      <w:pPr>
        <w:rPr>
          <w:sz w:val="27"/>
          <w:szCs w:val="27"/>
        </w:rPr>
      </w:pPr>
      <w:r w:rsidRPr="00DA20F5">
        <w:rPr>
          <w:szCs w:val="22"/>
        </w:rPr>
        <w:tab/>
      </w:r>
      <w:r w:rsidR="00702AA7" w:rsidRPr="00DA20F5">
        <w:rPr>
          <w:szCs w:val="22"/>
        </w:rPr>
        <w:t xml:space="preserve">Podobne ako </w:t>
      </w:r>
      <w:r w:rsidR="004767B3" w:rsidRPr="00DA20F5">
        <w:rPr>
          <w:szCs w:val="22"/>
        </w:rPr>
        <w:t>v predchádzajúcich rokoch aj v roku 2011 pokračoval rast priemerného mesačného počtu poberateľov peňažného príspevku na osobnú asistenciu</w:t>
      </w:r>
      <w:r w:rsidR="00702AA7" w:rsidRPr="00DA20F5">
        <w:rPr>
          <w:szCs w:val="22"/>
        </w:rPr>
        <w:t>,</w:t>
      </w:r>
      <w:r w:rsidRPr="00DA20F5">
        <w:rPr>
          <w:szCs w:val="22"/>
        </w:rPr>
        <w:t xml:space="preserve"> </w:t>
      </w:r>
      <w:r w:rsidR="004767B3" w:rsidRPr="00DA20F5">
        <w:rPr>
          <w:szCs w:val="22"/>
        </w:rPr>
        <w:t>a to o 471 poberateľov v porovnaní s rokom 2010. Vzrástla aj priemerná mesačná výšk</w:t>
      </w:r>
      <w:r w:rsidR="002E0641" w:rsidRPr="00DA20F5">
        <w:rPr>
          <w:szCs w:val="22"/>
        </w:rPr>
        <w:t>a tohto peňažného príspevku (na </w:t>
      </w:r>
      <w:r w:rsidR="004767B3" w:rsidRPr="00DA20F5">
        <w:rPr>
          <w:szCs w:val="22"/>
        </w:rPr>
        <w:t>352,77 €), čo ovplyvnila najmä valorizácia hodinovej</w:t>
      </w:r>
      <w:r w:rsidRPr="00DA20F5">
        <w:rPr>
          <w:szCs w:val="22"/>
        </w:rPr>
        <w:t xml:space="preserve"> </w:t>
      </w:r>
      <w:r w:rsidR="004767B3" w:rsidRPr="00DA20F5">
        <w:rPr>
          <w:szCs w:val="22"/>
        </w:rPr>
        <w:t>sadzby osobnej asistencie. Tento údaj však signalizuje aj mierny nárast priemerného mesačného rozsahu hodín osobnej asistencie</w:t>
      </w:r>
      <w:r w:rsidR="00702AA7" w:rsidRPr="00DA20F5">
        <w:rPr>
          <w:szCs w:val="22"/>
        </w:rPr>
        <w:t>,</w:t>
      </w:r>
      <w:r w:rsidR="004767B3" w:rsidRPr="00DA20F5">
        <w:rPr>
          <w:szCs w:val="22"/>
        </w:rPr>
        <w:t xml:space="preserve"> </w:t>
      </w:r>
      <w:r w:rsidR="00702AA7" w:rsidRPr="00DA20F5">
        <w:rPr>
          <w:szCs w:val="22"/>
        </w:rPr>
        <w:t xml:space="preserve">na ktorý bol poskytnutý peňažný príspevok </w:t>
      </w:r>
      <w:r w:rsidR="004767B3" w:rsidRPr="00DA20F5">
        <w:rPr>
          <w:szCs w:val="22"/>
        </w:rPr>
        <w:t>(o 2 hod.</w:t>
      </w:r>
      <w:r w:rsidR="00702AA7" w:rsidRPr="00DA20F5">
        <w:rPr>
          <w:szCs w:val="22"/>
        </w:rPr>
        <w:t>,</w:t>
      </w:r>
      <w:r w:rsidR="004767B3" w:rsidRPr="00DA20F5">
        <w:rPr>
          <w:szCs w:val="22"/>
        </w:rPr>
        <w:t xml:space="preserve"> t.</w:t>
      </w:r>
      <w:r w:rsidR="00E40C0F" w:rsidRPr="00DA20F5">
        <w:rPr>
          <w:szCs w:val="22"/>
        </w:rPr>
        <w:t xml:space="preserve"> </w:t>
      </w:r>
      <w:r w:rsidR="004767B3" w:rsidRPr="00DA20F5">
        <w:rPr>
          <w:szCs w:val="22"/>
        </w:rPr>
        <w:t>j. na cca 135,4 hod</w:t>
      </w:r>
      <w:r w:rsidR="00702AA7" w:rsidRPr="00DA20F5">
        <w:rPr>
          <w:szCs w:val="22"/>
        </w:rPr>
        <w:t>.)</w:t>
      </w:r>
      <w:r w:rsidR="004767B3" w:rsidRPr="00DA20F5">
        <w:rPr>
          <w:szCs w:val="22"/>
        </w:rPr>
        <w:t xml:space="preserve">. </w:t>
      </w:r>
      <w:r w:rsidR="00702AA7" w:rsidRPr="00DA20F5">
        <w:rPr>
          <w:szCs w:val="22"/>
        </w:rPr>
        <w:t xml:space="preserve">Predpokladom je, </w:t>
      </w:r>
      <w:r w:rsidR="004767B3" w:rsidRPr="00DA20F5">
        <w:rPr>
          <w:szCs w:val="22"/>
        </w:rPr>
        <w:t>že uvedenú skutočnosť ovplyvnila aj legislatívna zmena, ktorou je zvýšenie ochrany príjmu fyzickej osoby s</w:t>
      </w:r>
      <w:r w:rsidR="00702AA7" w:rsidRPr="00DA20F5">
        <w:rPr>
          <w:szCs w:val="22"/>
        </w:rPr>
        <w:t> </w:t>
      </w:r>
      <w:r w:rsidR="004767B3" w:rsidRPr="00DA20F5">
        <w:rPr>
          <w:szCs w:val="22"/>
        </w:rPr>
        <w:t>ŤZP</w:t>
      </w:r>
      <w:r w:rsidRPr="00DA20F5">
        <w:rPr>
          <w:szCs w:val="22"/>
        </w:rPr>
        <w:t xml:space="preserve"> </w:t>
      </w:r>
      <w:r w:rsidR="004767B3" w:rsidRPr="00DA20F5">
        <w:rPr>
          <w:szCs w:val="22"/>
        </w:rPr>
        <w:lastRenderedPageBreak/>
        <w:t>z</w:t>
      </w:r>
      <w:r w:rsidR="00702AA7" w:rsidRPr="00DA20F5">
        <w:rPr>
          <w:szCs w:val="22"/>
        </w:rPr>
        <w:t> </w:t>
      </w:r>
      <w:r w:rsidR="004767B3" w:rsidRPr="00DA20F5">
        <w:rPr>
          <w:szCs w:val="22"/>
        </w:rPr>
        <w:t>3</w:t>
      </w:r>
      <w:r w:rsidR="00702AA7" w:rsidRPr="00DA20F5">
        <w:rPr>
          <w:szCs w:val="22"/>
        </w:rPr>
        <w:t xml:space="preserve"> -</w:t>
      </w:r>
      <w:r w:rsidR="004767B3" w:rsidRPr="00DA20F5">
        <w:rPr>
          <w:szCs w:val="22"/>
        </w:rPr>
        <w:t xml:space="preserve"> násobku (cca 569,49 €) na 4</w:t>
      </w:r>
      <w:r w:rsidR="00702AA7" w:rsidRPr="00DA20F5">
        <w:rPr>
          <w:szCs w:val="22"/>
        </w:rPr>
        <w:t xml:space="preserve"> -</w:t>
      </w:r>
      <w:r w:rsidR="004767B3" w:rsidRPr="00DA20F5">
        <w:rPr>
          <w:szCs w:val="22"/>
        </w:rPr>
        <w:t xml:space="preserve"> násobok (cca 759,32 €) sumy životného minima pre jednu plnoletú fyzickú osoby, čo umožnilo redukovať znižovanie peňažného príspevku na osobnú asistenciu z dôvodu presahu príjmu fyzickej osoby s ŤZP nad</w:t>
      </w:r>
      <w:r w:rsidRPr="00DA20F5">
        <w:rPr>
          <w:szCs w:val="22"/>
        </w:rPr>
        <w:t xml:space="preserve"> </w:t>
      </w:r>
      <w:r w:rsidR="004767B3" w:rsidRPr="00DA20F5">
        <w:rPr>
          <w:szCs w:val="22"/>
        </w:rPr>
        <w:t>uvedenú hranicu.</w:t>
      </w:r>
    </w:p>
    <w:p w:rsidR="002B1933" w:rsidRPr="00DA20F5" w:rsidRDefault="002B1933" w:rsidP="00D36FB8">
      <w:pPr>
        <w:pStyle w:val="Nadpis7"/>
        <w:rPr>
          <w:color w:val="365F91" w:themeColor="accent1" w:themeShade="BF"/>
          <w:sz w:val="27"/>
          <w:szCs w:val="27"/>
        </w:rPr>
      </w:pPr>
      <w:bookmarkStart w:id="1216" w:name="_Toc325438227"/>
      <w:bookmarkStart w:id="1217" w:name="_Toc325440995"/>
      <w:bookmarkStart w:id="1218" w:name="_Toc325626808"/>
      <w:bookmarkStart w:id="1219" w:name="_Toc326217069"/>
      <w:r w:rsidRPr="00DA20F5">
        <w:t>Graf 3.1</w:t>
      </w:r>
      <w:r w:rsidR="00184541">
        <w:t>8</w:t>
      </w:r>
      <w:r w:rsidR="00AC5AAB" w:rsidRPr="00DA20F5">
        <w:t xml:space="preserve"> </w:t>
      </w:r>
      <w:r w:rsidRPr="00DA20F5">
        <w:t>Vývoj počtu poberateľov PP na osobnú asistenciu v roku 2010 a 2011</w:t>
      </w:r>
      <w:bookmarkEnd w:id="1216"/>
      <w:bookmarkEnd w:id="1217"/>
      <w:bookmarkEnd w:id="1218"/>
      <w:bookmarkEnd w:id="1219"/>
    </w:p>
    <w:p w:rsidR="004767B3" w:rsidRPr="00DA20F5" w:rsidRDefault="00EC546A" w:rsidP="00D36FB8">
      <w:pPr>
        <w:jc w:val="center"/>
        <w:rPr>
          <w:color w:val="365F91" w:themeColor="accent1" w:themeShade="BF"/>
          <w:sz w:val="27"/>
          <w:szCs w:val="27"/>
        </w:rPr>
      </w:pPr>
      <w:r w:rsidRPr="00DA20F5">
        <w:rPr>
          <w:noProof/>
        </w:rPr>
        <w:drawing>
          <wp:inline distT="0" distB="0" distL="0" distR="0" wp14:anchorId="60707E66" wp14:editId="56ADF9E7">
            <wp:extent cx="3896436" cy="2361063"/>
            <wp:effectExtent l="0" t="0" r="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07230" w:rsidRPr="00DA20F5" w:rsidRDefault="00726076" w:rsidP="002E0641">
      <w:pPr>
        <w:pStyle w:val="zdroj"/>
        <w:ind w:left="1134"/>
      </w:pPr>
      <w:r w:rsidRPr="00DA20F5">
        <w:t>Zdroj: APV ISOP</w:t>
      </w:r>
    </w:p>
    <w:p w:rsidR="004767B3" w:rsidRPr="00DA20F5" w:rsidRDefault="004767B3" w:rsidP="00D36FB8">
      <w:pPr>
        <w:rPr>
          <w:szCs w:val="22"/>
        </w:rPr>
      </w:pPr>
      <w:r w:rsidRPr="00DA20F5">
        <w:rPr>
          <w:color w:val="365F91" w:themeColor="accent1" w:themeShade="BF"/>
          <w:sz w:val="23"/>
          <w:szCs w:val="23"/>
        </w:rPr>
        <w:tab/>
      </w:r>
      <w:r w:rsidRPr="00DA20F5">
        <w:rPr>
          <w:szCs w:val="22"/>
        </w:rPr>
        <w:t>Aj v roku 2011 pretrváva rast priemerného mesačného počtu poberateľov peňažného príspevku na opatrovanie. V porovnaní s rokom 2010 tvorí tento nárast 1 242 poberateľov. Pri rozčlenení peňažného príspevku na opatrovanie podľa typu poberateľov (fyzických osôb) je však zrejmé, že nárast</w:t>
      </w:r>
      <w:r w:rsidR="00AC5AAB" w:rsidRPr="00DA20F5">
        <w:rPr>
          <w:szCs w:val="22"/>
        </w:rPr>
        <w:t xml:space="preserve"> </w:t>
      </w:r>
      <w:r w:rsidRPr="00DA20F5">
        <w:rPr>
          <w:szCs w:val="22"/>
        </w:rPr>
        <w:t>(o 2 720) sme zaznamenali len pri poberateľoch, ktorým je vyplácaná dôchodková dávka. Tento nárast mohol ovplyvniť okrem príchodu nových poberateľov aj prechod zo skupiny poberateľov,</w:t>
      </w:r>
      <w:r w:rsidR="00AC5AAB" w:rsidRPr="00DA20F5">
        <w:rPr>
          <w:szCs w:val="22"/>
        </w:rPr>
        <w:t xml:space="preserve"> </w:t>
      </w:r>
      <w:r w:rsidRPr="00DA20F5">
        <w:rPr>
          <w:szCs w:val="22"/>
        </w:rPr>
        <w:t>ktorým sa poskytoval peňažný príspevok na základe prechodného ustanovenia, nakoľko ich počet klesol o</w:t>
      </w:r>
      <w:r w:rsidR="007C7ACF" w:rsidRPr="00DA20F5">
        <w:rPr>
          <w:szCs w:val="22"/>
        </w:rPr>
        <w:t> </w:t>
      </w:r>
      <w:r w:rsidRPr="00DA20F5">
        <w:rPr>
          <w:szCs w:val="22"/>
        </w:rPr>
        <w:t>1</w:t>
      </w:r>
      <w:r w:rsidR="007C7ACF" w:rsidRPr="00DA20F5">
        <w:rPr>
          <w:szCs w:val="22"/>
        </w:rPr>
        <w:t xml:space="preserve"> </w:t>
      </w:r>
      <w:r w:rsidRPr="00DA20F5">
        <w:rPr>
          <w:szCs w:val="22"/>
        </w:rPr>
        <w:t>360 poberateľov. Pri poberateľoch, ktorým nie je vyplácaná</w:t>
      </w:r>
      <w:r w:rsidR="00AC5AAB" w:rsidRPr="00DA20F5">
        <w:rPr>
          <w:szCs w:val="22"/>
        </w:rPr>
        <w:t xml:space="preserve"> </w:t>
      </w:r>
      <w:r w:rsidRPr="00DA20F5">
        <w:rPr>
          <w:szCs w:val="22"/>
        </w:rPr>
        <w:t xml:space="preserve">dôchodková dávka, </w:t>
      </w:r>
      <w:r w:rsidR="00702AA7" w:rsidRPr="00DA20F5">
        <w:rPr>
          <w:szCs w:val="22"/>
        </w:rPr>
        <w:t>nastal</w:t>
      </w:r>
      <w:r w:rsidR="00AC5AAB" w:rsidRPr="00DA20F5">
        <w:rPr>
          <w:szCs w:val="22"/>
        </w:rPr>
        <w:t xml:space="preserve"> </w:t>
      </w:r>
      <w:r w:rsidRPr="00DA20F5">
        <w:rPr>
          <w:szCs w:val="22"/>
        </w:rPr>
        <w:t>mierny pokles (o 156). Prehľad údajov je uvedený v</w:t>
      </w:r>
      <w:r w:rsidR="00184541">
        <w:rPr>
          <w:szCs w:val="22"/>
        </w:rPr>
        <w:t xml:space="preserve"> nasledujúcej </w:t>
      </w:r>
      <w:r w:rsidRPr="00DA20F5">
        <w:rPr>
          <w:szCs w:val="22"/>
        </w:rPr>
        <w:t>tabuľke</w:t>
      </w:r>
      <w:r w:rsidR="00507497" w:rsidRPr="00DA20F5">
        <w:rPr>
          <w:szCs w:val="22"/>
        </w:rPr>
        <w:t>.</w:t>
      </w:r>
    </w:p>
    <w:p w:rsidR="00307230" w:rsidRPr="00DA20F5" w:rsidRDefault="000B3663" w:rsidP="002E0641">
      <w:pPr>
        <w:pStyle w:val="Nadpis7"/>
      </w:pPr>
      <w:bookmarkStart w:id="1220" w:name="_Toc325438228"/>
      <w:bookmarkStart w:id="1221" w:name="_Toc325440996"/>
      <w:bookmarkStart w:id="1222" w:name="_Toc325626809"/>
      <w:bookmarkStart w:id="1223" w:name="_Toc326217070"/>
      <w:r w:rsidRPr="00DA20F5">
        <w:rPr>
          <w:bCs/>
          <w:iCs/>
          <w:lang w:eastAsia="cs-CZ"/>
        </w:rPr>
        <w:t>Tab. 3.22</w:t>
      </w:r>
      <w:r w:rsidR="00AC5AAB" w:rsidRPr="00DA20F5">
        <w:rPr>
          <w:bCs/>
          <w:iCs/>
          <w:lang w:eastAsia="cs-CZ"/>
        </w:rPr>
        <w:t xml:space="preserve"> </w:t>
      </w:r>
      <w:r w:rsidR="004767B3" w:rsidRPr="00DA20F5">
        <w:t>Porovnanie údajov o</w:t>
      </w:r>
      <w:r w:rsidR="00AC5AAB" w:rsidRPr="00DA20F5">
        <w:t xml:space="preserve"> </w:t>
      </w:r>
      <w:r w:rsidR="004767B3" w:rsidRPr="00DA20F5">
        <w:t xml:space="preserve">peňažnom príspevku na opatrovanie </w:t>
      </w:r>
      <w:r w:rsidR="00B55B9E" w:rsidRPr="00DA20F5">
        <w:br/>
      </w:r>
      <w:r w:rsidR="004767B3" w:rsidRPr="00DA20F5">
        <w:t>za obdobie</w:t>
      </w:r>
      <w:r w:rsidR="00B55B9E" w:rsidRPr="00DA20F5">
        <w:t xml:space="preserve"> </w:t>
      </w:r>
      <w:r w:rsidR="00307230" w:rsidRPr="00DA20F5">
        <w:t>roku 2010 a 2011</w:t>
      </w:r>
      <w:bookmarkEnd w:id="1220"/>
      <w:bookmarkEnd w:id="1221"/>
      <w:bookmarkEnd w:id="1222"/>
      <w:bookmarkEnd w:id="1223"/>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5" w:type="dxa"/>
          <w:left w:w="15" w:type="dxa"/>
          <w:bottom w:w="15" w:type="dxa"/>
          <w:right w:w="15" w:type="dxa"/>
        </w:tblCellMar>
        <w:tblLook w:val="04A0" w:firstRow="1" w:lastRow="0" w:firstColumn="1" w:lastColumn="0" w:noHBand="0" w:noVBand="1"/>
      </w:tblPr>
      <w:tblGrid>
        <w:gridCol w:w="3833"/>
        <w:gridCol w:w="1275"/>
        <w:gridCol w:w="1134"/>
        <w:gridCol w:w="1276"/>
        <w:gridCol w:w="1276"/>
      </w:tblGrid>
      <w:tr w:rsidR="004767B3" w:rsidRPr="00DA20F5" w:rsidTr="00C51124">
        <w:tc>
          <w:tcPr>
            <w:tcW w:w="3833" w:type="dxa"/>
            <w:shd w:val="clear" w:color="auto" w:fill="4F81BD" w:themeFill="accent1"/>
            <w:tcMar>
              <w:top w:w="0" w:type="dxa"/>
              <w:left w:w="0" w:type="dxa"/>
              <w:bottom w:w="0" w:type="dxa"/>
              <w:right w:w="0" w:type="dxa"/>
            </w:tcMar>
          </w:tcPr>
          <w:p w:rsidR="004767B3" w:rsidRPr="00DA20F5" w:rsidRDefault="004767B3" w:rsidP="00D36FB8">
            <w:pPr>
              <w:rPr>
                <w:color w:val="FFFFFF" w:themeColor="background1"/>
                <w:szCs w:val="22"/>
              </w:rPr>
            </w:pPr>
          </w:p>
        </w:tc>
        <w:tc>
          <w:tcPr>
            <w:tcW w:w="2409" w:type="dxa"/>
            <w:gridSpan w:val="2"/>
            <w:shd w:val="clear" w:color="auto" w:fill="4F81BD" w:themeFill="accent1"/>
          </w:tcPr>
          <w:p w:rsidR="00702AA7" w:rsidRPr="00DA20F5" w:rsidRDefault="004767B3" w:rsidP="00D36FB8">
            <w:pPr>
              <w:jc w:val="center"/>
              <w:rPr>
                <w:b/>
                <w:color w:val="FFFFFF" w:themeColor="background1"/>
                <w:sz w:val="20"/>
                <w:szCs w:val="20"/>
              </w:rPr>
            </w:pPr>
            <w:r w:rsidRPr="00DA20F5">
              <w:rPr>
                <w:b/>
                <w:color w:val="FFFFFF" w:themeColor="background1"/>
                <w:sz w:val="20"/>
                <w:szCs w:val="20"/>
              </w:rPr>
              <w:t>Priemerná</w:t>
            </w:r>
            <w:r w:rsidR="00AC5AAB" w:rsidRPr="00DA20F5">
              <w:rPr>
                <w:b/>
                <w:color w:val="FFFFFF" w:themeColor="background1"/>
                <w:sz w:val="20"/>
                <w:szCs w:val="20"/>
              </w:rPr>
              <w:t xml:space="preserve"> </w:t>
            </w:r>
            <w:r w:rsidRPr="00DA20F5">
              <w:rPr>
                <w:b/>
                <w:color w:val="FFFFFF" w:themeColor="background1"/>
                <w:sz w:val="20"/>
                <w:szCs w:val="20"/>
              </w:rPr>
              <w:t xml:space="preserve">výška PP </w:t>
            </w:r>
          </w:p>
          <w:p w:rsidR="004767B3" w:rsidRPr="00DA20F5" w:rsidRDefault="004767B3" w:rsidP="00D36FB8">
            <w:pPr>
              <w:jc w:val="center"/>
              <w:rPr>
                <w:b/>
                <w:color w:val="FFFFFF" w:themeColor="background1"/>
                <w:szCs w:val="22"/>
              </w:rPr>
            </w:pPr>
            <w:r w:rsidRPr="00DA20F5">
              <w:rPr>
                <w:b/>
                <w:color w:val="FFFFFF" w:themeColor="background1"/>
                <w:sz w:val="20"/>
                <w:szCs w:val="20"/>
              </w:rPr>
              <w:t xml:space="preserve"> na opatrovanie v €</w:t>
            </w:r>
          </w:p>
        </w:tc>
        <w:tc>
          <w:tcPr>
            <w:tcW w:w="2552" w:type="dxa"/>
            <w:gridSpan w:val="2"/>
            <w:shd w:val="clear" w:color="auto" w:fill="4F81BD" w:themeFill="accent1"/>
            <w:tcMar>
              <w:top w:w="0" w:type="dxa"/>
              <w:left w:w="0" w:type="dxa"/>
              <w:bottom w:w="0" w:type="dxa"/>
              <w:right w:w="0" w:type="dxa"/>
            </w:tcMar>
          </w:tcPr>
          <w:p w:rsidR="004767B3" w:rsidRPr="00DA20F5" w:rsidRDefault="004767B3" w:rsidP="00D36FB8">
            <w:pPr>
              <w:jc w:val="center"/>
              <w:rPr>
                <w:b/>
                <w:color w:val="FFFFFF" w:themeColor="background1"/>
                <w:sz w:val="20"/>
                <w:szCs w:val="20"/>
              </w:rPr>
            </w:pPr>
            <w:r w:rsidRPr="00DA20F5">
              <w:rPr>
                <w:b/>
                <w:color w:val="FFFFFF" w:themeColor="background1"/>
                <w:sz w:val="20"/>
                <w:szCs w:val="20"/>
              </w:rPr>
              <w:t xml:space="preserve">Priemerný mesačný počet </w:t>
            </w:r>
          </w:p>
          <w:p w:rsidR="004767B3" w:rsidRPr="00DA20F5" w:rsidRDefault="004767B3" w:rsidP="00D36FB8">
            <w:pPr>
              <w:jc w:val="center"/>
              <w:rPr>
                <w:b/>
                <w:color w:val="FFFFFF" w:themeColor="background1"/>
                <w:szCs w:val="22"/>
              </w:rPr>
            </w:pPr>
            <w:r w:rsidRPr="00DA20F5">
              <w:rPr>
                <w:b/>
                <w:color w:val="FFFFFF" w:themeColor="background1"/>
                <w:sz w:val="20"/>
                <w:szCs w:val="20"/>
              </w:rPr>
              <w:t>poberateľov</w:t>
            </w:r>
            <w:r w:rsidR="00AC5AAB" w:rsidRPr="00DA20F5">
              <w:rPr>
                <w:b/>
                <w:color w:val="FFFFFF" w:themeColor="background1"/>
                <w:sz w:val="20"/>
                <w:szCs w:val="20"/>
              </w:rPr>
              <w:t xml:space="preserve"> </w:t>
            </w:r>
            <w:r w:rsidRPr="00DA20F5">
              <w:rPr>
                <w:b/>
                <w:color w:val="FFFFFF" w:themeColor="background1"/>
                <w:sz w:val="20"/>
                <w:szCs w:val="20"/>
              </w:rPr>
              <w:t>PP na opatrovanie</w:t>
            </w:r>
          </w:p>
        </w:tc>
      </w:tr>
      <w:tr w:rsidR="004767B3" w:rsidRPr="00DA20F5" w:rsidTr="00C51124">
        <w:tc>
          <w:tcPr>
            <w:tcW w:w="3833" w:type="dxa"/>
            <w:tcMar>
              <w:top w:w="0" w:type="dxa"/>
              <w:left w:w="0" w:type="dxa"/>
              <w:bottom w:w="0" w:type="dxa"/>
              <w:right w:w="0" w:type="dxa"/>
            </w:tcMar>
          </w:tcPr>
          <w:p w:rsidR="004767B3" w:rsidRPr="00DA20F5" w:rsidRDefault="004767B3" w:rsidP="00D36FB8">
            <w:pPr>
              <w:rPr>
                <w:szCs w:val="22"/>
              </w:rPr>
            </w:pPr>
            <w:r w:rsidRPr="00DA20F5">
              <w:rPr>
                <w:b/>
                <w:bCs/>
                <w:szCs w:val="22"/>
              </w:rPr>
              <w:t>Peňažný príspevok na opatrovanie</w:t>
            </w:r>
          </w:p>
        </w:tc>
        <w:tc>
          <w:tcPr>
            <w:tcW w:w="1275" w:type="dxa"/>
            <w:tcMar>
              <w:top w:w="0" w:type="dxa"/>
              <w:left w:w="0" w:type="dxa"/>
              <w:bottom w:w="0" w:type="dxa"/>
              <w:right w:w="0" w:type="dxa"/>
            </w:tcMar>
          </w:tcPr>
          <w:p w:rsidR="004767B3" w:rsidRPr="00DA20F5" w:rsidRDefault="004767B3" w:rsidP="00D36FB8">
            <w:pPr>
              <w:jc w:val="center"/>
              <w:rPr>
                <w:szCs w:val="22"/>
              </w:rPr>
            </w:pPr>
            <w:r w:rsidRPr="00DA20F5">
              <w:rPr>
                <w:szCs w:val="22"/>
              </w:rPr>
              <w:t xml:space="preserve">v roku </w:t>
            </w:r>
          </w:p>
          <w:p w:rsidR="004767B3" w:rsidRPr="00DA20F5" w:rsidRDefault="004767B3" w:rsidP="00D36FB8">
            <w:pPr>
              <w:jc w:val="center"/>
              <w:rPr>
                <w:szCs w:val="22"/>
              </w:rPr>
            </w:pPr>
            <w:r w:rsidRPr="00DA20F5">
              <w:rPr>
                <w:szCs w:val="22"/>
              </w:rPr>
              <w:t>2010</w:t>
            </w:r>
          </w:p>
        </w:tc>
        <w:tc>
          <w:tcPr>
            <w:tcW w:w="1134" w:type="dxa"/>
            <w:tcMar>
              <w:top w:w="0" w:type="dxa"/>
              <w:left w:w="0" w:type="dxa"/>
              <w:bottom w:w="0" w:type="dxa"/>
              <w:right w:w="0" w:type="dxa"/>
            </w:tcMar>
          </w:tcPr>
          <w:p w:rsidR="004767B3" w:rsidRPr="00DA20F5" w:rsidRDefault="004767B3" w:rsidP="00D36FB8">
            <w:pPr>
              <w:jc w:val="center"/>
              <w:rPr>
                <w:szCs w:val="22"/>
              </w:rPr>
            </w:pPr>
            <w:r w:rsidRPr="00DA20F5">
              <w:rPr>
                <w:szCs w:val="22"/>
              </w:rPr>
              <w:t>v roku</w:t>
            </w:r>
          </w:p>
          <w:p w:rsidR="004767B3" w:rsidRPr="00DA20F5" w:rsidRDefault="004767B3" w:rsidP="00D36FB8">
            <w:pPr>
              <w:jc w:val="center"/>
              <w:rPr>
                <w:szCs w:val="22"/>
              </w:rPr>
            </w:pPr>
            <w:r w:rsidRPr="00DA20F5">
              <w:rPr>
                <w:szCs w:val="22"/>
              </w:rPr>
              <w:t>2011</w:t>
            </w:r>
          </w:p>
        </w:tc>
        <w:tc>
          <w:tcPr>
            <w:tcW w:w="1276" w:type="dxa"/>
            <w:tcMar>
              <w:top w:w="0" w:type="dxa"/>
              <w:left w:w="0" w:type="dxa"/>
              <w:bottom w:w="0" w:type="dxa"/>
              <w:right w:w="0" w:type="dxa"/>
            </w:tcMar>
          </w:tcPr>
          <w:p w:rsidR="004767B3" w:rsidRPr="00DA20F5" w:rsidRDefault="004767B3" w:rsidP="00D36FB8">
            <w:pPr>
              <w:jc w:val="center"/>
              <w:rPr>
                <w:szCs w:val="22"/>
              </w:rPr>
            </w:pPr>
            <w:r w:rsidRPr="00DA20F5">
              <w:rPr>
                <w:szCs w:val="22"/>
              </w:rPr>
              <w:t xml:space="preserve">v roku </w:t>
            </w:r>
          </w:p>
          <w:p w:rsidR="004767B3" w:rsidRPr="00DA20F5" w:rsidRDefault="004767B3" w:rsidP="00D36FB8">
            <w:pPr>
              <w:jc w:val="center"/>
              <w:rPr>
                <w:szCs w:val="22"/>
              </w:rPr>
            </w:pPr>
            <w:r w:rsidRPr="00DA20F5">
              <w:rPr>
                <w:szCs w:val="22"/>
              </w:rPr>
              <w:t>2010</w:t>
            </w:r>
          </w:p>
        </w:tc>
        <w:tc>
          <w:tcPr>
            <w:tcW w:w="1276" w:type="dxa"/>
            <w:tcMar>
              <w:top w:w="0" w:type="dxa"/>
              <w:left w:w="0" w:type="dxa"/>
              <w:bottom w:w="0" w:type="dxa"/>
              <w:right w:w="0" w:type="dxa"/>
            </w:tcMar>
          </w:tcPr>
          <w:p w:rsidR="004767B3" w:rsidRPr="00DA20F5" w:rsidRDefault="004767B3" w:rsidP="00D36FB8">
            <w:pPr>
              <w:jc w:val="center"/>
              <w:rPr>
                <w:szCs w:val="22"/>
              </w:rPr>
            </w:pPr>
            <w:r w:rsidRPr="00DA20F5">
              <w:rPr>
                <w:szCs w:val="22"/>
              </w:rPr>
              <w:t>v roku</w:t>
            </w:r>
          </w:p>
          <w:p w:rsidR="004767B3" w:rsidRPr="00DA20F5" w:rsidRDefault="004767B3" w:rsidP="00D36FB8">
            <w:pPr>
              <w:jc w:val="center"/>
              <w:rPr>
                <w:szCs w:val="22"/>
              </w:rPr>
            </w:pPr>
            <w:r w:rsidRPr="00DA20F5">
              <w:rPr>
                <w:szCs w:val="22"/>
              </w:rPr>
              <w:t>2011</w:t>
            </w:r>
          </w:p>
        </w:tc>
      </w:tr>
      <w:tr w:rsidR="004767B3" w:rsidRPr="00DA20F5" w:rsidTr="00C51124">
        <w:tc>
          <w:tcPr>
            <w:tcW w:w="3833" w:type="dxa"/>
            <w:tcMar>
              <w:top w:w="0" w:type="dxa"/>
              <w:left w:w="0" w:type="dxa"/>
              <w:bottom w:w="0" w:type="dxa"/>
              <w:right w:w="0" w:type="dxa"/>
            </w:tcMar>
          </w:tcPr>
          <w:p w:rsidR="004767B3" w:rsidRPr="00DA20F5" w:rsidRDefault="004767B3" w:rsidP="00D36FB8">
            <w:pPr>
              <w:jc w:val="left"/>
              <w:rPr>
                <w:szCs w:val="22"/>
              </w:rPr>
            </w:pPr>
            <w:r w:rsidRPr="00DA20F5">
              <w:rPr>
                <w:szCs w:val="22"/>
              </w:rPr>
              <w:t>1. FO</w:t>
            </w:r>
            <w:r w:rsidR="0036562F" w:rsidRPr="00DA20F5">
              <w:rPr>
                <w:szCs w:val="22"/>
                <w:vertAlign w:val="superscript"/>
              </w:rPr>
              <w:t>1</w:t>
            </w:r>
            <w:r w:rsidRPr="00DA20F5">
              <w:rPr>
                <w:szCs w:val="22"/>
                <w:vertAlign w:val="superscript"/>
              </w:rPr>
              <w:t>)</w:t>
            </w:r>
            <w:r w:rsidRPr="00DA20F5">
              <w:rPr>
                <w:szCs w:val="22"/>
              </w:rPr>
              <w:t xml:space="preserve"> poberajúca dôchodkovú dávku </w:t>
            </w:r>
          </w:p>
        </w:tc>
        <w:tc>
          <w:tcPr>
            <w:tcW w:w="1275"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82,26</w:t>
            </w:r>
          </w:p>
        </w:tc>
        <w:tc>
          <w:tcPr>
            <w:tcW w:w="1134"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83,26</w:t>
            </w:r>
            <w:r w:rsidR="00AC5AAB" w:rsidRPr="00DA20F5">
              <w:rPr>
                <w:szCs w:val="22"/>
              </w:rPr>
              <w:t xml:space="preserve"> </w:t>
            </w:r>
          </w:p>
        </w:tc>
        <w:tc>
          <w:tcPr>
            <w:tcW w:w="1276" w:type="dxa"/>
            <w:tcMar>
              <w:top w:w="0" w:type="dxa"/>
              <w:left w:w="0" w:type="dxa"/>
              <w:bottom w:w="0" w:type="dxa"/>
              <w:right w:w="0" w:type="dxa"/>
            </w:tcMar>
          </w:tcPr>
          <w:p w:rsidR="004767B3" w:rsidRPr="00DA20F5" w:rsidRDefault="004767B3" w:rsidP="00D36FB8">
            <w:pPr>
              <w:rPr>
                <w:szCs w:val="22"/>
              </w:rPr>
            </w:pPr>
          </w:p>
          <w:p w:rsidR="004767B3" w:rsidRPr="00DA20F5" w:rsidRDefault="004767B3" w:rsidP="00D36FB8">
            <w:pPr>
              <w:jc w:val="center"/>
              <w:rPr>
                <w:szCs w:val="22"/>
              </w:rPr>
            </w:pPr>
            <w:r w:rsidRPr="00DA20F5">
              <w:rPr>
                <w:bCs/>
                <w:szCs w:val="22"/>
              </w:rPr>
              <w:t>16 328</w:t>
            </w:r>
          </w:p>
        </w:tc>
        <w:tc>
          <w:tcPr>
            <w:tcW w:w="1276"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19 048</w:t>
            </w:r>
          </w:p>
        </w:tc>
      </w:tr>
      <w:tr w:rsidR="004767B3" w:rsidRPr="00DA20F5" w:rsidTr="00C51124">
        <w:tc>
          <w:tcPr>
            <w:tcW w:w="3833" w:type="dxa"/>
            <w:tcMar>
              <w:top w:w="0" w:type="dxa"/>
              <w:left w:w="0" w:type="dxa"/>
              <w:bottom w:w="0" w:type="dxa"/>
              <w:right w:w="0" w:type="dxa"/>
            </w:tcMar>
          </w:tcPr>
          <w:p w:rsidR="004767B3" w:rsidRPr="00DA20F5" w:rsidRDefault="004767B3" w:rsidP="00D36FB8">
            <w:pPr>
              <w:jc w:val="left"/>
              <w:rPr>
                <w:szCs w:val="22"/>
              </w:rPr>
            </w:pPr>
            <w:r w:rsidRPr="00DA20F5">
              <w:rPr>
                <w:szCs w:val="22"/>
              </w:rPr>
              <w:t>2. FO nepoberajúca dôchodkovú dávku</w:t>
            </w:r>
          </w:p>
        </w:tc>
        <w:tc>
          <w:tcPr>
            <w:tcW w:w="1275"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168,10</w:t>
            </w:r>
          </w:p>
        </w:tc>
        <w:tc>
          <w:tcPr>
            <w:tcW w:w="1134"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165,43</w:t>
            </w:r>
          </w:p>
        </w:tc>
        <w:tc>
          <w:tcPr>
            <w:tcW w:w="1276" w:type="dxa"/>
            <w:tcMar>
              <w:top w:w="0" w:type="dxa"/>
              <w:left w:w="0" w:type="dxa"/>
              <w:bottom w:w="0" w:type="dxa"/>
              <w:right w:w="0" w:type="dxa"/>
            </w:tcMar>
          </w:tcPr>
          <w:p w:rsidR="004767B3" w:rsidRPr="00DA20F5" w:rsidRDefault="004767B3" w:rsidP="00D36FB8">
            <w:pPr>
              <w:rPr>
                <w:szCs w:val="22"/>
              </w:rPr>
            </w:pPr>
          </w:p>
          <w:p w:rsidR="004767B3" w:rsidRPr="00DA20F5" w:rsidRDefault="004767B3" w:rsidP="00D36FB8">
            <w:pPr>
              <w:jc w:val="center"/>
              <w:rPr>
                <w:szCs w:val="22"/>
              </w:rPr>
            </w:pPr>
            <w:r w:rsidRPr="00DA20F5">
              <w:rPr>
                <w:bCs/>
                <w:szCs w:val="22"/>
              </w:rPr>
              <w:t>35 817</w:t>
            </w:r>
          </w:p>
        </w:tc>
        <w:tc>
          <w:tcPr>
            <w:tcW w:w="1276"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35 661</w:t>
            </w:r>
          </w:p>
        </w:tc>
      </w:tr>
      <w:tr w:rsidR="004767B3" w:rsidRPr="00DA20F5" w:rsidTr="00C51124">
        <w:tc>
          <w:tcPr>
            <w:tcW w:w="3833" w:type="dxa"/>
            <w:tcMar>
              <w:top w:w="0" w:type="dxa"/>
              <w:left w:w="0" w:type="dxa"/>
              <w:bottom w:w="0" w:type="dxa"/>
              <w:right w:w="0" w:type="dxa"/>
            </w:tcMar>
          </w:tcPr>
          <w:p w:rsidR="004767B3" w:rsidRPr="00DA20F5" w:rsidRDefault="004767B3" w:rsidP="00D36FB8">
            <w:pPr>
              <w:jc w:val="left"/>
              <w:rPr>
                <w:szCs w:val="22"/>
              </w:rPr>
            </w:pPr>
            <w:r w:rsidRPr="00DA20F5">
              <w:rPr>
                <w:szCs w:val="22"/>
              </w:rPr>
              <w:t>3. FO poberajúce príspevok podľa prechodného ustanovenia</w:t>
            </w:r>
          </w:p>
        </w:tc>
        <w:tc>
          <w:tcPr>
            <w:tcW w:w="1275"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88,50</w:t>
            </w:r>
          </w:p>
        </w:tc>
        <w:tc>
          <w:tcPr>
            <w:tcW w:w="1134"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90,21</w:t>
            </w:r>
          </w:p>
        </w:tc>
        <w:tc>
          <w:tcPr>
            <w:tcW w:w="1276" w:type="dxa"/>
            <w:tcMar>
              <w:top w:w="0" w:type="dxa"/>
              <w:left w:w="0" w:type="dxa"/>
              <w:bottom w:w="0" w:type="dxa"/>
              <w:right w:w="0" w:type="dxa"/>
            </w:tcMar>
            <w:vAlign w:val="bottom"/>
          </w:tcPr>
          <w:p w:rsidR="004767B3" w:rsidRPr="00DA20F5" w:rsidRDefault="004767B3" w:rsidP="00D36FB8">
            <w:pPr>
              <w:jc w:val="center"/>
              <w:rPr>
                <w:szCs w:val="22"/>
              </w:rPr>
            </w:pPr>
            <w:r w:rsidRPr="00DA20F5">
              <w:rPr>
                <w:bCs/>
                <w:szCs w:val="22"/>
              </w:rPr>
              <w:t>3 788</w:t>
            </w:r>
          </w:p>
        </w:tc>
        <w:tc>
          <w:tcPr>
            <w:tcW w:w="1276" w:type="dxa"/>
            <w:tcMar>
              <w:top w:w="0" w:type="dxa"/>
              <w:left w:w="0" w:type="dxa"/>
              <w:bottom w:w="0" w:type="dxa"/>
              <w:right w:w="0" w:type="dxa"/>
            </w:tcMar>
            <w:vAlign w:val="bottom"/>
          </w:tcPr>
          <w:p w:rsidR="004767B3" w:rsidRPr="00DA20F5" w:rsidRDefault="004767B3" w:rsidP="00D36FB8">
            <w:pPr>
              <w:jc w:val="center"/>
              <w:rPr>
                <w:szCs w:val="22"/>
              </w:rPr>
            </w:pPr>
            <w:r w:rsidRPr="00DA20F5">
              <w:rPr>
                <w:szCs w:val="22"/>
              </w:rPr>
              <w:t>2 428</w:t>
            </w:r>
          </w:p>
        </w:tc>
      </w:tr>
      <w:tr w:rsidR="004767B3" w:rsidRPr="00DA20F5" w:rsidTr="00C51124">
        <w:tc>
          <w:tcPr>
            <w:tcW w:w="3833" w:type="dxa"/>
            <w:tcMar>
              <w:top w:w="0" w:type="dxa"/>
              <w:left w:w="0" w:type="dxa"/>
              <w:bottom w:w="0" w:type="dxa"/>
              <w:right w:w="0" w:type="dxa"/>
            </w:tcMar>
          </w:tcPr>
          <w:p w:rsidR="004767B3" w:rsidRPr="00DA20F5" w:rsidRDefault="004767B3" w:rsidP="00D36FB8">
            <w:pPr>
              <w:jc w:val="left"/>
              <w:rPr>
                <w:szCs w:val="22"/>
              </w:rPr>
            </w:pPr>
            <w:r w:rsidRPr="00DA20F5">
              <w:rPr>
                <w:b/>
                <w:bCs/>
                <w:szCs w:val="22"/>
              </w:rPr>
              <w:t>Peňažný príspevok na opatrovanie SPOLU</w:t>
            </w:r>
          </w:p>
        </w:tc>
        <w:tc>
          <w:tcPr>
            <w:tcW w:w="1275" w:type="dxa"/>
            <w:tcMar>
              <w:top w:w="0" w:type="dxa"/>
              <w:left w:w="0" w:type="dxa"/>
              <w:bottom w:w="0" w:type="dxa"/>
              <w:right w:w="0" w:type="dxa"/>
            </w:tcMar>
            <w:vAlign w:val="bottom"/>
          </w:tcPr>
          <w:p w:rsidR="004767B3" w:rsidRPr="00DA20F5" w:rsidRDefault="004767B3" w:rsidP="00D36FB8">
            <w:pPr>
              <w:jc w:val="center"/>
              <w:rPr>
                <w:szCs w:val="22"/>
              </w:rPr>
            </w:pPr>
            <w:r w:rsidRPr="00DA20F5">
              <w:rPr>
                <w:b/>
                <w:bCs/>
                <w:szCs w:val="22"/>
              </w:rPr>
              <w:t>137,65</w:t>
            </w:r>
          </w:p>
        </w:tc>
        <w:tc>
          <w:tcPr>
            <w:tcW w:w="1134" w:type="dxa"/>
            <w:tcMar>
              <w:top w:w="0" w:type="dxa"/>
              <w:left w:w="0" w:type="dxa"/>
              <w:bottom w:w="0" w:type="dxa"/>
              <w:right w:w="0" w:type="dxa"/>
            </w:tcMar>
            <w:vAlign w:val="bottom"/>
          </w:tcPr>
          <w:p w:rsidR="004767B3" w:rsidRPr="00DA20F5" w:rsidRDefault="004767B3" w:rsidP="00D36FB8">
            <w:pPr>
              <w:jc w:val="center"/>
              <w:rPr>
                <w:b/>
                <w:szCs w:val="22"/>
              </w:rPr>
            </w:pPr>
            <w:r w:rsidRPr="00DA20F5">
              <w:rPr>
                <w:b/>
                <w:szCs w:val="22"/>
              </w:rPr>
              <w:t>134,75</w:t>
            </w:r>
          </w:p>
        </w:tc>
        <w:tc>
          <w:tcPr>
            <w:tcW w:w="1276" w:type="dxa"/>
            <w:tcMar>
              <w:top w:w="0" w:type="dxa"/>
              <w:left w:w="0" w:type="dxa"/>
              <w:bottom w:w="0" w:type="dxa"/>
              <w:right w:w="0" w:type="dxa"/>
            </w:tcMar>
            <w:vAlign w:val="bottom"/>
          </w:tcPr>
          <w:p w:rsidR="004767B3" w:rsidRPr="00DA20F5" w:rsidRDefault="004767B3" w:rsidP="00D36FB8">
            <w:pPr>
              <w:jc w:val="center"/>
              <w:rPr>
                <w:b/>
                <w:szCs w:val="22"/>
              </w:rPr>
            </w:pPr>
            <w:r w:rsidRPr="00DA20F5">
              <w:rPr>
                <w:b/>
                <w:szCs w:val="22"/>
              </w:rPr>
              <w:t>55 933</w:t>
            </w:r>
          </w:p>
        </w:tc>
        <w:tc>
          <w:tcPr>
            <w:tcW w:w="1276" w:type="dxa"/>
            <w:tcMar>
              <w:top w:w="0" w:type="dxa"/>
              <w:left w:w="0" w:type="dxa"/>
              <w:bottom w:w="0" w:type="dxa"/>
              <w:right w:w="0" w:type="dxa"/>
            </w:tcMar>
            <w:vAlign w:val="bottom"/>
          </w:tcPr>
          <w:p w:rsidR="004767B3" w:rsidRPr="00DA20F5" w:rsidRDefault="004767B3" w:rsidP="00D36FB8">
            <w:pPr>
              <w:jc w:val="center"/>
              <w:rPr>
                <w:b/>
                <w:szCs w:val="22"/>
              </w:rPr>
            </w:pPr>
            <w:r w:rsidRPr="00DA20F5">
              <w:rPr>
                <w:b/>
                <w:szCs w:val="22"/>
              </w:rPr>
              <w:t>57 175</w:t>
            </w:r>
          </w:p>
        </w:tc>
      </w:tr>
    </w:tbl>
    <w:p w:rsidR="00B55B9E" w:rsidRPr="00DA20F5" w:rsidRDefault="00307230" w:rsidP="00D36FB8">
      <w:pPr>
        <w:pStyle w:val="zdroj"/>
        <w:spacing w:after="0"/>
      </w:pPr>
      <w:r w:rsidRPr="00DA20F5">
        <w:t>Zdroj: ÚPSVR</w:t>
      </w:r>
    </w:p>
    <w:p w:rsidR="00AC5AAB" w:rsidRPr="00DA20F5" w:rsidRDefault="0036562F" w:rsidP="00D36FB8">
      <w:pPr>
        <w:pStyle w:val="zdroj"/>
        <w:spacing w:before="0"/>
      </w:pPr>
      <w:r w:rsidRPr="00DA20F5">
        <w:rPr>
          <w:vertAlign w:val="superscript"/>
        </w:rPr>
        <w:t>1</w:t>
      </w:r>
      <w:r w:rsidR="004767B3" w:rsidRPr="00DA20F5">
        <w:rPr>
          <w:vertAlign w:val="superscript"/>
        </w:rPr>
        <w:t>)</w:t>
      </w:r>
      <w:r w:rsidR="00AC5AAB" w:rsidRPr="00DA20F5">
        <w:rPr>
          <w:vertAlign w:val="superscript"/>
        </w:rPr>
        <w:t xml:space="preserve"> </w:t>
      </w:r>
      <w:r w:rsidR="004767B3" w:rsidRPr="00DA20F5">
        <w:t>FO- fyzická osoba, poberajúca peňažný príspevok na opatrovanie (poberateľ)</w:t>
      </w:r>
    </w:p>
    <w:p w:rsidR="004767B3" w:rsidRPr="00DA20F5" w:rsidRDefault="004767B3" w:rsidP="00D36FB8">
      <w:pPr>
        <w:ind w:firstLine="567"/>
        <w:rPr>
          <w:szCs w:val="22"/>
        </w:rPr>
      </w:pPr>
      <w:r w:rsidRPr="00DA20F5">
        <w:rPr>
          <w:szCs w:val="22"/>
        </w:rPr>
        <w:t xml:space="preserve">Napriek skutočnosti, že prijaté legislatívne zmeny účinné od 1. júla 2011 boli v prospech poberateľov peňažného príspevku na opatrovanie, v jeho priemernej mesačnej výške za celý rok 2011 sa ešte výrazne nepremietli (pokles priemernej mesačnej výšky o 2,9 </w:t>
      </w:r>
      <w:r w:rsidR="00702AA7" w:rsidRPr="00DA20F5">
        <w:rPr>
          <w:szCs w:val="22"/>
        </w:rPr>
        <w:t>€</w:t>
      </w:r>
      <w:r w:rsidRPr="00DA20F5">
        <w:rPr>
          <w:szCs w:val="22"/>
        </w:rPr>
        <w:t>). Avšak pri detailnejšom pohľade na vývin výšok peňažných príspevkov na opatrovanie poskytnutých za podmienok pred legislatívnymi zmenami a po nich je zrejmé, že priemerná mesačn</w:t>
      </w:r>
      <w:r w:rsidR="002E0641" w:rsidRPr="00DA20F5">
        <w:rPr>
          <w:szCs w:val="22"/>
        </w:rPr>
        <w:t xml:space="preserve">á výška peňažných príspevkov </w:t>
      </w:r>
      <w:r w:rsidR="002E0641" w:rsidRPr="00DA20F5">
        <w:rPr>
          <w:szCs w:val="22"/>
        </w:rPr>
        <w:lastRenderedPageBreak/>
        <w:t>na </w:t>
      </w:r>
      <w:r w:rsidRPr="00DA20F5">
        <w:rPr>
          <w:szCs w:val="22"/>
        </w:rPr>
        <w:t>opatrovanie vyplatených za obdobie účinnosti uvedených zmien sa zvýšila. Túto skutočnosť je možné vidieť v</w:t>
      </w:r>
      <w:r w:rsidR="000D6C62" w:rsidRPr="00DA20F5">
        <w:rPr>
          <w:szCs w:val="22"/>
        </w:rPr>
        <w:t> porovnávajúcej</w:t>
      </w:r>
      <w:r w:rsidR="00AC5AAB" w:rsidRPr="00DA20F5">
        <w:rPr>
          <w:szCs w:val="22"/>
        </w:rPr>
        <w:t xml:space="preserve"> </w:t>
      </w:r>
      <w:r w:rsidRPr="00DA20F5">
        <w:rPr>
          <w:szCs w:val="22"/>
        </w:rPr>
        <w:t>tabuľke</w:t>
      </w:r>
      <w:r w:rsidR="000D6C62" w:rsidRPr="00DA20F5">
        <w:rPr>
          <w:szCs w:val="22"/>
        </w:rPr>
        <w:t>:</w:t>
      </w:r>
      <w:r w:rsidRPr="00DA20F5">
        <w:rPr>
          <w:szCs w:val="22"/>
        </w:rPr>
        <w:t xml:space="preserve"> </w:t>
      </w:r>
    </w:p>
    <w:p w:rsidR="00184541" w:rsidRPr="00DA20F5" w:rsidRDefault="00184541" w:rsidP="00184541">
      <w:pPr>
        <w:pStyle w:val="Nadpis7"/>
        <w:spacing w:before="120"/>
      </w:pPr>
      <w:bookmarkStart w:id="1224" w:name="_Toc325438229"/>
      <w:bookmarkStart w:id="1225" w:name="_Toc325440997"/>
      <w:bookmarkStart w:id="1226" w:name="_Toc325626810"/>
      <w:bookmarkStart w:id="1227" w:name="_Toc326217071"/>
      <w:r w:rsidRPr="00DA20F5">
        <w:t>Graf 3.1</w:t>
      </w:r>
      <w:r>
        <w:t>9</w:t>
      </w:r>
      <w:r w:rsidRPr="00DA20F5">
        <w:t xml:space="preserve"> </w:t>
      </w:r>
      <w:r w:rsidRPr="00DA20F5">
        <w:rPr>
          <w:bCs/>
        </w:rPr>
        <w:t>Vývoj počtu poberateľov PP na opatrovanie v roku 2010 a 2011</w:t>
      </w:r>
    </w:p>
    <w:p w:rsidR="00184541" w:rsidRPr="00DA20F5" w:rsidRDefault="00184541" w:rsidP="00184541">
      <w:pPr>
        <w:pStyle w:val="zdroj"/>
        <w:ind w:firstLine="0"/>
        <w:jc w:val="center"/>
      </w:pPr>
      <w:r w:rsidRPr="00DA20F5">
        <w:rPr>
          <w:noProof/>
        </w:rPr>
        <w:drawing>
          <wp:inline distT="0" distB="0" distL="0" distR="0" wp14:anchorId="66251937" wp14:editId="384532AA">
            <wp:extent cx="4054415" cy="2553419"/>
            <wp:effectExtent l="0" t="0" r="3810" b="0"/>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84541" w:rsidRPr="00DA20F5" w:rsidRDefault="00184541" w:rsidP="00184541">
      <w:pPr>
        <w:pStyle w:val="zdroj"/>
      </w:pPr>
      <w:r w:rsidRPr="00DA20F5">
        <w:t>Zdroj: APV ISOP</w:t>
      </w:r>
    </w:p>
    <w:p w:rsidR="004767B3" w:rsidRPr="00DA20F5" w:rsidRDefault="000B3663" w:rsidP="00D36FB8">
      <w:pPr>
        <w:pStyle w:val="Nadpis7"/>
      </w:pPr>
      <w:r w:rsidRPr="00DA20F5">
        <w:rPr>
          <w:bCs/>
          <w:iCs/>
          <w:lang w:eastAsia="cs-CZ"/>
        </w:rPr>
        <w:t>Tab. 3.23</w:t>
      </w:r>
      <w:r w:rsidR="00AC5AAB" w:rsidRPr="00DA20F5">
        <w:rPr>
          <w:bCs/>
          <w:iCs/>
          <w:lang w:eastAsia="cs-CZ"/>
        </w:rPr>
        <w:t xml:space="preserve"> </w:t>
      </w:r>
      <w:r w:rsidR="004767B3" w:rsidRPr="00DA20F5">
        <w:t>Porovnanie výšok peňažných príspevkov na opatrovanie vyplatených v roku 2011 za obdobie pred legislatívnymi zmenami a za obdobie ich účinnosti.</w:t>
      </w:r>
      <w:bookmarkEnd w:id="1224"/>
      <w:bookmarkEnd w:id="1225"/>
      <w:bookmarkEnd w:id="1226"/>
      <w:bookmarkEnd w:id="1227"/>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5" w:type="dxa"/>
          <w:left w:w="15" w:type="dxa"/>
          <w:bottom w:w="15" w:type="dxa"/>
          <w:right w:w="15" w:type="dxa"/>
        </w:tblCellMar>
        <w:tblLook w:val="04A0" w:firstRow="1" w:lastRow="0" w:firstColumn="1" w:lastColumn="0" w:noHBand="0" w:noVBand="1"/>
      </w:tblPr>
      <w:tblGrid>
        <w:gridCol w:w="4258"/>
        <w:gridCol w:w="2551"/>
        <w:gridCol w:w="2268"/>
      </w:tblGrid>
      <w:tr w:rsidR="004767B3" w:rsidRPr="00DA20F5" w:rsidTr="00C51124">
        <w:tc>
          <w:tcPr>
            <w:tcW w:w="4258" w:type="dxa"/>
            <w:shd w:val="clear" w:color="auto" w:fill="4F81BD" w:themeFill="accent1"/>
            <w:tcMar>
              <w:top w:w="0" w:type="dxa"/>
              <w:left w:w="0" w:type="dxa"/>
              <w:bottom w:w="0" w:type="dxa"/>
              <w:right w:w="0" w:type="dxa"/>
            </w:tcMar>
          </w:tcPr>
          <w:p w:rsidR="004767B3" w:rsidRPr="00DA20F5" w:rsidRDefault="004767B3" w:rsidP="00D36FB8">
            <w:pPr>
              <w:rPr>
                <w:color w:val="FFFFFF" w:themeColor="background1"/>
                <w:szCs w:val="22"/>
              </w:rPr>
            </w:pPr>
          </w:p>
        </w:tc>
        <w:tc>
          <w:tcPr>
            <w:tcW w:w="4819" w:type="dxa"/>
            <w:gridSpan w:val="2"/>
            <w:shd w:val="clear" w:color="auto" w:fill="4F81BD" w:themeFill="accent1"/>
          </w:tcPr>
          <w:p w:rsidR="004767B3" w:rsidRPr="00DA20F5" w:rsidRDefault="004767B3" w:rsidP="0036562F">
            <w:pPr>
              <w:jc w:val="center"/>
              <w:rPr>
                <w:b/>
                <w:color w:val="FFFFFF" w:themeColor="background1"/>
                <w:szCs w:val="22"/>
              </w:rPr>
            </w:pPr>
            <w:r w:rsidRPr="00DA20F5">
              <w:rPr>
                <w:b/>
                <w:color w:val="FFFFFF" w:themeColor="background1"/>
                <w:szCs w:val="22"/>
              </w:rPr>
              <w:t>Priemerná</w:t>
            </w:r>
            <w:r w:rsidR="00AC5AAB" w:rsidRPr="00DA20F5">
              <w:rPr>
                <w:b/>
                <w:color w:val="FFFFFF" w:themeColor="background1"/>
                <w:szCs w:val="22"/>
              </w:rPr>
              <w:t xml:space="preserve"> </w:t>
            </w:r>
            <w:r w:rsidRPr="00DA20F5">
              <w:rPr>
                <w:b/>
                <w:color w:val="FFFFFF" w:themeColor="background1"/>
                <w:szCs w:val="22"/>
              </w:rPr>
              <w:t>výška PP na opatrovanie v €</w:t>
            </w:r>
          </w:p>
        </w:tc>
      </w:tr>
      <w:tr w:rsidR="004767B3" w:rsidRPr="00DA20F5" w:rsidTr="00C51124">
        <w:tc>
          <w:tcPr>
            <w:tcW w:w="4258" w:type="dxa"/>
            <w:tcMar>
              <w:top w:w="0" w:type="dxa"/>
              <w:left w:w="0" w:type="dxa"/>
              <w:bottom w:w="0" w:type="dxa"/>
              <w:right w:w="0" w:type="dxa"/>
            </w:tcMar>
          </w:tcPr>
          <w:p w:rsidR="004767B3" w:rsidRPr="00DA20F5" w:rsidRDefault="004767B3" w:rsidP="00D36FB8">
            <w:pPr>
              <w:rPr>
                <w:szCs w:val="22"/>
              </w:rPr>
            </w:pPr>
            <w:r w:rsidRPr="00DA20F5">
              <w:rPr>
                <w:b/>
                <w:bCs/>
                <w:szCs w:val="22"/>
              </w:rPr>
              <w:t>Peňažný príspevok na opatrovanie</w:t>
            </w:r>
          </w:p>
        </w:tc>
        <w:tc>
          <w:tcPr>
            <w:tcW w:w="2551" w:type="dxa"/>
            <w:tcMar>
              <w:top w:w="0" w:type="dxa"/>
              <w:left w:w="0" w:type="dxa"/>
              <w:bottom w:w="0" w:type="dxa"/>
              <w:right w:w="0" w:type="dxa"/>
            </w:tcMar>
          </w:tcPr>
          <w:p w:rsidR="004767B3" w:rsidRPr="00DA20F5" w:rsidRDefault="00702AA7" w:rsidP="00D36FB8">
            <w:pPr>
              <w:jc w:val="center"/>
              <w:rPr>
                <w:szCs w:val="22"/>
              </w:rPr>
            </w:pPr>
            <w:r w:rsidRPr="00DA20F5">
              <w:rPr>
                <w:szCs w:val="22"/>
              </w:rPr>
              <w:t>z</w:t>
            </w:r>
            <w:r w:rsidR="004767B3" w:rsidRPr="00DA20F5">
              <w:rPr>
                <w:szCs w:val="22"/>
              </w:rPr>
              <w:t>a obdobie január</w:t>
            </w:r>
            <w:r w:rsidR="00AC5AAB" w:rsidRPr="00DA20F5">
              <w:rPr>
                <w:szCs w:val="22"/>
              </w:rPr>
              <w:t xml:space="preserve"> </w:t>
            </w:r>
            <w:r w:rsidR="004767B3" w:rsidRPr="00DA20F5">
              <w:rPr>
                <w:szCs w:val="22"/>
              </w:rPr>
              <w:t>až júl 2011</w:t>
            </w:r>
            <w:r w:rsidR="0036562F" w:rsidRPr="00DA20F5">
              <w:rPr>
                <w:szCs w:val="22"/>
                <w:vertAlign w:val="superscript"/>
              </w:rPr>
              <w:t>1</w:t>
            </w:r>
            <w:r w:rsidR="004767B3" w:rsidRPr="00DA20F5">
              <w:rPr>
                <w:szCs w:val="22"/>
                <w:vertAlign w:val="superscript"/>
              </w:rPr>
              <w:t>)</w:t>
            </w:r>
          </w:p>
        </w:tc>
        <w:tc>
          <w:tcPr>
            <w:tcW w:w="2268" w:type="dxa"/>
            <w:tcMar>
              <w:top w:w="0" w:type="dxa"/>
              <w:left w:w="0" w:type="dxa"/>
              <w:bottom w:w="0" w:type="dxa"/>
              <w:right w:w="0" w:type="dxa"/>
            </w:tcMar>
          </w:tcPr>
          <w:p w:rsidR="004767B3" w:rsidRPr="00DA20F5" w:rsidRDefault="00702AA7" w:rsidP="00D36FB8">
            <w:pPr>
              <w:jc w:val="center"/>
              <w:rPr>
                <w:szCs w:val="22"/>
              </w:rPr>
            </w:pPr>
            <w:r w:rsidRPr="00DA20F5">
              <w:rPr>
                <w:szCs w:val="22"/>
              </w:rPr>
              <w:t>z</w:t>
            </w:r>
            <w:r w:rsidR="004767B3" w:rsidRPr="00DA20F5">
              <w:rPr>
                <w:szCs w:val="22"/>
              </w:rPr>
              <w:t>a obdobie august</w:t>
            </w:r>
          </w:p>
          <w:p w:rsidR="004767B3" w:rsidRPr="00DA20F5" w:rsidRDefault="004767B3" w:rsidP="00D36FB8">
            <w:pPr>
              <w:jc w:val="center"/>
              <w:rPr>
                <w:szCs w:val="22"/>
              </w:rPr>
            </w:pPr>
            <w:r w:rsidRPr="00DA20F5">
              <w:rPr>
                <w:szCs w:val="22"/>
              </w:rPr>
              <w:t xml:space="preserve"> až december 2011</w:t>
            </w:r>
            <w:r w:rsidR="0036562F" w:rsidRPr="00DA20F5">
              <w:rPr>
                <w:szCs w:val="22"/>
                <w:vertAlign w:val="superscript"/>
              </w:rPr>
              <w:t>2</w:t>
            </w:r>
            <w:r w:rsidRPr="00DA20F5">
              <w:rPr>
                <w:szCs w:val="22"/>
                <w:vertAlign w:val="superscript"/>
              </w:rPr>
              <w:t>)</w:t>
            </w:r>
          </w:p>
        </w:tc>
      </w:tr>
      <w:tr w:rsidR="004767B3" w:rsidRPr="00DA20F5" w:rsidTr="00C51124">
        <w:tc>
          <w:tcPr>
            <w:tcW w:w="4258" w:type="dxa"/>
            <w:tcMar>
              <w:top w:w="0" w:type="dxa"/>
              <w:left w:w="0" w:type="dxa"/>
              <w:bottom w:w="0" w:type="dxa"/>
              <w:right w:w="0" w:type="dxa"/>
            </w:tcMar>
          </w:tcPr>
          <w:p w:rsidR="004767B3" w:rsidRPr="00DA20F5" w:rsidRDefault="004767B3" w:rsidP="00D36FB8">
            <w:pPr>
              <w:rPr>
                <w:szCs w:val="22"/>
              </w:rPr>
            </w:pPr>
            <w:r w:rsidRPr="00DA20F5">
              <w:rPr>
                <w:szCs w:val="22"/>
              </w:rPr>
              <w:t>1. FO</w:t>
            </w:r>
            <w:r w:rsidR="0036562F" w:rsidRPr="00DA20F5">
              <w:rPr>
                <w:szCs w:val="22"/>
                <w:vertAlign w:val="superscript"/>
              </w:rPr>
              <w:t>3</w:t>
            </w:r>
            <w:r w:rsidRPr="00DA20F5">
              <w:rPr>
                <w:szCs w:val="22"/>
                <w:vertAlign w:val="superscript"/>
              </w:rPr>
              <w:t>)</w:t>
            </w:r>
            <w:r w:rsidRPr="00DA20F5">
              <w:rPr>
                <w:szCs w:val="22"/>
              </w:rPr>
              <w:t xml:space="preserve"> poberajúca dôchodkovú dávku </w:t>
            </w:r>
          </w:p>
        </w:tc>
        <w:tc>
          <w:tcPr>
            <w:tcW w:w="2551" w:type="dxa"/>
            <w:tcMar>
              <w:top w:w="0" w:type="dxa"/>
              <w:left w:w="0" w:type="dxa"/>
              <w:bottom w:w="0" w:type="dxa"/>
              <w:right w:w="0" w:type="dxa"/>
            </w:tcMar>
          </w:tcPr>
          <w:p w:rsidR="004767B3" w:rsidRPr="00DA20F5" w:rsidRDefault="004767B3" w:rsidP="00D36FB8">
            <w:pPr>
              <w:jc w:val="center"/>
              <w:rPr>
                <w:szCs w:val="22"/>
              </w:rPr>
            </w:pPr>
            <w:r w:rsidRPr="00DA20F5">
              <w:rPr>
                <w:szCs w:val="22"/>
              </w:rPr>
              <w:t>82,33</w:t>
            </w:r>
          </w:p>
        </w:tc>
        <w:tc>
          <w:tcPr>
            <w:tcW w:w="2268" w:type="dxa"/>
            <w:tcMar>
              <w:top w:w="0" w:type="dxa"/>
              <w:left w:w="0" w:type="dxa"/>
              <w:bottom w:w="0" w:type="dxa"/>
              <w:right w:w="0" w:type="dxa"/>
            </w:tcMar>
          </w:tcPr>
          <w:p w:rsidR="004767B3" w:rsidRPr="00DA20F5" w:rsidRDefault="004767B3" w:rsidP="00D36FB8">
            <w:pPr>
              <w:jc w:val="center"/>
              <w:rPr>
                <w:szCs w:val="22"/>
              </w:rPr>
            </w:pPr>
            <w:r w:rsidRPr="00DA20F5">
              <w:rPr>
                <w:szCs w:val="22"/>
              </w:rPr>
              <w:t>84,49</w:t>
            </w:r>
          </w:p>
        </w:tc>
      </w:tr>
      <w:tr w:rsidR="004767B3" w:rsidRPr="00DA20F5" w:rsidTr="00C51124">
        <w:tc>
          <w:tcPr>
            <w:tcW w:w="4258" w:type="dxa"/>
            <w:tcMar>
              <w:top w:w="0" w:type="dxa"/>
              <w:left w:w="0" w:type="dxa"/>
              <w:bottom w:w="0" w:type="dxa"/>
              <w:right w:w="0" w:type="dxa"/>
            </w:tcMar>
          </w:tcPr>
          <w:p w:rsidR="004767B3" w:rsidRPr="00DA20F5" w:rsidRDefault="004767B3" w:rsidP="00D36FB8">
            <w:pPr>
              <w:rPr>
                <w:szCs w:val="22"/>
              </w:rPr>
            </w:pPr>
            <w:r w:rsidRPr="00DA20F5">
              <w:rPr>
                <w:szCs w:val="22"/>
              </w:rPr>
              <w:t>2. FO nepoberajúca dôchodkovú dávku</w:t>
            </w:r>
          </w:p>
        </w:tc>
        <w:tc>
          <w:tcPr>
            <w:tcW w:w="2551" w:type="dxa"/>
            <w:tcMar>
              <w:top w:w="0" w:type="dxa"/>
              <w:left w:w="0" w:type="dxa"/>
              <w:bottom w:w="0" w:type="dxa"/>
              <w:right w:w="0" w:type="dxa"/>
            </w:tcMar>
          </w:tcPr>
          <w:p w:rsidR="004767B3" w:rsidRPr="00DA20F5" w:rsidRDefault="004767B3" w:rsidP="00D36FB8">
            <w:pPr>
              <w:jc w:val="center"/>
              <w:rPr>
                <w:szCs w:val="22"/>
              </w:rPr>
            </w:pPr>
            <w:r w:rsidRPr="00DA20F5">
              <w:rPr>
                <w:szCs w:val="22"/>
              </w:rPr>
              <w:t>159,11</w:t>
            </w:r>
          </w:p>
        </w:tc>
        <w:tc>
          <w:tcPr>
            <w:tcW w:w="2268" w:type="dxa"/>
            <w:tcMar>
              <w:top w:w="0" w:type="dxa"/>
              <w:left w:w="0" w:type="dxa"/>
              <w:bottom w:w="0" w:type="dxa"/>
              <w:right w:w="0" w:type="dxa"/>
            </w:tcMar>
          </w:tcPr>
          <w:p w:rsidR="004767B3" w:rsidRPr="00DA20F5" w:rsidRDefault="004767B3" w:rsidP="00D36FB8">
            <w:pPr>
              <w:jc w:val="center"/>
              <w:rPr>
                <w:szCs w:val="22"/>
              </w:rPr>
            </w:pPr>
            <w:r w:rsidRPr="00DA20F5">
              <w:rPr>
                <w:szCs w:val="22"/>
              </w:rPr>
              <w:t>174,27</w:t>
            </w:r>
          </w:p>
        </w:tc>
      </w:tr>
      <w:tr w:rsidR="004767B3" w:rsidRPr="00DA20F5" w:rsidTr="00C51124">
        <w:tc>
          <w:tcPr>
            <w:tcW w:w="4258" w:type="dxa"/>
            <w:tcMar>
              <w:top w:w="0" w:type="dxa"/>
              <w:left w:w="0" w:type="dxa"/>
              <w:bottom w:w="0" w:type="dxa"/>
              <w:right w:w="0" w:type="dxa"/>
            </w:tcMar>
          </w:tcPr>
          <w:p w:rsidR="004767B3" w:rsidRPr="00DA20F5" w:rsidRDefault="004767B3" w:rsidP="00D36FB8">
            <w:pPr>
              <w:rPr>
                <w:szCs w:val="22"/>
              </w:rPr>
            </w:pPr>
            <w:r w:rsidRPr="00DA20F5">
              <w:rPr>
                <w:szCs w:val="22"/>
              </w:rPr>
              <w:t>3. FO poberajúce príspevok podľa</w:t>
            </w:r>
          </w:p>
          <w:p w:rsidR="004767B3" w:rsidRPr="00DA20F5" w:rsidRDefault="004767B3" w:rsidP="00D36FB8">
            <w:pPr>
              <w:rPr>
                <w:szCs w:val="22"/>
              </w:rPr>
            </w:pPr>
            <w:r w:rsidRPr="00DA20F5">
              <w:rPr>
                <w:szCs w:val="22"/>
              </w:rPr>
              <w:t>prechodného</w:t>
            </w:r>
            <w:r w:rsidR="00AC5AAB" w:rsidRPr="00DA20F5">
              <w:rPr>
                <w:szCs w:val="22"/>
              </w:rPr>
              <w:t xml:space="preserve"> </w:t>
            </w:r>
            <w:r w:rsidRPr="00DA20F5">
              <w:rPr>
                <w:szCs w:val="22"/>
              </w:rPr>
              <w:t>ustanovenia</w:t>
            </w:r>
          </w:p>
        </w:tc>
        <w:tc>
          <w:tcPr>
            <w:tcW w:w="2551" w:type="dxa"/>
            <w:tcMar>
              <w:top w:w="0" w:type="dxa"/>
              <w:left w:w="0" w:type="dxa"/>
              <w:bottom w:w="0" w:type="dxa"/>
              <w:right w:w="0" w:type="dxa"/>
            </w:tcMar>
          </w:tcPr>
          <w:p w:rsidR="004767B3" w:rsidRPr="00DA20F5" w:rsidRDefault="004767B3" w:rsidP="00D36FB8">
            <w:pPr>
              <w:rPr>
                <w:szCs w:val="22"/>
              </w:rPr>
            </w:pPr>
          </w:p>
          <w:p w:rsidR="004767B3" w:rsidRPr="00DA20F5" w:rsidRDefault="004767B3" w:rsidP="00D36FB8">
            <w:pPr>
              <w:jc w:val="center"/>
              <w:rPr>
                <w:szCs w:val="22"/>
              </w:rPr>
            </w:pPr>
            <w:r w:rsidRPr="00DA20F5">
              <w:rPr>
                <w:szCs w:val="22"/>
              </w:rPr>
              <w:t>89,45</w:t>
            </w:r>
          </w:p>
        </w:tc>
        <w:tc>
          <w:tcPr>
            <w:tcW w:w="2268" w:type="dxa"/>
            <w:tcMar>
              <w:top w:w="0" w:type="dxa"/>
              <w:left w:w="0" w:type="dxa"/>
              <w:bottom w:w="0" w:type="dxa"/>
              <w:right w:w="0" w:type="dxa"/>
            </w:tcMar>
          </w:tcPr>
          <w:p w:rsidR="004767B3" w:rsidRPr="00DA20F5" w:rsidRDefault="004767B3" w:rsidP="00D36FB8">
            <w:pPr>
              <w:rPr>
                <w:szCs w:val="22"/>
              </w:rPr>
            </w:pPr>
          </w:p>
          <w:p w:rsidR="004767B3" w:rsidRPr="00DA20F5" w:rsidRDefault="004767B3" w:rsidP="00D36FB8">
            <w:pPr>
              <w:jc w:val="center"/>
              <w:rPr>
                <w:szCs w:val="22"/>
              </w:rPr>
            </w:pPr>
            <w:r w:rsidRPr="00DA20F5">
              <w:rPr>
                <w:szCs w:val="22"/>
              </w:rPr>
              <w:t>91,54</w:t>
            </w:r>
          </w:p>
        </w:tc>
      </w:tr>
      <w:tr w:rsidR="004767B3" w:rsidRPr="00DA20F5" w:rsidTr="00C51124">
        <w:tc>
          <w:tcPr>
            <w:tcW w:w="4258" w:type="dxa"/>
            <w:tcMar>
              <w:top w:w="0" w:type="dxa"/>
              <w:left w:w="0" w:type="dxa"/>
              <w:bottom w:w="0" w:type="dxa"/>
              <w:right w:w="0" w:type="dxa"/>
            </w:tcMar>
          </w:tcPr>
          <w:p w:rsidR="004767B3" w:rsidRPr="00DA20F5" w:rsidRDefault="004767B3" w:rsidP="00D36FB8">
            <w:pPr>
              <w:rPr>
                <w:szCs w:val="22"/>
              </w:rPr>
            </w:pPr>
            <w:r w:rsidRPr="00DA20F5">
              <w:rPr>
                <w:b/>
                <w:bCs/>
                <w:szCs w:val="22"/>
              </w:rPr>
              <w:t>Peňažný príspevok na opatrovanie SPOLU</w:t>
            </w:r>
          </w:p>
        </w:tc>
        <w:tc>
          <w:tcPr>
            <w:tcW w:w="2551" w:type="dxa"/>
            <w:tcMar>
              <w:top w:w="0" w:type="dxa"/>
              <w:left w:w="0" w:type="dxa"/>
              <w:bottom w:w="0" w:type="dxa"/>
              <w:right w:w="0" w:type="dxa"/>
            </w:tcMar>
          </w:tcPr>
          <w:p w:rsidR="004767B3" w:rsidRPr="00DA20F5" w:rsidRDefault="004767B3" w:rsidP="00D36FB8">
            <w:pPr>
              <w:jc w:val="center"/>
              <w:rPr>
                <w:szCs w:val="22"/>
              </w:rPr>
            </w:pPr>
            <w:r w:rsidRPr="00DA20F5">
              <w:rPr>
                <w:b/>
                <w:bCs/>
                <w:szCs w:val="22"/>
              </w:rPr>
              <w:t>130,66</w:t>
            </w:r>
          </w:p>
        </w:tc>
        <w:tc>
          <w:tcPr>
            <w:tcW w:w="2268" w:type="dxa"/>
            <w:tcMar>
              <w:top w:w="0" w:type="dxa"/>
              <w:left w:w="0" w:type="dxa"/>
              <w:bottom w:w="0" w:type="dxa"/>
              <w:right w:w="0" w:type="dxa"/>
            </w:tcMar>
          </w:tcPr>
          <w:p w:rsidR="004767B3" w:rsidRPr="00DA20F5" w:rsidRDefault="004767B3" w:rsidP="00D36FB8">
            <w:pPr>
              <w:jc w:val="center"/>
              <w:rPr>
                <w:szCs w:val="22"/>
              </w:rPr>
            </w:pPr>
            <w:r w:rsidRPr="00DA20F5">
              <w:rPr>
                <w:b/>
                <w:bCs/>
                <w:szCs w:val="22"/>
              </w:rPr>
              <w:t>140,41</w:t>
            </w:r>
          </w:p>
        </w:tc>
      </w:tr>
    </w:tbl>
    <w:p w:rsidR="00B55B9E" w:rsidRPr="00DA20F5" w:rsidRDefault="00A76A0E" w:rsidP="002E0641">
      <w:pPr>
        <w:pStyle w:val="zdroj"/>
        <w:spacing w:after="0"/>
      </w:pPr>
      <w:r w:rsidRPr="00DA20F5">
        <w:t>Zdroj: ÚPSVR</w:t>
      </w:r>
      <w:r w:rsidR="00AC5AAB" w:rsidRPr="00DA20F5">
        <w:t xml:space="preserve"> </w:t>
      </w:r>
    </w:p>
    <w:p w:rsidR="00AC5AAB" w:rsidRPr="00DA20F5" w:rsidRDefault="0036562F" w:rsidP="002E0641">
      <w:pPr>
        <w:pStyle w:val="zdroj"/>
        <w:spacing w:before="0" w:after="0"/>
        <w:ind w:left="567" w:firstLine="60"/>
      </w:pPr>
      <w:r w:rsidRPr="00DA20F5">
        <w:rPr>
          <w:vertAlign w:val="superscript"/>
        </w:rPr>
        <w:t>1</w:t>
      </w:r>
      <w:r w:rsidR="004767B3" w:rsidRPr="00DA20F5">
        <w:rPr>
          <w:vertAlign w:val="superscript"/>
        </w:rPr>
        <w:t>)</w:t>
      </w:r>
      <w:r w:rsidR="00AC5AAB" w:rsidRPr="00DA20F5">
        <w:rPr>
          <w:vertAlign w:val="superscript"/>
        </w:rPr>
        <w:t xml:space="preserve"> </w:t>
      </w:r>
      <w:r w:rsidR="004767B3" w:rsidRPr="00DA20F5">
        <w:t>Obdobie výplaty za podmienok pred účinnosťou legislatívnych zmien v roku 2011 (vyplácaný mesačne pozadu)</w:t>
      </w:r>
    </w:p>
    <w:p w:rsidR="00AC5AAB" w:rsidRPr="00DA20F5" w:rsidRDefault="0036562F" w:rsidP="002E0641">
      <w:pPr>
        <w:pStyle w:val="zdroj"/>
        <w:spacing w:before="0" w:after="0"/>
      </w:pPr>
      <w:r w:rsidRPr="00DA20F5">
        <w:t xml:space="preserve"> </w:t>
      </w:r>
      <w:r w:rsidRPr="00DA20F5">
        <w:rPr>
          <w:vertAlign w:val="superscript"/>
        </w:rPr>
        <w:t>2</w:t>
      </w:r>
      <w:r w:rsidR="004767B3" w:rsidRPr="00DA20F5">
        <w:rPr>
          <w:vertAlign w:val="superscript"/>
        </w:rPr>
        <w:t>)</w:t>
      </w:r>
      <w:r w:rsidR="00AC5AAB" w:rsidRPr="00DA20F5">
        <w:rPr>
          <w:vertAlign w:val="superscript"/>
        </w:rPr>
        <w:t xml:space="preserve"> </w:t>
      </w:r>
      <w:r w:rsidR="004767B3" w:rsidRPr="00DA20F5">
        <w:t>Obdobie výplaty za podmienok od účinnosti</w:t>
      </w:r>
      <w:r w:rsidR="00AC5AAB" w:rsidRPr="00DA20F5">
        <w:t xml:space="preserve"> </w:t>
      </w:r>
      <w:r w:rsidR="004767B3" w:rsidRPr="00DA20F5">
        <w:t>legislatívnych zmien v roku 2011</w:t>
      </w:r>
    </w:p>
    <w:p w:rsidR="00AC5AAB" w:rsidRPr="00DA20F5" w:rsidRDefault="00AC5AAB" w:rsidP="002E0641">
      <w:pPr>
        <w:pStyle w:val="zdroj"/>
        <w:spacing w:before="0"/>
      </w:pPr>
      <w:r w:rsidRPr="00DA20F5">
        <w:rPr>
          <w:vertAlign w:val="superscript"/>
        </w:rPr>
        <w:t xml:space="preserve"> </w:t>
      </w:r>
      <w:r w:rsidR="0036562F" w:rsidRPr="00DA20F5">
        <w:rPr>
          <w:vertAlign w:val="superscript"/>
        </w:rPr>
        <w:t>3</w:t>
      </w:r>
      <w:r w:rsidR="004767B3" w:rsidRPr="00DA20F5">
        <w:rPr>
          <w:vertAlign w:val="superscript"/>
        </w:rPr>
        <w:t>)</w:t>
      </w:r>
      <w:r w:rsidRPr="00DA20F5">
        <w:rPr>
          <w:vertAlign w:val="superscript"/>
        </w:rPr>
        <w:t xml:space="preserve"> </w:t>
      </w:r>
      <w:r w:rsidR="004767B3" w:rsidRPr="00DA20F5">
        <w:t>FO- fyzická osoba, poberajúca peňažný príspevok na opatrovanie (poberateľ)</w:t>
      </w:r>
    </w:p>
    <w:p w:rsidR="004767B3" w:rsidRPr="00DA20F5" w:rsidRDefault="004767B3" w:rsidP="00D36FB8">
      <w:pPr>
        <w:ind w:firstLine="567"/>
        <w:rPr>
          <w:szCs w:val="22"/>
        </w:rPr>
      </w:pPr>
      <w:r w:rsidRPr="00DA20F5">
        <w:rPr>
          <w:szCs w:val="22"/>
        </w:rPr>
        <w:t>Pri jednorazových peňažných príspevkoch na kompenzáciu v roku 2011 pretrváva trend mierneho nárastu priemerného mesačného počtu poberateľov v</w:t>
      </w:r>
      <w:r w:rsidR="002E0641" w:rsidRPr="00DA20F5">
        <w:rPr>
          <w:szCs w:val="22"/>
        </w:rPr>
        <w:t xml:space="preserve"> porovnaní s rokom 2010 len </w:t>
      </w:r>
      <w:r w:rsidR="002E0641" w:rsidRPr="00DA20F5">
        <w:t>pri </w:t>
      </w:r>
      <w:r w:rsidRPr="00DA20F5">
        <w:t>peňažnom</w:t>
      </w:r>
      <w:r w:rsidRPr="00DA20F5">
        <w:rPr>
          <w:szCs w:val="22"/>
        </w:rPr>
        <w:t xml:space="preserve"> príspevku na kúpu zdvíhacieho zariadenia (priemerne mesačne o 6 poberateľov)</w:t>
      </w:r>
      <w:r w:rsidR="002E0641" w:rsidRPr="00DA20F5">
        <w:rPr>
          <w:szCs w:val="22"/>
        </w:rPr>
        <w:t>, pri </w:t>
      </w:r>
      <w:r w:rsidRPr="00DA20F5">
        <w:rPr>
          <w:szCs w:val="22"/>
        </w:rPr>
        <w:t xml:space="preserve">peňažných príspevkoch na opravu pomôcky (nárast priemerne mesačne o 2) a na výcvik používania pomôcky nárast priemerne mesačne o jedného poberateľa. Na rozdiel od roku 2010 </w:t>
      </w:r>
      <w:r w:rsidR="00702AA7" w:rsidRPr="00DA20F5">
        <w:rPr>
          <w:szCs w:val="22"/>
        </w:rPr>
        <w:t xml:space="preserve">bol </w:t>
      </w:r>
      <w:r w:rsidRPr="00DA20F5">
        <w:rPr>
          <w:szCs w:val="22"/>
        </w:rPr>
        <w:t>zaznamen</w:t>
      </w:r>
      <w:r w:rsidR="00702AA7" w:rsidRPr="00DA20F5">
        <w:rPr>
          <w:szCs w:val="22"/>
        </w:rPr>
        <w:t>aný</w:t>
      </w:r>
      <w:r w:rsidRPr="00DA20F5">
        <w:rPr>
          <w:szCs w:val="22"/>
        </w:rPr>
        <w:t xml:space="preserve"> pokles priemerného mesačného počtu poberateľov v roku 2011 u viacerých jednorazových peňažných príspevkov. Pri peňažnom príspevku na úpravu rodinného domu</w:t>
      </w:r>
      <w:r w:rsidR="00AC5AAB" w:rsidRPr="00DA20F5">
        <w:rPr>
          <w:szCs w:val="22"/>
        </w:rPr>
        <w:t xml:space="preserve"> </w:t>
      </w:r>
      <w:r w:rsidRPr="00DA20F5">
        <w:rPr>
          <w:szCs w:val="22"/>
        </w:rPr>
        <w:t>je pokles najvýraznejší</w:t>
      </w:r>
      <w:r w:rsidR="00702AA7" w:rsidRPr="00DA20F5">
        <w:rPr>
          <w:szCs w:val="22"/>
        </w:rPr>
        <w:t>,</w:t>
      </w:r>
      <w:r w:rsidRPr="00DA20F5">
        <w:rPr>
          <w:szCs w:val="22"/>
        </w:rPr>
        <w:t xml:space="preserve"> a to o 33 poberateľov priemerne mesačne, pri peňažnom príspevku na kúpu pomôcky pokles o 29 poberateľov priemerne mesačne, pri peňažnom príspevku na kúpu osobného motorového vozidla pokles o 17 poberateľov priemerne mesačne a pri peňažnom príspevku na úpravu bytu pokles o 7 poberateľov priemerne mesačne. Pri výškach jednorazových peňažných príspevkoch </w:t>
      </w:r>
      <w:r w:rsidR="00805AA7" w:rsidRPr="00DA20F5">
        <w:rPr>
          <w:szCs w:val="22"/>
        </w:rPr>
        <w:t xml:space="preserve">boli </w:t>
      </w:r>
      <w:r w:rsidRPr="00DA20F5">
        <w:rPr>
          <w:szCs w:val="22"/>
        </w:rPr>
        <w:t>zaznamen</w:t>
      </w:r>
      <w:r w:rsidR="00805AA7" w:rsidRPr="00DA20F5">
        <w:rPr>
          <w:szCs w:val="22"/>
        </w:rPr>
        <w:t>ané</w:t>
      </w:r>
      <w:r w:rsidRPr="00DA20F5">
        <w:rPr>
          <w:szCs w:val="22"/>
        </w:rPr>
        <w:t xml:space="preserve"> len mierne zmeny.</w:t>
      </w:r>
    </w:p>
    <w:p w:rsidR="0038489B" w:rsidRDefault="0038489B">
      <w:pPr>
        <w:jc w:val="left"/>
        <w:rPr>
          <w:rFonts w:ascii="Times New Roman Bold" w:hAnsi="Times New Roman Bold"/>
          <w:b/>
          <w:color w:val="548DD4" w:themeColor="text2" w:themeTint="99"/>
          <w:sz w:val="24"/>
          <w:szCs w:val="20"/>
          <w:lang w:eastAsia="cs-CZ"/>
        </w:rPr>
      </w:pPr>
      <w:bookmarkStart w:id="1228" w:name="_Toc326217072"/>
      <w:r>
        <w:br w:type="page"/>
      </w:r>
    </w:p>
    <w:p w:rsidR="00604B4C" w:rsidRPr="00DA20F5" w:rsidRDefault="00604B4C" w:rsidP="000B4550">
      <w:pPr>
        <w:pStyle w:val="Nadpis6"/>
      </w:pPr>
      <w:r w:rsidRPr="00DA20F5">
        <w:lastRenderedPageBreak/>
        <w:t>Sociálne služby</w:t>
      </w:r>
      <w:bookmarkEnd w:id="1228"/>
    </w:p>
    <w:p w:rsidR="00604B4C" w:rsidRPr="00DA20F5" w:rsidRDefault="00604B4C" w:rsidP="00D36FB8">
      <w:pPr>
        <w:ind w:firstLine="708"/>
        <w:rPr>
          <w:lang w:eastAsia="cs-CZ"/>
        </w:rPr>
      </w:pPr>
      <w:r w:rsidRPr="00DA20F5">
        <w:rPr>
          <w:lang w:eastAsia="cs-CZ"/>
        </w:rPr>
        <w:t>Sociálne služby v SR sa od roku 2009 poskytujú v súlade so zákonom č. 488/2008 Z.</w:t>
      </w:r>
      <w:r w:rsidR="00DB4661" w:rsidRPr="00DA20F5">
        <w:rPr>
          <w:lang w:eastAsia="cs-CZ"/>
        </w:rPr>
        <w:t xml:space="preserve"> </w:t>
      </w:r>
      <w:r w:rsidRPr="00DA20F5">
        <w:rPr>
          <w:lang w:eastAsia="cs-CZ"/>
        </w:rPr>
        <w:t>z. o sociálnych službách a o zmene a doplnení zákona č. 455/1991 Zb. o živnostenskom podnikaní (živnostenský zákon) v znení neskorších predpisov (ďalej len „záko</w:t>
      </w:r>
      <w:r w:rsidR="002E0641" w:rsidRPr="00DA20F5">
        <w:rPr>
          <w:lang w:eastAsia="cs-CZ"/>
        </w:rPr>
        <w:t>n o sociálnych službách). Zákon </w:t>
      </w:r>
      <w:r w:rsidRPr="00DA20F5">
        <w:rPr>
          <w:lang w:eastAsia="cs-CZ"/>
        </w:rPr>
        <w:t>o sociálnych službách upravuje</w:t>
      </w:r>
      <w:r w:rsidRPr="00DA20F5">
        <w:t xml:space="preserve"> právne vzťahy a podmienky poskytovania sociálnych služieb, ktorých cieľom je podporovať sociálne začlenenie občanov a uspokojovať sociálne potreby ľudí v nepriaznivej sociálnej situácii. Za nepriaznivú sociálnu situáciu sa považuje stav sociálnej núdze fyzickej osoby, rodiny a komunity, v ktorom sa táto osoba, rodina, komunita nachádza z dôvodu, že nemá zabezpečené základné životné potreby, pre svoje životné návyky, pre spôsob života, pre ťažké zdravotné postihnutie alebo nepriaznivý zdravotný stav, pre dovŕšenie dôchodkového veku, pre výkon opatrovania fyzickej osoby s ťažkým zdravotným postihnutím, pre ohrozenie správaním iných fyzických osôb alebo z dôvodu, že sa stala obeťou obchodovania s ľuďmi. </w:t>
      </w:r>
    </w:p>
    <w:p w:rsidR="00604B4C" w:rsidRPr="00DA20F5" w:rsidRDefault="00604B4C" w:rsidP="00D36FB8">
      <w:pPr>
        <w:pStyle w:val="Zarkazkladnhotextu"/>
        <w:ind w:left="0" w:firstLine="0"/>
        <w:rPr>
          <w:b w:val="0"/>
          <w:sz w:val="22"/>
          <w:lang w:val="sk-SK"/>
        </w:rPr>
      </w:pPr>
      <w:r w:rsidRPr="00DA20F5">
        <w:rPr>
          <w:b w:val="0"/>
          <w:sz w:val="22"/>
          <w:lang w:val="sk-SK"/>
        </w:rPr>
        <w:tab/>
        <w:t>Sociálne služby podľa tohto zákona sa poskytujú prostredníctvom odborných, obslužných a ďalších činností, ktoré je poskytovateľ povinný poskytnúť alebo zabezpečiť v prípade, že sú tieto činnosti taxatívne pri týchto službách vymedzené. Odborné činnosti, ktorými sú sociálne poradenstvo a sociálna rehabilitácia je možné za podmienok ustanovených týmto zákonom poskytovať aj samostatne. Zároveň poskytovateľ môže vykonávať aj iné činnosti ako upravuje tento zákon, ktoré zvýšia kvalitu sociálnej služby. Sociálne služby sú službami verejného záujmu a sú poskytované bez dosiahnutia zisku, avšak návrh umožňuje aj poskytovanie sociálnych služieb v rámci živnosti alebo podnikania, t. j. na báze zisku.</w:t>
      </w:r>
    </w:p>
    <w:p w:rsidR="00604B4C" w:rsidRPr="00DA20F5" w:rsidRDefault="00604B4C" w:rsidP="00D36FB8">
      <w:pPr>
        <w:pStyle w:val="Zarkazkladnhotextu"/>
        <w:ind w:left="0" w:firstLine="0"/>
        <w:rPr>
          <w:b w:val="0"/>
          <w:sz w:val="22"/>
          <w:lang w:val="sk-SK"/>
        </w:rPr>
      </w:pPr>
    </w:p>
    <w:p w:rsidR="00604B4C" w:rsidRPr="00DA20F5" w:rsidRDefault="00604B4C" w:rsidP="00D36FB8">
      <w:pPr>
        <w:pStyle w:val="Zarkazkladnhotextu"/>
        <w:ind w:left="0" w:firstLine="0"/>
        <w:rPr>
          <w:b w:val="0"/>
          <w:sz w:val="22"/>
          <w:lang w:val="sk-SK"/>
        </w:rPr>
      </w:pPr>
      <w:r w:rsidRPr="00DA20F5">
        <w:rPr>
          <w:b w:val="0"/>
          <w:sz w:val="22"/>
          <w:lang w:val="sk-SK"/>
        </w:rPr>
        <w:t>Zákon o sociálnych službách rozdeľuje sociálne služby do niekoľkých skupín, v závislosti od povahy nepriaznivej sociálnej situácie alebo od cieľovej skupiny, ktorej sú určené:</w:t>
      </w:r>
    </w:p>
    <w:p w:rsidR="00604B4C" w:rsidRPr="00DA20F5" w:rsidRDefault="00604B4C" w:rsidP="00DB509D">
      <w:pPr>
        <w:pStyle w:val="Zarkazkladnhotextu"/>
        <w:numPr>
          <w:ilvl w:val="0"/>
          <w:numId w:val="27"/>
        </w:numPr>
        <w:tabs>
          <w:tab w:val="clear" w:pos="360"/>
        </w:tabs>
        <w:rPr>
          <w:b w:val="0"/>
          <w:sz w:val="22"/>
          <w:lang w:val="sk-SK"/>
        </w:rPr>
      </w:pPr>
      <w:r w:rsidRPr="00DA20F5">
        <w:rPr>
          <w:b w:val="0"/>
          <w:sz w:val="22"/>
          <w:lang w:val="sk-SK"/>
        </w:rPr>
        <w:t>sociálne služby na zabezpečenie nevyhnutných podmienok na uspokojovanie základných životných potrieb</w:t>
      </w:r>
    </w:p>
    <w:p w:rsidR="00604B4C" w:rsidRPr="00DA20F5" w:rsidRDefault="00604B4C" w:rsidP="00DB509D">
      <w:pPr>
        <w:pStyle w:val="Zarkazkladnhotextu"/>
        <w:numPr>
          <w:ilvl w:val="0"/>
          <w:numId w:val="27"/>
        </w:numPr>
        <w:tabs>
          <w:tab w:val="clear" w:pos="360"/>
        </w:tabs>
        <w:rPr>
          <w:b w:val="0"/>
          <w:sz w:val="22"/>
          <w:lang w:val="sk-SK"/>
        </w:rPr>
      </w:pPr>
      <w:r w:rsidRPr="00DA20F5">
        <w:rPr>
          <w:b w:val="0"/>
          <w:sz w:val="22"/>
          <w:lang w:val="sk-SK"/>
        </w:rPr>
        <w:t>sociálne služby na podporu rodiny s deťmi</w:t>
      </w:r>
    </w:p>
    <w:p w:rsidR="00604B4C" w:rsidRPr="00DA20F5" w:rsidRDefault="00604B4C" w:rsidP="00DB509D">
      <w:pPr>
        <w:pStyle w:val="Zarkazkladnhotextu"/>
        <w:numPr>
          <w:ilvl w:val="0"/>
          <w:numId w:val="27"/>
        </w:numPr>
        <w:tabs>
          <w:tab w:val="clear" w:pos="360"/>
        </w:tabs>
        <w:rPr>
          <w:b w:val="0"/>
          <w:sz w:val="22"/>
          <w:lang w:val="sk-SK"/>
        </w:rPr>
      </w:pPr>
      <w:r w:rsidRPr="00DA20F5">
        <w:rPr>
          <w:b w:val="0"/>
          <w:sz w:val="22"/>
          <w:lang w:val="sk-SK"/>
        </w:rPr>
        <w:t>sociálne služby na riešenie nepriaznivej sociálnej situácie z dôvodu ťažkého zdravotného postihnutia, nepriaznivého zdravotného stavu alebo z dôvodu dovŕšenia dôchodkového veku</w:t>
      </w:r>
    </w:p>
    <w:p w:rsidR="00604B4C" w:rsidRPr="00DA20F5" w:rsidRDefault="00604B4C" w:rsidP="00DB509D">
      <w:pPr>
        <w:pStyle w:val="Zarkazkladnhotextu"/>
        <w:numPr>
          <w:ilvl w:val="0"/>
          <w:numId w:val="27"/>
        </w:numPr>
        <w:tabs>
          <w:tab w:val="clear" w:pos="360"/>
        </w:tabs>
        <w:rPr>
          <w:b w:val="0"/>
          <w:sz w:val="22"/>
          <w:lang w:val="sk-SK"/>
        </w:rPr>
      </w:pPr>
      <w:r w:rsidRPr="00DA20F5">
        <w:rPr>
          <w:b w:val="0"/>
          <w:sz w:val="22"/>
          <w:lang w:val="sk-SK"/>
        </w:rPr>
        <w:t>sociálne služby s použitím telekomunikačných technológií</w:t>
      </w:r>
    </w:p>
    <w:p w:rsidR="00604B4C" w:rsidRPr="00DA20F5" w:rsidRDefault="00604B4C" w:rsidP="00DB509D">
      <w:pPr>
        <w:pStyle w:val="Zarkazkladnhotextu"/>
        <w:numPr>
          <w:ilvl w:val="0"/>
          <w:numId w:val="27"/>
        </w:numPr>
        <w:tabs>
          <w:tab w:val="clear" w:pos="360"/>
        </w:tabs>
        <w:rPr>
          <w:b w:val="0"/>
          <w:sz w:val="22"/>
          <w:lang w:val="sk-SK"/>
        </w:rPr>
      </w:pPr>
      <w:r w:rsidRPr="00DA20F5">
        <w:rPr>
          <w:b w:val="0"/>
          <w:sz w:val="22"/>
          <w:lang w:val="sk-SK"/>
        </w:rPr>
        <w:t>podporné služby</w:t>
      </w:r>
    </w:p>
    <w:p w:rsidR="00604B4C" w:rsidRPr="00DA20F5" w:rsidRDefault="00604B4C" w:rsidP="00D36FB8"/>
    <w:p w:rsidR="00604B4C" w:rsidRPr="00DA20F5" w:rsidRDefault="00604B4C" w:rsidP="00D36FB8">
      <w:pPr>
        <w:ind w:firstLine="283"/>
      </w:pPr>
      <w:r w:rsidRPr="00DA20F5">
        <w:t>Na účely poskytovania sociálnej služby pri odkázanosti fyzickej osoby na pomoc inej fyzickej osoby zákon o sociálnych službách upravuje lekársku a sociálnu posudkovú činnosť, na základe ktorej sa určuje odkázanosť fyzickej osoby na túto sociálnu službu. Zákon o sociálnych službách rieši poskytovanie zdravotnej starostlivosti v rozsahu ošetrovateľskej starostlivosti vo vybraných</w:t>
      </w:r>
      <w:r w:rsidR="00AC5AAB" w:rsidRPr="00DA20F5">
        <w:t xml:space="preserve"> </w:t>
      </w:r>
      <w:r w:rsidRPr="00DA20F5">
        <w:t>zariadeniach sociálnych služieb priamo sestrami, t.</w:t>
      </w:r>
      <w:r w:rsidR="003057F7" w:rsidRPr="00DA20F5">
        <w:t xml:space="preserve"> </w:t>
      </w:r>
      <w:r w:rsidRPr="00DA20F5">
        <w:t>j. zamestnancami týchto zariadení a zároveň sa upravuje poskytovanie sociálnej služby v zdravotníckom zariadení</w:t>
      </w:r>
      <w:r w:rsidR="002E0641" w:rsidRPr="00DA20F5">
        <w:t xml:space="preserve"> ústavnej starostlivosti. Zákon </w:t>
      </w:r>
      <w:r w:rsidRPr="00DA20F5">
        <w:t>o sociálnych službách zrovnoprávňuje poskytovateľov sociálnych služieb pri registrácii</w:t>
      </w:r>
      <w:r w:rsidR="003057F7" w:rsidRPr="00DA20F5">
        <w:t>,</w:t>
      </w:r>
      <w:r w:rsidRPr="00DA20F5">
        <w:t xml:space="preserve"> a to bez ohľadu na to, či sú to verejní alebo neverejní poskytovatelia sociálnych služieb, nakoľko aj verejní poskytovatelia budú môcť poskytovať sociálne služby, len ak budú zapísaní do registra poskytovateľov sociálnych služieb. V osobitnej časti zákona je upravené financovanie neverejných poskytovateľov za splnenia zákonom stanovených podmienok. Pri financovaní sú neverejní poskytovatelia rozlišovaní z toho hľadiska, či majú neziskový charakter alebo či ide o podnikateľské subjekty. </w:t>
      </w:r>
    </w:p>
    <w:p w:rsidR="00604B4C" w:rsidRPr="00DA20F5" w:rsidRDefault="00604B4C" w:rsidP="00D36FB8">
      <w:pPr>
        <w:ind w:firstLine="567"/>
      </w:pPr>
      <w:r w:rsidRPr="00DA20F5">
        <w:t xml:space="preserve">Zákon ustanovuje výkon dohľadu nad dodržiavaním tohto zákona a ostatných všeobecne záväzných právnych predpisov pri poskytovaní sociálnych služieb, ktorý vykonáva </w:t>
      </w:r>
      <w:r w:rsidR="003057F7" w:rsidRPr="00DA20F5">
        <w:t>MPSVR SR</w:t>
      </w:r>
      <w:r w:rsidRPr="00DA20F5">
        <w:t>. Tento ústredný orgán bude hodnotiť aj kvalitu poskytovaných sociálnych služieb na základe kvalitatívnych a kvantitatívnych kritérií, t.j. štandardov kvality, ktoré sú upravené</w:t>
      </w:r>
      <w:r w:rsidR="00AC5AAB" w:rsidRPr="00DA20F5">
        <w:t xml:space="preserve"> </w:t>
      </w:r>
      <w:r w:rsidRPr="00DA20F5">
        <w:t>v prílohe zákona. Zákon o sociálnych službách upravuje aj vzdelávanie v sociálnych službách a na vykonávanie vzdelávacích programov MPSVR SR udeľuje akreditácie.</w:t>
      </w:r>
    </w:p>
    <w:p w:rsidR="00604B4C" w:rsidRPr="00DA20F5" w:rsidRDefault="00604B4C" w:rsidP="00D36FB8">
      <w:pPr>
        <w:ind w:firstLine="708"/>
      </w:pPr>
      <w:r w:rsidRPr="00DA20F5">
        <w:t xml:space="preserve">Zákon o sociálnych službách zaviedol viacúrovňové komunitné plánovanie. Komunitný plán sociálnych služieb obce musí vychádzať z Národných priorít rozvoja sociálnych služieb s cieľom plánovať sociálne služby tak, aby zodpovedali miestnym špecifikám a potrebám fyzických osôb a vychádzali z analýzy skutkového stavu poskytovania sociálnych služieb. Rovnako koncepcia </w:t>
      </w:r>
      <w:r w:rsidRPr="00DA20F5">
        <w:lastRenderedPageBreak/>
        <w:t xml:space="preserve">sociálnych služieb vyššieho územného celku musí vychádzať z Národných priorít rozvoja sociálnych služieb a komunitných plánov obcí v jeho územnom obvode. Medzi Národné priority rozvoja sociálnych služieb Slovenskej republiky schválené </w:t>
      </w:r>
      <w:r w:rsidR="001F5B98" w:rsidRPr="00DA20F5">
        <w:t>MPSVR SR</w:t>
      </w:r>
      <w:r w:rsidR="00AC5AAB" w:rsidRPr="00DA20F5">
        <w:t xml:space="preserve"> </w:t>
      </w:r>
      <w:r w:rsidRPr="00DA20F5">
        <w:t>do roku 2013 patrí:</w:t>
      </w:r>
    </w:p>
    <w:p w:rsidR="00604B4C" w:rsidRPr="00DA20F5" w:rsidRDefault="001F5B98" w:rsidP="00DB509D">
      <w:pPr>
        <w:pStyle w:val="Zkladntext3"/>
        <w:numPr>
          <w:ilvl w:val="0"/>
          <w:numId w:val="28"/>
        </w:numPr>
        <w:spacing w:after="0"/>
        <w:rPr>
          <w:sz w:val="22"/>
          <w:szCs w:val="24"/>
        </w:rPr>
      </w:pPr>
      <w:r w:rsidRPr="00DA20F5">
        <w:rPr>
          <w:sz w:val="22"/>
          <w:szCs w:val="24"/>
        </w:rPr>
        <w:t>p</w:t>
      </w:r>
      <w:r w:rsidR="00604B4C" w:rsidRPr="00DA20F5">
        <w:rPr>
          <w:sz w:val="22"/>
          <w:szCs w:val="24"/>
        </w:rPr>
        <w:t>odpora zotrvania klienta</w:t>
      </w:r>
      <w:r w:rsidR="00AC5AAB" w:rsidRPr="00DA20F5">
        <w:rPr>
          <w:sz w:val="22"/>
          <w:szCs w:val="24"/>
        </w:rPr>
        <w:t xml:space="preserve"> </w:t>
      </w:r>
      <w:r w:rsidR="00604B4C" w:rsidRPr="00DA20F5">
        <w:rPr>
          <w:sz w:val="22"/>
          <w:szCs w:val="24"/>
        </w:rPr>
        <w:t>v prirodzenom prostredí rozvojom terénnych sociálnych služieb</w:t>
      </w:r>
    </w:p>
    <w:p w:rsidR="00604B4C" w:rsidRPr="00DA20F5" w:rsidRDefault="001F5B98" w:rsidP="00DB509D">
      <w:pPr>
        <w:pStyle w:val="Zkladntext3"/>
        <w:numPr>
          <w:ilvl w:val="0"/>
          <w:numId w:val="28"/>
        </w:numPr>
        <w:tabs>
          <w:tab w:val="left" w:pos="6761"/>
        </w:tabs>
        <w:spacing w:after="0"/>
        <w:rPr>
          <w:sz w:val="22"/>
          <w:szCs w:val="24"/>
        </w:rPr>
      </w:pPr>
      <w:r w:rsidRPr="00DA20F5">
        <w:rPr>
          <w:sz w:val="22"/>
          <w:szCs w:val="24"/>
        </w:rPr>
        <w:t>r</w:t>
      </w:r>
      <w:r w:rsidR="00604B4C" w:rsidRPr="00DA20F5">
        <w:rPr>
          <w:sz w:val="22"/>
          <w:szCs w:val="24"/>
        </w:rPr>
        <w:t>ozvoj ambulantných sociálnych služieb a pobytových sociálnych služieb v zariadení s týždenným pobytom</w:t>
      </w:r>
    </w:p>
    <w:p w:rsidR="00604B4C" w:rsidRPr="00DA20F5" w:rsidRDefault="001F5B98" w:rsidP="00DB509D">
      <w:pPr>
        <w:pStyle w:val="Zkladntext3"/>
        <w:numPr>
          <w:ilvl w:val="0"/>
          <w:numId w:val="28"/>
        </w:numPr>
        <w:spacing w:after="0"/>
        <w:rPr>
          <w:sz w:val="22"/>
          <w:szCs w:val="24"/>
        </w:rPr>
      </w:pPr>
      <w:r w:rsidRPr="00DA20F5">
        <w:rPr>
          <w:sz w:val="22"/>
          <w:szCs w:val="24"/>
        </w:rPr>
        <w:t>z</w:t>
      </w:r>
      <w:r w:rsidR="00604B4C" w:rsidRPr="00DA20F5">
        <w:rPr>
          <w:sz w:val="22"/>
          <w:szCs w:val="24"/>
        </w:rPr>
        <w:t>výšenie kvality a humanizácia poskytovaných sociálnych služieb prostredníctvom rekonštrukcie, rozširovania, modernizácie a budovania zariadení sociálnych služieb</w:t>
      </w:r>
    </w:p>
    <w:p w:rsidR="00604B4C" w:rsidRPr="00DA20F5" w:rsidRDefault="001F5B98" w:rsidP="00DB509D">
      <w:pPr>
        <w:pStyle w:val="Zkladntext3"/>
        <w:numPr>
          <w:ilvl w:val="0"/>
          <w:numId w:val="28"/>
        </w:numPr>
        <w:spacing w:after="240"/>
        <w:ind w:left="595" w:hanging="357"/>
        <w:rPr>
          <w:sz w:val="22"/>
          <w:szCs w:val="24"/>
        </w:rPr>
      </w:pPr>
      <w:r w:rsidRPr="00DA20F5">
        <w:rPr>
          <w:sz w:val="22"/>
          <w:szCs w:val="24"/>
        </w:rPr>
        <w:t>v</w:t>
      </w:r>
      <w:r w:rsidR="00604B4C" w:rsidRPr="00DA20F5">
        <w:rPr>
          <w:sz w:val="22"/>
          <w:szCs w:val="24"/>
        </w:rPr>
        <w:t>zdelávanie zamestnancov v oblasti sociálnych služieb.</w:t>
      </w:r>
    </w:p>
    <w:p w:rsidR="00604B4C" w:rsidRPr="00DA20F5" w:rsidRDefault="00604B4C" w:rsidP="00D36FB8">
      <w:pPr>
        <w:pStyle w:val="Nzov"/>
        <w:spacing w:line="240" w:lineRule="auto"/>
        <w:ind w:firstLine="708"/>
        <w:rPr>
          <w:rFonts w:cs="Times New Roman"/>
          <w:bCs w:val="0"/>
          <w:color w:val="auto"/>
          <w:sz w:val="22"/>
          <w:szCs w:val="24"/>
          <w:lang w:eastAsia="sk-SK"/>
        </w:rPr>
      </w:pPr>
      <w:r w:rsidRPr="00DA20F5">
        <w:rPr>
          <w:rFonts w:cs="Times New Roman"/>
          <w:bCs w:val="0"/>
          <w:color w:val="auto"/>
          <w:sz w:val="22"/>
          <w:szCs w:val="24"/>
          <w:lang w:eastAsia="sk-SK"/>
        </w:rPr>
        <w:t>Dňa 1. 3. 2011 nadobudol účinnosť zákon č. 551/2010 Z.</w:t>
      </w:r>
      <w:r w:rsidR="00DB4661" w:rsidRPr="00DA20F5">
        <w:rPr>
          <w:rFonts w:cs="Times New Roman"/>
          <w:bCs w:val="0"/>
          <w:color w:val="auto"/>
          <w:sz w:val="22"/>
          <w:szCs w:val="24"/>
          <w:lang w:eastAsia="sk-SK"/>
        </w:rPr>
        <w:t xml:space="preserve"> </w:t>
      </w:r>
      <w:r w:rsidRPr="00DA20F5">
        <w:rPr>
          <w:rFonts w:cs="Times New Roman"/>
          <w:bCs w:val="0"/>
          <w:color w:val="auto"/>
          <w:sz w:val="22"/>
          <w:szCs w:val="24"/>
          <w:lang w:eastAsia="sk-SK"/>
        </w:rPr>
        <w:t>z., ktorým sa mení a dopĺňa zákon o sociálnych službách. Touto novelou zákona o sociálnych službách sa zabezpečilo uplatňovanie práva fyzickej osoby na výber poskytovateľa sociálnej služby v plnom rozsahu bez akýchkoľvek obmedzení a následkov s tým spojených (napr. nemožnosť financovať neverejného alebo verejného poskytovateľa, ak si ho klient priamo vybral). Cieľom zmeny v tomto ustanovení je zabezpečiť vykonateľnosť práva fyzickej osoby na výber poskytovateľa sociálnej služby. Zároveň sa zosúlaďuje ustanovenie § 8 ods. 2 a 3 zákona o sociálnych službách s Ústavou Slovenskej republiky v nadväznosti na nález Ústavného súdu Slovenskej republiky č. 332/2010 Z.</w:t>
      </w:r>
      <w:r w:rsidR="00DB4661" w:rsidRPr="00DA20F5">
        <w:rPr>
          <w:rFonts w:cs="Times New Roman"/>
          <w:bCs w:val="0"/>
          <w:color w:val="auto"/>
          <w:sz w:val="22"/>
          <w:szCs w:val="24"/>
          <w:lang w:eastAsia="sk-SK"/>
        </w:rPr>
        <w:t xml:space="preserve"> </w:t>
      </w:r>
      <w:r w:rsidRPr="00DA20F5">
        <w:rPr>
          <w:rFonts w:cs="Times New Roman"/>
          <w:bCs w:val="0"/>
          <w:color w:val="auto"/>
          <w:sz w:val="22"/>
          <w:szCs w:val="24"/>
          <w:lang w:eastAsia="sk-SK"/>
        </w:rPr>
        <w:t>z., ktorý rozhodol o nesúlade časti ustanovenia § 8 ods. 2 písm. d) a ods. 3 písm. d) zákona o sociálnych službách s Ústavou Slovenskej republiky. Taktiež sa touto novelou zákona o sociálnych službách novelizovali niektoré ustanov</w:t>
      </w:r>
      <w:r w:rsidR="00B557AC" w:rsidRPr="00DA20F5">
        <w:rPr>
          <w:rFonts w:cs="Times New Roman"/>
          <w:bCs w:val="0"/>
          <w:color w:val="auto"/>
          <w:sz w:val="22"/>
          <w:szCs w:val="24"/>
          <w:lang w:eastAsia="sk-SK"/>
        </w:rPr>
        <w:t>en</w:t>
      </w:r>
      <w:r w:rsidRPr="00DA20F5">
        <w:rPr>
          <w:rFonts w:cs="Times New Roman"/>
          <w:bCs w:val="0"/>
          <w:color w:val="auto"/>
          <w:sz w:val="22"/>
          <w:szCs w:val="24"/>
          <w:lang w:eastAsia="sk-SK"/>
        </w:rPr>
        <w:t xml:space="preserve">ia, ktoré v praxi spôsobovali problémy alebo sa iným spôsobom upravili niektoré ustanovenia, ktoré napríklad uľahčujú vykonávanie lekárskej posudkovej činnosti, upravili </w:t>
      </w:r>
      <w:r w:rsidR="00B557AC" w:rsidRPr="00DA20F5">
        <w:rPr>
          <w:rFonts w:cs="Times New Roman"/>
          <w:bCs w:val="0"/>
          <w:color w:val="auto"/>
          <w:sz w:val="22"/>
          <w:szCs w:val="24"/>
          <w:lang w:eastAsia="sk-SK"/>
        </w:rPr>
        <w:t xml:space="preserve">sa </w:t>
      </w:r>
      <w:r w:rsidRPr="00DA20F5">
        <w:rPr>
          <w:rFonts w:cs="Times New Roman"/>
          <w:bCs w:val="0"/>
          <w:color w:val="auto"/>
          <w:sz w:val="22"/>
          <w:szCs w:val="24"/>
          <w:lang w:eastAsia="sk-SK"/>
        </w:rPr>
        <w:t>nanovo podmienky uhrádzania ekonomicky oprávnených nákladov medzi verejnými poskytovateľmi, niektoré podmienky poskytovania finančných príspevkov neverejným poskytovateľom a tiež sa upravili niektoré prechodné ustanovenia, ktoré odsunuli termín splnenia niektorých povinností obcí a vyšších územných celkov a povinnosti splnenia vybraných kvalifikačných predpokladov pracovníkov v sociálnych službách.</w:t>
      </w:r>
    </w:p>
    <w:p w:rsidR="00604B4C" w:rsidRPr="00DA20F5" w:rsidRDefault="00604B4C" w:rsidP="00D36FB8">
      <w:pPr>
        <w:ind w:firstLine="708"/>
      </w:pPr>
      <w:r w:rsidRPr="00DA20F5">
        <w:t>Dňa 30.11.2011 bol Národnou radou SR schválený návrh novely zákona o sociálnych službách, ktorý bol pripravený v snahe riešiť pretrvávajúce</w:t>
      </w:r>
      <w:r w:rsidR="002E0641" w:rsidRPr="00DA20F5">
        <w:t xml:space="preserve"> problémy a krízovú situáciu vo </w:t>
      </w:r>
      <w:r w:rsidRPr="00DA20F5">
        <w:t>financovaní sociálnych služieb a eliminovať riziko kolapsu existujúcich zariadení sociálnych služieb, ktorý by ohrozoval základné ľudské práva a slobody prijímateľov sociálnych služieb. Nakoľko zákon nebol podpísaný prezidentom SR, bol opätovne prerokovaný a schválený NR SR 31.1.2012 a nadobudol účinnosť 1.3.2012 (zákon č. 50/2012 Z.</w:t>
      </w:r>
      <w:r w:rsidR="00DB4661" w:rsidRPr="00DA20F5">
        <w:t xml:space="preserve"> </w:t>
      </w:r>
      <w:r w:rsidRPr="00DA20F5">
        <w:t xml:space="preserve">z.). Predmetom tejto novely zákona o sociálnych službách je významná zmena, ktorá spočíva zmene spôsobu financovania zariadení sociálnych služieb zriadených alebo založených obcami a neverejných poskytovateľov vybraných druhov sociálnych služieb prostredníctvom účelovej dotácie z rozpočtovej kapitoly </w:t>
      </w:r>
      <w:r w:rsidR="00C27A12" w:rsidRPr="00DA20F5">
        <w:t>MPSVR SR.</w:t>
      </w:r>
    </w:p>
    <w:p w:rsidR="00604B4C" w:rsidRPr="00DA20F5" w:rsidRDefault="00604B4C" w:rsidP="00D36FB8">
      <w:pPr>
        <w:ind w:firstLine="708"/>
      </w:pPr>
      <w:r w:rsidRPr="00DA20F5">
        <w:t>S cieľom podporiť zotrvanie klienta v prirodzenom domácom prostr</w:t>
      </w:r>
      <w:r w:rsidR="002E0641" w:rsidRPr="00DA20F5">
        <w:t>edí a znížiť tlak na </w:t>
      </w:r>
      <w:r w:rsidRPr="00DA20F5">
        <w:t xml:space="preserve">kapacity zariadení pre seniorov sa sprísňujú podmienky na prijatie klienta do takéhoto typu zariadenia zvýšením stupňa odkázanosti na vznik nároku na sociálnu službu. Priamo zákonom sa ustanovuje minimálnu výšku úhrady za služby dlhodobej starostlivosti, a to vo výške minimálne 50 % ekonomicky oprávnených nákladov na sociálnu službu určených obcami a vyššími územnými celkami v ich všeobecne záväzných nariadeniach. Akceptovaním opakovaných požiadaviek zo strany samosprávy a so zámerom zvýšiť participáciu a zodpovednosť klienta a jeho rodiny na úhrade nákladov za sociálnu službu, a tým aj príjmy do rozpočtov obcí a vyšších územných celkov, bude </w:t>
      </w:r>
      <w:r w:rsidR="00C27A12" w:rsidRPr="00DA20F5">
        <w:t xml:space="preserve">sa </w:t>
      </w:r>
      <w:r w:rsidRPr="00DA20F5">
        <w:t xml:space="preserve">zohľadňovať nielen súčasný príjem a majetok prijímateľa sociálnej služby, ale prihliadať aj na príjem získaný predajom nehnuteľného majetku v posledných piatich rokoch. </w:t>
      </w:r>
    </w:p>
    <w:p w:rsidR="00604B4C" w:rsidRPr="00DA20F5" w:rsidRDefault="00604B4C" w:rsidP="00D36FB8">
      <w:r w:rsidRPr="00DA20F5">
        <w:t>Novela zákona obsahuje aj zmeny, ktoré majú prispieť k rozšíreniu okruhu osôb, ktoré budú môcť vykonávať opatrovanie, čím sa vytvárajú flexibilnejšie podmienky na zamestnávanie takýchto osôb a na druhej strane sa zvýši dostupnosť terénnych sociálnych služieb.</w:t>
      </w:r>
    </w:p>
    <w:p w:rsidR="00604B4C" w:rsidRPr="00DA20F5" w:rsidRDefault="00604B4C" w:rsidP="00D36FB8">
      <w:r w:rsidRPr="00DA20F5">
        <w:t>Za významnú možno považovať úpravu, ktorá rieši tzv. „nelegálnych poskytovateľov“, s cieľom zabrániť vzniku takýchto neželaných subjektov a ochrániť práva dotknutých občanov, a to formou</w:t>
      </w:r>
      <w:r w:rsidRPr="00DA20F5">
        <w:rPr>
          <w:color w:val="548DD4" w:themeColor="text2" w:themeTint="99"/>
        </w:rPr>
        <w:t xml:space="preserve"> </w:t>
      </w:r>
      <w:r w:rsidRPr="00DA20F5">
        <w:t>ukladania vysokej pokuty, zákazom činnosti a vytvorením podmienok na poskytnutie bezodkladnej pomoci ohrozeným fyzickým osobám adekvátnou sociálnou službou.</w:t>
      </w:r>
    </w:p>
    <w:p w:rsidR="00604B4C" w:rsidRPr="00DA20F5" w:rsidRDefault="00604B4C" w:rsidP="00D36FB8">
      <w:r w:rsidRPr="00DA20F5">
        <w:lastRenderedPageBreak/>
        <w:t xml:space="preserve">Zákonom sa opätovne oddiaľujú viaceré povinností poskytovateľov sociálnych služieb (plnenie personálnych štandardov a debarierizácia zariadení), čím sa vytvára priestor na použitie existujúcich finančných zdrojov na riešenie krízovej situácie v sociálnych službách. </w:t>
      </w:r>
    </w:p>
    <w:p w:rsidR="00604B4C" w:rsidRPr="00DA20F5" w:rsidRDefault="00604B4C" w:rsidP="00D36FB8">
      <w:pPr>
        <w:ind w:firstLine="708"/>
        <w:rPr>
          <w:color w:val="000000" w:themeColor="text1"/>
        </w:rPr>
      </w:pPr>
      <w:r w:rsidRPr="00DA20F5">
        <w:t xml:space="preserve">Keďže novela zákona o sociálnych službách je reakciou na krízovú situáciu vo financovaní sociálnych služieb, </w:t>
      </w:r>
      <w:r w:rsidR="00C27A12" w:rsidRPr="00DA20F5">
        <w:t xml:space="preserve">zodpovedajú </w:t>
      </w:r>
      <w:r w:rsidRPr="00DA20F5">
        <w:t>tomu aj prijaté zmeny, ktoré sú len na prechodné obdobie a nemožno ich považovať za systémové riešenie poskytovania a financovania sociálnych služieb. Ministerstvo má záujem pripraviť aj rozsiahlu novelu zákona o sociálnych službách a v rámci neho sa zaoberá aj problematikou vytvorenia podmienok nového systému dlhodobej starostlivosti (LTC), hlavne pre starších klientov a ľudí so zdravotným postihnutím odkázaných na pomoc inej osoby</w:t>
      </w:r>
      <w:r w:rsidR="00C27A12" w:rsidRPr="00DA20F5">
        <w:t>. Systém</w:t>
      </w:r>
      <w:r w:rsidR="00AC5AAB" w:rsidRPr="00DA20F5">
        <w:t xml:space="preserve"> </w:t>
      </w:r>
      <w:r w:rsidRPr="00DA20F5">
        <w:t xml:space="preserve">je však závislý od zavedenia nového mechanizmu </w:t>
      </w:r>
      <w:r w:rsidR="009A4940" w:rsidRPr="00DA20F5">
        <w:t>financovania sociálnych služieb</w:t>
      </w:r>
      <w:r w:rsidRPr="00DA20F5">
        <w:t xml:space="preserve"> tak</w:t>
      </w:r>
      <w:r w:rsidR="009A4940" w:rsidRPr="00DA20F5">
        <w:t>,</w:t>
      </w:r>
      <w:r w:rsidRPr="00DA20F5">
        <w:t xml:space="preserve"> aby sa zabezpečilo právo klienta na sociálnu službu a jej dostupnosť na jednej strane, ale na druhej strane aj finančná</w:t>
      </w:r>
      <w:r w:rsidR="009A4940" w:rsidRPr="00DA20F5">
        <w:t xml:space="preserve"> udržateľnosť takéhoto systému, ktorý</w:t>
      </w:r>
      <w:r w:rsidRPr="00DA20F5">
        <w:t xml:space="preserve"> je vzhľadom na stále rastúce potreby klientov vyššieho veku finančne veľmi náročný, preto je potrebné hľadať celospoločenský konsenzus a potrebné zdroje. </w:t>
      </w:r>
      <w:r w:rsidR="006A6DA4" w:rsidRPr="00DA20F5">
        <w:rPr>
          <w:color w:val="000000" w:themeColor="text1"/>
        </w:rPr>
        <w:t>V súčasnosti sa uvažuje o viaczdrojovom financovaní takýchto služieb, nakoľko sociálne služby boli decentralizované a sú prevažne financované z rozpočtov samosprávy (obec, V</w:t>
      </w:r>
      <w:r w:rsidR="00A3338F" w:rsidRPr="00DA20F5">
        <w:rPr>
          <w:color w:val="000000" w:themeColor="text1"/>
        </w:rPr>
        <w:t>Ú</w:t>
      </w:r>
      <w:r w:rsidR="006A6DA4" w:rsidRPr="00DA20F5">
        <w:rPr>
          <w:color w:val="000000" w:themeColor="text1"/>
        </w:rPr>
        <w:t>C), ktorých rozpočtové zdroje sú nepostačujúce, a to aj v dôsledku hospodárskej a finančnej krízy. Uvažuje sa o financovaní sociálnych služieb na lokálnej, ale aj regionálnej úrovni aj zo strany štátu, ktorý by mal byť garantom už zákonom deklarovaného práva klienta na sociálnu službu. Ďalším zámerom je zabezpečiť financovanie ošetrovateľských úkonov poskytovaných v zariadeniach sociálnyc</w:t>
      </w:r>
      <w:r w:rsidR="002E0641" w:rsidRPr="00DA20F5">
        <w:rPr>
          <w:color w:val="000000" w:themeColor="text1"/>
        </w:rPr>
        <w:t xml:space="preserve">h služieb zo zdrojov verejného </w:t>
      </w:r>
      <w:r w:rsidR="006A6DA4" w:rsidRPr="00DA20F5">
        <w:rPr>
          <w:color w:val="000000" w:themeColor="text1"/>
        </w:rPr>
        <w:t>zdravotného poistenia, tak aby sa vytvorili podmienky pre koordináciu a previazanosť zdravotnej a sociálnej starostlivosti.</w:t>
      </w:r>
    </w:p>
    <w:p w:rsidR="00604B4C" w:rsidRPr="00DA20F5" w:rsidRDefault="00604B4C" w:rsidP="00D36FB8">
      <w:pPr>
        <w:ind w:firstLine="708"/>
      </w:pPr>
      <w:r w:rsidRPr="00DA20F5">
        <w:t>V snahe zabezpečiť kontinuitu a efektivitu poskytovaných sociálnych služieb a súčasne v snahe podporiť zotrvanie ľudí odkázaných na pomoc čo najdlhšie v ich prirodzenom rodinnom prostredí sa MPSVR SR v súčasnosti venuje procesu deinšitucio</w:t>
      </w:r>
      <w:r w:rsidR="002E0641" w:rsidRPr="00DA20F5">
        <w:t>nalizácie sociálnych služieb na </w:t>
      </w:r>
      <w:r w:rsidRPr="00DA20F5">
        <w:t>Slovensku. Vláda SR schválila dňa 30. 11. 2011 Stratégiu deinštitucionalizácie systému sociálnych služieb a náhradnej starostlivosti(ďalej len „Stratégia DI“). Slovenská republika sa týmto dokumentom hlási k</w:t>
      </w:r>
      <w:r w:rsidR="00AC5AAB" w:rsidRPr="00DA20F5">
        <w:t xml:space="preserve"> </w:t>
      </w:r>
      <w:r w:rsidRPr="00DA20F5">
        <w:t>celosvetovému trendu systematického odstraňovania dôsledkov dlhodobo uplatňovaného, ale už historicky prekonaného modelu inštitucionálnej izolácie a segregácie ľudí vyžadujúcich dlhodobú pomoc a starostlivosť v špecializovaných zariadeniach, menovite detí v náhradnej starostlivosti a ľudí so zdravotným postihnutím, seniorov, a jeho nahradenie alternatívnym modelom služieb a opatrení, svojím charakterom čo najviac podobným podmienkam bežného života. Takáto zmena modelu je jedným z cieľov súčasnej politiky Európskej únie v oblasti sociálnej inklúzie a zdravotného postihnutia a je súčasťou záväzkov Slovenskej republiky v medzinárodnej ľudsko-právnej agende, napr. Dohovoru o právach dieťaťa a Dohovoru OSN o právach osôb so zdravotným postihnutím. Základným zámerom deinštitucionalizácie v Slovenskej republike je vytvorenie a zabezpečenie podmienok pre nezávislý a slobodný život všetkých občanov, odkázaných na pomoc spoločnosti,</w:t>
      </w:r>
      <w:r w:rsidR="00AC5AAB" w:rsidRPr="00DA20F5">
        <w:t xml:space="preserve"> </w:t>
      </w:r>
      <w:r w:rsidRPr="00DA20F5">
        <w:t>v prirodzen</w:t>
      </w:r>
      <w:r w:rsidR="00F87AC0" w:rsidRPr="00DA20F5">
        <w:t>om sociálnom prostredí komunity</w:t>
      </w:r>
      <w:r w:rsidRPr="00DA20F5">
        <w:t xml:space="preserve"> prostredníctvom komplexu kvalitných alternatívnych služieb vo verejnom záujme. Dňa 14. 12. 2011 </w:t>
      </w:r>
      <w:r w:rsidR="00F87AC0" w:rsidRPr="00DA20F5">
        <w:t>MPSVR SR</w:t>
      </w:r>
      <w:r w:rsidRPr="00DA20F5">
        <w:t xml:space="preserve"> schválilo Národný akčný plán prechodu z inštitucionálnej na komunitnú starostlivosť v systéme sociálnych služieb na roky 2012 – 2015 (ďalej len „Národný akčný plán DI“). Vypracovanie Národného akčného plánu DI je jednou zo základných úloh</w:t>
      </w:r>
      <w:r w:rsidR="00AC5AAB" w:rsidRPr="00DA20F5">
        <w:t xml:space="preserve"> </w:t>
      </w:r>
      <w:r w:rsidRPr="00DA20F5">
        <w:t xml:space="preserve">Stratégie DI. Národný akčný plán DI predstavuje základný plánovací dokument </w:t>
      </w:r>
      <w:r w:rsidR="00F87AC0" w:rsidRPr="00DA20F5">
        <w:t>MPSVR SR</w:t>
      </w:r>
      <w:r w:rsidRPr="00DA20F5">
        <w:t xml:space="preserve"> na naplnenie Stratégie DI v oblasti prechodu z inštitucionálnej na komunitnú starostlivosť v systéme sociálnych služieb v Slovenskej republike v rokoch 2012 - 2015. </w:t>
      </w:r>
      <w:r w:rsidR="008D6E75" w:rsidRPr="00DA20F5">
        <w:rPr>
          <w:rStyle w:val="Odkaznapoznmkupodiarou"/>
        </w:rPr>
        <w:footnoteReference w:id="19"/>
      </w:r>
    </w:p>
    <w:p w:rsidR="00604B4C" w:rsidRPr="00DA20F5" w:rsidRDefault="00604B4C" w:rsidP="00D36FB8"/>
    <w:p w:rsidR="00604B4C" w:rsidRPr="00DA20F5" w:rsidRDefault="00604B4C" w:rsidP="002E0641">
      <w:pPr>
        <w:tabs>
          <w:tab w:val="left" w:pos="142"/>
        </w:tabs>
        <w:spacing w:after="240"/>
        <w:rPr>
          <w:b/>
        </w:rPr>
      </w:pPr>
      <w:r w:rsidRPr="00DA20F5">
        <w:rPr>
          <w:b/>
        </w:rPr>
        <w:t xml:space="preserve">Opatrovateľská služba </w:t>
      </w:r>
    </w:p>
    <w:p w:rsidR="00604B4C" w:rsidRPr="00DA20F5" w:rsidRDefault="00604B4C" w:rsidP="00D36FB8">
      <w:pPr>
        <w:ind w:firstLine="567"/>
      </w:pPr>
      <w:r w:rsidRPr="00DA20F5">
        <w:t>V roku 2010 bola opatrovateľská služba v domácnosti po</w:t>
      </w:r>
      <w:r w:rsidR="002E0641" w:rsidRPr="00DA20F5">
        <w:t>skytovaná zo strany obcí 15 704 </w:t>
      </w:r>
      <w:r w:rsidRPr="00DA20F5">
        <w:t>občanom. V porovnaní s rokom 2009 ide (rovnako ako v predchádzajúcom roku) o pokles počtu opatrovaných o 1 346 občanov. Podľa vyjadrení zástupcov obcí dôvodom pre takéto znižovanie rozsahu poskytovanej opatrovateľskej služby, a to v čase, keď sa dopyt po sociálnych službách zvyšuje, je nedostatok</w:t>
      </w:r>
      <w:r w:rsidR="00E54CD0" w:rsidRPr="00DA20F5">
        <w:t xml:space="preserve"> finančných </w:t>
      </w:r>
      <w:r w:rsidRPr="00DA20F5">
        <w:t>zdrojov.</w:t>
      </w:r>
    </w:p>
    <w:p w:rsidR="00604B4C" w:rsidRPr="00DA20F5" w:rsidRDefault="00604B4C" w:rsidP="00D36FB8">
      <w:pPr>
        <w:ind w:firstLine="567"/>
      </w:pPr>
      <w:r w:rsidRPr="00DA20F5">
        <w:lastRenderedPageBreak/>
        <w:t>Opatrovateľskú službu v roku 2010 poskytovalo 6 400 zamestnancov miest a obcí. V porovnaní s rokom 2009 ide o vyšší pokles zamestnancov opatrovateľskej slu</w:t>
      </w:r>
      <w:r w:rsidR="002E0641" w:rsidRPr="00DA20F5">
        <w:t>žby ako v roku 2008, a to o 685 </w:t>
      </w:r>
      <w:r w:rsidRPr="00DA20F5">
        <w:t xml:space="preserve">zamestnancov. Poskytovanie opatrovateľskej služby je realizované využitím všetkých inštitútov pracovno-právnych vzťahov (pracovný pomer, dohoda o pracovnej činnosti, dohoda o vykonaní práce). Počty zamestnancov sú prepočítavané na plné pracovné úväzky. </w:t>
      </w:r>
    </w:p>
    <w:p w:rsidR="00604B4C" w:rsidRPr="00DA20F5" w:rsidRDefault="00604B4C" w:rsidP="00D36FB8">
      <w:pPr>
        <w:ind w:firstLine="567"/>
      </w:pPr>
      <w:r w:rsidRPr="00DA20F5">
        <w:t>Na poskytovanie opatrovateľskej služby bolo v roku 2010 vynaložených zo strany obcí</w:t>
      </w:r>
      <w:r w:rsidR="00AC5AAB" w:rsidRPr="00DA20F5">
        <w:t xml:space="preserve"> </w:t>
      </w:r>
      <w:r w:rsidR="002E0641" w:rsidRPr="00DA20F5">
        <w:t>26 289 </w:t>
      </w:r>
      <w:r w:rsidRPr="00DA20F5">
        <w:t xml:space="preserve">tis. €. Oproti roku 2009 je to o 215 tis. € menej, čo zodpovedá zníženému počtu opatrovaných, ako aj opatrovateľov. </w:t>
      </w:r>
      <w:r w:rsidR="00331F6A" w:rsidRPr="00DA20F5">
        <w:t>Podrobnejšie</w:t>
      </w:r>
      <w:r w:rsidR="00AC5AAB" w:rsidRPr="00DA20F5">
        <w:t xml:space="preserve"> </w:t>
      </w:r>
      <w:r w:rsidRPr="00DA20F5">
        <w:t xml:space="preserve">štatistické údaje sú uvedené v prílohe </w:t>
      </w:r>
      <w:r w:rsidR="00507497" w:rsidRPr="00DA20F5">
        <w:t>ku kapitole 3</w:t>
      </w:r>
      <w:r w:rsidRPr="00DA20F5">
        <w:t>, tab</w:t>
      </w:r>
      <w:r w:rsidR="00A3605C" w:rsidRPr="00DA20F5">
        <w:t>. 22</w:t>
      </w:r>
      <w:r w:rsidRPr="00DA20F5">
        <w:t xml:space="preserve">. </w:t>
      </w:r>
    </w:p>
    <w:p w:rsidR="00177D15" w:rsidRPr="00DA20F5" w:rsidRDefault="00177D15" w:rsidP="00D36FB8">
      <w:pPr>
        <w:ind w:firstLine="567"/>
      </w:pPr>
    </w:p>
    <w:p w:rsidR="00604B4C" w:rsidRPr="00DA20F5" w:rsidRDefault="00604B4C" w:rsidP="00D36FB8">
      <w:pPr>
        <w:tabs>
          <w:tab w:val="left" w:pos="142"/>
        </w:tabs>
        <w:spacing w:after="240"/>
        <w:rPr>
          <w:b/>
        </w:rPr>
      </w:pPr>
      <w:r w:rsidRPr="00DA20F5">
        <w:rPr>
          <w:b/>
        </w:rPr>
        <w:t xml:space="preserve">Prepravná služba </w:t>
      </w:r>
    </w:p>
    <w:p w:rsidR="00A3605C" w:rsidRPr="00DA20F5" w:rsidRDefault="00F44AB0" w:rsidP="00F44AB0">
      <w:pPr>
        <w:tabs>
          <w:tab w:val="left" w:pos="142"/>
        </w:tabs>
      </w:pPr>
      <w:r w:rsidRPr="00DA20F5">
        <w:tab/>
      </w:r>
      <w:r w:rsidRPr="00DA20F5">
        <w:tab/>
      </w:r>
      <w:r w:rsidR="00604B4C" w:rsidRPr="00DA20F5">
        <w:t xml:space="preserve">V roku 2010 bola </w:t>
      </w:r>
      <w:r w:rsidR="00A11BE2" w:rsidRPr="00DA20F5">
        <w:t xml:space="preserve">obcami a mestami poskytnutá </w:t>
      </w:r>
      <w:r w:rsidR="00604B4C" w:rsidRPr="00DA20F5">
        <w:t>prepravná služba 3 325 občanom</w:t>
      </w:r>
      <w:r w:rsidR="00A11BE2" w:rsidRPr="00DA20F5">
        <w:t xml:space="preserve"> s nárastom</w:t>
      </w:r>
      <w:r w:rsidR="00161E87" w:rsidRPr="00DA20F5">
        <w:t xml:space="preserve"> </w:t>
      </w:r>
      <w:r w:rsidR="00A11BE2" w:rsidRPr="00DA20F5">
        <w:t>o</w:t>
      </w:r>
      <w:r w:rsidR="00B4166C" w:rsidRPr="00DA20F5">
        <w:t> 1 252</w:t>
      </w:r>
      <w:r w:rsidR="00AC5AAB" w:rsidRPr="00DA20F5">
        <w:t xml:space="preserve"> </w:t>
      </w:r>
      <w:r w:rsidR="00A11BE2" w:rsidRPr="00DA20F5">
        <w:t xml:space="preserve">občanov </w:t>
      </w:r>
      <w:r w:rsidR="00604B4C" w:rsidRPr="00DA20F5">
        <w:t>oproti roku 2009</w:t>
      </w:r>
      <w:r w:rsidR="00A11BE2" w:rsidRPr="00DA20F5">
        <w:t>.</w:t>
      </w:r>
      <w:r w:rsidR="00604B4C" w:rsidRPr="00DA20F5">
        <w:t xml:space="preserve"> Obce vynaložili v roku 2010 na poskytovanie prepravnej služby 160 081 €</w:t>
      </w:r>
      <w:r w:rsidR="00A11BE2" w:rsidRPr="00DA20F5">
        <w:t>,</w:t>
      </w:r>
      <w:r w:rsidR="00AC5AAB" w:rsidRPr="00DA20F5">
        <w:t xml:space="preserve"> </w:t>
      </w:r>
      <w:r w:rsidR="00604B4C" w:rsidRPr="00DA20F5">
        <w:t>čo oproti roku 200</w:t>
      </w:r>
      <w:r w:rsidR="00B4166C" w:rsidRPr="00DA20F5">
        <w:t>9 predstavuje nárast o 86 556 € (medziročné</w:t>
      </w:r>
      <w:r w:rsidR="00AC5AAB" w:rsidRPr="00DA20F5">
        <w:t xml:space="preserve"> </w:t>
      </w:r>
      <w:r w:rsidR="00A3605C" w:rsidRPr="00DA20F5">
        <w:t>štatistické údaje sú uvedené v prílohe ku kapitole 3, tab. 23</w:t>
      </w:r>
      <w:r w:rsidR="00B4166C" w:rsidRPr="00DA20F5">
        <w:t>)</w:t>
      </w:r>
      <w:r w:rsidR="00A3605C" w:rsidRPr="00DA20F5">
        <w:t xml:space="preserve">. </w:t>
      </w:r>
    </w:p>
    <w:p w:rsidR="00177D15" w:rsidRPr="00DA20F5" w:rsidRDefault="00177D15" w:rsidP="00D36FB8">
      <w:pPr>
        <w:pStyle w:val="Hlavika"/>
        <w:tabs>
          <w:tab w:val="clear" w:pos="4536"/>
          <w:tab w:val="clear" w:pos="9072"/>
        </w:tabs>
        <w:rPr>
          <w:b/>
          <w:lang w:eastAsia="cs-CZ"/>
        </w:rPr>
      </w:pPr>
    </w:p>
    <w:p w:rsidR="00604B4C" w:rsidRPr="00DA20F5" w:rsidRDefault="00604B4C" w:rsidP="00D36FB8">
      <w:pPr>
        <w:pStyle w:val="Hlavika"/>
        <w:tabs>
          <w:tab w:val="clear" w:pos="4536"/>
          <w:tab w:val="clear" w:pos="9072"/>
        </w:tabs>
        <w:spacing w:after="240"/>
        <w:rPr>
          <w:b/>
          <w:lang w:eastAsia="cs-CZ"/>
        </w:rPr>
      </w:pPr>
      <w:r w:rsidRPr="00DA20F5">
        <w:rPr>
          <w:b/>
          <w:lang w:eastAsia="cs-CZ"/>
        </w:rPr>
        <w:t>Zariadenia sociálnych služieb</w:t>
      </w:r>
      <w:r w:rsidR="00A11BE2" w:rsidRPr="00DA20F5">
        <w:rPr>
          <w:b/>
          <w:lang w:eastAsia="cs-CZ"/>
        </w:rPr>
        <w:t xml:space="preserve"> </w:t>
      </w:r>
    </w:p>
    <w:p w:rsidR="00604B4C" w:rsidRPr="00DA20F5" w:rsidRDefault="00604B4C" w:rsidP="00D36FB8">
      <w:pPr>
        <w:ind w:firstLine="708"/>
      </w:pPr>
      <w:r w:rsidRPr="00DA20F5">
        <w:t>K 31. 12. 2010 bolo v</w:t>
      </w:r>
      <w:r w:rsidR="00AC5AAB" w:rsidRPr="00DA20F5">
        <w:t xml:space="preserve"> </w:t>
      </w:r>
      <w:r w:rsidRPr="00DA20F5">
        <w:t>Slovenskej republike 5 424 925 obyvateľov, z toho 36 350 obyvateľom (0,67 %) boli poskytované služby v 911 zariadeniach sociálnych služieb zriadených obcou, vyšším územným celkom alebo neverejným poskytovateľom. Sociálne služby, ktoré majú charakter dlhodobej starostlivosti, boli poskytované 32 547 klientom v 762 zariadeniach (zariadenie pre seniorov, domov sociálnych služieb, špecializované zariadenie, denný stacionár, zariadenie podporovaného bývania, rehabilitačné stredisko, zariadenie opatrovateľskej služby).</w:t>
      </w:r>
    </w:p>
    <w:p w:rsidR="00604B4C" w:rsidRPr="00DA20F5" w:rsidRDefault="00604B4C" w:rsidP="00D36FB8">
      <w:pPr>
        <w:pStyle w:val="Zarkazkladnhotextu2"/>
        <w:spacing w:after="0"/>
        <w:ind w:left="0" w:firstLine="709"/>
        <w:rPr>
          <w:iCs w:val="0"/>
          <w:color w:val="auto"/>
          <w:sz w:val="22"/>
          <w:lang w:val="sk-SK"/>
        </w:rPr>
      </w:pPr>
      <w:r w:rsidRPr="00DA20F5">
        <w:rPr>
          <w:iCs w:val="0"/>
          <w:color w:val="auto"/>
          <w:sz w:val="22"/>
          <w:lang w:val="sk-SK"/>
        </w:rPr>
        <w:t>V roku 2010 bolo v Slovenskej republike spolu vo všetkých druhoch zariadení sociálnych služieb 38 751 miest, z toho sa celoročná starostlivosť poskytovala v rámci 34 418 miest (88,8 %), týždenná starostlivosť na 651 miestach (1,7 %), denná na 2 226 miestach (5,7 %) a prechodne sa starostlivosť poskytovala na 1 397 miestach (3,6 %). Z celkového počtu miest až 35 394 miest</w:t>
      </w:r>
      <w:r w:rsidR="00AC5AAB" w:rsidRPr="00DA20F5">
        <w:rPr>
          <w:iCs w:val="0"/>
          <w:color w:val="auto"/>
          <w:sz w:val="22"/>
          <w:lang w:val="sk-SK"/>
        </w:rPr>
        <w:t xml:space="preserve"> </w:t>
      </w:r>
      <w:r w:rsidR="002E0641" w:rsidRPr="00DA20F5">
        <w:rPr>
          <w:iCs w:val="0"/>
          <w:color w:val="auto"/>
          <w:sz w:val="22"/>
          <w:lang w:val="sk-SK"/>
        </w:rPr>
        <w:t>(91,3 </w:t>
      </w:r>
      <w:r w:rsidRPr="00DA20F5">
        <w:rPr>
          <w:iCs w:val="0"/>
          <w:color w:val="auto"/>
          <w:sz w:val="22"/>
          <w:lang w:val="sk-SK"/>
        </w:rPr>
        <w:t>%) pripadá na sociálne služby, ktoré majú charakter dlhodobej starostlivosti.</w:t>
      </w:r>
    </w:p>
    <w:p w:rsidR="00604B4C" w:rsidRPr="00DA20F5" w:rsidRDefault="00604B4C" w:rsidP="00D36FB8">
      <w:pPr>
        <w:pStyle w:val="Zarkazkladnhotextu"/>
        <w:ind w:left="0" w:firstLine="708"/>
        <w:rPr>
          <w:b w:val="0"/>
          <w:sz w:val="22"/>
          <w:lang w:val="sk-SK"/>
        </w:rPr>
      </w:pPr>
      <w:r w:rsidRPr="00DA20F5">
        <w:rPr>
          <w:b w:val="0"/>
          <w:sz w:val="22"/>
          <w:lang w:val="sk-SK"/>
        </w:rPr>
        <w:t>Zariadenia sociálnych služieb mali ku koncu roku 2010 spolu 36 350 obyvateľov. Z celkového počtu obyvateľov zariadení bolo 27 164 zdravotne postihnutých (74,7 %) a 22 243 osôb v dôchodkovom veku (61,2 %). Z celkového počtu obyvateľov zariadení bolo 15 033 mužov (41,4 %) a 21 317 žien (58,6 %). 33 360 obyvateľom (91,7 %) sa poskytovali sociálne služby tzv. dlhodobej starostlivosti.</w:t>
      </w:r>
    </w:p>
    <w:p w:rsidR="00604B4C" w:rsidRPr="00DA20F5" w:rsidRDefault="00604B4C" w:rsidP="00D36FB8">
      <w:pPr>
        <w:pStyle w:val="Zarkazkladnhotextu"/>
        <w:ind w:left="0" w:firstLine="708"/>
        <w:rPr>
          <w:b w:val="0"/>
          <w:sz w:val="22"/>
          <w:lang w:val="sk-SK"/>
        </w:rPr>
      </w:pPr>
      <w:r w:rsidRPr="00DA20F5">
        <w:rPr>
          <w:b w:val="0"/>
          <w:sz w:val="22"/>
          <w:lang w:val="sk-SK"/>
        </w:rPr>
        <w:t xml:space="preserve">Z hľadiska zriaďovateľa zariadení sociálnych služieb, z celkového počtu </w:t>
      </w:r>
      <w:r w:rsidR="00977FF1" w:rsidRPr="00DA20F5">
        <w:rPr>
          <w:b w:val="0"/>
          <w:sz w:val="22"/>
          <w:lang w:val="sk-SK"/>
        </w:rPr>
        <w:t xml:space="preserve">911 </w:t>
      </w:r>
      <w:r w:rsidRPr="00DA20F5">
        <w:rPr>
          <w:b w:val="0"/>
          <w:sz w:val="22"/>
          <w:lang w:val="sk-SK"/>
        </w:rPr>
        <w:t>zariadení sociálnych služieb</w:t>
      </w:r>
      <w:r w:rsidR="00AC5AAB" w:rsidRPr="00DA20F5">
        <w:rPr>
          <w:b w:val="0"/>
          <w:sz w:val="22"/>
          <w:lang w:val="sk-SK"/>
        </w:rPr>
        <w:t xml:space="preserve"> </w:t>
      </w:r>
      <w:r w:rsidRPr="00DA20F5">
        <w:rPr>
          <w:b w:val="0"/>
          <w:sz w:val="22"/>
          <w:lang w:val="sk-SK"/>
        </w:rPr>
        <w:t>je zriaďovateľom 367 zariadení samosprávny kraj (40 %) a obec zriaďovateľom 217 zariadení (24 %). Neverejní poskytovatelia sú zriaďovateľmi 327 zariadení (36%), z toho cirkevné právnické osoby sú zriaďovateľom 85 zariadení, ostatné právnické osoby 206 zariadení a fyzické osoby 10 zariadení sociálnych služieb.</w:t>
      </w:r>
      <w:r w:rsidR="00AC5AAB" w:rsidRPr="00DA20F5">
        <w:rPr>
          <w:b w:val="0"/>
          <w:sz w:val="22"/>
          <w:lang w:val="sk-SK"/>
        </w:rPr>
        <w:t xml:space="preserve"> </w:t>
      </w:r>
    </w:p>
    <w:p w:rsidR="00604B4C" w:rsidRPr="00DA20F5" w:rsidRDefault="00977FF1" w:rsidP="00D36FB8">
      <w:pPr>
        <w:pStyle w:val="Zarkazkladnhotextu"/>
        <w:ind w:left="0" w:firstLine="708"/>
        <w:rPr>
          <w:b w:val="0"/>
          <w:sz w:val="22"/>
          <w:lang w:val="sk-SK"/>
        </w:rPr>
      </w:pPr>
      <w:bookmarkStart w:id="1229" w:name="_Toc325438232"/>
      <w:r w:rsidRPr="00DA20F5">
        <w:rPr>
          <w:b w:val="0"/>
          <w:sz w:val="22"/>
          <w:lang w:val="sk-SK"/>
        </w:rPr>
        <w:t>V roku 2011 tvorili</w:t>
      </w:r>
      <w:r w:rsidR="00AC5AAB" w:rsidRPr="00DA20F5">
        <w:rPr>
          <w:b w:val="0"/>
          <w:sz w:val="22"/>
          <w:lang w:val="sk-SK"/>
        </w:rPr>
        <w:t xml:space="preserve"> </w:t>
      </w:r>
      <w:r w:rsidRPr="00DA20F5">
        <w:rPr>
          <w:b w:val="0"/>
          <w:sz w:val="22"/>
          <w:lang w:val="sk-SK"/>
        </w:rPr>
        <w:t>c</w:t>
      </w:r>
      <w:r w:rsidR="00604B4C" w:rsidRPr="00DA20F5">
        <w:rPr>
          <w:b w:val="0"/>
          <w:sz w:val="22"/>
          <w:lang w:val="sk-SK"/>
        </w:rPr>
        <w:t>elkové výdavky zariadení 271 180 737 €. Z toho až 159 834 815 (59 %) bolo vynaložených na mzdy a povinné sociálne poistenie. Ostatné výdavky boli určené na tovary a služby, na obstaranie dlhodobého majetku a na zdravotnú starostlivosť. Výdavky na sociálne služby v zariadeniach tzv. dlhodobej starostlivosti predstavovali sumu 263 270 637 €, čo je až 97 % z celkových výdavkov vo všetkých druhoch zariadení sociálnych služieb.</w:t>
      </w:r>
      <w:bookmarkEnd w:id="1229"/>
      <w:r w:rsidR="00604B4C" w:rsidRPr="00DA20F5">
        <w:rPr>
          <w:b w:val="0"/>
          <w:sz w:val="22"/>
          <w:lang w:val="sk-SK"/>
        </w:rPr>
        <w:t xml:space="preserve"> </w:t>
      </w:r>
    </w:p>
    <w:p w:rsidR="00DA30B9" w:rsidRPr="00DA20F5" w:rsidRDefault="00604B4C" w:rsidP="00D36FB8">
      <w:pPr>
        <w:ind w:firstLine="567"/>
      </w:pPr>
      <w:r w:rsidRPr="00DA20F5">
        <w:t>V zariadeniach sociálnych služieb bolo k 31.12.2010</w:t>
      </w:r>
      <w:r w:rsidR="00AC5AAB" w:rsidRPr="00DA20F5">
        <w:t xml:space="preserve"> </w:t>
      </w:r>
      <w:r w:rsidRPr="00DA20F5">
        <w:t>18</w:t>
      </w:r>
      <w:r w:rsidR="00977FF1" w:rsidRPr="00DA20F5">
        <w:t> </w:t>
      </w:r>
      <w:r w:rsidRPr="00DA20F5">
        <w:t>769</w:t>
      </w:r>
      <w:r w:rsidR="00977FF1" w:rsidRPr="00DA20F5">
        <w:t xml:space="preserve"> zamestnaných občanov</w:t>
      </w:r>
      <w:r w:rsidRPr="00DA20F5">
        <w:t>, čo predstavuje nárast oproti roku 2009 o 907 zamestnancov. V zariadeniach sociálnych služieb tzv. dlhodobej</w:t>
      </w:r>
      <w:r w:rsidRPr="00DA20F5">
        <w:rPr>
          <w:color w:val="548DD4" w:themeColor="text2" w:themeTint="99"/>
        </w:rPr>
        <w:t xml:space="preserve"> </w:t>
      </w:r>
      <w:r w:rsidRPr="00DA20F5">
        <w:t>starostlivosti pracovalo až 18 192 zamestnancov (97 % z celkového počtu</w:t>
      </w:r>
      <w:r w:rsidR="00AC5AAB" w:rsidRPr="00DA20F5">
        <w:t xml:space="preserve"> </w:t>
      </w:r>
      <w:r w:rsidR="00977FF1" w:rsidRPr="00DA20F5">
        <w:t>z</w:t>
      </w:r>
      <w:r w:rsidRPr="00DA20F5">
        <w:t xml:space="preserve">amestnancov). </w:t>
      </w:r>
      <w:r w:rsidR="003F5BEB" w:rsidRPr="00DA20F5">
        <w:t xml:space="preserve">Ďalšie štatistické údaje sú uvedené v prílohe ku kapitole 3, tab. 24 až 28. </w:t>
      </w:r>
      <w:r w:rsidR="00977FF1" w:rsidRPr="00DA20F5">
        <w:rPr>
          <w:rStyle w:val="Odkaznapoznmkupodiarou"/>
          <w:iCs/>
        </w:rPr>
        <w:footnoteReference w:id="20"/>
      </w:r>
      <w:r w:rsidR="00AC5AAB" w:rsidRPr="00DA20F5">
        <w:t xml:space="preserve"> </w:t>
      </w:r>
    </w:p>
    <w:p w:rsidR="00262324" w:rsidRPr="00DA20F5" w:rsidRDefault="00604B4C" w:rsidP="00D36FB8">
      <w:r w:rsidRPr="00DA20F5">
        <w:rPr>
          <w:iCs/>
        </w:rPr>
        <w:t>Pokiaľ ide o zariadenia sociálnych služieb, ktoré nie sú sledované Štatistickým úradom SR, ale ich zdrojom sú údaje z rezortného výkazníctva,</w:t>
      </w:r>
      <w:r w:rsidR="009E3FC1" w:rsidRPr="00DA20F5">
        <w:rPr>
          <w:iCs/>
        </w:rPr>
        <w:t xml:space="preserve"> k 31. 12. 2010 </w:t>
      </w:r>
      <w:r w:rsidRPr="00DA20F5">
        <w:rPr>
          <w:iCs/>
        </w:rPr>
        <w:t>vykazujú v SR 497</w:t>
      </w:r>
      <w:r w:rsidR="00AC5AAB" w:rsidRPr="00DA20F5">
        <w:rPr>
          <w:iCs/>
        </w:rPr>
        <w:t xml:space="preserve"> </w:t>
      </w:r>
      <w:r w:rsidR="002E0641" w:rsidRPr="00DA20F5">
        <w:rPr>
          <w:iCs/>
        </w:rPr>
        <w:t xml:space="preserve">klubov dôchodcov, </w:t>
      </w:r>
      <w:r w:rsidR="002E0641" w:rsidRPr="00DA20F5">
        <w:rPr>
          <w:iCs/>
        </w:rPr>
        <w:lastRenderedPageBreak/>
        <w:t>139 </w:t>
      </w:r>
      <w:r w:rsidRPr="00DA20F5">
        <w:rPr>
          <w:iCs/>
        </w:rPr>
        <w:t>jedální pre dôchodcov, 27 stredísk osobnej hygieny a 29 práčovní. Celkové bežné výdavky v týchto zariadeniach v roku 2010</w:t>
      </w:r>
      <w:r w:rsidR="00AC5AAB" w:rsidRPr="00DA20F5">
        <w:rPr>
          <w:iCs/>
        </w:rPr>
        <w:t xml:space="preserve"> </w:t>
      </w:r>
      <w:r w:rsidR="003F5BEB" w:rsidRPr="00DA20F5">
        <w:rPr>
          <w:iCs/>
        </w:rPr>
        <w:t>tvorili</w:t>
      </w:r>
      <w:r w:rsidR="00AC5AAB" w:rsidRPr="00DA20F5">
        <w:rPr>
          <w:iCs/>
        </w:rPr>
        <w:t xml:space="preserve"> </w:t>
      </w:r>
      <w:r w:rsidRPr="00DA20F5">
        <w:rPr>
          <w:iCs/>
        </w:rPr>
        <w:t xml:space="preserve">5,7 mil. € </w:t>
      </w:r>
      <w:r w:rsidR="00867C54" w:rsidRPr="00DA20F5">
        <w:rPr>
          <w:iCs/>
        </w:rPr>
        <w:t xml:space="preserve">. </w:t>
      </w:r>
      <w:r w:rsidR="00867C54" w:rsidRPr="00DA20F5">
        <w:t>Podrobnejšie</w:t>
      </w:r>
      <w:r w:rsidR="00AC5AAB" w:rsidRPr="00DA20F5">
        <w:t xml:space="preserve"> </w:t>
      </w:r>
      <w:r w:rsidR="00867C54" w:rsidRPr="00DA20F5">
        <w:t xml:space="preserve">štatistické údaje sú uvedené </w:t>
      </w:r>
      <w:r w:rsidR="00262324" w:rsidRPr="00DA20F5">
        <w:t>v prílohe ku kapitole 3, tab. 2</w:t>
      </w:r>
      <w:r w:rsidR="000146F1" w:rsidRPr="00DA20F5">
        <w:t>9</w:t>
      </w:r>
      <w:r w:rsidR="00262324" w:rsidRPr="00DA20F5">
        <w:t xml:space="preserve">. </w:t>
      </w:r>
    </w:p>
    <w:p w:rsidR="00262324" w:rsidRPr="00DA20F5" w:rsidRDefault="00604B4C" w:rsidP="00D36FB8">
      <w:pPr>
        <w:ind w:firstLine="567"/>
      </w:pPr>
      <w:r w:rsidRPr="00DA20F5">
        <w:rPr>
          <w:iCs/>
        </w:rPr>
        <w:t>V roku 2010 bolo do poradovníkov čakateľov na poskytovanie starostlivosti v zariadeniach sociálnych služieb zaradených celkovo 4 648 osôb, z toho v</w:t>
      </w:r>
      <w:r w:rsidR="00AC5AAB" w:rsidRPr="00DA20F5">
        <w:rPr>
          <w:iCs/>
        </w:rPr>
        <w:t xml:space="preserve"> </w:t>
      </w:r>
      <w:r w:rsidRPr="00DA20F5">
        <w:rPr>
          <w:iCs/>
        </w:rPr>
        <w:t>zariadeniach pre seniorov</w:t>
      </w:r>
      <w:r w:rsidR="00AC5AAB" w:rsidRPr="00DA20F5">
        <w:rPr>
          <w:iCs/>
        </w:rPr>
        <w:t xml:space="preserve"> </w:t>
      </w:r>
      <w:r w:rsidR="002E0641" w:rsidRPr="00DA20F5">
        <w:rPr>
          <w:iCs/>
        </w:rPr>
        <w:t>4 466 </w:t>
      </w:r>
      <w:r w:rsidRPr="00DA20F5">
        <w:rPr>
          <w:iCs/>
        </w:rPr>
        <w:t>osôb</w:t>
      </w:r>
      <w:r w:rsidR="009E3FC1" w:rsidRPr="00DA20F5">
        <w:rPr>
          <w:iCs/>
        </w:rPr>
        <w:t>,</w:t>
      </w:r>
      <w:r w:rsidRPr="00DA20F5">
        <w:rPr>
          <w:iCs/>
        </w:rPr>
        <w:t> v domovoch sociálnych služieb 176 osôb a v zariadeniach podporovaného bývania 6 osôb. Celkovo počet čakateľov oproti roku 2009 klesol až o 10 258, čo je pravdepodobne spôsobené tým, že v súlade so zákonom o sociálnych službách boli obce a vyššie územné celky povinné k 31. 12. 2010 preposúdiť odkázanosť všetkých osôb zapísaných v poradovníkoch čakateľov na pomoc inej osoby, pričom možno predpokladať, že veľké množstvo čakateľov na poskytovanie sociálnej služby (najmä v zariadeniach pre seniorov) nespĺňalo podmienky na poskytovan</w:t>
      </w:r>
      <w:r w:rsidR="00262324" w:rsidRPr="00DA20F5">
        <w:rPr>
          <w:iCs/>
        </w:rPr>
        <w:t>ie sociálnej služby v zariadení</w:t>
      </w:r>
      <w:r w:rsidRPr="00DA20F5">
        <w:rPr>
          <w:iCs/>
        </w:rPr>
        <w:t xml:space="preserve"> </w:t>
      </w:r>
      <w:r w:rsidR="00262324" w:rsidRPr="00DA20F5">
        <w:rPr>
          <w:iCs/>
        </w:rPr>
        <w:t>(</w:t>
      </w:r>
      <w:r w:rsidR="00262324" w:rsidRPr="00DA20F5">
        <w:t xml:space="preserve">príloha ku kapitole 3, tab. </w:t>
      </w:r>
      <w:r w:rsidR="000146F1" w:rsidRPr="00DA20F5">
        <w:t>30</w:t>
      </w:r>
      <w:r w:rsidR="00262324" w:rsidRPr="00DA20F5">
        <w:t xml:space="preserve">). </w:t>
      </w:r>
    </w:p>
    <w:p w:rsidR="00604B4C" w:rsidRPr="00DA20F5" w:rsidRDefault="00604B4C" w:rsidP="00D36FB8">
      <w:pPr>
        <w:pStyle w:val="Hlavika"/>
        <w:tabs>
          <w:tab w:val="clear" w:pos="4536"/>
          <w:tab w:val="clear" w:pos="9072"/>
        </w:tabs>
        <w:rPr>
          <w:b/>
          <w:lang w:eastAsia="cs-CZ"/>
        </w:rPr>
      </w:pPr>
    </w:p>
    <w:p w:rsidR="00604B4C" w:rsidRPr="00DA20F5" w:rsidRDefault="00604B4C" w:rsidP="002E0641">
      <w:pPr>
        <w:pStyle w:val="Hlavika"/>
        <w:tabs>
          <w:tab w:val="clear" w:pos="4536"/>
          <w:tab w:val="clear" w:pos="9072"/>
        </w:tabs>
        <w:spacing w:after="240"/>
        <w:rPr>
          <w:b/>
          <w:lang w:eastAsia="cs-CZ"/>
        </w:rPr>
      </w:pPr>
      <w:r w:rsidRPr="00DA20F5">
        <w:rPr>
          <w:b/>
          <w:lang w:eastAsia="cs-CZ"/>
        </w:rPr>
        <w:t>Neverejní poskytovatelia sociálnych služieb</w:t>
      </w:r>
    </w:p>
    <w:p w:rsidR="00604B4C" w:rsidRPr="00DA20F5" w:rsidRDefault="00604B4C" w:rsidP="00D36FB8">
      <w:pPr>
        <w:pStyle w:val="Hlavika"/>
        <w:tabs>
          <w:tab w:val="clear" w:pos="4536"/>
          <w:tab w:val="clear" w:pos="9072"/>
        </w:tabs>
      </w:pPr>
      <w:r w:rsidRPr="00DA20F5">
        <w:rPr>
          <w:iCs/>
        </w:rPr>
        <w:tab/>
      </w:r>
      <w:r w:rsidRPr="00DA20F5">
        <w:t>K 31. 12. 2010 poskytovalo sociálne služby 358 neverejných poskytovateľov, čo predstavuje nárast oproti roku 2009 o 83 poskytovateľov. Neverejní poskytovatelia poskytovali sociálne služby 30 219 klientom, čo je o 1 761 viac ako v roku 2009. Celkové príjmy neverejných poskytovateľov predstavovali sumu 58 063 tis. € a celkové výdavky 58 403 tis. €.</w:t>
      </w:r>
    </w:p>
    <w:p w:rsidR="00604B4C" w:rsidRPr="00DA20F5" w:rsidRDefault="00604B4C" w:rsidP="00D36FB8">
      <w:pPr>
        <w:pStyle w:val="Hlavika"/>
        <w:tabs>
          <w:tab w:val="clear" w:pos="4536"/>
          <w:tab w:val="clear" w:pos="9072"/>
        </w:tabs>
        <w:rPr>
          <w:color w:val="548DD4" w:themeColor="text2" w:themeTint="99"/>
        </w:rPr>
      </w:pPr>
    </w:p>
    <w:p w:rsidR="00DB509D" w:rsidRPr="00DA20F5" w:rsidRDefault="00DB509D" w:rsidP="002E0641">
      <w:pPr>
        <w:pStyle w:val="Hlavika"/>
        <w:tabs>
          <w:tab w:val="clear" w:pos="4536"/>
          <w:tab w:val="clear" w:pos="9072"/>
        </w:tabs>
        <w:spacing w:after="240"/>
        <w:rPr>
          <w:b/>
          <w:lang w:eastAsia="cs-CZ"/>
        </w:rPr>
      </w:pPr>
      <w:r w:rsidRPr="00DA20F5">
        <w:rPr>
          <w:b/>
          <w:lang w:eastAsia="cs-CZ"/>
        </w:rPr>
        <w:t xml:space="preserve">Dohľad nad poskytovaním sociálnych služieb </w:t>
      </w:r>
    </w:p>
    <w:p w:rsidR="00DB509D" w:rsidRPr="00DA20F5" w:rsidRDefault="00DB509D" w:rsidP="00DB509D">
      <w:pPr>
        <w:widowControl w:val="0"/>
        <w:suppressAutoHyphens/>
        <w:ind w:firstLine="567"/>
        <w:contextualSpacing/>
        <w:rPr>
          <w:color w:val="000000" w:themeColor="text1"/>
        </w:rPr>
      </w:pPr>
      <w:r w:rsidRPr="00DA20F5">
        <w:rPr>
          <w:color w:val="000000" w:themeColor="text1"/>
        </w:rPr>
        <w:t xml:space="preserve">V súlade s § 98 </w:t>
      </w:r>
      <w:r w:rsidR="00862D51" w:rsidRPr="00DA20F5">
        <w:rPr>
          <w:color w:val="000000" w:themeColor="text1"/>
        </w:rPr>
        <w:t>a</w:t>
      </w:r>
      <w:r w:rsidRPr="00DA20F5">
        <w:rPr>
          <w:color w:val="000000" w:themeColor="text1"/>
        </w:rPr>
        <w:t xml:space="preserve"> 99 zákona </w:t>
      </w:r>
      <w:r w:rsidRPr="00DA20F5">
        <w:rPr>
          <w:bCs/>
          <w:color w:val="000000" w:themeColor="text1"/>
        </w:rPr>
        <w:t xml:space="preserve">o sociálnych </w:t>
      </w:r>
      <w:r w:rsidRPr="00DA20F5">
        <w:rPr>
          <w:color w:val="000000" w:themeColor="text1"/>
        </w:rPr>
        <w:t xml:space="preserve">štát prostredníctvom MPSVR SR vykonáva dohľad nad dodržiavaním zákona o sociálnych službách a všeobecne záväzných právnych predpisov pri: </w:t>
      </w:r>
    </w:p>
    <w:p w:rsidR="00DB509D" w:rsidRPr="00DA20F5" w:rsidRDefault="00DB509D" w:rsidP="00DB509D">
      <w:pPr>
        <w:pStyle w:val="Odsekzoznamu"/>
        <w:widowControl w:val="0"/>
        <w:numPr>
          <w:ilvl w:val="0"/>
          <w:numId w:val="29"/>
        </w:numPr>
        <w:suppressAutoHyphens/>
        <w:contextualSpacing/>
        <w:rPr>
          <w:color w:val="000000" w:themeColor="text1"/>
        </w:rPr>
      </w:pPr>
      <w:r w:rsidRPr="00DA20F5">
        <w:rPr>
          <w:color w:val="000000" w:themeColor="text1"/>
        </w:rPr>
        <w:t xml:space="preserve">poskytovaní sociálnych služieb a spôsobe jej vykonávania najmä z hľadiska dodržiavania základných ľudských práv a slobôd, </w:t>
      </w:r>
    </w:p>
    <w:p w:rsidR="00DB509D" w:rsidRPr="00DA20F5" w:rsidRDefault="00DB509D" w:rsidP="00DB509D">
      <w:pPr>
        <w:pStyle w:val="Odsekzoznamu"/>
        <w:widowControl w:val="0"/>
        <w:numPr>
          <w:ilvl w:val="0"/>
          <w:numId w:val="29"/>
        </w:numPr>
        <w:suppressAutoHyphens/>
        <w:contextualSpacing/>
        <w:rPr>
          <w:color w:val="000000" w:themeColor="text1"/>
        </w:rPr>
      </w:pPr>
      <w:r w:rsidRPr="00DA20F5">
        <w:rPr>
          <w:color w:val="000000" w:themeColor="text1"/>
        </w:rPr>
        <w:t xml:space="preserve">uzatváraní zmlúv o poskytovaní sociálnej služby, </w:t>
      </w:r>
    </w:p>
    <w:p w:rsidR="00DB509D" w:rsidRPr="00DA20F5" w:rsidRDefault="00DB509D" w:rsidP="00DB509D">
      <w:pPr>
        <w:pStyle w:val="Odsekzoznamu"/>
        <w:widowControl w:val="0"/>
        <w:numPr>
          <w:ilvl w:val="0"/>
          <w:numId w:val="29"/>
        </w:numPr>
        <w:suppressAutoHyphens/>
        <w:contextualSpacing/>
        <w:rPr>
          <w:color w:val="000000" w:themeColor="text1"/>
        </w:rPr>
      </w:pPr>
      <w:r w:rsidRPr="00DA20F5">
        <w:rPr>
          <w:color w:val="000000" w:themeColor="text1"/>
        </w:rPr>
        <w:t>dodržiavaní záväzkov zo zmluvy o poskytovaní sociálnej služby,</w:t>
      </w:r>
    </w:p>
    <w:p w:rsidR="00DB509D" w:rsidRPr="00DA20F5" w:rsidRDefault="00DB509D" w:rsidP="00DB509D">
      <w:pPr>
        <w:pStyle w:val="Odsekzoznamu"/>
        <w:widowControl w:val="0"/>
        <w:numPr>
          <w:ilvl w:val="0"/>
          <w:numId w:val="29"/>
        </w:numPr>
        <w:suppressAutoHyphens/>
        <w:contextualSpacing/>
        <w:rPr>
          <w:color w:val="000000" w:themeColor="text1"/>
        </w:rPr>
      </w:pPr>
      <w:r w:rsidRPr="00DA20F5">
        <w:rPr>
          <w:color w:val="000000" w:themeColor="text1"/>
        </w:rPr>
        <w:t xml:space="preserve">vykonávaní odborných činností, na ktoré bola udelená akreditácia. </w:t>
      </w:r>
    </w:p>
    <w:p w:rsidR="00DB509D" w:rsidRPr="00DA20F5" w:rsidRDefault="00DB509D" w:rsidP="00DB509D">
      <w:pPr>
        <w:widowControl w:val="0"/>
        <w:suppressAutoHyphens/>
        <w:rPr>
          <w:color w:val="000000" w:themeColor="text1"/>
        </w:rPr>
      </w:pPr>
    </w:p>
    <w:p w:rsidR="00DB509D" w:rsidRPr="00DA20F5" w:rsidRDefault="00DB509D" w:rsidP="00DB509D">
      <w:pPr>
        <w:pStyle w:val="Odsekzoznamu"/>
        <w:widowControl w:val="0"/>
        <w:suppressAutoHyphens/>
        <w:spacing w:line="276" w:lineRule="auto"/>
        <w:ind w:left="0"/>
        <w:jc w:val="left"/>
        <w:rPr>
          <w:color w:val="000000" w:themeColor="text1"/>
          <w:szCs w:val="22"/>
        </w:rPr>
      </w:pPr>
      <w:r w:rsidRPr="00DA20F5">
        <w:rPr>
          <w:color w:val="000000" w:themeColor="text1"/>
          <w:szCs w:val="22"/>
        </w:rPr>
        <w:t xml:space="preserve">V roku 2011 MPSVR SR vykonalo dohľad nad poskytovaním sociálnych služieb (ďalej len „dohľad“) celkom u 22 poskytovateľov sociálnej služby, z toho: </w:t>
      </w:r>
    </w:p>
    <w:p w:rsidR="00DB509D" w:rsidRPr="00DA20F5" w:rsidRDefault="00DB509D" w:rsidP="00415172">
      <w:pPr>
        <w:pStyle w:val="Odsekzoznamu"/>
        <w:widowControl w:val="0"/>
        <w:numPr>
          <w:ilvl w:val="0"/>
          <w:numId w:val="29"/>
        </w:numPr>
        <w:suppressAutoHyphens/>
        <w:contextualSpacing/>
        <w:rPr>
          <w:color w:val="000000" w:themeColor="text1"/>
        </w:rPr>
      </w:pPr>
      <w:r w:rsidRPr="00DA20F5">
        <w:rPr>
          <w:color w:val="000000" w:themeColor="text1"/>
        </w:rPr>
        <w:t>3 dokončené v roku 2011, prenesené z roku 2010</w:t>
      </w:r>
    </w:p>
    <w:p w:rsidR="00DB509D" w:rsidRPr="00DA20F5" w:rsidRDefault="00DB509D" w:rsidP="00415172">
      <w:pPr>
        <w:pStyle w:val="Odsekzoznamu"/>
        <w:widowControl w:val="0"/>
        <w:numPr>
          <w:ilvl w:val="0"/>
          <w:numId w:val="29"/>
        </w:numPr>
        <w:suppressAutoHyphens/>
        <w:contextualSpacing/>
        <w:rPr>
          <w:color w:val="000000" w:themeColor="text1"/>
        </w:rPr>
      </w:pPr>
      <w:r w:rsidRPr="00DA20F5">
        <w:rPr>
          <w:color w:val="000000" w:themeColor="text1"/>
        </w:rPr>
        <w:t>15 vykonaných a dokončených v roku 2011</w:t>
      </w:r>
    </w:p>
    <w:p w:rsidR="00DB509D" w:rsidRPr="00DA20F5" w:rsidRDefault="00DB509D" w:rsidP="00415172">
      <w:pPr>
        <w:pStyle w:val="Odsekzoznamu"/>
        <w:widowControl w:val="0"/>
        <w:numPr>
          <w:ilvl w:val="0"/>
          <w:numId w:val="29"/>
        </w:numPr>
        <w:suppressAutoHyphens/>
        <w:contextualSpacing/>
        <w:rPr>
          <w:color w:val="000000" w:themeColor="text1"/>
        </w:rPr>
      </w:pPr>
      <w:r w:rsidRPr="00DA20F5">
        <w:rPr>
          <w:color w:val="000000" w:themeColor="text1"/>
        </w:rPr>
        <w:t>4 začaté v roku 2011, nedokončené, prenesené do roku 2012</w:t>
      </w:r>
    </w:p>
    <w:p w:rsidR="00DB509D" w:rsidRPr="00DA20F5" w:rsidRDefault="00DB509D" w:rsidP="00DA4C37">
      <w:pPr>
        <w:rPr>
          <w:color w:val="000000" w:themeColor="text1"/>
        </w:rPr>
      </w:pPr>
      <w:r w:rsidRPr="00DA20F5">
        <w:rPr>
          <w:color w:val="000000" w:themeColor="text1"/>
        </w:rPr>
        <w:t>Z celkového počtu vykonaných dohľadov bol 1 dohľad  vykonaný mi</w:t>
      </w:r>
      <w:r w:rsidR="002E0641" w:rsidRPr="00DA20F5">
        <w:rPr>
          <w:color w:val="000000" w:themeColor="text1"/>
        </w:rPr>
        <w:t>mo zamerania činnosti odboru na </w:t>
      </w:r>
      <w:r w:rsidRPr="00DA20F5">
        <w:rPr>
          <w:color w:val="000000" w:themeColor="text1"/>
        </w:rPr>
        <w:t xml:space="preserve">rok 2011. </w:t>
      </w:r>
    </w:p>
    <w:p w:rsidR="00DB509D" w:rsidRPr="00DA20F5" w:rsidRDefault="00DB509D" w:rsidP="00DB509D">
      <w:pPr>
        <w:pStyle w:val="Odsekzoznamu"/>
        <w:widowControl w:val="0"/>
        <w:suppressAutoHyphens/>
        <w:spacing w:before="120"/>
        <w:ind w:left="0" w:firstLine="567"/>
      </w:pPr>
      <w:r w:rsidRPr="00DA20F5">
        <w:rPr>
          <w:color w:val="000000" w:themeColor="text1"/>
        </w:rPr>
        <w:t>Z vykonaných dohľadov iba u 4 poskytovateľov sociáln</w:t>
      </w:r>
      <w:r w:rsidR="002E0641" w:rsidRPr="00DA20F5">
        <w:rPr>
          <w:color w:val="000000" w:themeColor="text1"/>
        </w:rPr>
        <w:t>ej služby (z toho 3 verejní a 1 </w:t>
      </w:r>
      <w:r w:rsidRPr="00DA20F5">
        <w:rPr>
          <w:color w:val="000000" w:themeColor="text1"/>
        </w:rPr>
        <w:t>neverejný) neboli zistené porušenia právnych</w:t>
      </w:r>
      <w:r w:rsidRPr="00DA20F5">
        <w:t xml:space="preserve"> predpisov. U všetkých ostatných poskytovateľov sociálnej služby, u ktorých boli vykonané dohľady, boli zistené porušenia všeobecne záväzných právnych predpisov, ale aj nedostatky rôzneho rozsahu a závažnosti. </w:t>
      </w:r>
    </w:p>
    <w:p w:rsidR="00DB509D" w:rsidRPr="00DA20F5" w:rsidRDefault="00DB509D" w:rsidP="00DB509D">
      <w:pPr>
        <w:pStyle w:val="Odsekzoznamu"/>
        <w:widowControl w:val="0"/>
        <w:suppressAutoHyphens/>
        <w:ind w:left="0" w:firstLine="567"/>
      </w:pPr>
      <w:r w:rsidRPr="00DA20F5">
        <w:t xml:space="preserve">V nadväznosti na výkon dohľadu u poskytovateľov sociálnej služby v predchádzajúcich rokoch ministerstvo vykonalo tiež kontrolu plnenia prijatých opatrení na odstránenie nedostatkov zistených pri výkone dohľadu v 4 prípadoch, pričom v 1 opäť zaznamenali porušenie Ústavy SR. </w:t>
      </w:r>
    </w:p>
    <w:p w:rsidR="00DB509D" w:rsidRPr="00DA20F5" w:rsidRDefault="00DB509D" w:rsidP="00DB509D">
      <w:pPr>
        <w:spacing w:after="240"/>
        <w:ind w:firstLine="567"/>
        <w:rPr>
          <w:rFonts w:eastAsia="Calibri"/>
        </w:rPr>
      </w:pPr>
      <w:r w:rsidRPr="00DA20F5">
        <w:t xml:space="preserve">Súčasťou výkonu dohľadu je aj preverenie podaní a podnetov fyzických a právnických osôb poukazujúcich na porušovanie práv prijímateľov sociálnej služby priamo u poskytovateľa sociálnej služby. Z 10 preverovaných podaní a podnetov fyzických osôb priamo u poskytovateľov sociálnej služby sa v 5 prípadoch uvádzané nedostatky nepotvrdili, v 4 prípadoch boli potvrdené. V 1 prípade nebolo možné metódami </w:t>
      </w:r>
      <w:r w:rsidRPr="00DA20F5">
        <w:rPr>
          <w:rFonts w:eastAsia="Calibri"/>
        </w:rPr>
        <w:t xml:space="preserve">výkonu dohľadu preveriť stav veci a pisateľ bol odkázaný na orgány činné v trestnom konaní. </w:t>
      </w:r>
    </w:p>
    <w:p w:rsidR="00CC69B8" w:rsidRPr="00DA20F5" w:rsidRDefault="00CC69B8" w:rsidP="00D36FB8">
      <w:pPr>
        <w:jc w:val="left"/>
        <w:rPr>
          <w:b/>
          <w:lang w:eastAsia="cs-CZ"/>
        </w:rPr>
      </w:pPr>
      <w:r w:rsidRPr="00DA20F5">
        <w:rPr>
          <w:b/>
          <w:lang w:eastAsia="cs-CZ"/>
        </w:rPr>
        <w:br w:type="page"/>
      </w:r>
    </w:p>
    <w:p w:rsidR="00C572EE" w:rsidRPr="00DA20F5" w:rsidRDefault="00C572EE" w:rsidP="00D36FB8">
      <w:pPr>
        <w:pStyle w:val="Hlavika"/>
        <w:tabs>
          <w:tab w:val="clear" w:pos="4536"/>
          <w:tab w:val="clear" w:pos="9072"/>
        </w:tabs>
        <w:spacing w:after="120"/>
        <w:rPr>
          <w:b/>
          <w:lang w:eastAsia="cs-CZ"/>
        </w:rPr>
      </w:pPr>
      <w:r w:rsidRPr="00DA20F5">
        <w:rPr>
          <w:b/>
          <w:lang w:eastAsia="cs-CZ"/>
        </w:rPr>
        <w:lastRenderedPageBreak/>
        <w:t xml:space="preserve">Akreditácie na vykonávanie odborných činnosti a vzdelávacích programov </w:t>
      </w:r>
    </w:p>
    <w:p w:rsidR="00C572EE" w:rsidRPr="00DA20F5" w:rsidRDefault="00C572EE" w:rsidP="00D36FB8">
      <w:pPr>
        <w:ind w:firstLine="708"/>
      </w:pPr>
      <w:r w:rsidRPr="00DA20F5">
        <w:t>Od 1. januára 2009</w:t>
      </w:r>
      <w:r w:rsidR="00AC5AAB" w:rsidRPr="00DA20F5">
        <w:t xml:space="preserve"> </w:t>
      </w:r>
      <w:r w:rsidR="009E3FC1" w:rsidRPr="00DA20F5">
        <w:t>MPSVR SR</w:t>
      </w:r>
      <w:r w:rsidRPr="00DA20F5">
        <w:t xml:space="preserve"> v súlade so zákonom o sociálnych službách</w:t>
      </w:r>
      <w:r w:rsidR="00AC5AAB" w:rsidRPr="00DA20F5">
        <w:t xml:space="preserve"> </w:t>
      </w:r>
      <w:r w:rsidRPr="00DA20F5">
        <w:t>udeľuje akreditácie na odbornú činnosť (špecializované sociálne poradenstvo</w:t>
      </w:r>
      <w:r w:rsidR="005C3A6A" w:rsidRPr="00DA20F5">
        <w:t xml:space="preserve"> a sociálnu rehabilitáciu) a na </w:t>
      </w:r>
      <w:r w:rsidRPr="00DA20F5">
        <w:t xml:space="preserve">vzdelávacie programy. Od 1. januára 2011 do 31.decembra 2011 bolo </w:t>
      </w:r>
      <w:r w:rsidR="009E3FC1" w:rsidRPr="00DA20F5">
        <w:t xml:space="preserve">na </w:t>
      </w:r>
      <w:r w:rsidR="009A01ED" w:rsidRPr="00DA20F5">
        <w:t>MPSVR</w:t>
      </w:r>
      <w:r w:rsidRPr="00DA20F5">
        <w:t xml:space="preserve"> SR doručených 48 žiadostí o udelenie akreditácie. Z uvedeného počtu bolo 7 žia</w:t>
      </w:r>
      <w:r w:rsidR="005C3A6A" w:rsidRPr="00DA20F5">
        <w:t>dostí o udelenie akreditácie na </w:t>
      </w:r>
      <w:r w:rsidRPr="00DA20F5">
        <w:t>odbornú činnosť a 41 žiadosti o udelenie akreditácie na vzdelávacie programy. Od 1. januára 2011 do</w:t>
      </w:r>
      <w:r w:rsidR="00AC5AAB" w:rsidRPr="00DA20F5">
        <w:t xml:space="preserve"> </w:t>
      </w:r>
      <w:r w:rsidRPr="00DA20F5">
        <w:t>31.decembra</w:t>
      </w:r>
      <w:r w:rsidR="00AC5AAB" w:rsidRPr="00DA20F5">
        <w:t xml:space="preserve"> </w:t>
      </w:r>
      <w:r w:rsidRPr="00DA20F5">
        <w:t>2011 bolo udelených 42 akreditácií na vzdelávaci</w:t>
      </w:r>
      <w:r w:rsidR="005C3A6A" w:rsidRPr="00DA20F5">
        <w:t>e programy a 13 akreditácií na </w:t>
      </w:r>
      <w:r w:rsidRPr="00DA20F5">
        <w:t xml:space="preserve">odbornú činnosť. </w:t>
      </w:r>
    </w:p>
    <w:p w:rsidR="001847E9" w:rsidRPr="00DA20F5" w:rsidRDefault="001847E9" w:rsidP="000B4550">
      <w:pPr>
        <w:pStyle w:val="Nadpis6"/>
      </w:pPr>
      <w:bookmarkStart w:id="1230" w:name="_Toc326217073"/>
      <w:bookmarkStart w:id="1231" w:name="_Toc294027509"/>
      <w:r w:rsidRPr="00DA20F5">
        <w:t>Dotácie na podporu rozvoja sociálnej oblasti v pôsobnosti MPSVR SR</w:t>
      </w:r>
      <w:bookmarkEnd w:id="1230"/>
    </w:p>
    <w:bookmarkEnd w:id="1231"/>
    <w:p w:rsidR="008B0A3F" w:rsidRPr="00DA20F5" w:rsidRDefault="001847E9" w:rsidP="00D36FB8">
      <w:pPr>
        <w:pStyle w:val="Zkladntext"/>
        <w:tabs>
          <w:tab w:val="left" w:pos="851"/>
        </w:tabs>
        <w:spacing w:after="0"/>
        <w:rPr>
          <w:szCs w:val="22"/>
        </w:rPr>
      </w:pPr>
      <w:r w:rsidRPr="00DA20F5">
        <w:rPr>
          <w:szCs w:val="22"/>
        </w:rPr>
        <w:tab/>
      </w:r>
      <w:r w:rsidR="008B0A3F" w:rsidRPr="00DA20F5">
        <w:rPr>
          <w:szCs w:val="22"/>
        </w:rPr>
        <w:t>MPSVR SR poskytovalo v roku 2011</w:t>
      </w:r>
      <w:r w:rsidR="00AC5AAB" w:rsidRPr="00DA20F5">
        <w:rPr>
          <w:szCs w:val="22"/>
        </w:rPr>
        <w:t xml:space="preserve"> </w:t>
      </w:r>
      <w:r w:rsidR="008B0A3F" w:rsidRPr="00DA20F5">
        <w:rPr>
          <w:szCs w:val="22"/>
        </w:rPr>
        <w:t xml:space="preserve">dotácie z rozpočtu </w:t>
      </w:r>
      <w:r w:rsidR="005C3A6A" w:rsidRPr="00DA20F5">
        <w:rPr>
          <w:szCs w:val="22"/>
        </w:rPr>
        <w:t>kapitoly v súlade so zákonom č. </w:t>
      </w:r>
      <w:r w:rsidR="008B0A3F" w:rsidRPr="00DA20F5">
        <w:rPr>
          <w:szCs w:val="22"/>
        </w:rPr>
        <w:t xml:space="preserve">544/2010 </w:t>
      </w:r>
      <w:r w:rsidR="00D719EB" w:rsidRPr="00DA20F5">
        <w:rPr>
          <w:szCs w:val="22"/>
        </w:rPr>
        <w:t>Z.</w:t>
      </w:r>
      <w:r w:rsidR="00DB4661" w:rsidRPr="00DA20F5">
        <w:rPr>
          <w:szCs w:val="22"/>
        </w:rPr>
        <w:t> </w:t>
      </w:r>
      <w:r w:rsidR="00D719EB" w:rsidRPr="00DA20F5">
        <w:rPr>
          <w:szCs w:val="22"/>
        </w:rPr>
        <w:t>z.</w:t>
      </w:r>
      <w:r w:rsidR="008B0A3F" w:rsidRPr="00DA20F5">
        <w:rPr>
          <w:szCs w:val="22"/>
        </w:rPr>
        <w:t xml:space="preserve"> o dotáciách v pôsobnosti </w:t>
      </w:r>
      <w:r w:rsidR="00A5422E" w:rsidRPr="00DA20F5">
        <w:rPr>
          <w:szCs w:val="22"/>
        </w:rPr>
        <w:t>MPSVR</w:t>
      </w:r>
      <w:r w:rsidR="008B0A3F" w:rsidRPr="00DA20F5">
        <w:rPr>
          <w:szCs w:val="22"/>
        </w:rPr>
        <w:t xml:space="preserve"> SR (ďalej len „zá</w:t>
      </w:r>
      <w:r w:rsidR="005C3A6A" w:rsidRPr="00DA20F5">
        <w:rPr>
          <w:szCs w:val="22"/>
        </w:rPr>
        <w:t>kon“), ktorý s účinnosťou od 1. </w:t>
      </w:r>
      <w:r w:rsidR="008B0A3F" w:rsidRPr="00DA20F5">
        <w:rPr>
          <w:szCs w:val="22"/>
        </w:rPr>
        <w:t>januára 2011 nahradil</w:t>
      </w:r>
      <w:r w:rsidR="00AC5AAB" w:rsidRPr="00DA20F5">
        <w:rPr>
          <w:szCs w:val="22"/>
        </w:rPr>
        <w:t xml:space="preserve"> </w:t>
      </w:r>
      <w:r w:rsidR="008B0A3F" w:rsidRPr="00DA20F5">
        <w:rPr>
          <w:szCs w:val="22"/>
        </w:rPr>
        <w:t>výnos MPSVR SR o poskytovaní dotácií. Celkovo boli poskytnuté dotácie v</w:t>
      </w:r>
      <w:r w:rsidR="00A5422E" w:rsidRPr="00DA20F5">
        <w:rPr>
          <w:szCs w:val="22"/>
        </w:rPr>
        <w:t> </w:t>
      </w:r>
      <w:r w:rsidR="008B0A3F" w:rsidRPr="00DA20F5">
        <w:rPr>
          <w:szCs w:val="22"/>
        </w:rPr>
        <w:t>sume</w:t>
      </w:r>
      <w:r w:rsidR="00AC5AAB" w:rsidRPr="00DA20F5">
        <w:rPr>
          <w:szCs w:val="22"/>
        </w:rPr>
        <w:t xml:space="preserve"> </w:t>
      </w:r>
      <w:r w:rsidR="008B0A3F" w:rsidRPr="00DA20F5">
        <w:rPr>
          <w:szCs w:val="22"/>
        </w:rPr>
        <w:t xml:space="preserve">2 614 768 </w:t>
      </w:r>
      <w:r w:rsidR="00E364F3" w:rsidRPr="00DA20F5">
        <w:rPr>
          <w:szCs w:val="22"/>
        </w:rPr>
        <w:t>€</w:t>
      </w:r>
      <w:r w:rsidR="008B0A3F" w:rsidRPr="00DA20F5">
        <w:rPr>
          <w:szCs w:val="22"/>
        </w:rPr>
        <w:t>, z toho</w:t>
      </w:r>
      <w:r w:rsidR="00AC5AAB" w:rsidRPr="00DA20F5">
        <w:rPr>
          <w:szCs w:val="22"/>
        </w:rPr>
        <w:t xml:space="preserve"> </w:t>
      </w:r>
      <w:r w:rsidR="008B0A3F" w:rsidRPr="00DA20F5">
        <w:rPr>
          <w:szCs w:val="22"/>
        </w:rPr>
        <w:t>2 520 175</w:t>
      </w:r>
      <w:r w:rsidR="00AC5AAB" w:rsidRPr="00DA20F5">
        <w:rPr>
          <w:szCs w:val="22"/>
        </w:rPr>
        <w:t xml:space="preserve"> </w:t>
      </w:r>
      <w:r w:rsidR="00E364F3" w:rsidRPr="00DA20F5">
        <w:rPr>
          <w:szCs w:val="22"/>
        </w:rPr>
        <w:t>€</w:t>
      </w:r>
      <w:r w:rsidR="008B0A3F" w:rsidRPr="00DA20F5">
        <w:rPr>
          <w:szCs w:val="22"/>
        </w:rPr>
        <w:t xml:space="preserve"> právnickým osobám.</w:t>
      </w:r>
    </w:p>
    <w:p w:rsidR="008B0A3F" w:rsidRPr="00DA20F5" w:rsidRDefault="008B0A3F" w:rsidP="00D36FB8">
      <w:pPr>
        <w:pStyle w:val="Zkladntext"/>
        <w:tabs>
          <w:tab w:val="left" w:pos="851"/>
        </w:tabs>
        <w:spacing w:after="0"/>
        <w:rPr>
          <w:szCs w:val="22"/>
        </w:rPr>
      </w:pPr>
    </w:p>
    <w:p w:rsidR="008B0A3F" w:rsidRPr="00DA20F5" w:rsidRDefault="001847E9" w:rsidP="00D36FB8">
      <w:pPr>
        <w:pStyle w:val="Zkladntext"/>
        <w:tabs>
          <w:tab w:val="left" w:pos="851"/>
        </w:tabs>
        <w:spacing w:after="0"/>
        <w:rPr>
          <w:szCs w:val="22"/>
        </w:rPr>
      </w:pPr>
      <w:r w:rsidRPr="00DA20F5">
        <w:rPr>
          <w:szCs w:val="22"/>
        </w:rPr>
        <w:tab/>
      </w:r>
      <w:r w:rsidR="008B0A3F" w:rsidRPr="00DA20F5">
        <w:rPr>
          <w:szCs w:val="22"/>
        </w:rPr>
        <w:t>Dotácie na podporu rozvoja sociálnych služieb a dotácie na podporu vykonávania opatrení sociálnoprávnej ochrany detí a sociálnej kurately (§ 3 zákona) boli poskytnuté</w:t>
      </w:r>
      <w:r w:rsidR="00AC5AAB" w:rsidRPr="00DA20F5">
        <w:rPr>
          <w:szCs w:val="22"/>
        </w:rPr>
        <w:t xml:space="preserve"> </w:t>
      </w:r>
      <w:r w:rsidR="008B0A3F" w:rsidRPr="00DA20F5">
        <w:rPr>
          <w:szCs w:val="22"/>
        </w:rPr>
        <w:t xml:space="preserve">v sume 1 780 290 </w:t>
      </w:r>
      <w:r w:rsidR="00E364F3" w:rsidRPr="00DA20F5">
        <w:rPr>
          <w:szCs w:val="22"/>
        </w:rPr>
        <w:t>€</w:t>
      </w:r>
      <w:r w:rsidR="008B0A3F" w:rsidRPr="00DA20F5">
        <w:rPr>
          <w:szCs w:val="22"/>
        </w:rPr>
        <w:t xml:space="preserve"> (podporených 155 žiadostí), z toho z kapitálových transferov v sume</w:t>
      </w:r>
      <w:r w:rsidR="00AC5AAB" w:rsidRPr="00DA20F5">
        <w:rPr>
          <w:szCs w:val="22"/>
        </w:rPr>
        <w:t xml:space="preserve"> </w:t>
      </w:r>
      <w:r w:rsidR="008B0A3F" w:rsidRPr="00DA20F5">
        <w:rPr>
          <w:szCs w:val="22"/>
        </w:rPr>
        <w:t>1 140</w:t>
      </w:r>
      <w:r w:rsidR="00A5422E" w:rsidRPr="00DA20F5">
        <w:rPr>
          <w:szCs w:val="22"/>
        </w:rPr>
        <w:t> </w:t>
      </w:r>
      <w:r w:rsidR="008B0A3F" w:rsidRPr="00DA20F5">
        <w:rPr>
          <w:szCs w:val="22"/>
        </w:rPr>
        <w:t>581</w:t>
      </w:r>
      <w:r w:rsidR="00A5422E" w:rsidRPr="00DA20F5">
        <w:rPr>
          <w:szCs w:val="22"/>
        </w:rPr>
        <w:t xml:space="preserve"> </w:t>
      </w:r>
      <w:r w:rsidR="00E364F3" w:rsidRPr="00DA20F5">
        <w:rPr>
          <w:szCs w:val="22"/>
        </w:rPr>
        <w:t>€</w:t>
      </w:r>
      <w:r w:rsidR="005C3A6A" w:rsidRPr="00DA20F5">
        <w:rPr>
          <w:szCs w:val="22"/>
        </w:rPr>
        <w:t xml:space="preserve"> na kúpu osobných a </w:t>
      </w:r>
      <w:r w:rsidR="008B0A3F" w:rsidRPr="00DA20F5">
        <w:rPr>
          <w:szCs w:val="22"/>
        </w:rPr>
        <w:t>špeciálnych motorových vozidiel, technických zariadení na zlepšenie manipulácie s klientmi s obmedzenou schopnosťou pohybu, materiálového vybavenia, na</w:t>
      </w:r>
      <w:r w:rsidR="00AC5AAB" w:rsidRPr="00DA20F5">
        <w:rPr>
          <w:szCs w:val="22"/>
        </w:rPr>
        <w:t xml:space="preserve"> </w:t>
      </w:r>
      <w:r w:rsidR="008B0A3F" w:rsidRPr="00DA20F5">
        <w:rPr>
          <w:szCs w:val="22"/>
        </w:rPr>
        <w:t>vytváranie bezbariérového prostredia a na rekonštrukcie a stavebné úpravy.</w:t>
      </w:r>
      <w:r w:rsidR="00AC5AAB" w:rsidRPr="00DA20F5">
        <w:rPr>
          <w:szCs w:val="22"/>
        </w:rPr>
        <w:t xml:space="preserve"> </w:t>
      </w:r>
      <w:r w:rsidR="008B0A3F" w:rsidRPr="00DA20F5">
        <w:rPr>
          <w:szCs w:val="22"/>
        </w:rPr>
        <w:t>Na podporu rekondičných aktivít (§ 6) boli poskytnuté výdavky</w:t>
      </w:r>
      <w:r w:rsidR="00AC5AAB" w:rsidRPr="00DA20F5">
        <w:rPr>
          <w:szCs w:val="22"/>
        </w:rPr>
        <w:t xml:space="preserve"> </w:t>
      </w:r>
      <w:r w:rsidR="008B0A3F" w:rsidRPr="00DA20F5">
        <w:rPr>
          <w:szCs w:val="22"/>
        </w:rPr>
        <w:t xml:space="preserve">v sume 540 130 </w:t>
      </w:r>
      <w:r w:rsidR="00E364F3" w:rsidRPr="00DA20F5">
        <w:rPr>
          <w:szCs w:val="22"/>
        </w:rPr>
        <w:t>€</w:t>
      </w:r>
      <w:r w:rsidR="008B0A3F" w:rsidRPr="00DA20F5">
        <w:rPr>
          <w:szCs w:val="22"/>
        </w:rPr>
        <w:t xml:space="preserve"> (25 žiadostí), na podporu členstva v medzinárodnej organizácii v sociálnej oblasti (§ 7) v sume 31 795 </w:t>
      </w:r>
      <w:r w:rsidR="00E364F3" w:rsidRPr="00DA20F5">
        <w:rPr>
          <w:szCs w:val="22"/>
        </w:rPr>
        <w:t>€</w:t>
      </w:r>
      <w:r w:rsidR="008B0A3F" w:rsidRPr="00DA20F5">
        <w:rPr>
          <w:szCs w:val="22"/>
        </w:rPr>
        <w:t xml:space="preserve"> (17 žiadostí) a na podporu edičnej činnosti (§ 8) v sume 167 960 </w:t>
      </w:r>
      <w:r w:rsidR="00E364F3" w:rsidRPr="00DA20F5">
        <w:rPr>
          <w:szCs w:val="22"/>
        </w:rPr>
        <w:t>€</w:t>
      </w:r>
      <w:r w:rsidR="008B0A3F" w:rsidRPr="00DA20F5">
        <w:rPr>
          <w:szCs w:val="22"/>
        </w:rPr>
        <w:t xml:space="preserve"> (18 žiadostí). V rámci dotácií na podporu rekondičných aktivít boli </w:t>
      </w:r>
      <w:r w:rsidR="005C3A6A" w:rsidRPr="00DA20F5">
        <w:rPr>
          <w:szCs w:val="22"/>
        </w:rPr>
        <w:t>na dotácie zamerané na </w:t>
      </w:r>
      <w:r w:rsidR="008B0A3F" w:rsidRPr="00DA20F5">
        <w:rPr>
          <w:szCs w:val="22"/>
        </w:rPr>
        <w:t>predchádzanie sociálnemu vylúčeniu a na podporu obnovenia psychickej a fyzickej kondície fyzickej osoby, ktorá je poberateľom starobného, predčasného starobného alebo výsluhového dôchodku a nevykonáva činnosť, ktorá zakladá nárok na príjem zo závislej činnosti</w:t>
      </w:r>
      <w:r w:rsidR="00AC5AAB" w:rsidRPr="00DA20F5">
        <w:rPr>
          <w:szCs w:val="22"/>
        </w:rPr>
        <w:t xml:space="preserve"> </w:t>
      </w:r>
      <w:r w:rsidR="008B0A3F" w:rsidRPr="00DA20F5">
        <w:rPr>
          <w:szCs w:val="22"/>
        </w:rPr>
        <w:t>alebo z</w:t>
      </w:r>
      <w:r w:rsidR="00A5422E" w:rsidRPr="00DA20F5">
        <w:rPr>
          <w:szCs w:val="22"/>
        </w:rPr>
        <w:t> </w:t>
      </w:r>
      <w:r w:rsidR="008B0A3F" w:rsidRPr="00DA20F5">
        <w:rPr>
          <w:szCs w:val="22"/>
        </w:rPr>
        <w:t>podnikania</w:t>
      </w:r>
      <w:r w:rsidR="00A5422E" w:rsidRPr="00DA20F5">
        <w:rPr>
          <w:szCs w:val="22"/>
        </w:rPr>
        <w:t>,</w:t>
      </w:r>
      <w:r w:rsidR="008B0A3F" w:rsidRPr="00DA20F5">
        <w:rPr>
          <w:szCs w:val="22"/>
        </w:rPr>
        <w:t xml:space="preserve"> poskytnuté dvom subjektom</w:t>
      </w:r>
      <w:r w:rsidR="00AC5AAB" w:rsidRPr="00DA20F5">
        <w:rPr>
          <w:szCs w:val="22"/>
        </w:rPr>
        <w:t xml:space="preserve"> </w:t>
      </w:r>
      <w:r w:rsidR="008B0A3F" w:rsidRPr="00DA20F5">
        <w:rPr>
          <w:szCs w:val="22"/>
        </w:rPr>
        <w:t>výdavky v sume</w:t>
      </w:r>
      <w:r w:rsidR="00AC5AAB" w:rsidRPr="00DA20F5">
        <w:rPr>
          <w:szCs w:val="22"/>
        </w:rPr>
        <w:t xml:space="preserve"> </w:t>
      </w:r>
      <w:r w:rsidR="008B0A3F" w:rsidRPr="00DA20F5">
        <w:rPr>
          <w:szCs w:val="22"/>
        </w:rPr>
        <w:t xml:space="preserve">432 460 </w:t>
      </w:r>
      <w:r w:rsidR="00E364F3" w:rsidRPr="00DA20F5">
        <w:rPr>
          <w:szCs w:val="22"/>
        </w:rPr>
        <w:t>€</w:t>
      </w:r>
      <w:r w:rsidR="008B0A3F" w:rsidRPr="00DA20F5">
        <w:rPr>
          <w:szCs w:val="22"/>
        </w:rPr>
        <w:t>; prostredníctvom nich bol poskytnutý príspevok na rekreácie 8 650 žiadateľom.</w:t>
      </w:r>
      <w:r w:rsidR="00AC5AAB" w:rsidRPr="00DA20F5">
        <w:rPr>
          <w:szCs w:val="22"/>
        </w:rPr>
        <w:t xml:space="preserve"> </w:t>
      </w:r>
      <w:r w:rsidR="008B0A3F" w:rsidRPr="00DA20F5">
        <w:rPr>
          <w:szCs w:val="22"/>
        </w:rPr>
        <w:t>Z hľadiska právnej formy</w:t>
      </w:r>
      <w:r w:rsidR="00AC5AAB" w:rsidRPr="00DA20F5">
        <w:rPr>
          <w:szCs w:val="22"/>
        </w:rPr>
        <w:t xml:space="preserve"> </w:t>
      </w:r>
      <w:r w:rsidR="008B0A3F" w:rsidRPr="00DA20F5">
        <w:rPr>
          <w:szCs w:val="22"/>
        </w:rPr>
        <w:t>príjemcu dotácie</w:t>
      </w:r>
      <w:r w:rsidR="00AC5AAB" w:rsidRPr="00DA20F5">
        <w:rPr>
          <w:szCs w:val="22"/>
        </w:rPr>
        <w:t xml:space="preserve"> </w:t>
      </w:r>
      <w:r w:rsidR="008B0A3F" w:rsidRPr="00DA20F5">
        <w:rPr>
          <w:szCs w:val="22"/>
        </w:rPr>
        <w:t>boli rozpočtové prostriedky poskytnuté obciam a vyšším územným celkom pre zariadenia v ich zriaďovateľskej pôsobnosti v sume</w:t>
      </w:r>
      <w:r w:rsidR="00AC5AAB" w:rsidRPr="00DA20F5">
        <w:rPr>
          <w:szCs w:val="22"/>
        </w:rPr>
        <w:t xml:space="preserve"> </w:t>
      </w:r>
      <w:r w:rsidR="008B0A3F" w:rsidRPr="00DA20F5">
        <w:rPr>
          <w:szCs w:val="22"/>
        </w:rPr>
        <w:t xml:space="preserve">1 162 271 </w:t>
      </w:r>
      <w:r w:rsidR="00E364F3" w:rsidRPr="00DA20F5">
        <w:rPr>
          <w:szCs w:val="22"/>
        </w:rPr>
        <w:t>€</w:t>
      </w:r>
      <w:r w:rsidR="008B0A3F" w:rsidRPr="00DA20F5">
        <w:rPr>
          <w:szCs w:val="22"/>
        </w:rPr>
        <w:t xml:space="preserve">, občianskym združeniam v sume 649 490 </w:t>
      </w:r>
      <w:r w:rsidR="00E364F3" w:rsidRPr="00DA20F5">
        <w:rPr>
          <w:szCs w:val="22"/>
        </w:rPr>
        <w:t>€</w:t>
      </w:r>
      <w:r w:rsidR="008B0A3F" w:rsidRPr="00DA20F5">
        <w:rPr>
          <w:szCs w:val="22"/>
        </w:rPr>
        <w:t>, odborovej organizácii v sume</w:t>
      </w:r>
      <w:r w:rsidR="00AC5AAB" w:rsidRPr="00DA20F5">
        <w:rPr>
          <w:szCs w:val="22"/>
        </w:rPr>
        <w:t xml:space="preserve"> </w:t>
      </w:r>
      <w:r w:rsidR="008B0A3F" w:rsidRPr="00DA20F5">
        <w:rPr>
          <w:szCs w:val="22"/>
        </w:rPr>
        <w:t xml:space="preserve">307 500 </w:t>
      </w:r>
      <w:r w:rsidR="00E364F3" w:rsidRPr="00DA20F5">
        <w:rPr>
          <w:szCs w:val="22"/>
        </w:rPr>
        <w:t>€</w:t>
      </w:r>
      <w:r w:rsidR="008B0A3F" w:rsidRPr="00DA20F5">
        <w:rPr>
          <w:szCs w:val="22"/>
        </w:rPr>
        <w:t>, neziskovým organizáciám v sume</w:t>
      </w:r>
      <w:r w:rsidR="00AC5AAB" w:rsidRPr="00DA20F5">
        <w:rPr>
          <w:szCs w:val="22"/>
        </w:rPr>
        <w:t xml:space="preserve"> </w:t>
      </w:r>
      <w:r w:rsidR="008B0A3F" w:rsidRPr="00DA20F5">
        <w:rPr>
          <w:szCs w:val="22"/>
        </w:rPr>
        <w:t xml:space="preserve">329 619 </w:t>
      </w:r>
      <w:r w:rsidR="00E364F3" w:rsidRPr="00DA20F5">
        <w:rPr>
          <w:szCs w:val="22"/>
        </w:rPr>
        <w:t>€</w:t>
      </w:r>
      <w:r w:rsidR="008B0A3F" w:rsidRPr="00DA20F5">
        <w:rPr>
          <w:szCs w:val="22"/>
        </w:rPr>
        <w:t xml:space="preserve"> a cirkevným organizáciám v sume 71 295 </w:t>
      </w:r>
      <w:r w:rsidR="00E364F3" w:rsidRPr="00DA20F5">
        <w:rPr>
          <w:szCs w:val="22"/>
        </w:rPr>
        <w:t>€</w:t>
      </w:r>
      <w:r w:rsidR="008B0A3F" w:rsidRPr="00DA20F5">
        <w:rPr>
          <w:szCs w:val="22"/>
        </w:rPr>
        <w:t xml:space="preserve">. </w:t>
      </w:r>
    </w:p>
    <w:p w:rsidR="008B0A3F" w:rsidRPr="00DA20F5" w:rsidRDefault="008B0A3F" w:rsidP="00D36FB8">
      <w:pPr>
        <w:pStyle w:val="Zkladntext"/>
        <w:tabs>
          <w:tab w:val="left" w:pos="851"/>
        </w:tabs>
        <w:spacing w:after="0"/>
        <w:rPr>
          <w:szCs w:val="22"/>
        </w:rPr>
      </w:pPr>
      <w:r w:rsidRPr="00DA20F5">
        <w:rPr>
          <w:szCs w:val="22"/>
        </w:rPr>
        <w:t>V súlade</w:t>
      </w:r>
      <w:r w:rsidR="00AC5AAB" w:rsidRPr="00DA20F5">
        <w:rPr>
          <w:szCs w:val="22"/>
        </w:rPr>
        <w:t xml:space="preserve"> </w:t>
      </w:r>
      <w:r w:rsidRPr="00DA20F5">
        <w:rPr>
          <w:szCs w:val="22"/>
        </w:rPr>
        <w:t>s § 9 zákona bola poskytnutá</w:t>
      </w:r>
      <w:r w:rsidR="00AC5AAB" w:rsidRPr="00DA20F5">
        <w:rPr>
          <w:szCs w:val="22"/>
        </w:rPr>
        <w:t xml:space="preserve"> </w:t>
      </w:r>
      <w:r w:rsidRPr="00DA20F5">
        <w:rPr>
          <w:szCs w:val="22"/>
        </w:rPr>
        <w:t>dotácia fyzickým osobám na</w:t>
      </w:r>
      <w:r w:rsidR="00AC5AAB" w:rsidRPr="00DA20F5">
        <w:rPr>
          <w:szCs w:val="22"/>
        </w:rPr>
        <w:t xml:space="preserve"> </w:t>
      </w:r>
      <w:r w:rsidRPr="00DA20F5">
        <w:rPr>
          <w:szCs w:val="22"/>
        </w:rPr>
        <w:t xml:space="preserve">podporu humanitárnej pomoci v sume 94 593 </w:t>
      </w:r>
      <w:r w:rsidR="00E364F3" w:rsidRPr="00DA20F5">
        <w:rPr>
          <w:szCs w:val="22"/>
        </w:rPr>
        <w:t>€</w:t>
      </w:r>
      <w:r w:rsidRPr="00DA20F5">
        <w:rPr>
          <w:szCs w:val="22"/>
        </w:rPr>
        <w:t xml:space="preserve"> pre 350 fyzických</w:t>
      </w:r>
      <w:r w:rsidR="00AC5AAB" w:rsidRPr="00DA20F5">
        <w:rPr>
          <w:szCs w:val="22"/>
        </w:rPr>
        <w:t xml:space="preserve"> </w:t>
      </w:r>
      <w:r w:rsidRPr="00DA20F5">
        <w:rPr>
          <w:szCs w:val="22"/>
        </w:rPr>
        <w:t xml:space="preserve">osôb v krízovej životnej situácii alebo v mimoriadne </w:t>
      </w:r>
      <w:r w:rsidR="00A5422E" w:rsidRPr="00DA20F5">
        <w:rPr>
          <w:szCs w:val="22"/>
        </w:rPr>
        <w:t>nepriaznivej sociálnej situácii</w:t>
      </w:r>
      <w:r w:rsidRPr="00DA20F5">
        <w:rPr>
          <w:szCs w:val="22"/>
        </w:rPr>
        <w:t xml:space="preserve"> na podporu riešenia tejto situácie.</w:t>
      </w:r>
      <w:r w:rsidR="00AC5AAB" w:rsidRPr="00DA20F5">
        <w:rPr>
          <w:szCs w:val="22"/>
        </w:rPr>
        <w:t xml:space="preserve"> </w:t>
      </w:r>
    </w:p>
    <w:p w:rsidR="008B0A3F" w:rsidRPr="00DA20F5" w:rsidRDefault="000B3663" w:rsidP="005C3A6A">
      <w:pPr>
        <w:pStyle w:val="Nadpis7"/>
        <w:spacing w:before="120"/>
        <w:rPr>
          <w:lang w:eastAsia="cs-CZ"/>
        </w:rPr>
      </w:pPr>
      <w:bookmarkStart w:id="1232" w:name="_Toc325438234"/>
      <w:bookmarkStart w:id="1233" w:name="_Toc325441001"/>
      <w:bookmarkStart w:id="1234" w:name="_Toc325626813"/>
      <w:bookmarkStart w:id="1235" w:name="_Toc326217074"/>
      <w:r w:rsidRPr="00DA20F5">
        <w:rPr>
          <w:iCs/>
          <w:lang w:eastAsia="cs-CZ"/>
        </w:rPr>
        <w:t>Tab. 3.24</w:t>
      </w:r>
      <w:r w:rsidR="00AC5AAB" w:rsidRPr="00DA20F5">
        <w:rPr>
          <w:iCs/>
          <w:lang w:eastAsia="cs-CZ"/>
        </w:rPr>
        <w:t xml:space="preserve"> </w:t>
      </w:r>
      <w:r w:rsidR="008B0A3F" w:rsidRPr="00DA20F5">
        <w:rPr>
          <w:lang w:eastAsia="cs-CZ"/>
        </w:rPr>
        <w:t>Poskytovanie dotácií v pôsobnosti MPSVR SR</w:t>
      </w:r>
      <w:bookmarkEnd w:id="1232"/>
      <w:bookmarkEnd w:id="1233"/>
      <w:bookmarkEnd w:id="1234"/>
      <w:bookmarkEnd w:id="1235"/>
    </w:p>
    <w:tbl>
      <w:tblPr>
        <w:tblW w:w="9691" w:type="dxa"/>
        <w:jc w:val="center"/>
        <w:tblInd w:w="-48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000" w:firstRow="0" w:lastRow="0" w:firstColumn="0" w:lastColumn="0" w:noHBand="0" w:noVBand="0"/>
      </w:tblPr>
      <w:tblGrid>
        <w:gridCol w:w="3670"/>
        <w:gridCol w:w="707"/>
        <w:gridCol w:w="694"/>
        <w:gridCol w:w="1112"/>
        <w:gridCol w:w="1190"/>
        <w:gridCol w:w="1279"/>
        <w:gridCol w:w="1039"/>
      </w:tblGrid>
      <w:tr w:rsidR="003F1809" w:rsidRPr="00DA20F5" w:rsidTr="005C3A6A">
        <w:trPr>
          <w:trHeight w:val="502"/>
          <w:jc w:val="center"/>
        </w:trPr>
        <w:tc>
          <w:tcPr>
            <w:tcW w:w="3670" w:type="dxa"/>
            <w:vMerge w:val="restart"/>
            <w:shd w:val="clear" w:color="auto" w:fill="4F81BD"/>
            <w:noWrap/>
            <w:tcMar>
              <w:top w:w="0" w:type="dxa"/>
              <w:left w:w="70" w:type="dxa"/>
              <w:bottom w:w="0" w:type="dxa"/>
              <w:right w:w="70" w:type="dxa"/>
            </w:tcMar>
            <w:vAlign w:val="center"/>
          </w:tcPr>
          <w:p w:rsidR="003F1809" w:rsidRPr="00DA20F5" w:rsidRDefault="003F1809" w:rsidP="00D36FB8">
            <w:pPr>
              <w:jc w:val="center"/>
              <w:rPr>
                <w:rFonts w:ascii="Calibri" w:hAnsi="Calibri"/>
                <w:b/>
                <w:color w:val="FFFFFF" w:themeColor="background1"/>
                <w:sz w:val="21"/>
                <w:szCs w:val="21"/>
                <w:lang w:eastAsia="cs-CZ"/>
              </w:rPr>
            </w:pPr>
            <w:r w:rsidRPr="00DA20F5">
              <w:rPr>
                <w:b/>
                <w:color w:val="FFFFFF" w:themeColor="background1"/>
                <w:sz w:val="21"/>
                <w:szCs w:val="21"/>
                <w:lang w:eastAsia="cs-CZ"/>
              </w:rPr>
              <w:t>Účel poskytovania dotácií:</w:t>
            </w:r>
          </w:p>
        </w:tc>
        <w:tc>
          <w:tcPr>
            <w:tcW w:w="2513" w:type="dxa"/>
            <w:gridSpan w:val="3"/>
            <w:shd w:val="clear" w:color="auto" w:fill="4F81BD"/>
            <w:noWrap/>
            <w:tcMar>
              <w:top w:w="0" w:type="dxa"/>
              <w:left w:w="70" w:type="dxa"/>
              <w:bottom w:w="0" w:type="dxa"/>
              <w:right w:w="70" w:type="dxa"/>
            </w:tcMar>
            <w:vAlign w:val="center"/>
          </w:tcPr>
          <w:p w:rsidR="003F1809" w:rsidRPr="00DA20F5" w:rsidRDefault="003F1809" w:rsidP="00D36FB8">
            <w:pPr>
              <w:jc w:val="center"/>
              <w:rPr>
                <w:rFonts w:ascii="Calibri" w:hAnsi="Calibri"/>
                <w:b/>
                <w:color w:val="FFFFFF" w:themeColor="background1"/>
                <w:sz w:val="21"/>
                <w:szCs w:val="21"/>
                <w:lang w:eastAsia="cs-CZ"/>
              </w:rPr>
            </w:pPr>
            <w:r w:rsidRPr="00DA20F5">
              <w:rPr>
                <w:b/>
                <w:color w:val="FFFFFF" w:themeColor="background1"/>
                <w:sz w:val="21"/>
                <w:szCs w:val="21"/>
                <w:lang w:eastAsia="cs-CZ"/>
              </w:rPr>
              <w:t>Podporené projekty</w:t>
            </w:r>
          </w:p>
        </w:tc>
        <w:tc>
          <w:tcPr>
            <w:tcW w:w="3508" w:type="dxa"/>
            <w:gridSpan w:val="3"/>
            <w:shd w:val="clear" w:color="auto" w:fill="4F81BD"/>
            <w:tcMar>
              <w:top w:w="0" w:type="dxa"/>
              <w:left w:w="70" w:type="dxa"/>
              <w:bottom w:w="0" w:type="dxa"/>
              <w:right w:w="70" w:type="dxa"/>
            </w:tcMar>
            <w:vAlign w:val="center"/>
          </w:tcPr>
          <w:p w:rsidR="003F1809" w:rsidRPr="00DA20F5" w:rsidRDefault="003F1809" w:rsidP="00D36FB8">
            <w:pPr>
              <w:jc w:val="center"/>
              <w:rPr>
                <w:b/>
                <w:color w:val="FFFFFF" w:themeColor="background1"/>
                <w:sz w:val="21"/>
                <w:szCs w:val="21"/>
                <w:lang w:eastAsia="cs-CZ"/>
              </w:rPr>
            </w:pPr>
            <w:r w:rsidRPr="00DA20F5">
              <w:rPr>
                <w:b/>
                <w:color w:val="FFFFFF" w:themeColor="background1"/>
                <w:sz w:val="21"/>
                <w:szCs w:val="21"/>
                <w:lang w:eastAsia="cs-CZ"/>
              </w:rPr>
              <w:t>Poskytnuté finančné prostriedky</w:t>
            </w:r>
          </w:p>
          <w:p w:rsidR="003F1809" w:rsidRPr="00DA20F5" w:rsidRDefault="003F1809" w:rsidP="00D36FB8">
            <w:pPr>
              <w:jc w:val="center"/>
              <w:rPr>
                <w:rFonts w:ascii="Calibri" w:hAnsi="Calibri"/>
                <w:b/>
                <w:color w:val="FFFFFF" w:themeColor="background1"/>
                <w:sz w:val="21"/>
                <w:szCs w:val="21"/>
                <w:lang w:eastAsia="cs-CZ"/>
              </w:rPr>
            </w:pPr>
            <w:r w:rsidRPr="00DA20F5">
              <w:rPr>
                <w:b/>
                <w:color w:val="FFFFFF" w:themeColor="background1"/>
                <w:sz w:val="21"/>
                <w:szCs w:val="21"/>
                <w:lang w:eastAsia="cs-CZ"/>
              </w:rPr>
              <w:t>v €</w:t>
            </w:r>
          </w:p>
        </w:tc>
      </w:tr>
      <w:tr w:rsidR="005C3A6A" w:rsidRPr="00DA20F5" w:rsidTr="005C3A6A">
        <w:trPr>
          <w:trHeight w:val="244"/>
          <w:jc w:val="center"/>
        </w:trPr>
        <w:tc>
          <w:tcPr>
            <w:tcW w:w="3670" w:type="dxa"/>
            <w:vMerge/>
            <w:vAlign w:val="center"/>
          </w:tcPr>
          <w:p w:rsidR="003F1809" w:rsidRPr="00DA20F5" w:rsidRDefault="003F1809" w:rsidP="00D36FB8">
            <w:pPr>
              <w:jc w:val="center"/>
              <w:rPr>
                <w:rFonts w:ascii="Calibri" w:hAnsi="Calibri"/>
                <w:b/>
                <w:color w:val="FFFFFF" w:themeColor="background1"/>
                <w:sz w:val="21"/>
                <w:szCs w:val="21"/>
                <w:lang w:eastAsia="cs-CZ"/>
              </w:rPr>
            </w:pPr>
          </w:p>
        </w:tc>
        <w:tc>
          <w:tcPr>
            <w:tcW w:w="707" w:type="dxa"/>
            <w:shd w:val="clear" w:color="auto" w:fill="4F81BD"/>
            <w:noWrap/>
            <w:vAlign w:val="center"/>
          </w:tcPr>
          <w:p w:rsidR="003F1809" w:rsidRPr="00DA20F5" w:rsidRDefault="003F1809" w:rsidP="00D36FB8">
            <w:pPr>
              <w:jc w:val="center"/>
              <w:rPr>
                <w:rFonts w:ascii="Calibri" w:hAnsi="Calibri"/>
                <w:b/>
                <w:color w:val="FFFFFF" w:themeColor="background1"/>
                <w:sz w:val="21"/>
                <w:szCs w:val="21"/>
                <w:lang w:eastAsia="cs-CZ"/>
              </w:rPr>
            </w:pPr>
            <w:r w:rsidRPr="00DA20F5">
              <w:rPr>
                <w:b/>
                <w:color w:val="FFFFFF" w:themeColor="background1"/>
                <w:sz w:val="21"/>
                <w:szCs w:val="21"/>
                <w:lang w:eastAsia="cs-CZ"/>
              </w:rPr>
              <w:t>rok 2010</w:t>
            </w:r>
          </w:p>
        </w:tc>
        <w:tc>
          <w:tcPr>
            <w:tcW w:w="694" w:type="dxa"/>
            <w:shd w:val="clear" w:color="auto" w:fill="4F81BD"/>
            <w:noWrap/>
            <w:tcMar>
              <w:top w:w="0" w:type="dxa"/>
              <w:left w:w="70" w:type="dxa"/>
              <w:bottom w:w="0" w:type="dxa"/>
              <w:right w:w="70" w:type="dxa"/>
            </w:tcMar>
            <w:vAlign w:val="center"/>
          </w:tcPr>
          <w:p w:rsidR="003F1809" w:rsidRPr="00DA20F5" w:rsidRDefault="003F1809" w:rsidP="00D36FB8">
            <w:pPr>
              <w:jc w:val="center"/>
              <w:rPr>
                <w:rFonts w:ascii="Calibri" w:hAnsi="Calibri"/>
                <w:b/>
                <w:color w:val="FFFFFF" w:themeColor="background1"/>
                <w:sz w:val="21"/>
                <w:szCs w:val="21"/>
                <w:lang w:eastAsia="cs-CZ"/>
              </w:rPr>
            </w:pPr>
            <w:r w:rsidRPr="00DA20F5">
              <w:rPr>
                <w:b/>
                <w:color w:val="FFFFFF" w:themeColor="background1"/>
                <w:sz w:val="21"/>
                <w:szCs w:val="21"/>
                <w:lang w:eastAsia="cs-CZ"/>
              </w:rPr>
              <w:t>rok 2011</w:t>
            </w:r>
          </w:p>
        </w:tc>
        <w:tc>
          <w:tcPr>
            <w:tcW w:w="1112" w:type="dxa"/>
            <w:shd w:val="clear" w:color="auto" w:fill="4F81BD"/>
            <w:noWrap/>
            <w:tcMar>
              <w:top w:w="0" w:type="dxa"/>
              <w:left w:w="70" w:type="dxa"/>
              <w:bottom w:w="0" w:type="dxa"/>
              <w:right w:w="70" w:type="dxa"/>
            </w:tcMar>
            <w:vAlign w:val="center"/>
          </w:tcPr>
          <w:p w:rsidR="003F1809" w:rsidRPr="00DA20F5" w:rsidRDefault="003F1809" w:rsidP="00D36FB8">
            <w:pPr>
              <w:jc w:val="center"/>
              <w:rPr>
                <w:rFonts w:ascii="Calibri" w:hAnsi="Calibri"/>
                <w:b/>
                <w:color w:val="FFFFFF" w:themeColor="background1"/>
                <w:sz w:val="21"/>
                <w:szCs w:val="21"/>
                <w:lang w:eastAsia="cs-CZ"/>
              </w:rPr>
            </w:pPr>
            <w:r w:rsidRPr="00DA20F5">
              <w:rPr>
                <w:b/>
                <w:color w:val="FFFFFF" w:themeColor="background1"/>
                <w:sz w:val="21"/>
                <w:szCs w:val="21"/>
                <w:lang w:eastAsia="cs-CZ"/>
              </w:rPr>
              <w:t>Index 2011/2010</w:t>
            </w:r>
          </w:p>
        </w:tc>
        <w:tc>
          <w:tcPr>
            <w:tcW w:w="1190" w:type="dxa"/>
            <w:shd w:val="clear" w:color="auto" w:fill="4F81BD"/>
            <w:noWrap/>
            <w:tcMar>
              <w:top w:w="0" w:type="dxa"/>
              <w:left w:w="70" w:type="dxa"/>
              <w:bottom w:w="0" w:type="dxa"/>
              <w:right w:w="70" w:type="dxa"/>
            </w:tcMar>
            <w:vAlign w:val="center"/>
          </w:tcPr>
          <w:p w:rsidR="003F1809" w:rsidRPr="00DA20F5" w:rsidRDefault="003F1809" w:rsidP="00D36FB8">
            <w:pPr>
              <w:jc w:val="center"/>
              <w:rPr>
                <w:rFonts w:ascii="Calibri" w:hAnsi="Calibri"/>
                <w:b/>
                <w:color w:val="FFFFFF" w:themeColor="background1"/>
                <w:sz w:val="21"/>
                <w:szCs w:val="21"/>
                <w:lang w:eastAsia="cs-CZ"/>
              </w:rPr>
            </w:pPr>
            <w:r w:rsidRPr="00DA20F5">
              <w:rPr>
                <w:b/>
                <w:color w:val="FFFFFF" w:themeColor="background1"/>
                <w:sz w:val="21"/>
                <w:szCs w:val="21"/>
                <w:lang w:eastAsia="cs-CZ"/>
              </w:rPr>
              <w:t>rok 2010</w:t>
            </w:r>
          </w:p>
        </w:tc>
        <w:tc>
          <w:tcPr>
            <w:tcW w:w="1279" w:type="dxa"/>
            <w:shd w:val="clear" w:color="auto" w:fill="4F81BD"/>
            <w:noWrap/>
            <w:tcMar>
              <w:top w:w="0" w:type="dxa"/>
              <w:left w:w="70" w:type="dxa"/>
              <w:bottom w:w="0" w:type="dxa"/>
              <w:right w:w="70" w:type="dxa"/>
            </w:tcMar>
            <w:vAlign w:val="center"/>
          </w:tcPr>
          <w:p w:rsidR="003F1809" w:rsidRPr="00DA20F5" w:rsidRDefault="003F1809" w:rsidP="00D36FB8">
            <w:pPr>
              <w:jc w:val="center"/>
              <w:rPr>
                <w:rFonts w:ascii="Calibri" w:hAnsi="Calibri"/>
                <w:b/>
                <w:color w:val="FFFFFF" w:themeColor="background1"/>
                <w:sz w:val="21"/>
                <w:szCs w:val="21"/>
                <w:lang w:eastAsia="cs-CZ"/>
              </w:rPr>
            </w:pPr>
            <w:r w:rsidRPr="00DA20F5">
              <w:rPr>
                <w:b/>
                <w:color w:val="FFFFFF" w:themeColor="background1"/>
                <w:sz w:val="21"/>
                <w:szCs w:val="21"/>
                <w:lang w:eastAsia="cs-CZ"/>
              </w:rPr>
              <w:t>rok 2011</w:t>
            </w:r>
          </w:p>
        </w:tc>
        <w:tc>
          <w:tcPr>
            <w:tcW w:w="1039" w:type="dxa"/>
            <w:shd w:val="clear" w:color="auto" w:fill="4F81BD"/>
            <w:noWrap/>
            <w:tcMar>
              <w:top w:w="0" w:type="dxa"/>
              <w:left w:w="70" w:type="dxa"/>
              <w:bottom w:w="0" w:type="dxa"/>
              <w:right w:w="70" w:type="dxa"/>
            </w:tcMar>
            <w:vAlign w:val="center"/>
          </w:tcPr>
          <w:p w:rsidR="003F1809" w:rsidRPr="00DA20F5" w:rsidRDefault="003F1809" w:rsidP="00D36FB8">
            <w:pPr>
              <w:jc w:val="center"/>
              <w:rPr>
                <w:rFonts w:ascii="Calibri" w:hAnsi="Calibri"/>
                <w:b/>
                <w:color w:val="FFFFFF" w:themeColor="background1"/>
                <w:sz w:val="21"/>
                <w:szCs w:val="21"/>
                <w:lang w:eastAsia="cs-CZ"/>
              </w:rPr>
            </w:pPr>
            <w:r w:rsidRPr="00DA20F5">
              <w:rPr>
                <w:b/>
                <w:color w:val="FFFFFF" w:themeColor="background1"/>
                <w:sz w:val="21"/>
                <w:szCs w:val="21"/>
                <w:lang w:eastAsia="cs-CZ"/>
              </w:rPr>
              <w:t>Index 2011/2010</w:t>
            </w:r>
          </w:p>
        </w:tc>
      </w:tr>
      <w:tr w:rsidR="005C3A6A" w:rsidRPr="00DA20F5" w:rsidTr="005C3A6A">
        <w:trPr>
          <w:trHeight w:val="272"/>
          <w:jc w:val="center"/>
        </w:trPr>
        <w:tc>
          <w:tcPr>
            <w:tcW w:w="3670" w:type="dxa"/>
            <w:vAlign w:val="center"/>
          </w:tcPr>
          <w:p w:rsidR="003F1809" w:rsidRPr="00DA20F5" w:rsidRDefault="003F1809" w:rsidP="00D36FB8">
            <w:pPr>
              <w:jc w:val="left"/>
              <w:rPr>
                <w:rFonts w:ascii="Calibri" w:hAnsi="Calibri"/>
                <w:sz w:val="21"/>
                <w:szCs w:val="21"/>
                <w:lang w:eastAsia="en-US"/>
              </w:rPr>
            </w:pPr>
            <w:bookmarkStart w:id="1236" w:name="_Toc325438235"/>
            <w:r w:rsidRPr="00DA20F5">
              <w:rPr>
                <w:sz w:val="21"/>
                <w:szCs w:val="21"/>
                <w:lang w:eastAsia="en-US"/>
              </w:rPr>
              <w:t>-na podporu rozvoja sociálnych služieb a na podporu vykonávania opatrení sociálnoprávnej ochrany detí</w:t>
            </w:r>
            <w:bookmarkEnd w:id="1236"/>
            <w:r w:rsidRPr="00DA20F5">
              <w:rPr>
                <w:sz w:val="21"/>
                <w:szCs w:val="21"/>
                <w:lang w:eastAsia="en-US"/>
              </w:rPr>
              <w:t xml:space="preserve"> </w:t>
            </w:r>
            <w:bookmarkStart w:id="1237" w:name="_Toc325438236"/>
            <w:r w:rsidRPr="00DA20F5">
              <w:rPr>
                <w:sz w:val="21"/>
                <w:szCs w:val="21"/>
                <w:lang w:eastAsia="en-US"/>
              </w:rPr>
              <w:t>a sociálnej kurately</w:t>
            </w:r>
            <w:bookmarkEnd w:id="1237"/>
          </w:p>
        </w:tc>
        <w:tc>
          <w:tcPr>
            <w:tcW w:w="707" w:type="dxa"/>
            <w:vAlign w:val="center"/>
          </w:tcPr>
          <w:p w:rsidR="003F1809" w:rsidRPr="00DA20F5" w:rsidRDefault="003F1809" w:rsidP="005C3A6A">
            <w:pPr>
              <w:ind w:right="140"/>
              <w:jc w:val="right"/>
              <w:rPr>
                <w:sz w:val="21"/>
                <w:szCs w:val="21"/>
                <w:lang w:eastAsia="en-US"/>
              </w:rPr>
            </w:pPr>
            <w:bookmarkStart w:id="1238" w:name="_Toc325438237"/>
            <w:r w:rsidRPr="00DA20F5">
              <w:rPr>
                <w:sz w:val="21"/>
                <w:szCs w:val="21"/>
                <w:lang w:eastAsia="en-US"/>
              </w:rPr>
              <w:t>230</w:t>
            </w:r>
            <w:bookmarkEnd w:id="1238"/>
          </w:p>
        </w:tc>
        <w:tc>
          <w:tcPr>
            <w:tcW w:w="694" w:type="dxa"/>
            <w:vAlign w:val="center"/>
          </w:tcPr>
          <w:p w:rsidR="003F1809" w:rsidRPr="00DA20F5" w:rsidRDefault="003F1809" w:rsidP="00D36FB8">
            <w:pPr>
              <w:ind w:right="199"/>
              <w:jc w:val="right"/>
              <w:rPr>
                <w:sz w:val="21"/>
                <w:szCs w:val="21"/>
                <w:lang w:eastAsia="en-US"/>
              </w:rPr>
            </w:pPr>
            <w:bookmarkStart w:id="1239" w:name="_Toc325438238"/>
            <w:r w:rsidRPr="00DA20F5">
              <w:rPr>
                <w:sz w:val="21"/>
                <w:szCs w:val="21"/>
                <w:lang w:eastAsia="en-US"/>
              </w:rPr>
              <w:t>155</w:t>
            </w:r>
            <w:bookmarkEnd w:id="1239"/>
          </w:p>
        </w:tc>
        <w:tc>
          <w:tcPr>
            <w:tcW w:w="1112" w:type="dxa"/>
            <w:noWrap/>
            <w:tcMar>
              <w:top w:w="0" w:type="dxa"/>
              <w:left w:w="70" w:type="dxa"/>
              <w:bottom w:w="0" w:type="dxa"/>
              <w:right w:w="70" w:type="dxa"/>
            </w:tcMar>
            <w:vAlign w:val="center"/>
          </w:tcPr>
          <w:p w:rsidR="003F1809" w:rsidRPr="00DA20F5" w:rsidRDefault="003F1809" w:rsidP="00D36FB8">
            <w:pPr>
              <w:ind w:right="199"/>
              <w:jc w:val="right"/>
              <w:rPr>
                <w:sz w:val="21"/>
                <w:szCs w:val="21"/>
                <w:lang w:eastAsia="en-US"/>
              </w:rPr>
            </w:pPr>
            <w:bookmarkStart w:id="1240" w:name="_Toc325438239"/>
            <w:r w:rsidRPr="00DA20F5">
              <w:rPr>
                <w:sz w:val="21"/>
                <w:szCs w:val="21"/>
                <w:lang w:eastAsia="en-US"/>
              </w:rPr>
              <w:t>67,4</w:t>
            </w:r>
            <w:bookmarkEnd w:id="1240"/>
          </w:p>
        </w:tc>
        <w:tc>
          <w:tcPr>
            <w:tcW w:w="1190" w:type="dxa"/>
            <w:tcMar>
              <w:top w:w="0" w:type="dxa"/>
              <w:left w:w="70" w:type="dxa"/>
              <w:bottom w:w="0" w:type="dxa"/>
              <w:right w:w="70" w:type="dxa"/>
            </w:tcMar>
            <w:vAlign w:val="center"/>
          </w:tcPr>
          <w:p w:rsidR="003F1809" w:rsidRPr="00DA20F5" w:rsidRDefault="003F1809" w:rsidP="00D36FB8">
            <w:pPr>
              <w:jc w:val="right"/>
              <w:rPr>
                <w:sz w:val="21"/>
                <w:szCs w:val="21"/>
                <w:lang w:eastAsia="en-US"/>
              </w:rPr>
            </w:pPr>
            <w:bookmarkStart w:id="1241" w:name="_Toc325438240"/>
            <w:r w:rsidRPr="00DA20F5">
              <w:rPr>
                <w:sz w:val="21"/>
                <w:szCs w:val="21"/>
                <w:lang w:eastAsia="en-US"/>
              </w:rPr>
              <w:t>2 461 741</w:t>
            </w:r>
            <w:bookmarkEnd w:id="1241"/>
          </w:p>
        </w:tc>
        <w:tc>
          <w:tcPr>
            <w:tcW w:w="1279" w:type="dxa"/>
            <w:tcMar>
              <w:top w:w="0" w:type="dxa"/>
              <w:left w:w="70" w:type="dxa"/>
              <w:bottom w:w="0" w:type="dxa"/>
              <w:right w:w="70" w:type="dxa"/>
            </w:tcMar>
            <w:vAlign w:val="center"/>
          </w:tcPr>
          <w:p w:rsidR="003F1809" w:rsidRPr="00DA20F5" w:rsidRDefault="003F1809" w:rsidP="00D36FB8">
            <w:pPr>
              <w:ind w:right="199"/>
              <w:jc w:val="right"/>
              <w:rPr>
                <w:sz w:val="21"/>
                <w:szCs w:val="21"/>
                <w:lang w:eastAsia="en-US"/>
              </w:rPr>
            </w:pPr>
            <w:bookmarkStart w:id="1242" w:name="_Toc325438241"/>
            <w:r w:rsidRPr="00DA20F5">
              <w:rPr>
                <w:sz w:val="21"/>
                <w:szCs w:val="21"/>
                <w:lang w:eastAsia="en-US"/>
              </w:rPr>
              <w:t>1 780 290</w:t>
            </w:r>
            <w:bookmarkEnd w:id="1242"/>
          </w:p>
        </w:tc>
        <w:tc>
          <w:tcPr>
            <w:tcW w:w="1039" w:type="dxa"/>
            <w:noWrap/>
            <w:tcMar>
              <w:top w:w="0" w:type="dxa"/>
              <w:left w:w="70" w:type="dxa"/>
              <w:bottom w:w="0" w:type="dxa"/>
              <w:right w:w="70" w:type="dxa"/>
            </w:tcMar>
            <w:vAlign w:val="center"/>
          </w:tcPr>
          <w:p w:rsidR="003F1809" w:rsidRPr="00DA20F5" w:rsidRDefault="003F1809" w:rsidP="00D36FB8">
            <w:pPr>
              <w:ind w:right="199"/>
              <w:jc w:val="right"/>
              <w:rPr>
                <w:sz w:val="21"/>
                <w:szCs w:val="21"/>
                <w:lang w:eastAsia="en-US"/>
              </w:rPr>
            </w:pPr>
            <w:bookmarkStart w:id="1243" w:name="_Toc325438242"/>
            <w:r w:rsidRPr="00DA20F5">
              <w:rPr>
                <w:sz w:val="21"/>
                <w:szCs w:val="21"/>
                <w:lang w:eastAsia="en-US"/>
              </w:rPr>
              <w:t>72,3</w:t>
            </w:r>
            <w:bookmarkEnd w:id="1243"/>
          </w:p>
        </w:tc>
      </w:tr>
      <w:tr w:rsidR="005C3A6A" w:rsidRPr="00DA20F5" w:rsidTr="005C3A6A">
        <w:trPr>
          <w:trHeight w:val="272"/>
          <w:jc w:val="center"/>
        </w:trPr>
        <w:tc>
          <w:tcPr>
            <w:tcW w:w="3670" w:type="dxa"/>
            <w:vAlign w:val="center"/>
          </w:tcPr>
          <w:p w:rsidR="003F1809" w:rsidRPr="00DA20F5" w:rsidRDefault="003F1809" w:rsidP="00D36FB8">
            <w:pPr>
              <w:rPr>
                <w:sz w:val="21"/>
                <w:szCs w:val="21"/>
                <w:lang w:eastAsia="en-US"/>
              </w:rPr>
            </w:pPr>
            <w:bookmarkStart w:id="1244" w:name="_Toc325438243"/>
            <w:r w:rsidRPr="00DA20F5">
              <w:rPr>
                <w:sz w:val="21"/>
                <w:szCs w:val="21"/>
                <w:lang w:eastAsia="en-US"/>
              </w:rPr>
              <w:t>- na podporu rekondičných aktivít, členstva v MO a podporu edičnej činnosti</w:t>
            </w:r>
            <w:bookmarkEnd w:id="1244"/>
          </w:p>
        </w:tc>
        <w:tc>
          <w:tcPr>
            <w:tcW w:w="707" w:type="dxa"/>
            <w:noWrap/>
            <w:vAlign w:val="center"/>
          </w:tcPr>
          <w:p w:rsidR="003F1809" w:rsidRPr="00DA20F5" w:rsidRDefault="003F1809" w:rsidP="005C3A6A">
            <w:pPr>
              <w:ind w:right="140"/>
              <w:jc w:val="right"/>
              <w:rPr>
                <w:sz w:val="21"/>
                <w:szCs w:val="21"/>
                <w:lang w:eastAsia="en-US"/>
              </w:rPr>
            </w:pPr>
            <w:bookmarkStart w:id="1245" w:name="_Toc325438244"/>
            <w:r w:rsidRPr="00DA20F5">
              <w:rPr>
                <w:sz w:val="21"/>
                <w:szCs w:val="21"/>
                <w:lang w:eastAsia="en-US"/>
              </w:rPr>
              <w:t>90</w:t>
            </w:r>
            <w:bookmarkEnd w:id="1245"/>
          </w:p>
        </w:tc>
        <w:tc>
          <w:tcPr>
            <w:tcW w:w="694" w:type="dxa"/>
            <w:noWrap/>
            <w:vAlign w:val="center"/>
          </w:tcPr>
          <w:p w:rsidR="003F1809" w:rsidRPr="00DA20F5" w:rsidRDefault="003F1809" w:rsidP="00D36FB8">
            <w:pPr>
              <w:ind w:right="199"/>
              <w:jc w:val="right"/>
              <w:rPr>
                <w:sz w:val="21"/>
                <w:szCs w:val="21"/>
                <w:lang w:eastAsia="en-US"/>
              </w:rPr>
            </w:pPr>
            <w:bookmarkStart w:id="1246" w:name="_Toc325438245"/>
            <w:r w:rsidRPr="00DA20F5">
              <w:rPr>
                <w:sz w:val="21"/>
                <w:szCs w:val="21"/>
                <w:lang w:eastAsia="en-US"/>
              </w:rPr>
              <w:t>60</w:t>
            </w:r>
            <w:bookmarkEnd w:id="1246"/>
          </w:p>
        </w:tc>
        <w:tc>
          <w:tcPr>
            <w:tcW w:w="1112" w:type="dxa"/>
            <w:noWrap/>
            <w:tcMar>
              <w:top w:w="0" w:type="dxa"/>
              <w:left w:w="70" w:type="dxa"/>
              <w:bottom w:w="0" w:type="dxa"/>
              <w:right w:w="70" w:type="dxa"/>
            </w:tcMar>
            <w:vAlign w:val="center"/>
          </w:tcPr>
          <w:p w:rsidR="003F1809" w:rsidRPr="00DA20F5" w:rsidRDefault="003F1809" w:rsidP="00D36FB8">
            <w:pPr>
              <w:ind w:right="199"/>
              <w:jc w:val="right"/>
              <w:rPr>
                <w:sz w:val="21"/>
                <w:szCs w:val="21"/>
                <w:lang w:eastAsia="en-US"/>
              </w:rPr>
            </w:pPr>
            <w:bookmarkStart w:id="1247" w:name="_Toc325438246"/>
            <w:r w:rsidRPr="00DA20F5">
              <w:rPr>
                <w:sz w:val="21"/>
                <w:szCs w:val="21"/>
                <w:lang w:eastAsia="en-US"/>
              </w:rPr>
              <w:t>66,7</w:t>
            </w:r>
            <w:bookmarkEnd w:id="1247"/>
          </w:p>
        </w:tc>
        <w:tc>
          <w:tcPr>
            <w:tcW w:w="1190" w:type="dxa"/>
            <w:noWrap/>
            <w:tcMar>
              <w:top w:w="0" w:type="dxa"/>
              <w:left w:w="70" w:type="dxa"/>
              <w:bottom w:w="0" w:type="dxa"/>
              <w:right w:w="70" w:type="dxa"/>
            </w:tcMar>
            <w:vAlign w:val="center"/>
          </w:tcPr>
          <w:p w:rsidR="003F1809" w:rsidRPr="00DA20F5" w:rsidRDefault="003F1809" w:rsidP="00D36FB8">
            <w:pPr>
              <w:jc w:val="right"/>
              <w:rPr>
                <w:sz w:val="21"/>
                <w:szCs w:val="21"/>
                <w:lang w:eastAsia="en-US"/>
              </w:rPr>
            </w:pPr>
            <w:bookmarkStart w:id="1248" w:name="_Toc325438247"/>
            <w:r w:rsidRPr="00DA20F5">
              <w:rPr>
                <w:sz w:val="21"/>
                <w:szCs w:val="21"/>
                <w:lang w:eastAsia="en-US"/>
              </w:rPr>
              <w:t>465 632*</w:t>
            </w:r>
            <w:bookmarkEnd w:id="1248"/>
          </w:p>
        </w:tc>
        <w:tc>
          <w:tcPr>
            <w:tcW w:w="1279" w:type="dxa"/>
            <w:noWrap/>
            <w:tcMar>
              <w:top w:w="0" w:type="dxa"/>
              <w:left w:w="70" w:type="dxa"/>
              <w:bottom w:w="0" w:type="dxa"/>
              <w:right w:w="70" w:type="dxa"/>
            </w:tcMar>
            <w:vAlign w:val="center"/>
          </w:tcPr>
          <w:p w:rsidR="003F1809" w:rsidRPr="00DA20F5" w:rsidRDefault="003F1809" w:rsidP="00D36FB8">
            <w:pPr>
              <w:ind w:right="199"/>
              <w:jc w:val="right"/>
              <w:rPr>
                <w:sz w:val="21"/>
                <w:szCs w:val="21"/>
                <w:lang w:eastAsia="en-US"/>
              </w:rPr>
            </w:pPr>
            <w:bookmarkStart w:id="1249" w:name="_Toc325438248"/>
            <w:r w:rsidRPr="00DA20F5">
              <w:rPr>
                <w:sz w:val="21"/>
                <w:szCs w:val="21"/>
                <w:lang w:eastAsia="en-US"/>
              </w:rPr>
              <w:t>739 885</w:t>
            </w:r>
            <w:bookmarkEnd w:id="1249"/>
          </w:p>
        </w:tc>
        <w:tc>
          <w:tcPr>
            <w:tcW w:w="1039" w:type="dxa"/>
            <w:noWrap/>
            <w:tcMar>
              <w:top w:w="0" w:type="dxa"/>
              <w:left w:w="70" w:type="dxa"/>
              <w:bottom w:w="0" w:type="dxa"/>
              <w:right w:w="70" w:type="dxa"/>
            </w:tcMar>
            <w:vAlign w:val="center"/>
          </w:tcPr>
          <w:p w:rsidR="003F1809" w:rsidRPr="00DA20F5" w:rsidRDefault="003F1809" w:rsidP="00D36FB8">
            <w:pPr>
              <w:ind w:right="199"/>
              <w:jc w:val="right"/>
              <w:rPr>
                <w:sz w:val="21"/>
                <w:szCs w:val="21"/>
                <w:lang w:eastAsia="en-US"/>
              </w:rPr>
            </w:pPr>
            <w:bookmarkStart w:id="1250" w:name="_Toc325438249"/>
            <w:r w:rsidRPr="00DA20F5">
              <w:rPr>
                <w:sz w:val="21"/>
                <w:szCs w:val="21"/>
                <w:lang w:eastAsia="en-US"/>
              </w:rPr>
              <w:t>158,9</w:t>
            </w:r>
            <w:bookmarkEnd w:id="1250"/>
          </w:p>
        </w:tc>
      </w:tr>
      <w:tr w:rsidR="005C3A6A" w:rsidRPr="00DA20F5" w:rsidTr="005C3A6A">
        <w:trPr>
          <w:trHeight w:val="272"/>
          <w:jc w:val="center"/>
        </w:trPr>
        <w:tc>
          <w:tcPr>
            <w:tcW w:w="3670" w:type="dxa"/>
            <w:vAlign w:val="center"/>
          </w:tcPr>
          <w:p w:rsidR="003F1809" w:rsidRPr="00DA20F5" w:rsidRDefault="003F1809" w:rsidP="00D36FB8">
            <w:pPr>
              <w:rPr>
                <w:rFonts w:ascii="Calibri" w:hAnsi="Calibri"/>
                <w:sz w:val="21"/>
                <w:szCs w:val="21"/>
                <w:lang w:eastAsia="en-US"/>
              </w:rPr>
            </w:pPr>
            <w:bookmarkStart w:id="1251" w:name="_Toc325438250"/>
            <w:r w:rsidRPr="00DA20F5">
              <w:rPr>
                <w:sz w:val="21"/>
                <w:szCs w:val="21"/>
                <w:lang w:eastAsia="en-US"/>
              </w:rPr>
              <w:t>-</w:t>
            </w:r>
            <w:r w:rsidRPr="00DA20F5">
              <w:rPr>
                <w:sz w:val="21"/>
                <w:szCs w:val="21"/>
              </w:rPr>
              <w:t>na podporu humanitárnej pomoci (fyzické a právnické osoby len v r. 2010)</w:t>
            </w:r>
            <w:bookmarkEnd w:id="1251"/>
          </w:p>
        </w:tc>
        <w:tc>
          <w:tcPr>
            <w:tcW w:w="707" w:type="dxa"/>
            <w:noWrap/>
            <w:vAlign w:val="center"/>
          </w:tcPr>
          <w:p w:rsidR="003F1809" w:rsidRPr="00DA20F5" w:rsidRDefault="003F1809" w:rsidP="005C3A6A">
            <w:pPr>
              <w:ind w:right="140"/>
              <w:jc w:val="right"/>
              <w:rPr>
                <w:sz w:val="21"/>
                <w:szCs w:val="21"/>
                <w:lang w:eastAsia="en-US"/>
              </w:rPr>
            </w:pPr>
            <w:bookmarkStart w:id="1252" w:name="_Toc325438251"/>
            <w:r w:rsidRPr="00DA20F5">
              <w:rPr>
                <w:sz w:val="21"/>
                <w:szCs w:val="21"/>
                <w:lang w:eastAsia="en-US"/>
              </w:rPr>
              <w:t>2 212</w:t>
            </w:r>
            <w:bookmarkEnd w:id="1252"/>
          </w:p>
        </w:tc>
        <w:tc>
          <w:tcPr>
            <w:tcW w:w="694" w:type="dxa"/>
            <w:noWrap/>
            <w:vAlign w:val="center"/>
          </w:tcPr>
          <w:p w:rsidR="003F1809" w:rsidRPr="00DA20F5" w:rsidRDefault="003F1809" w:rsidP="00D36FB8">
            <w:pPr>
              <w:ind w:right="199"/>
              <w:jc w:val="right"/>
              <w:rPr>
                <w:sz w:val="21"/>
                <w:szCs w:val="21"/>
                <w:lang w:eastAsia="en-US"/>
              </w:rPr>
            </w:pPr>
            <w:bookmarkStart w:id="1253" w:name="_Toc325438252"/>
            <w:r w:rsidRPr="00DA20F5">
              <w:rPr>
                <w:sz w:val="21"/>
                <w:szCs w:val="21"/>
                <w:lang w:eastAsia="en-US"/>
              </w:rPr>
              <w:t>350</w:t>
            </w:r>
            <w:bookmarkEnd w:id="1253"/>
          </w:p>
        </w:tc>
        <w:tc>
          <w:tcPr>
            <w:tcW w:w="1112" w:type="dxa"/>
            <w:noWrap/>
            <w:tcMar>
              <w:top w:w="0" w:type="dxa"/>
              <w:left w:w="70" w:type="dxa"/>
              <w:bottom w:w="0" w:type="dxa"/>
              <w:right w:w="70" w:type="dxa"/>
            </w:tcMar>
            <w:vAlign w:val="center"/>
          </w:tcPr>
          <w:p w:rsidR="003F1809" w:rsidRPr="00DA20F5" w:rsidRDefault="003F1809" w:rsidP="00D36FB8">
            <w:pPr>
              <w:ind w:right="199"/>
              <w:jc w:val="right"/>
              <w:rPr>
                <w:sz w:val="21"/>
                <w:szCs w:val="21"/>
                <w:lang w:eastAsia="en-US"/>
              </w:rPr>
            </w:pPr>
            <w:bookmarkStart w:id="1254" w:name="_Toc325438253"/>
            <w:r w:rsidRPr="00DA20F5">
              <w:rPr>
                <w:sz w:val="21"/>
                <w:szCs w:val="21"/>
                <w:lang w:eastAsia="en-US"/>
              </w:rPr>
              <w:t>x</w:t>
            </w:r>
            <w:bookmarkEnd w:id="1254"/>
          </w:p>
        </w:tc>
        <w:tc>
          <w:tcPr>
            <w:tcW w:w="1190" w:type="dxa"/>
            <w:noWrap/>
            <w:tcMar>
              <w:top w:w="0" w:type="dxa"/>
              <w:left w:w="70" w:type="dxa"/>
              <w:bottom w:w="0" w:type="dxa"/>
              <w:right w:w="70" w:type="dxa"/>
            </w:tcMar>
            <w:vAlign w:val="center"/>
          </w:tcPr>
          <w:p w:rsidR="003F1809" w:rsidRPr="00DA20F5" w:rsidRDefault="003F1809" w:rsidP="00D36FB8">
            <w:pPr>
              <w:jc w:val="right"/>
              <w:rPr>
                <w:sz w:val="21"/>
                <w:szCs w:val="21"/>
                <w:lang w:eastAsia="en-US"/>
              </w:rPr>
            </w:pPr>
            <w:bookmarkStart w:id="1255" w:name="_Toc325438254"/>
            <w:r w:rsidRPr="00DA20F5">
              <w:rPr>
                <w:sz w:val="21"/>
                <w:szCs w:val="21"/>
                <w:lang w:eastAsia="en-US"/>
              </w:rPr>
              <w:t>1 093 766**</w:t>
            </w:r>
            <w:bookmarkEnd w:id="1255"/>
          </w:p>
        </w:tc>
        <w:tc>
          <w:tcPr>
            <w:tcW w:w="1279" w:type="dxa"/>
            <w:noWrap/>
            <w:tcMar>
              <w:top w:w="0" w:type="dxa"/>
              <w:left w:w="70" w:type="dxa"/>
              <w:bottom w:w="0" w:type="dxa"/>
              <w:right w:w="70" w:type="dxa"/>
            </w:tcMar>
            <w:vAlign w:val="center"/>
          </w:tcPr>
          <w:p w:rsidR="003F1809" w:rsidRPr="00DA20F5" w:rsidRDefault="003F1809" w:rsidP="00D36FB8">
            <w:pPr>
              <w:ind w:right="199"/>
              <w:jc w:val="right"/>
              <w:rPr>
                <w:sz w:val="21"/>
                <w:szCs w:val="21"/>
                <w:lang w:eastAsia="en-US"/>
              </w:rPr>
            </w:pPr>
            <w:bookmarkStart w:id="1256" w:name="_Toc325438255"/>
            <w:r w:rsidRPr="00DA20F5">
              <w:rPr>
                <w:sz w:val="21"/>
                <w:szCs w:val="21"/>
                <w:lang w:eastAsia="en-US"/>
              </w:rPr>
              <w:t>94 593</w:t>
            </w:r>
            <w:bookmarkEnd w:id="1256"/>
          </w:p>
        </w:tc>
        <w:tc>
          <w:tcPr>
            <w:tcW w:w="1039" w:type="dxa"/>
            <w:noWrap/>
            <w:tcMar>
              <w:top w:w="0" w:type="dxa"/>
              <w:left w:w="70" w:type="dxa"/>
              <w:bottom w:w="0" w:type="dxa"/>
              <w:right w:w="70" w:type="dxa"/>
            </w:tcMar>
            <w:vAlign w:val="center"/>
          </w:tcPr>
          <w:p w:rsidR="003F1809" w:rsidRPr="00DA20F5" w:rsidRDefault="003F1809" w:rsidP="00D36FB8">
            <w:pPr>
              <w:ind w:right="199"/>
              <w:jc w:val="right"/>
              <w:rPr>
                <w:sz w:val="21"/>
                <w:szCs w:val="21"/>
                <w:lang w:eastAsia="en-US"/>
              </w:rPr>
            </w:pPr>
            <w:bookmarkStart w:id="1257" w:name="_Toc325438256"/>
            <w:r w:rsidRPr="00DA20F5">
              <w:rPr>
                <w:sz w:val="21"/>
                <w:szCs w:val="21"/>
                <w:lang w:eastAsia="en-US"/>
              </w:rPr>
              <w:t>x</w:t>
            </w:r>
            <w:bookmarkEnd w:id="1257"/>
          </w:p>
        </w:tc>
      </w:tr>
    </w:tbl>
    <w:p w:rsidR="00F322E5" w:rsidRPr="00DA20F5" w:rsidRDefault="00F322E5" w:rsidP="00D36FB8">
      <w:pPr>
        <w:pStyle w:val="zdroj"/>
        <w:spacing w:after="0"/>
        <w:ind w:firstLine="0"/>
      </w:pPr>
      <w:r w:rsidRPr="00DA20F5">
        <w:t>Zdroj: Návrh záverečného účtu za rok 2011</w:t>
      </w:r>
    </w:p>
    <w:p w:rsidR="008B0A3F" w:rsidRPr="00DA20F5" w:rsidRDefault="008B0A3F" w:rsidP="00D36FB8">
      <w:pPr>
        <w:pStyle w:val="zdroj"/>
        <w:spacing w:before="0" w:after="0"/>
        <w:ind w:firstLine="0"/>
      </w:pPr>
      <w:r w:rsidRPr="00DA20F5">
        <w:t>*</w:t>
      </w:r>
      <w:r w:rsidR="00AC5AAB" w:rsidRPr="00DA20F5">
        <w:t xml:space="preserve"> </w:t>
      </w:r>
      <w:r w:rsidRPr="00DA20F5">
        <w:t xml:space="preserve">v r. 2010 nie sú zahrnuté výdavky na rekreácie dôchodcom v sume 597 491 </w:t>
      </w:r>
      <w:r w:rsidR="00E364F3" w:rsidRPr="00DA20F5">
        <w:t>€</w:t>
      </w:r>
      <w:r w:rsidR="005C3A6A" w:rsidRPr="00DA20F5">
        <w:t xml:space="preserve"> (neboli poskytované v súlade s </w:t>
      </w:r>
      <w:r w:rsidRPr="00DA20F5">
        <w:t xml:space="preserve">výnosom) </w:t>
      </w:r>
    </w:p>
    <w:p w:rsidR="008B0A3F" w:rsidRPr="00DA20F5" w:rsidRDefault="008B0A3F" w:rsidP="00D36FB8">
      <w:pPr>
        <w:pStyle w:val="zdroj"/>
        <w:spacing w:before="0"/>
        <w:ind w:firstLine="0"/>
      </w:pPr>
      <w:r w:rsidRPr="00DA20F5">
        <w:t>**</w:t>
      </w:r>
      <w:r w:rsidR="00AC5AAB" w:rsidRPr="00DA20F5">
        <w:t xml:space="preserve"> </w:t>
      </w:r>
      <w:r w:rsidRPr="00DA20F5">
        <w:t xml:space="preserve">z toho 1 008 541 </w:t>
      </w:r>
      <w:r w:rsidR="00E364F3" w:rsidRPr="00DA20F5">
        <w:t>€</w:t>
      </w:r>
      <w:r w:rsidRPr="00DA20F5">
        <w:t xml:space="preserve"> na zmiernenie následkov povodní</w:t>
      </w:r>
    </w:p>
    <w:p w:rsidR="005A7CB9" w:rsidRPr="00DA20F5" w:rsidRDefault="004C6309" w:rsidP="000B4550">
      <w:pPr>
        <w:pStyle w:val="Nadpis6"/>
      </w:pPr>
      <w:bookmarkStart w:id="1258" w:name="_Toc325438257"/>
      <w:bookmarkStart w:id="1259" w:name="_Toc326217075"/>
      <w:r w:rsidRPr="00DA20F5">
        <w:lastRenderedPageBreak/>
        <w:t>Európs</w:t>
      </w:r>
      <w:r w:rsidR="005A7CB9" w:rsidRPr="00DA20F5">
        <w:t>ky integrovaný systém štatistiky sociálnej ochrany (Metodika ESSPROS)</w:t>
      </w:r>
      <w:bookmarkEnd w:id="1258"/>
      <w:bookmarkEnd w:id="1259"/>
    </w:p>
    <w:p w:rsidR="005A7CB9" w:rsidRPr="00DA20F5" w:rsidRDefault="005A7CB9" w:rsidP="00D36FB8">
      <w:pPr>
        <w:ind w:firstLine="708"/>
        <w:rPr>
          <w:szCs w:val="22"/>
        </w:rPr>
      </w:pPr>
      <w:r w:rsidRPr="00DA20F5">
        <w:rPr>
          <w:szCs w:val="22"/>
        </w:rPr>
        <w:t>V zmysle platnej Lisabonskej zmluvy sú členské štáty EÚ a </w:t>
      </w:r>
      <w:r w:rsidR="004C6309" w:rsidRPr="00DA20F5">
        <w:rPr>
          <w:szCs w:val="22"/>
        </w:rPr>
        <w:t>Európs</w:t>
      </w:r>
      <w:r w:rsidRPr="00DA20F5">
        <w:rPr>
          <w:szCs w:val="22"/>
        </w:rPr>
        <w:t>ka únia ako celok povinné pri definovaní a</w:t>
      </w:r>
      <w:r w:rsidR="00F525F7" w:rsidRPr="00DA20F5">
        <w:rPr>
          <w:szCs w:val="22"/>
        </w:rPr>
        <w:t xml:space="preserve"> implementovaní svojich politík</w:t>
      </w:r>
      <w:r w:rsidRPr="00DA20F5">
        <w:rPr>
          <w:szCs w:val="22"/>
        </w:rPr>
        <w:t xml:space="preserve"> klásť dôraz na plnú zamestnanosť, sociálnu ochranu pre všetkých občanov a boj proti sociálnej exklúzii.</w:t>
      </w:r>
    </w:p>
    <w:p w:rsidR="00B07B4A" w:rsidRPr="00DA20F5" w:rsidRDefault="00B07B4A" w:rsidP="00D36FB8">
      <w:pPr>
        <w:pStyle w:val="Zkladntext"/>
        <w:ind w:firstLine="708"/>
        <w:rPr>
          <w:bCs/>
          <w:szCs w:val="22"/>
        </w:rPr>
      </w:pPr>
      <w:r w:rsidRPr="00DA20F5">
        <w:rPr>
          <w:szCs w:val="22"/>
        </w:rPr>
        <w:t>Z dôvodu monitorovania vývoja sociálnej</w:t>
      </w:r>
      <w:r w:rsidR="00F525F7" w:rsidRPr="00DA20F5">
        <w:rPr>
          <w:szCs w:val="22"/>
        </w:rPr>
        <w:t xml:space="preserve"> ochrany v členských štátoch EÚ</w:t>
      </w:r>
      <w:r w:rsidRPr="00DA20F5">
        <w:rPr>
          <w:szCs w:val="22"/>
        </w:rPr>
        <w:t xml:space="preserve"> </w:t>
      </w:r>
      <w:r w:rsidR="004C6309" w:rsidRPr="00DA20F5">
        <w:rPr>
          <w:szCs w:val="22"/>
        </w:rPr>
        <w:t>Európs</w:t>
      </w:r>
      <w:r w:rsidRPr="00DA20F5">
        <w:rPr>
          <w:szCs w:val="22"/>
        </w:rPr>
        <w:t>ka komisia vyžaduje dostupnosť k aktuálnym a</w:t>
      </w:r>
      <w:r w:rsidR="00AC5AAB" w:rsidRPr="00DA20F5">
        <w:rPr>
          <w:szCs w:val="22"/>
        </w:rPr>
        <w:t xml:space="preserve"> </w:t>
      </w:r>
      <w:r w:rsidRPr="00DA20F5">
        <w:rPr>
          <w:szCs w:val="22"/>
        </w:rPr>
        <w:t>podrobným údajom a informáciám o sys</w:t>
      </w:r>
      <w:r w:rsidR="005C3A6A" w:rsidRPr="00DA20F5">
        <w:rPr>
          <w:szCs w:val="22"/>
        </w:rPr>
        <w:t>témoch, súčasnom stave a </w:t>
      </w:r>
      <w:r w:rsidRPr="00DA20F5">
        <w:rPr>
          <w:szCs w:val="22"/>
        </w:rPr>
        <w:t xml:space="preserve">rozvoji sociálnej ochrany v členských štátoch. Jedným zo základných nástrojov štatistického sledovania sociálnej ochrany je </w:t>
      </w:r>
      <w:r w:rsidR="004C6309" w:rsidRPr="00DA20F5">
        <w:rPr>
          <w:b/>
          <w:szCs w:val="22"/>
        </w:rPr>
        <w:t>Európs</w:t>
      </w:r>
      <w:r w:rsidRPr="00DA20F5">
        <w:rPr>
          <w:b/>
          <w:szCs w:val="22"/>
        </w:rPr>
        <w:t>ky systém jednotných štatistík sociálnej ochrany (Metodika ESSPROS</w:t>
      </w:r>
      <w:r w:rsidRPr="00DA20F5">
        <w:rPr>
          <w:rStyle w:val="Odkaznapoznmkupodiarou"/>
          <w:b/>
          <w:szCs w:val="22"/>
        </w:rPr>
        <w:footnoteReference w:id="21"/>
      </w:r>
      <w:r w:rsidRPr="00DA20F5">
        <w:rPr>
          <w:b/>
          <w:szCs w:val="22"/>
        </w:rPr>
        <w:t xml:space="preserve">). </w:t>
      </w:r>
      <w:r w:rsidRPr="00DA20F5">
        <w:rPr>
          <w:szCs w:val="22"/>
        </w:rPr>
        <w:t>Počnúc rokom</w:t>
      </w:r>
      <w:r w:rsidR="00AC5AAB" w:rsidRPr="00DA20F5">
        <w:rPr>
          <w:szCs w:val="22"/>
        </w:rPr>
        <w:t xml:space="preserve"> </w:t>
      </w:r>
      <w:r w:rsidRPr="00DA20F5">
        <w:rPr>
          <w:szCs w:val="22"/>
        </w:rPr>
        <w:t xml:space="preserve">2008 (referenčný rok 2006) poskytujú členské štáty EÚ údaje na základe </w:t>
      </w:r>
      <w:r w:rsidRPr="00DA20F5">
        <w:rPr>
          <w:bCs/>
          <w:szCs w:val="22"/>
        </w:rPr>
        <w:t xml:space="preserve">Nariadenia </w:t>
      </w:r>
      <w:r w:rsidR="004C6309" w:rsidRPr="00DA20F5">
        <w:rPr>
          <w:szCs w:val="22"/>
        </w:rPr>
        <w:t>Európs</w:t>
      </w:r>
      <w:r w:rsidRPr="00DA20F5">
        <w:rPr>
          <w:szCs w:val="22"/>
        </w:rPr>
        <w:t>keho parlamentu a Rady</w:t>
      </w:r>
      <w:r w:rsidR="00AC5AAB" w:rsidRPr="00DA20F5">
        <w:rPr>
          <w:szCs w:val="22"/>
        </w:rPr>
        <w:t xml:space="preserve"> </w:t>
      </w:r>
      <w:r w:rsidRPr="00DA20F5">
        <w:rPr>
          <w:szCs w:val="22"/>
        </w:rPr>
        <w:t xml:space="preserve">(ES) </w:t>
      </w:r>
      <w:r w:rsidRPr="00DA20F5">
        <w:rPr>
          <w:bCs/>
          <w:szCs w:val="22"/>
        </w:rPr>
        <w:t>č 458/2007</w:t>
      </w:r>
      <w:r w:rsidRPr="00DA20F5">
        <w:rPr>
          <w:rStyle w:val="Odkaznapoznmkupodiarou"/>
          <w:bCs/>
          <w:szCs w:val="22"/>
        </w:rPr>
        <w:footnoteReference w:id="22"/>
      </w:r>
      <w:r w:rsidRPr="00DA20F5">
        <w:rPr>
          <w:bCs/>
          <w:szCs w:val="22"/>
        </w:rPr>
        <w:t xml:space="preserve"> </w:t>
      </w:r>
      <w:r w:rsidRPr="00DA20F5">
        <w:rPr>
          <w:szCs w:val="22"/>
        </w:rPr>
        <w:t xml:space="preserve">o </w:t>
      </w:r>
      <w:r w:rsidR="004C6309" w:rsidRPr="00DA20F5">
        <w:rPr>
          <w:szCs w:val="22"/>
        </w:rPr>
        <w:t>Európs</w:t>
      </w:r>
      <w:r w:rsidRPr="00DA20F5">
        <w:rPr>
          <w:szCs w:val="22"/>
        </w:rPr>
        <w:t>kom systéme integrovanej štatistiky sociálnej ochrany (ESSPROS)</w:t>
      </w:r>
      <w:r w:rsidRPr="00DA20F5">
        <w:rPr>
          <w:bCs/>
          <w:szCs w:val="22"/>
        </w:rPr>
        <w:t xml:space="preserve"> so štyrmi implementačnými nariadeniami Komisie</w:t>
      </w:r>
      <w:r w:rsidR="005C3A6A" w:rsidRPr="00DA20F5">
        <w:rPr>
          <w:noProof/>
          <w:szCs w:val="22"/>
        </w:rPr>
        <w:t xml:space="preserve"> č. </w:t>
      </w:r>
      <w:r w:rsidRPr="00DA20F5">
        <w:rPr>
          <w:noProof/>
          <w:szCs w:val="22"/>
        </w:rPr>
        <w:t>1322/2007</w:t>
      </w:r>
      <w:r w:rsidRPr="00DA20F5">
        <w:rPr>
          <w:rStyle w:val="Odkaznapoznmkupodiarou"/>
          <w:noProof/>
          <w:szCs w:val="22"/>
        </w:rPr>
        <w:footnoteReference w:id="23"/>
      </w:r>
      <w:r w:rsidRPr="00DA20F5">
        <w:rPr>
          <w:noProof/>
          <w:szCs w:val="22"/>
        </w:rPr>
        <w:t>, č. 10/2008</w:t>
      </w:r>
      <w:r w:rsidRPr="00DA20F5">
        <w:rPr>
          <w:rStyle w:val="Odkaznapoznmkupodiarou"/>
          <w:noProof/>
          <w:szCs w:val="22"/>
        </w:rPr>
        <w:footnoteReference w:id="24"/>
      </w:r>
      <w:r w:rsidRPr="00DA20F5">
        <w:rPr>
          <w:noProof/>
          <w:szCs w:val="22"/>
        </w:rPr>
        <w:t>, č. 110/2011</w:t>
      </w:r>
      <w:r w:rsidRPr="00DA20F5">
        <w:rPr>
          <w:rStyle w:val="Odkaznapoznmkupodiarou"/>
          <w:noProof/>
          <w:szCs w:val="22"/>
        </w:rPr>
        <w:footnoteReference w:id="25"/>
      </w:r>
      <w:r w:rsidRPr="00DA20F5">
        <w:rPr>
          <w:noProof/>
          <w:szCs w:val="22"/>
        </w:rPr>
        <w:t xml:space="preserve"> a č. 263/2011</w:t>
      </w:r>
      <w:r w:rsidRPr="00DA20F5">
        <w:rPr>
          <w:rStyle w:val="Odkaznapoznmkupodiarou"/>
          <w:noProof/>
          <w:szCs w:val="22"/>
        </w:rPr>
        <w:footnoteReference w:id="26"/>
      </w:r>
      <w:r w:rsidRPr="00DA20F5">
        <w:rPr>
          <w:noProof/>
          <w:szCs w:val="22"/>
        </w:rPr>
        <w:t>.</w:t>
      </w:r>
    </w:p>
    <w:p w:rsidR="00B07B4A" w:rsidRPr="00DA20F5" w:rsidRDefault="00B07B4A" w:rsidP="00D36FB8">
      <w:r w:rsidRPr="00DA20F5">
        <w:t>Štatistický systém ESSPROS pozostáva z nasledovných modulov: príjmy a výdavky, kvalitatívne informácie, počet poberateľov dôchodkov a čisté výdavky na dávky.</w:t>
      </w:r>
    </w:p>
    <w:p w:rsidR="00B07B4A" w:rsidRPr="00DA20F5" w:rsidRDefault="00B07B4A" w:rsidP="00D36FB8">
      <w:pPr>
        <w:pStyle w:val="Subtheme"/>
        <w:spacing w:after="0"/>
        <w:rPr>
          <w:b w:val="0"/>
          <w:noProof w:val="0"/>
          <w:szCs w:val="22"/>
          <w:lang w:val="sk-SK" w:eastAsia="cs-CZ"/>
        </w:rPr>
      </w:pPr>
      <w:r w:rsidRPr="00DA20F5">
        <w:rPr>
          <w:b w:val="0"/>
          <w:noProof w:val="0"/>
          <w:szCs w:val="22"/>
          <w:lang w:val="sk-SK" w:eastAsia="cs-CZ"/>
        </w:rPr>
        <w:t>Medzinárodne porovnateľné údaje o príjmoch a výdavkoch na sociálnu o</w:t>
      </w:r>
      <w:r w:rsidR="005C3A6A" w:rsidRPr="00DA20F5">
        <w:rPr>
          <w:b w:val="0"/>
          <w:noProof w:val="0"/>
          <w:szCs w:val="22"/>
          <w:lang w:val="sk-SK" w:eastAsia="cs-CZ"/>
        </w:rPr>
        <w:t>chranu sú dostupné na </w:t>
      </w:r>
      <w:r w:rsidRPr="00DA20F5">
        <w:rPr>
          <w:b w:val="0"/>
          <w:noProof w:val="0"/>
          <w:szCs w:val="22"/>
          <w:lang w:val="sk-SK" w:eastAsia="cs-CZ"/>
        </w:rPr>
        <w:t xml:space="preserve">webovej stránke </w:t>
      </w:r>
      <w:r w:rsidR="00C6395C" w:rsidRPr="00DA20F5">
        <w:rPr>
          <w:b w:val="0"/>
          <w:noProof w:val="0"/>
          <w:szCs w:val="22"/>
          <w:lang w:val="sk-SK" w:eastAsia="cs-CZ"/>
        </w:rPr>
        <w:t>Eurostat</w:t>
      </w:r>
      <w:r w:rsidRPr="00DA20F5">
        <w:rPr>
          <w:b w:val="0"/>
          <w:noProof w:val="0"/>
          <w:szCs w:val="22"/>
          <w:lang w:val="sk-SK" w:eastAsia="cs-CZ"/>
        </w:rPr>
        <w:t>-u (EK)</w:t>
      </w:r>
      <w:r w:rsidRPr="00DA20F5">
        <w:rPr>
          <w:rStyle w:val="Odkaznapoznmkupodiarou"/>
          <w:b w:val="0"/>
          <w:noProof w:val="0"/>
          <w:szCs w:val="22"/>
          <w:lang w:val="sk-SK" w:eastAsia="cs-CZ"/>
        </w:rPr>
        <w:footnoteReference w:id="27"/>
      </w:r>
      <w:r w:rsidRPr="00DA20F5">
        <w:rPr>
          <w:b w:val="0"/>
          <w:noProof w:val="0"/>
          <w:szCs w:val="22"/>
          <w:lang w:val="sk-SK" w:eastAsia="cs-CZ"/>
        </w:rPr>
        <w:t xml:space="preserve"> za členské štáty EÚ, najnovšie údaje sú za rok 2009. </w:t>
      </w:r>
    </w:p>
    <w:p w:rsidR="00B07B4A" w:rsidRPr="00DA20F5" w:rsidRDefault="00B07B4A" w:rsidP="00D36FB8">
      <w:pPr>
        <w:rPr>
          <w:szCs w:val="22"/>
        </w:rPr>
      </w:pPr>
    </w:p>
    <w:p w:rsidR="00B07B4A" w:rsidRPr="00DA20F5" w:rsidRDefault="00B07B4A" w:rsidP="00D36FB8">
      <w:pPr>
        <w:ind w:firstLine="708"/>
        <w:rPr>
          <w:b/>
          <w:bCs/>
          <w:szCs w:val="22"/>
        </w:rPr>
      </w:pPr>
      <w:r w:rsidRPr="00DA20F5">
        <w:rPr>
          <w:b/>
          <w:bCs/>
          <w:szCs w:val="22"/>
        </w:rPr>
        <w:t>Príjmy programov sociálnej ochrany</w:t>
      </w:r>
      <w:r w:rsidR="00AC5AAB" w:rsidRPr="00DA20F5">
        <w:rPr>
          <w:szCs w:val="22"/>
        </w:rPr>
        <w:t xml:space="preserve"> </w:t>
      </w:r>
      <w:r w:rsidRPr="00DA20F5">
        <w:rPr>
          <w:szCs w:val="22"/>
        </w:rPr>
        <w:t>zahŕňajú sociálne príspevky (od zamestnávateľov, zamestnancov, SZČO, dobrovoľných platiteľov), príspevky verejnej správy (platby štátneho rozpočtu, regionálnej a miestnej samosprávy a fondov povinného sociálneho zabezpečenia), transfery z iných programov a iné príjmy.</w:t>
      </w:r>
      <w:r w:rsidRPr="00DA20F5">
        <w:rPr>
          <w:b/>
          <w:bCs/>
          <w:szCs w:val="22"/>
        </w:rPr>
        <w:t xml:space="preserve"> </w:t>
      </w:r>
    </w:p>
    <w:p w:rsidR="00B07B4A" w:rsidRPr="00DA20F5" w:rsidRDefault="00B07B4A" w:rsidP="00D36FB8">
      <w:pPr>
        <w:ind w:firstLine="708"/>
        <w:rPr>
          <w:szCs w:val="22"/>
        </w:rPr>
      </w:pPr>
      <w:r w:rsidRPr="00DA20F5">
        <w:rPr>
          <w:b/>
          <w:bCs/>
          <w:szCs w:val="22"/>
        </w:rPr>
        <w:t>Výdavky</w:t>
      </w:r>
      <w:r w:rsidRPr="00DA20F5">
        <w:rPr>
          <w:szCs w:val="22"/>
        </w:rPr>
        <w:t xml:space="preserve"> zahŕňajú sociálne dávky, administratívne výdavky a iné výdavky podľa účelov sociálnej ochrany. Sociálna ochrana obsahuje všetky intervencie zo strany verejných alebo súkromných organizácií, ktorých cieľom je</w:t>
      </w:r>
      <w:r w:rsidR="00AC5AAB" w:rsidRPr="00DA20F5">
        <w:rPr>
          <w:szCs w:val="22"/>
        </w:rPr>
        <w:t xml:space="preserve"> </w:t>
      </w:r>
      <w:r w:rsidRPr="00DA20F5">
        <w:rPr>
          <w:szCs w:val="22"/>
        </w:rPr>
        <w:t xml:space="preserve">oslobodiť domácnosti a jednotlivcov od bremien definovaných rizík alebo potrieb za predpokladu, že neexistuje ani simultánna a ani individuálna dohoda. </w:t>
      </w:r>
    </w:p>
    <w:p w:rsidR="00B07B4A" w:rsidRPr="00DA20F5" w:rsidRDefault="00B07B4A" w:rsidP="00D36FB8">
      <w:pPr>
        <w:rPr>
          <w:szCs w:val="22"/>
        </w:rPr>
      </w:pPr>
      <w:r w:rsidRPr="00DA20F5">
        <w:rPr>
          <w:szCs w:val="22"/>
        </w:rPr>
        <w:t xml:space="preserve">Manuál ESSPROS klasifikuje sociálne dávky podľa </w:t>
      </w:r>
      <w:r w:rsidRPr="00DA20F5">
        <w:rPr>
          <w:szCs w:val="22"/>
          <w:u w:val="single"/>
        </w:rPr>
        <w:t>8 nasledovných účelov</w:t>
      </w:r>
      <w:r w:rsidRPr="00DA20F5">
        <w:rPr>
          <w:szCs w:val="22"/>
        </w:rPr>
        <w:t xml:space="preserve">: </w:t>
      </w:r>
    </w:p>
    <w:p w:rsidR="00B07B4A" w:rsidRPr="00DA20F5" w:rsidRDefault="00B07B4A" w:rsidP="00DB509D">
      <w:pPr>
        <w:pStyle w:val="Odsekzoznamu"/>
        <w:numPr>
          <w:ilvl w:val="0"/>
          <w:numId w:val="16"/>
        </w:numPr>
        <w:rPr>
          <w:szCs w:val="22"/>
        </w:rPr>
      </w:pPr>
      <w:r w:rsidRPr="00DA20F5">
        <w:rPr>
          <w:szCs w:val="22"/>
        </w:rPr>
        <w:t>choroba/zdravotná starostlivosť;</w:t>
      </w:r>
    </w:p>
    <w:p w:rsidR="00B07B4A" w:rsidRPr="00DA20F5" w:rsidRDefault="00B07B4A" w:rsidP="00DB509D">
      <w:pPr>
        <w:numPr>
          <w:ilvl w:val="0"/>
          <w:numId w:val="16"/>
        </w:numPr>
        <w:rPr>
          <w:szCs w:val="22"/>
        </w:rPr>
      </w:pPr>
      <w:r w:rsidRPr="00DA20F5">
        <w:rPr>
          <w:szCs w:val="22"/>
        </w:rPr>
        <w:t xml:space="preserve">invalidita; </w:t>
      </w:r>
    </w:p>
    <w:p w:rsidR="00B07B4A" w:rsidRPr="00DA20F5" w:rsidRDefault="00B07B4A" w:rsidP="00DB509D">
      <w:pPr>
        <w:numPr>
          <w:ilvl w:val="0"/>
          <w:numId w:val="16"/>
        </w:numPr>
        <w:rPr>
          <w:szCs w:val="22"/>
        </w:rPr>
      </w:pPr>
      <w:r w:rsidRPr="00DA20F5">
        <w:rPr>
          <w:szCs w:val="22"/>
        </w:rPr>
        <w:t xml:space="preserve">staroba; </w:t>
      </w:r>
    </w:p>
    <w:p w:rsidR="00B07B4A" w:rsidRPr="00DA20F5" w:rsidRDefault="00B07B4A" w:rsidP="00DB509D">
      <w:pPr>
        <w:numPr>
          <w:ilvl w:val="0"/>
          <w:numId w:val="16"/>
        </w:numPr>
        <w:rPr>
          <w:szCs w:val="22"/>
        </w:rPr>
      </w:pPr>
      <w:r w:rsidRPr="00DA20F5">
        <w:rPr>
          <w:szCs w:val="22"/>
        </w:rPr>
        <w:t xml:space="preserve">pozostalí; </w:t>
      </w:r>
    </w:p>
    <w:p w:rsidR="00B07B4A" w:rsidRPr="00DA20F5" w:rsidRDefault="00B07B4A" w:rsidP="00DB509D">
      <w:pPr>
        <w:numPr>
          <w:ilvl w:val="0"/>
          <w:numId w:val="16"/>
        </w:numPr>
        <w:rPr>
          <w:szCs w:val="22"/>
        </w:rPr>
      </w:pPr>
      <w:r w:rsidRPr="00DA20F5">
        <w:rPr>
          <w:szCs w:val="22"/>
        </w:rPr>
        <w:t xml:space="preserve">rodina/deti; </w:t>
      </w:r>
    </w:p>
    <w:p w:rsidR="00B07B4A" w:rsidRPr="00DA20F5" w:rsidRDefault="00B07B4A" w:rsidP="00DB509D">
      <w:pPr>
        <w:numPr>
          <w:ilvl w:val="0"/>
          <w:numId w:val="16"/>
        </w:numPr>
        <w:rPr>
          <w:szCs w:val="22"/>
        </w:rPr>
      </w:pPr>
      <w:r w:rsidRPr="00DA20F5">
        <w:rPr>
          <w:szCs w:val="22"/>
        </w:rPr>
        <w:t xml:space="preserve">nezamestnanosť; </w:t>
      </w:r>
    </w:p>
    <w:p w:rsidR="00B07B4A" w:rsidRPr="00DA20F5" w:rsidRDefault="00B07B4A" w:rsidP="00DB509D">
      <w:pPr>
        <w:numPr>
          <w:ilvl w:val="0"/>
          <w:numId w:val="16"/>
        </w:numPr>
        <w:rPr>
          <w:szCs w:val="22"/>
        </w:rPr>
      </w:pPr>
      <w:r w:rsidRPr="00DA20F5">
        <w:rPr>
          <w:szCs w:val="22"/>
        </w:rPr>
        <w:t>bývanie;</w:t>
      </w:r>
    </w:p>
    <w:p w:rsidR="00B07B4A" w:rsidRPr="00DA20F5" w:rsidRDefault="00B07B4A" w:rsidP="00DB509D">
      <w:pPr>
        <w:numPr>
          <w:ilvl w:val="0"/>
          <w:numId w:val="16"/>
        </w:numPr>
        <w:rPr>
          <w:szCs w:val="22"/>
        </w:rPr>
      </w:pPr>
      <w:r w:rsidRPr="00DA20F5">
        <w:rPr>
          <w:szCs w:val="22"/>
        </w:rPr>
        <w:t xml:space="preserve">sociálne vylúčenie. </w:t>
      </w:r>
    </w:p>
    <w:p w:rsidR="00B07B4A" w:rsidRPr="00DA20F5" w:rsidRDefault="00B07B4A" w:rsidP="00D36FB8">
      <w:pPr>
        <w:ind w:left="360"/>
        <w:rPr>
          <w:szCs w:val="22"/>
        </w:rPr>
      </w:pPr>
    </w:p>
    <w:p w:rsidR="00B07B4A" w:rsidRPr="00DA20F5" w:rsidRDefault="00B07B4A" w:rsidP="00D36FB8">
      <w:pPr>
        <w:rPr>
          <w:szCs w:val="22"/>
        </w:rPr>
      </w:pPr>
      <w:r w:rsidRPr="00DA20F5">
        <w:rPr>
          <w:b/>
          <w:szCs w:val="22"/>
        </w:rPr>
        <w:t>Výdavky na sociálne dávky (hrubé)</w:t>
      </w:r>
      <w:r w:rsidRPr="00DA20F5">
        <w:rPr>
          <w:rStyle w:val="Odkaznapoznmkupodiarou"/>
          <w:b/>
          <w:szCs w:val="22"/>
        </w:rPr>
        <w:footnoteReference w:id="28"/>
      </w:r>
      <w:r w:rsidRPr="00DA20F5">
        <w:rPr>
          <w:szCs w:val="22"/>
        </w:rPr>
        <w:t xml:space="preserve"> sú zapísané bez odčítania daní alebo iných povinných poplatkov platených poberateľom (napr. sociálne príspevky). </w:t>
      </w:r>
    </w:p>
    <w:p w:rsidR="00AF2CB5" w:rsidRPr="00DA20F5" w:rsidRDefault="00AF2CB5" w:rsidP="00D36FB8">
      <w:pPr>
        <w:rPr>
          <w:b/>
          <w:szCs w:val="22"/>
          <w:lang w:eastAsia="cs-CZ"/>
        </w:rPr>
      </w:pPr>
    </w:p>
    <w:p w:rsidR="00B07B4A" w:rsidRPr="00DA20F5" w:rsidRDefault="00B07B4A" w:rsidP="00D36FB8">
      <w:pPr>
        <w:rPr>
          <w:szCs w:val="22"/>
          <w:lang w:eastAsia="cs-CZ"/>
        </w:rPr>
      </w:pPr>
      <w:r w:rsidRPr="00DA20F5">
        <w:rPr>
          <w:b/>
          <w:szCs w:val="22"/>
          <w:lang w:eastAsia="cs-CZ"/>
        </w:rPr>
        <w:t>Program sociálnej ochrany</w:t>
      </w:r>
      <w:r w:rsidRPr="00DA20F5">
        <w:rPr>
          <w:szCs w:val="22"/>
          <w:lang w:eastAsia="cs-CZ"/>
        </w:rPr>
        <w:t xml:space="preserve"> je špecifický súbor pravidiel podporovaných jednou alebo viacerými inštitucionálnymi jednotkami, ktoré riadia úhradu dávok sociálnej ochrany a ich financovanie.</w:t>
      </w:r>
      <w:r w:rsidRPr="00DA20F5">
        <w:rPr>
          <w:color w:val="4F81BD" w:themeColor="accent1"/>
          <w:szCs w:val="22"/>
          <w:lang w:eastAsia="cs-CZ"/>
        </w:rPr>
        <w:t xml:space="preserve"> </w:t>
      </w:r>
      <w:r w:rsidRPr="00DA20F5">
        <w:rPr>
          <w:szCs w:val="22"/>
          <w:lang w:eastAsia="cs-CZ"/>
        </w:rPr>
        <w:t>Programy sociálnej ochrany by mali vždy spĺňať podmienku, že musia mať k dispozícii zostavený zvláštny účet príjmov a výdavkov.</w:t>
      </w:r>
    </w:p>
    <w:p w:rsidR="00B07B4A" w:rsidRPr="00DA20F5" w:rsidRDefault="00B07B4A" w:rsidP="00D36FB8">
      <w:pPr>
        <w:rPr>
          <w:szCs w:val="22"/>
          <w:lang w:eastAsia="cs-CZ"/>
        </w:rPr>
      </w:pPr>
      <w:r w:rsidRPr="00DA20F5">
        <w:rPr>
          <w:szCs w:val="22"/>
          <w:lang w:eastAsia="cs-CZ"/>
        </w:rPr>
        <w:t>V roku 2009 sa v Slovenskej republike údaje o príjmoch a výdavkoch na sociálnu ochranu sledovali podľa nasledovných programov sociálnej ochrany:</w:t>
      </w:r>
    </w:p>
    <w:p w:rsidR="00B07B4A" w:rsidRPr="00DA20F5" w:rsidRDefault="000B3663" w:rsidP="00D36FB8">
      <w:pPr>
        <w:pStyle w:val="Nadpis7"/>
        <w:rPr>
          <w:lang w:eastAsia="cs-CZ"/>
        </w:rPr>
      </w:pPr>
      <w:bookmarkStart w:id="1260" w:name="_Toc325438258"/>
      <w:bookmarkStart w:id="1261" w:name="_Toc325441003"/>
      <w:bookmarkStart w:id="1262" w:name="_Toc325626815"/>
      <w:bookmarkStart w:id="1263" w:name="_Toc326217076"/>
      <w:r w:rsidRPr="00DA20F5">
        <w:rPr>
          <w:bCs/>
          <w:iCs/>
          <w:lang w:eastAsia="cs-CZ"/>
        </w:rPr>
        <w:lastRenderedPageBreak/>
        <w:t>Tab. 3.25</w:t>
      </w:r>
      <w:r w:rsidR="00AC5AAB" w:rsidRPr="00DA20F5">
        <w:rPr>
          <w:bCs/>
          <w:iCs/>
          <w:lang w:eastAsia="cs-CZ"/>
        </w:rPr>
        <w:t xml:space="preserve"> </w:t>
      </w:r>
      <w:r w:rsidR="00B07B4A" w:rsidRPr="00DA20F5">
        <w:rPr>
          <w:lang w:eastAsia="cs-CZ"/>
        </w:rPr>
        <w:t>Programy sociálnej ochrany</w:t>
      </w:r>
      <w:bookmarkEnd w:id="1260"/>
      <w:bookmarkEnd w:id="1261"/>
      <w:bookmarkEnd w:id="1262"/>
      <w:bookmarkEnd w:id="1263"/>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30"/>
        <w:gridCol w:w="3951"/>
        <w:gridCol w:w="380"/>
        <w:gridCol w:w="4449"/>
      </w:tblGrid>
      <w:tr w:rsidR="00B07B4A" w:rsidRPr="00DA20F5" w:rsidTr="00C20D7E">
        <w:tc>
          <w:tcPr>
            <w:tcW w:w="430" w:type="dxa"/>
            <w:shd w:val="clear" w:color="auto" w:fill="548DD4"/>
          </w:tcPr>
          <w:p w:rsidR="00B07B4A" w:rsidRPr="00DA20F5" w:rsidRDefault="00B07B4A" w:rsidP="00D36FB8">
            <w:pPr>
              <w:spacing w:before="20"/>
              <w:jc w:val="center"/>
              <w:rPr>
                <w:b/>
                <w:bCs/>
                <w:color w:val="FFFFFF" w:themeColor="background1"/>
                <w:szCs w:val="22"/>
              </w:rPr>
            </w:pPr>
            <w:r w:rsidRPr="00DA20F5">
              <w:rPr>
                <w:b/>
                <w:bCs/>
                <w:color w:val="FFFFFF" w:themeColor="background1"/>
                <w:szCs w:val="22"/>
              </w:rPr>
              <w:t>Č.</w:t>
            </w:r>
          </w:p>
        </w:tc>
        <w:tc>
          <w:tcPr>
            <w:tcW w:w="3952" w:type="dxa"/>
            <w:shd w:val="clear" w:color="auto" w:fill="548DD4"/>
          </w:tcPr>
          <w:p w:rsidR="00B07B4A" w:rsidRPr="00DA20F5" w:rsidRDefault="00B07B4A" w:rsidP="00D36FB8">
            <w:pPr>
              <w:spacing w:before="20"/>
              <w:jc w:val="center"/>
              <w:rPr>
                <w:b/>
                <w:bCs/>
                <w:color w:val="FFFFFF" w:themeColor="background1"/>
                <w:szCs w:val="22"/>
              </w:rPr>
            </w:pPr>
            <w:r w:rsidRPr="00DA20F5">
              <w:rPr>
                <w:b/>
                <w:bCs/>
                <w:color w:val="FFFFFF" w:themeColor="background1"/>
                <w:szCs w:val="22"/>
              </w:rPr>
              <w:t>Názov programu</w:t>
            </w:r>
          </w:p>
        </w:tc>
        <w:tc>
          <w:tcPr>
            <w:tcW w:w="380" w:type="dxa"/>
            <w:shd w:val="clear" w:color="auto" w:fill="548DD4"/>
          </w:tcPr>
          <w:p w:rsidR="00B07B4A" w:rsidRPr="00DA20F5" w:rsidRDefault="00B07B4A" w:rsidP="00D36FB8">
            <w:pPr>
              <w:spacing w:before="20"/>
              <w:jc w:val="center"/>
              <w:rPr>
                <w:b/>
                <w:bCs/>
                <w:color w:val="FFFFFF" w:themeColor="background1"/>
                <w:szCs w:val="22"/>
              </w:rPr>
            </w:pPr>
            <w:r w:rsidRPr="00DA20F5">
              <w:rPr>
                <w:b/>
                <w:bCs/>
                <w:color w:val="FFFFFF" w:themeColor="background1"/>
                <w:szCs w:val="22"/>
              </w:rPr>
              <w:t>Č.</w:t>
            </w:r>
          </w:p>
        </w:tc>
        <w:tc>
          <w:tcPr>
            <w:tcW w:w="4450" w:type="dxa"/>
            <w:shd w:val="clear" w:color="auto" w:fill="548DD4"/>
          </w:tcPr>
          <w:p w:rsidR="00B07B4A" w:rsidRPr="00DA20F5" w:rsidRDefault="00B07B4A" w:rsidP="00D36FB8">
            <w:pPr>
              <w:spacing w:before="20"/>
              <w:jc w:val="center"/>
              <w:rPr>
                <w:b/>
                <w:bCs/>
                <w:color w:val="FFFFFF" w:themeColor="background1"/>
                <w:szCs w:val="22"/>
              </w:rPr>
            </w:pPr>
            <w:r w:rsidRPr="00DA20F5">
              <w:rPr>
                <w:b/>
                <w:bCs/>
                <w:color w:val="FFFFFF" w:themeColor="background1"/>
                <w:szCs w:val="22"/>
              </w:rPr>
              <w:t>Názov programu</w:t>
            </w:r>
          </w:p>
        </w:tc>
      </w:tr>
      <w:tr w:rsidR="00C20D7E" w:rsidRPr="00DA20F5" w:rsidTr="00C20D7E">
        <w:tc>
          <w:tcPr>
            <w:tcW w:w="430" w:type="dxa"/>
          </w:tcPr>
          <w:p w:rsidR="00B07B4A" w:rsidRPr="00DA20F5" w:rsidRDefault="00B07B4A" w:rsidP="00D36FB8">
            <w:pPr>
              <w:spacing w:before="20"/>
              <w:rPr>
                <w:szCs w:val="22"/>
              </w:rPr>
            </w:pPr>
            <w:r w:rsidRPr="00DA20F5">
              <w:rPr>
                <w:szCs w:val="22"/>
              </w:rPr>
              <w:t>1</w:t>
            </w:r>
          </w:p>
        </w:tc>
        <w:tc>
          <w:tcPr>
            <w:tcW w:w="3952" w:type="dxa"/>
          </w:tcPr>
          <w:p w:rsidR="00B07B4A" w:rsidRPr="00DA20F5" w:rsidRDefault="00B07B4A" w:rsidP="00D36FB8">
            <w:pPr>
              <w:spacing w:before="20"/>
              <w:rPr>
                <w:szCs w:val="22"/>
              </w:rPr>
            </w:pPr>
            <w:r w:rsidRPr="00DA20F5">
              <w:rPr>
                <w:szCs w:val="22"/>
              </w:rPr>
              <w:t>Nemocenské poistenie</w:t>
            </w:r>
          </w:p>
        </w:tc>
        <w:tc>
          <w:tcPr>
            <w:tcW w:w="380" w:type="dxa"/>
          </w:tcPr>
          <w:p w:rsidR="00B07B4A" w:rsidRPr="00DA20F5" w:rsidRDefault="00B07B4A" w:rsidP="00D36FB8">
            <w:pPr>
              <w:spacing w:before="20"/>
              <w:rPr>
                <w:szCs w:val="22"/>
              </w:rPr>
            </w:pPr>
            <w:r w:rsidRPr="00DA20F5">
              <w:rPr>
                <w:szCs w:val="22"/>
              </w:rPr>
              <w:t>12</w:t>
            </w:r>
          </w:p>
        </w:tc>
        <w:tc>
          <w:tcPr>
            <w:tcW w:w="4450" w:type="dxa"/>
          </w:tcPr>
          <w:p w:rsidR="00B07B4A" w:rsidRPr="00DA20F5" w:rsidRDefault="00B07B4A" w:rsidP="00D36FB8">
            <w:pPr>
              <w:pStyle w:val="Pta"/>
              <w:tabs>
                <w:tab w:val="clear" w:pos="4536"/>
                <w:tab w:val="clear" w:pos="9072"/>
              </w:tabs>
              <w:spacing w:before="20"/>
              <w:rPr>
                <w:szCs w:val="22"/>
              </w:rPr>
            </w:pPr>
            <w:r w:rsidRPr="00DA20F5">
              <w:rPr>
                <w:szCs w:val="22"/>
              </w:rPr>
              <w:t>Sociálne služby – NISD a súkromný sektor</w:t>
            </w:r>
          </w:p>
        </w:tc>
      </w:tr>
      <w:tr w:rsidR="00C20D7E" w:rsidRPr="00DA20F5" w:rsidTr="00C20D7E">
        <w:tc>
          <w:tcPr>
            <w:tcW w:w="430" w:type="dxa"/>
          </w:tcPr>
          <w:p w:rsidR="00B07B4A" w:rsidRPr="00DA20F5" w:rsidRDefault="00B07B4A" w:rsidP="00D36FB8">
            <w:pPr>
              <w:spacing w:before="20"/>
              <w:rPr>
                <w:szCs w:val="22"/>
              </w:rPr>
            </w:pPr>
            <w:r w:rsidRPr="00DA20F5">
              <w:rPr>
                <w:szCs w:val="22"/>
              </w:rPr>
              <w:t>2</w:t>
            </w:r>
          </w:p>
        </w:tc>
        <w:tc>
          <w:tcPr>
            <w:tcW w:w="3952" w:type="dxa"/>
          </w:tcPr>
          <w:p w:rsidR="00B07B4A" w:rsidRPr="00DA20F5" w:rsidRDefault="00B07B4A" w:rsidP="00D36FB8">
            <w:pPr>
              <w:spacing w:before="20"/>
              <w:rPr>
                <w:szCs w:val="22"/>
              </w:rPr>
            </w:pPr>
            <w:r w:rsidRPr="00DA20F5">
              <w:rPr>
                <w:szCs w:val="22"/>
              </w:rPr>
              <w:t>Dôchodkové poistenie - ukončené</w:t>
            </w:r>
          </w:p>
        </w:tc>
        <w:tc>
          <w:tcPr>
            <w:tcW w:w="380" w:type="dxa"/>
          </w:tcPr>
          <w:p w:rsidR="00B07B4A" w:rsidRPr="00DA20F5" w:rsidRDefault="00B07B4A" w:rsidP="00D36FB8">
            <w:pPr>
              <w:spacing w:before="20"/>
              <w:rPr>
                <w:szCs w:val="22"/>
              </w:rPr>
            </w:pPr>
            <w:r w:rsidRPr="00DA20F5">
              <w:rPr>
                <w:szCs w:val="22"/>
              </w:rPr>
              <w:t>13</w:t>
            </w:r>
          </w:p>
        </w:tc>
        <w:tc>
          <w:tcPr>
            <w:tcW w:w="4450" w:type="dxa"/>
          </w:tcPr>
          <w:p w:rsidR="00B07B4A" w:rsidRPr="00DA20F5" w:rsidRDefault="00B07B4A" w:rsidP="00D36FB8">
            <w:pPr>
              <w:spacing w:before="20"/>
              <w:rPr>
                <w:szCs w:val="22"/>
              </w:rPr>
            </w:pPr>
            <w:r w:rsidRPr="00DA20F5">
              <w:rPr>
                <w:szCs w:val="22"/>
              </w:rPr>
              <w:t>Sociálne poistenie – silové zložky</w:t>
            </w:r>
          </w:p>
        </w:tc>
      </w:tr>
      <w:tr w:rsidR="00C20D7E" w:rsidRPr="00DA20F5" w:rsidTr="00C20D7E">
        <w:tc>
          <w:tcPr>
            <w:tcW w:w="430" w:type="dxa"/>
          </w:tcPr>
          <w:p w:rsidR="00B07B4A" w:rsidRPr="00DA20F5" w:rsidRDefault="00B07B4A" w:rsidP="00D36FB8">
            <w:pPr>
              <w:spacing w:before="20"/>
              <w:rPr>
                <w:szCs w:val="22"/>
              </w:rPr>
            </w:pPr>
            <w:r w:rsidRPr="00DA20F5">
              <w:rPr>
                <w:szCs w:val="22"/>
              </w:rPr>
              <w:t>3</w:t>
            </w:r>
          </w:p>
        </w:tc>
        <w:tc>
          <w:tcPr>
            <w:tcW w:w="3952" w:type="dxa"/>
          </w:tcPr>
          <w:p w:rsidR="00B07B4A" w:rsidRPr="00DA20F5" w:rsidRDefault="00B07B4A" w:rsidP="00D36FB8">
            <w:pPr>
              <w:spacing w:before="20"/>
              <w:rPr>
                <w:szCs w:val="22"/>
              </w:rPr>
            </w:pPr>
            <w:r w:rsidRPr="00DA20F5">
              <w:rPr>
                <w:szCs w:val="22"/>
              </w:rPr>
              <w:t>Poistenie v nezamestnanosti</w:t>
            </w:r>
          </w:p>
        </w:tc>
        <w:tc>
          <w:tcPr>
            <w:tcW w:w="380" w:type="dxa"/>
          </w:tcPr>
          <w:p w:rsidR="00B07B4A" w:rsidRPr="00DA20F5" w:rsidRDefault="00B07B4A" w:rsidP="00D36FB8">
            <w:pPr>
              <w:spacing w:before="20"/>
              <w:rPr>
                <w:szCs w:val="22"/>
              </w:rPr>
            </w:pPr>
            <w:r w:rsidRPr="00DA20F5">
              <w:rPr>
                <w:szCs w:val="22"/>
              </w:rPr>
              <w:t>14</w:t>
            </w:r>
          </w:p>
        </w:tc>
        <w:tc>
          <w:tcPr>
            <w:tcW w:w="4450" w:type="dxa"/>
          </w:tcPr>
          <w:p w:rsidR="00B07B4A" w:rsidRPr="00DA20F5" w:rsidRDefault="00B07B4A" w:rsidP="00D36FB8">
            <w:pPr>
              <w:spacing w:before="20"/>
              <w:rPr>
                <w:szCs w:val="22"/>
              </w:rPr>
            </w:pPr>
            <w:r w:rsidRPr="00DA20F5">
              <w:rPr>
                <w:szCs w:val="22"/>
              </w:rPr>
              <w:t>Sociálne zľavy na cestovnom</w:t>
            </w:r>
          </w:p>
        </w:tc>
      </w:tr>
      <w:tr w:rsidR="00C20D7E" w:rsidRPr="00DA20F5" w:rsidTr="00C20D7E">
        <w:tc>
          <w:tcPr>
            <w:tcW w:w="430" w:type="dxa"/>
          </w:tcPr>
          <w:p w:rsidR="00B07B4A" w:rsidRPr="00DA20F5" w:rsidRDefault="00B07B4A" w:rsidP="00D36FB8">
            <w:pPr>
              <w:spacing w:before="20"/>
              <w:rPr>
                <w:szCs w:val="22"/>
              </w:rPr>
            </w:pPr>
            <w:r w:rsidRPr="00DA20F5">
              <w:rPr>
                <w:szCs w:val="22"/>
              </w:rPr>
              <w:t>4</w:t>
            </w:r>
          </w:p>
        </w:tc>
        <w:tc>
          <w:tcPr>
            <w:tcW w:w="3952" w:type="dxa"/>
          </w:tcPr>
          <w:p w:rsidR="00B07B4A" w:rsidRPr="00DA20F5" w:rsidRDefault="00B07B4A" w:rsidP="00D36FB8">
            <w:pPr>
              <w:pStyle w:val="Pta"/>
              <w:tabs>
                <w:tab w:val="clear" w:pos="4536"/>
                <w:tab w:val="clear" w:pos="9072"/>
              </w:tabs>
              <w:spacing w:before="20"/>
              <w:rPr>
                <w:szCs w:val="22"/>
              </w:rPr>
            </w:pPr>
            <w:r w:rsidRPr="00DA20F5">
              <w:rPr>
                <w:szCs w:val="22"/>
              </w:rPr>
              <w:t>Zdravotné poistenie</w:t>
            </w:r>
          </w:p>
        </w:tc>
        <w:tc>
          <w:tcPr>
            <w:tcW w:w="380" w:type="dxa"/>
          </w:tcPr>
          <w:p w:rsidR="00B07B4A" w:rsidRPr="00DA20F5" w:rsidRDefault="00B07B4A" w:rsidP="00D36FB8">
            <w:pPr>
              <w:spacing w:before="20"/>
              <w:rPr>
                <w:szCs w:val="22"/>
              </w:rPr>
            </w:pPr>
            <w:r w:rsidRPr="00DA20F5">
              <w:rPr>
                <w:szCs w:val="22"/>
              </w:rPr>
              <w:t>15</w:t>
            </w:r>
          </w:p>
        </w:tc>
        <w:tc>
          <w:tcPr>
            <w:tcW w:w="4450" w:type="dxa"/>
          </w:tcPr>
          <w:p w:rsidR="00B07B4A" w:rsidRPr="00DA20F5" w:rsidRDefault="00B07B4A" w:rsidP="00D36FB8">
            <w:pPr>
              <w:spacing w:before="20"/>
              <w:rPr>
                <w:szCs w:val="22"/>
              </w:rPr>
            </w:pPr>
            <w:r w:rsidRPr="00DA20F5">
              <w:rPr>
                <w:szCs w:val="22"/>
              </w:rPr>
              <w:t>Sociálne služby - VÚC</w:t>
            </w:r>
          </w:p>
        </w:tc>
      </w:tr>
      <w:tr w:rsidR="00C20D7E" w:rsidRPr="00DA20F5" w:rsidTr="00C20D7E">
        <w:tc>
          <w:tcPr>
            <w:tcW w:w="430" w:type="dxa"/>
          </w:tcPr>
          <w:p w:rsidR="00B07B4A" w:rsidRPr="00DA20F5" w:rsidRDefault="00B07B4A" w:rsidP="00D36FB8">
            <w:pPr>
              <w:spacing w:before="20"/>
              <w:rPr>
                <w:szCs w:val="22"/>
              </w:rPr>
            </w:pPr>
            <w:r w:rsidRPr="00DA20F5">
              <w:rPr>
                <w:szCs w:val="22"/>
              </w:rPr>
              <w:t>5</w:t>
            </w:r>
          </w:p>
        </w:tc>
        <w:tc>
          <w:tcPr>
            <w:tcW w:w="3952" w:type="dxa"/>
          </w:tcPr>
          <w:p w:rsidR="00B07B4A" w:rsidRPr="00DA20F5" w:rsidRDefault="00B07B4A" w:rsidP="00D36FB8">
            <w:pPr>
              <w:spacing w:before="20"/>
              <w:rPr>
                <w:szCs w:val="22"/>
              </w:rPr>
            </w:pPr>
            <w:r w:rsidRPr="00DA20F5">
              <w:rPr>
                <w:szCs w:val="22"/>
              </w:rPr>
              <w:t>Štátna sociálna podpora</w:t>
            </w:r>
          </w:p>
        </w:tc>
        <w:tc>
          <w:tcPr>
            <w:tcW w:w="380" w:type="dxa"/>
          </w:tcPr>
          <w:p w:rsidR="00B07B4A" w:rsidRPr="00DA20F5" w:rsidRDefault="00B07B4A" w:rsidP="00D36FB8">
            <w:pPr>
              <w:spacing w:before="20"/>
              <w:rPr>
                <w:szCs w:val="22"/>
              </w:rPr>
            </w:pPr>
            <w:r w:rsidRPr="00DA20F5">
              <w:rPr>
                <w:szCs w:val="22"/>
              </w:rPr>
              <w:t>16</w:t>
            </w:r>
          </w:p>
        </w:tc>
        <w:tc>
          <w:tcPr>
            <w:tcW w:w="4450" w:type="dxa"/>
          </w:tcPr>
          <w:p w:rsidR="00B07B4A" w:rsidRPr="00DA20F5" w:rsidRDefault="00B07B4A" w:rsidP="00D36FB8">
            <w:pPr>
              <w:spacing w:before="20"/>
              <w:rPr>
                <w:szCs w:val="22"/>
              </w:rPr>
            </w:pPr>
            <w:r w:rsidRPr="00DA20F5">
              <w:rPr>
                <w:szCs w:val="22"/>
              </w:rPr>
              <w:t xml:space="preserve">Garančné poistenie </w:t>
            </w:r>
          </w:p>
        </w:tc>
      </w:tr>
      <w:tr w:rsidR="00C20D7E" w:rsidRPr="00DA20F5" w:rsidTr="00C20D7E">
        <w:tc>
          <w:tcPr>
            <w:tcW w:w="430" w:type="dxa"/>
          </w:tcPr>
          <w:p w:rsidR="00B07B4A" w:rsidRPr="00DA20F5" w:rsidRDefault="00B07B4A" w:rsidP="00D36FB8">
            <w:pPr>
              <w:spacing w:before="20"/>
              <w:rPr>
                <w:szCs w:val="22"/>
              </w:rPr>
            </w:pPr>
            <w:r w:rsidRPr="00DA20F5">
              <w:rPr>
                <w:szCs w:val="22"/>
              </w:rPr>
              <w:t>6</w:t>
            </w:r>
          </w:p>
        </w:tc>
        <w:tc>
          <w:tcPr>
            <w:tcW w:w="3952" w:type="dxa"/>
          </w:tcPr>
          <w:p w:rsidR="00B07B4A" w:rsidRPr="00DA20F5" w:rsidRDefault="00B07B4A" w:rsidP="00D36FB8">
            <w:pPr>
              <w:spacing w:before="20"/>
              <w:rPr>
                <w:szCs w:val="22"/>
              </w:rPr>
            </w:pPr>
            <w:r w:rsidRPr="00DA20F5">
              <w:rPr>
                <w:szCs w:val="22"/>
              </w:rPr>
              <w:t>Štátna sociálna pomoc</w:t>
            </w:r>
          </w:p>
        </w:tc>
        <w:tc>
          <w:tcPr>
            <w:tcW w:w="380" w:type="dxa"/>
          </w:tcPr>
          <w:p w:rsidR="00B07B4A" w:rsidRPr="00DA20F5" w:rsidRDefault="00B07B4A" w:rsidP="00D36FB8">
            <w:pPr>
              <w:spacing w:before="20"/>
              <w:rPr>
                <w:szCs w:val="22"/>
              </w:rPr>
            </w:pPr>
            <w:r w:rsidRPr="00DA20F5">
              <w:rPr>
                <w:szCs w:val="22"/>
              </w:rPr>
              <w:t>17</w:t>
            </w:r>
          </w:p>
        </w:tc>
        <w:tc>
          <w:tcPr>
            <w:tcW w:w="4450" w:type="dxa"/>
          </w:tcPr>
          <w:p w:rsidR="00B07B4A" w:rsidRPr="00DA20F5" w:rsidRDefault="00B07B4A" w:rsidP="00D36FB8">
            <w:pPr>
              <w:spacing w:before="20"/>
              <w:rPr>
                <w:szCs w:val="22"/>
              </w:rPr>
            </w:pPr>
            <w:r w:rsidRPr="00DA20F5">
              <w:rPr>
                <w:szCs w:val="22"/>
              </w:rPr>
              <w:t>Rezervný fond solidarity</w:t>
            </w:r>
          </w:p>
        </w:tc>
      </w:tr>
      <w:tr w:rsidR="00C20D7E" w:rsidRPr="00DA20F5" w:rsidTr="00C20D7E">
        <w:tc>
          <w:tcPr>
            <w:tcW w:w="430" w:type="dxa"/>
          </w:tcPr>
          <w:p w:rsidR="00B07B4A" w:rsidRPr="00DA20F5" w:rsidRDefault="00B07B4A" w:rsidP="00D36FB8">
            <w:pPr>
              <w:spacing w:before="20"/>
              <w:rPr>
                <w:szCs w:val="22"/>
              </w:rPr>
            </w:pPr>
            <w:r w:rsidRPr="00DA20F5">
              <w:rPr>
                <w:szCs w:val="22"/>
              </w:rPr>
              <w:t>7</w:t>
            </w:r>
          </w:p>
        </w:tc>
        <w:tc>
          <w:tcPr>
            <w:tcW w:w="3952" w:type="dxa"/>
          </w:tcPr>
          <w:p w:rsidR="00B07B4A" w:rsidRPr="00DA20F5" w:rsidRDefault="00B07B4A" w:rsidP="00D36FB8">
            <w:pPr>
              <w:spacing w:before="20"/>
              <w:rPr>
                <w:szCs w:val="22"/>
              </w:rPr>
            </w:pPr>
            <w:r w:rsidRPr="00DA20F5">
              <w:rPr>
                <w:szCs w:val="22"/>
              </w:rPr>
              <w:t>Imputované dávky – verejný sektor</w:t>
            </w:r>
          </w:p>
        </w:tc>
        <w:tc>
          <w:tcPr>
            <w:tcW w:w="380" w:type="dxa"/>
          </w:tcPr>
          <w:p w:rsidR="00B07B4A" w:rsidRPr="00DA20F5" w:rsidRDefault="00B07B4A" w:rsidP="00D36FB8">
            <w:pPr>
              <w:spacing w:before="20"/>
              <w:rPr>
                <w:szCs w:val="22"/>
              </w:rPr>
            </w:pPr>
            <w:r w:rsidRPr="00DA20F5">
              <w:rPr>
                <w:szCs w:val="22"/>
              </w:rPr>
              <w:t>18</w:t>
            </w:r>
          </w:p>
        </w:tc>
        <w:tc>
          <w:tcPr>
            <w:tcW w:w="4450" w:type="dxa"/>
          </w:tcPr>
          <w:p w:rsidR="00B07B4A" w:rsidRPr="00DA20F5" w:rsidRDefault="00B07B4A" w:rsidP="00D36FB8">
            <w:pPr>
              <w:spacing w:before="20"/>
              <w:rPr>
                <w:szCs w:val="22"/>
              </w:rPr>
            </w:pPr>
            <w:r w:rsidRPr="00DA20F5">
              <w:rPr>
                <w:szCs w:val="22"/>
              </w:rPr>
              <w:t>Starobné poistenie</w:t>
            </w:r>
          </w:p>
        </w:tc>
      </w:tr>
      <w:tr w:rsidR="00C20D7E" w:rsidRPr="00DA20F5" w:rsidTr="00C20D7E">
        <w:tc>
          <w:tcPr>
            <w:tcW w:w="430" w:type="dxa"/>
          </w:tcPr>
          <w:p w:rsidR="00B07B4A" w:rsidRPr="00DA20F5" w:rsidRDefault="00B07B4A" w:rsidP="00D36FB8">
            <w:pPr>
              <w:spacing w:before="20"/>
              <w:rPr>
                <w:szCs w:val="22"/>
              </w:rPr>
            </w:pPr>
            <w:r w:rsidRPr="00DA20F5">
              <w:rPr>
                <w:szCs w:val="22"/>
              </w:rPr>
              <w:t>8</w:t>
            </w:r>
          </w:p>
        </w:tc>
        <w:tc>
          <w:tcPr>
            <w:tcW w:w="3952" w:type="dxa"/>
          </w:tcPr>
          <w:p w:rsidR="00B07B4A" w:rsidRPr="00DA20F5" w:rsidRDefault="00B07B4A" w:rsidP="00D36FB8">
            <w:pPr>
              <w:spacing w:before="20"/>
              <w:rPr>
                <w:szCs w:val="22"/>
              </w:rPr>
            </w:pPr>
            <w:r w:rsidRPr="00DA20F5">
              <w:rPr>
                <w:szCs w:val="22"/>
              </w:rPr>
              <w:t>Imputované dávky – súkromný sektor</w:t>
            </w:r>
          </w:p>
        </w:tc>
        <w:tc>
          <w:tcPr>
            <w:tcW w:w="380" w:type="dxa"/>
          </w:tcPr>
          <w:p w:rsidR="00B07B4A" w:rsidRPr="00DA20F5" w:rsidRDefault="00B07B4A" w:rsidP="00D36FB8">
            <w:pPr>
              <w:spacing w:before="20"/>
              <w:rPr>
                <w:szCs w:val="22"/>
              </w:rPr>
            </w:pPr>
            <w:r w:rsidRPr="00DA20F5">
              <w:rPr>
                <w:szCs w:val="22"/>
              </w:rPr>
              <w:t>19</w:t>
            </w:r>
          </w:p>
        </w:tc>
        <w:tc>
          <w:tcPr>
            <w:tcW w:w="4450" w:type="dxa"/>
          </w:tcPr>
          <w:p w:rsidR="00B07B4A" w:rsidRPr="00DA20F5" w:rsidRDefault="00B07B4A" w:rsidP="00D36FB8">
            <w:pPr>
              <w:spacing w:before="20"/>
              <w:rPr>
                <w:szCs w:val="22"/>
              </w:rPr>
            </w:pPr>
            <w:r w:rsidRPr="00DA20F5">
              <w:rPr>
                <w:szCs w:val="22"/>
              </w:rPr>
              <w:t>Invalidné poistenie</w:t>
            </w:r>
          </w:p>
        </w:tc>
      </w:tr>
      <w:tr w:rsidR="00C20D7E" w:rsidRPr="00DA20F5" w:rsidTr="00C20D7E">
        <w:tc>
          <w:tcPr>
            <w:tcW w:w="430" w:type="dxa"/>
          </w:tcPr>
          <w:p w:rsidR="00B07B4A" w:rsidRPr="00DA20F5" w:rsidRDefault="00B07B4A" w:rsidP="00D36FB8">
            <w:pPr>
              <w:spacing w:before="20"/>
              <w:rPr>
                <w:szCs w:val="22"/>
              </w:rPr>
            </w:pPr>
            <w:r w:rsidRPr="00DA20F5">
              <w:rPr>
                <w:szCs w:val="22"/>
              </w:rPr>
              <w:t>9</w:t>
            </w:r>
          </w:p>
        </w:tc>
        <w:tc>
          <w:tcPr>
            <w:tcW w:w="3952" w:type="dxa"/>
          </w:tcPr>
          <w:p w:rsidR="00B07B4A" w:rsidRPr="00DA20F5" w:rsidRDefault="00B07B4A" w:rsidP="00D36FB8">
            <w:pPr>
              <w:spacing w:before="20"/>
              <w:rPr>
                <w:szCs w:val="22"/>
              </w:rPr>
            </w:pPr>
            <w:r w:rsidRPr="00DA20F5">
              <w:rPr>
                <w:szCs w:val="22"/>
              </w:rPr>
              <w:t>Sociálna pomoc samosprávy</w:t>
            </w:r>
          </w:p>
        </w:tc>
        <w:tc>
          <w:tcPr>
            <w:tcW w:w="380" w:type="dxa"/>
          </w:tcPr>
          <w:p w:rsidR="00B07B4A" w:rsidRPr="00DA20F5" w:rsidRDefault="00B07B4A" w:rsidP="00D36FB8">
            <w:pPr>
              <w:spacing w:before="20"/>
              <w:rPr>
                <w:szCs w:val="22"/>
              </w:rPr>
            </w:pPr>
            <w:r w:rsidRPr="00DA20F5">
              <w:rPr>
                <w:szCs w:val="22"/>
              </w:rPr>
              <w:t>20</w:t>
            </w:r>
          </w:p>
        </w:tc>
        <w:tc>
          <w:tcPr>
            <w:tcW w:w="4450" w:type="dxa"/>
          </w:tcPr>
          <w:p w:rsidR="00B07B4A" w:rsidRPr="00DA20F5" w:rsidRDefault="00B07B4A" w:rsidP="00D36FB8">
            <w:pPr>
              <w:spacing w:before="20"/>
              <w:rPr>
                <w:szCs w:val="22"/>
              </w:rPr>
            </w:pPr>
            <w:r w:rsidRPr="00DA20F5">
              <w:rPr>
                <w:szCs w:val="22"/>
              </w:rPr>
              <w:t>Starobné dôchodkové sporenie</w:t>
            </w:r>
          </w:p>
        </w:tc>
      </w:tr>
      <w:tr w:rsidR="00C20D7E" w:rsidRPr="00DA20F5" w:rsidTr="00C20D7E">
        <w:tc>
          <w:tcPr>
            <w:tcW w:w="430" w:type="dxa"/>
          </w:tcPr>
          <w:p w:rsidR="00B07B4A" w:rsidRPr="00DA20F5" w:rsidRDefault="00B07B4A" w:rsidP="00D36FB8">
            <w:pPr>
              <w:spacing w:before="20"/>
              <w:rPr>
                <w:szCs w:val="22"/>
              </w:rPr>
            </w:pPr>
            <w:r w:rsidRPr="00DA20F5">
              <w:rPr>
                <w:szCs w:val="22"/>
              </w:rPr>
              <w:t>10</w:t>
            </w:r>
          </w:p>
        </w:tc>
        <w:tc>
          <w:tcPr>
            <w:tcW w:w="3952" w:type="dxa"/>
          </w:tcPr>
          <w:p w:rsidR="00B07B4A" w:rsidRPr="00DA20F5" w:rsidRDefault="00B07B4A" w:rsidP="00D36FB8">
            <w:pPr>
              <w:spacing w:before="20"/>
              <w:rPr>
                <w:szCs w:val="22"/>
              </w:rPr>
            </w:pPr>
            <w:r w:rsidRPr="00DA20F5">
              <w:rPr>
                <w:szCs w:val="22"/>
              </w:rPr>
              <w:t>Úrazové poistenie</w:t>
            </w:r>
          </w:p>
        </w:tc>
        <w:tc>
          <w:tcPr>
            <w:tcW w:w="380" w:type="dxa"/>
          </w:tcPr>
          <w:p w:rsidR="00B07B4A" w:rsidRPr="00DA20F5" w:rsidRDefault="00B07B4A" w:rsidP="00D36FB8">
            <w:pPr>
              <w:spacing w:before="20"/>
              <w:rPr>
                <w:szCs w:val="22"/>
              </w:rPr>
            </w:pPr>
            <w:r w:rsidRPr="00DA20F5">
              <w:rPr>
                <w:szCs w:val="22"/>
              </w:rPr>
              <w:t>21</w:t>
            </w:r>
          </w:p>
        </w:tc>
        <w:tc>
          <w:tcPr>
            <w:tcW w:w="4450" w:type="dxa"/>
          </w:tcPr>
          <w:p w:rsidR="00B07B4A" w:rsidRPr="00DA20F5" w:rsidRDefault="00B07B4A" w:rsidP="00D36FB8">
            <w:pPr>
              <w:spacing w:before="20"/>
              <w:rPr>
                <w:szCs w:val="22"/>
              </w:rPr>
            </w:pPr>
            <w:r w:rsidRPr="00DA20F5">
              <w:rPr>
                <w:szCs w:val="22"/>
              </w:rPr>
              <w:t>Politiky trhu práce</w:t>
            </w:r>
          </w:p>
        </w:tc>
      </w:tr>
      <w:tr w:rsidR="00C20D7E" w:rsidRPr="00DA20F5" w:rsidTr="00C20D7E">
        <w:tc>
          <w:tcPr>
            <w:tcW w:w="430" w:type="dxa"/>
          </w:tcPr>
          <w:p w:rsidR="00B07B4A" w:rsidRPr="00DA20F5" w:rsidRDefault="00B07B4A" w:rsidP="00D36FB8">
            <w:pPr>
              <w:spacing w:before="20"/>
              <w:rPr>
                <w:szCs w:val="22"/>
              </w:rPr>
            </w:pPr>
            <w:r w:rsidRPr="00DA20F5">
              <w:rPr>
                <w:szCs w:val="22"/>
              </w:rPr>
              <w:t>11</w:t>
            </w:r>
          </w:p>
        </w:tc>
        <w:tc>
          <w:tcPr>
            <w:tcW w:w="3952" w:type="dxa"/>
          </w:tcPr>
          <w:p w:rsidR="00B07B4A" w:rsidRPr="00DA20F5" w:rsidRDefault="00B07B4A" w:rsidP="00D36FB8">
            <w:pPr>
              <w:spacing w:before="20"/>
              <w:rPr>
                <w:szCs w:val="22"/>
              </w:rPr>
            </w:pPr>
            <w:r w:rsidRPr="00DA20F5">
              <w:rPr>
                <w:szCs w:val="22"/>
              </w:rPr>
              <w:t>Doplnkové dôchodkové poistenie</w:t>
            </w:r>
          </w:p>
        </w:tc>
        <w:tc>
          <w:tcPr>
            <w:tcW w:w="380" w:type="dxa"/>
          </w:tcPr>
          <w:p w:rsidR="00B07B4A" w:rsidRPr="00DA20F5" w:rsidRDefault="00B07B4A" w:rsidP="00D36FB8">
            <w:pPr>
              <w:spacing w:before="20"/>
              <w:rPr>
                <w:szCs w:val="22"/>
              </w:rPr>
            </w:pPr>
            <w:r w:rsidRPr="00DA20F5">
              <w:rPr>
                <w:szCs w:val="22"/>
              </w:rPr>
              <w:t>22</w:t>
            </w:r>
          </w:p>
        </w:tc>
        <w:tc>
          <w:tcPr>
            <w:tcW w:w="4450" w:type="dxa"/>
          </w:tcPr>
          <w:p w:rsidR="00B07B4A" w:rsidRPr="00DA20F5" w:rsidRDefault="00B07B4A" w:rsidP="00D36FB8">
            <w:pPr>
              <w:spacing w:before="20"/>
              <w:rPr>
                <w:szCs w:val="22"/>
              </w:rPr>
            </w:pPr>
            <w:r w:rsidRPr="00DA20F5">
              <w:rPr>
                <w:szCs w:val="22"/>
              </w:rPr>
              <w:t>Príspevky na dôchodkové sporenie</w:t>
            </w:r>
          </w:p>
        </w:tc>
      </w:tr>
    </w:tbl>
    <w:p w:rsidR="007A29A1" w:rsidRPr="00DA20F5" w:rsidRDefault="00B07B4A" w:rsidP="00D36FB8">
      <w:pPr>
        <w:pStyle w:val="zdroj"/>
      </w:pPr>
      <w:r w:rsidRPr="00DA20F5">
        <w:t>(V tejto správe sa uvádzajú údaje na sumárnej úrovni)</w:t>
      </w:r>
    </w:p>
    <w:p w:rsidR="00B07B4A" w:rsidRPr="00DA20F5" w:rsidRDefault="00B07B4A" w:rsidP="00D36FB8">
      <w:r w:rsidRPr="00DA20F5">
        <w:rPr>
          <w:szCs w:val="22"/>
        </w:rPr>
        <w:t>Členské štáty EÚ majú výrazne odlišné systémy financovania sociálnej ochrany v závislosti na tom, či uprednostňujú poisťovacie systémy (56,8 % z celkových príjmov na úrovni EU-27 v roku 2009 tvorili sociálne príspevky) alebo financovanie z verejných rozpočtov (39,1 % pre EU-27).</w:t>
      </w:r>
      <w:r w:rsidR="00AC5AAB" w:rsidRPr="00DA20F5">
        <w:rPr>
          <w:szCs w:val="22"/>
        </w:rPr>
        <w:t xml:space="preserve"> </w:t>
      </w:r>
      <w:r w:rsidRPr="00DA20F5">
        <w:rPr>
          <w:szCs w:val="22"/>
        </w:rPr>
        <w:t>Štruktúr</w:t>
      </w:r>
      <w:r w:rsidR="00953A6B" w:rsidRPr="00DA20F5">
        <w:rPr>
          <w:szCs w:val="22"/>
        </w:rPr>
        <w:t>u</w:t>
      </w:r>
      <w:r w:rsidRPr="00DA20F5">
        <w:rPr>
          <w:szCs w:val="22"/>
        </w:rPr>
        <w:t xml:space="preserve"> príjmov na sociálnu ochranu v E</w:t>
      </w:r>
      <w:r w:rsidR="00AF20A2" w:rsidRPr="00DA20F5">
        <w:rPr>
          <w:szCs w:val="22"/>
        </w:rPr>
        <w:t>Ú</w:t>
      </w:r>
      <w:r w:rsidRPr="00DA20F5">
        <w:rPr>
          <w:rStyle w:val="Odkaznapoznmkupodiarou"/>
          <w:szCs w:val="22"/>
        </w:rPr>
        <w:footnoteReference w:id="29"/>
      </w:r>
      <w:r w:rsidR="00953A6B" w:rsidRPr="00DA20F5">
        <w:rPr>
          <w:szCs w:val="22"/>
        </w:rPr>
        <w:t xml:space="preserve"> v roku 2009 uvádza n</w:t>
      </w:r>
      <w:r w:rsidRPr="00DA20F5">
        <w:rPr>
          <w:szCs w:val="22"/>
        </w:rPr>
        <w:t>asledujúci g</w:t>
      </w:r>
      <w:r w:rsidRPr="00DA20F5">
        <w:rPr>
          <w:iCs/>
          <w:szCs w:val="22"/>
        </w:rPr>
        <w:t>raf, tab. 3</w:t>
      </w:r>
      <w:r w:rsidR="007013BA" w:rsidRPr="00DA20F5">
        <w:rPr>
          <w:iCs/>
          <w:szCs w:val="22"/>
        </w:rPr>
        <w:t xml:space="preserve">3 </w:t>
      </w:r>
      <w:r w:rsidR="00953A6B" w:rsidRPr="00DA20F5">
        <w:rPr>
          <w:iCs/>
          <w:szCs w:val="22"/>
        </w:rPr>
        <w:t xml:space="preserve"> sa nachádza</w:t>
      </w:r>
      <w:r w:rsidR="00AC5AAB" w:rsidRPr="00DA20F5">
        <w:rPr>
          <w:iCs/>
          <w:szCs w:val="22"/>
        </w:rPr>
        <w:t xml:space="preserve"> </w:t>
      </w:r>
      <w:r w:rsidR="005C3A6A" w:rsidRPr="00DA20F5">
        <w:rPr>
          <w:iCs/>
          <w:szCs w:val="22"/>
        </w:rPr>
        <w:t>v prílohe ku </w:t>
      </w:r>
      <w:r w:rsidRPr="00DA20F5">
        <w:rPr>
          <w:iCs/>
          <w:szCs w:val="22"/>
        </w:rPr>
        <w:t>kapitole 3</w:t>
      </w:r>
      <w:r w:rsidRPr="00DA20F5">
        <w:rPr>
          <w:szCs w:val="22"/>
        </w:rPr>
        <w:t>).</w:t>
      </w:r>
      <w:r w:rsidRPr="00DA20F5">
        <w:t xml:space="preserve"> </w:t>
      </w:r>
    </w:p>
    <w:p w:rsidR="00B07B4A" w:rsidRPr="00DA20F5" w:rsidRDefault="00B07B4A" w:rsidP="00D36FB8">
      <w:pPr>
        <w:pStyle w:val="Nadpis7"/>
      </w:pPr>
      <w:bookmarkStart w:id="1264" w:name="_Toc325438259"/>
      <w:bookmarkStart w:id="1265" w:name="_Toc325441004"/>
      <w:bookmarkStart w:id="1266" w:name="_Toc325626816"/>
      <w:bookmarkStart w:id="1267" w:name="_Toc326217077"/>
      <w:r w:rsidRPr="00DA20F5">
        <w:t>Graf 3.</w:t>
      </w:r>
      <w:r w:rsidR="002B1933" w:rsidRPr="00DA20F5">
        <w:t>2</w:t>
      </w:r>
      <w:r w:rsidR="00CC69B8" w:rsidRPr="00DA20F5">
        <w:t>0</w:t>
      </w:r>
      <w:r w:rsidR="00AC5AAB" w:rsidRPr="00DA20F5">
        <w:t xml:space="preserve"> </w:t>
      </w:r>
      <w:r w:rsidRPr="00DA20F5">
        <w:t>Štruktúra príjmov na sociálnu ochranu v EU27 v roku 2009</w:t>
      </w:r>
      <w:bookmarkEnd w:id="1264"/>
      <w:bookmarkEnd w:id="1265"/>
      <w:bookmarkEnd w:id="1266"/>
      <w:bookmarkEnd w:id="1267"/>
    </w:p>
    <w:p w:rsidR="004F170C" w:rsidRPr="00DA20F5" w:rsidRDefault="00EC546A" w:rsidP="00D36FB8">
      <w:pPr>
        <w:rPr>
          <w:sz w:val="20"/>
          <w:szCs w:val="20"/>
        </w:rPr>
      </w:pPr>
      <w:r w:rsidRPr="00DA20F5">
        <w:rPr>
          <w:noProof/>
        </w:rPr>
        <w:drawing>
          <wp:inline distT="0" distB="0" distL="0" distR="0" wp14:anchorId="6B58ED81" wp14:editId="4D9C5EDB">
            <wp:extent cx="5524500" cy="2743200"/>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07B4A" w:rsidRPr="00DA20F5" w:rsidRDefault="00B07B4A" w:rsidP="00D36FB8">
      <w:pPr>
        <w:pStyle w:val="zdroj"/>
      </w:pPr>
      <w:r w:rsidRPr="00DA20F5">
        <w:t xml:space="preserve">Zdroj: </w:t>
      </w:r>
      <w:r w:rsidR="00C6395C" w:rsidRPr="00DA20F5">
        <w:t>Eurostat</w:t>
      </w:r>
      <w:r w:rsidRPr="00DA20F5">
        <w:t>-ESSPROS</w:t>
      </w:r>
    </w:p>
    <w:p w:rsidR="00B07B4A" w:rsidRPr="00DA20F5" w:rsidRDefault="00B07B4A" w:rsidP="00D36FB8">
      <w:pPr>
        <w:spacing w:after="120"/>
        <w:rPr>
          <w:szCs w:val="22"/>
        </w:rPr>
      </w:pPr>
      <w:r w:rsidRPr="00DA20F5">
        <w:rPr>
          <w:szCs w:val="22"/>
        </w:rPr>
        <w:t>V Slovenskej republike bola štruktúra príjmov na sociálnu ochranu nasledovná: sociálne príspevky 62,1 % (od zamestnávateľov 42,7 %, zamestnancov 15,5 %, SZČO 3,4 % a dobrovoľných platiteľov 0,5 %), platby verejnej správy 26,7 % a iné príjmy 11,2 % (vrátane príjmov zo Štátneho fondu aktív).</w:t>
      </w:r>
    </w:p>
    <w:p w:rsidR="00B07B4A" w:rsidRPr="00DA20F5" w:rsidRDefault="00B07B4A" w:rsidP="00D36FB8">
      <w:bookmarkStart w:id="1268" w:name="_Toc325438261"/>
      <w:r w:rsidRPr="00DA20F5">
        <w:lastRenderedPageBreak/>
        <w:t>Rozdiely vo financovaní medzi členskými štátmi EÚ sú spôsobené historickým vývojom. Viac než 70% zo</w:t>
      </w:r>
      <w:r w:rsidRPr="00DA20F5">
        <w:rPr>
          <w:rFonts w:cs="Arial"/>
          <w:sz w:val="18"/>
          <w:szCs w:val="18"/>
        </w:rPr>
        <w:t xml:space="preserve"> </w:t>
      </w:r>
      <w:r w:rsidRPr="00DA20F5">
        <w:t>všetkých príjmov tvorili sociálne príspevky v Estónsku (81,7) a Českej republike (74,8 %). Estónsko prezentovalo nepatrný podiel príjmov od chránených osôb (4,0 %).</w:t>
      </w:r>
      <w:bookmarkEnd w:id="1268"/>
      <w:r w:rsidRPr="00DA20F5">
        <w:t xml:space="preserve"> </w:t>
      </w:r>
    </w:p>
    <w:p w:rsidR="00B07B4A" w:rsidRPr="00DA20F5" w:rsidRDefault="00B07B4A" w:rsidP="00D36FB8">
      <w:pPr>
        <w:spacing w:before="120"/>
      </w:pPr>
      <w:bookmarkStart w:id="1269" w:name="_Toc325438262"/>
      <w:r w:rsidRPr="00DA20F5">
        <w:t>V Slovinsku je významnejší podiel príjmov od chránených osôb (38,8 %) ako od zamestnávateľov (26,4 %), čo má vplyv na výšku hrubej mzdy zamestnancov. Prevažne z príspevkov verejnej správy financujú sociálnu ochranu Dánsko (64,1 %), Írsko (5</w:t>
      </w:r>
      <w:r w:rsidR="005B43BA" w:rsidRPr="00DA20F5">
        <w:t>5</w:t>
      </w:r>
      <w:r w:rsidRPr="00DA20F5">
        <w:t>,</w:t>
      </w:r>
      <w:r w:rsidR="005B43BA" w:rsidRPr="00DA20F5">
        <w:t>4</w:t>
      </w:r>
      <w:r w:rsidRPr="00DA20F5">
        <w:t xml:space="preserve"> %) a Švédsko (51,9 %).</w:t>
      </w:r>
      <w:bookmarkEnd w:id="1269"/>
      <w:r w:rsidR="00AC5AAB" w:rsidRPr="00DA20F5">
        <w:t xml:space="preserve"> </w:t>
      </w:r>
    </w:p>
    <w:p w:rsidR="00B07B4A" w:rsidRPr="00DA20F5" w:rsidRDefault="002B1933" w:rsidP="00D36FB8">
      <w:pPr>
        <w:pStyle w:val="Nadpis7"/>
        <w:rPr>
          <w:rFonts w:cs="Arial"/>
          <w:iCs/>
          <w:sz w:val="18"/>
          <w:szCs w:val="18"/>
        </w:rPr>
      </w:pPr>
      <w:bookmarkStart w:id="1270" w:name="_Toc325438263"/>
      <w:bookmarkStart w:id="1271" w:name="_Toc325441005"/>
      <w:bookmarkStart w:id="1272" w:name="_Toc325626817"/>
      <w:bookmarkStart w:id="1273" w:name="_Toc326217078"/>
      <w:r w:rsidRPr="00DA20F5">
        <w:t>Graf 3.2</w:t>
      </w:r>
      <w:r w:rsidR="00CC69B8" w:rsidRPr="00DA20F5">
        <w:t>1</w:t>
      </w:r>
      <w:r w:rsidR="00AC5AAB" w:rsidRPr="00DA20F5">
        <w:t xml:space="preserve"> </w:t>
      </w:r>
      <w:r w:rsidR="00B07B4A" w:rsidRPr="00DA20F5">
        <w:t>Hrubé výdavky na sociálnu ochranu v PPS</w:t>
      </w:r>
      <w:r w:rsidR="00B07B4A" w:rsidRPr="00DA20F5">
        <w:rPr>
          <w:rStyle w:val="Odkaznapoznmkupodiarou"/>
          <w:b w:val="0"/>
          <w:szCs w:val="22"/>
        </w:rPr>
        <w:footnoteReference w:id="30"/>
      </w:r>
      <w:r w:rsidR="00B07B4A" w:rsidRPr="00DA20F5">
        <w:t xml:space="preserve"> na obyvateľa, 2009</w:t>
      </w:r>
      <w:bookmarkEnd w:id="1270"/>
      <w:bookmarkEnd w:id="1271"/>
      <w:bookmarkEnd w:id="1272"/>
      <w:bookmarkEnd w:id="1273"/>
    </w:p>
    <w:p w:rsidR="00EC546A" w:rsidRPr="00DA20F5" w:rsidRDefault="00EC546A" w:rsidP="00D36FB8">
      <w:pPr>
        <w:pStyle w:val="zdroj"/>
        <w:ind w:firstLine="0"/>
        <w:jc w:val="center"/>
      </w:pPr>
      <w:r w:rsidRPr="00DA20F5">
        <w:rPr>
          <w:noProof/>
        </w:rPr>
        <w:drawing>
          <wp:inline distT="0" distB="0" distL="0" distR="0" wp14:anchorId="02EFCE1B" wp14:editId="44C28D6B">
            <wp:extent cx="5589917" cy="2656936"/>
            <wp:effectExtent l="0" t="0" r="0"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07B4A" w:rsidRPr="00DA20F5" w:rsidRDefault="00B07B4A" w:rsidP="00D36FB8">
      <w:pPr>
        <w:pStyle w:val="zdroj"/>
        <w:rPr>
          <w:i w:val="0"/>
        </w:rPr>
      </w:pPr>
      <w:r w:rsidRPr="00DA20F5">
        <w:t xml:space="preserve">Zdroj: </w:t>
      </w:r>
      <w:r w:rsidR="00C6395C" w:rsidRPr="00DA20F5">
        <w:t>Eurostat</w:t>
      </w:r>
      <w:r w:rsidRPr="00DA20F5">
        <w:t>-ESSPROS</w:t>
      </w:r>
    </w:p>
    <w:p w:rsidR="00B07B4A" w:rsidRPr="00DA20F5" w:rsidRDefault="00B07B4A" w:rsidP="00D36FB8">
      <w:pPr>
        <w:rPr>
          <w:szCs w:val="22"/>
        </w:rPr>
      </w:pPr>
      <w:r w:rsidRPr="00DA20F5">
        <w:rPr>
          <w:iCs/>
          <w:szCs w:val="22"/>
        </w:rPr>
        <w:t>Celkové hrubé výdavky na sociálnu ochranu</w:t>
      </w:r>
      <w:r w:rsidR="00AC5AAB" w:rsidRPr="00DA20F5">
        <w:rPr>
          <w:iCs/>
          <w:szCs w:val="22"/>
        </w:rPr>
        <w:t xml:space="preserve"> </w:t>
      </w:r>
      <w:r w:rsidRPr="00DA20F5">
        <w:rPr>
          <w:iCs/>
          <w:szCs w:val="22"/>
        </w:rPr>
        <w:t>(predchádzajúci</w:t>
      </w:r>
      <w:r w:rsidR="00AC5AAB" w:rsidRPr="00DA20F5">
        <w:rPr>
          <w:iCs/>
          <w:szCs w:val="22"/>
        </w:rPr>
        <w:t xml:space="preserve"> </w:t>
      </w:r>
      <w:r w:rsidRPr="00DA20F5">
        <w:rPr>
          <w:iCs/>
          <w:szCs w:val="22"/>
        </w:rPr>
        <w:t>graf,</w:t>
      </w:r>
      <w:r w:rsidR="00AC5AAB" w:rsidRPr="00DA20F5">
        <w:rPr>
          <w:iCs/>
          <w:szCs w:val="22"/>
        </w:rPr>
        <w:t xml:space="preserve"> </w:t>
      </w:r>
      <w:r w:rsidRPr="00DA20F5">
        <w:rPr>
          <w:iCs/>
          <w:szCs w:val="22"/>
        </w:rPr>
        <w:t>tab. 3</w:t>
      </w:r>
      <w:r w:rsidR="007013BA" w:rsidRPr="00DA20F5">
        <w:rPr>
          <w:iCs/>
          <w:szCs w:val="22"/>
        </w:rPr>
        <w:t xml:space="preserve">4 </w:t>
      </w:r>
      <w:r w:rsidR="00AC5AAB" w:rsidRPr="00DA20F5">
        <w:rPr>
          <w:iCs/>
          <w:szCs w:val="22"/>
        </w:rPr>
        <w:t xml:space="preserve"> </w:t>
      </w:r>
      <w:r w:rsidRPr="00DA20F5">
        <w:rPr>
          <w:iCs/>
          <w:szCs w:val="22"/>
        </w:rPr>
        <w:t>v prílohe ku kapitole 3</w:t>
      </w:r>
      <w:r w:rsidRPr="00DA20F5">
        <w:rPr>
          <w:szCs w:val="22"/>
        </w:rPr>
        <w:t xml:space="preserve">) </w:t>
      </w:r>
      <w:r w:rsidRPr="00DA20F5">
        <w:rPr>
          <w:iCs/>
          <w:szCs w:val="22"/>
        </w:rPr>
        <w:t>v EU-27 v roku 2009 dosiahli 6 935 PPS na obyvateľa (v SR 3 241 PPS na obyvateľa) a 29,5 % HDP (v SR 18,8 %).</w:t>
      </w:r>
      <w:r w:rsidR="00AC5AAB" w:rsidRPr="00DA20F5">
        <w:rPr>
          <w:iCs/>
          <w:szCs w:val="22"/>
        </w:rPr>
        <w:t xml:space="preserve"> </w:t>
      </w:r>
      <w:r w:rsidRPr="00DA20F5">
        <w:rPr>
          <w:szCs w:val="22"/>
        </w:rPr>
        <w:t>Rozdiely medzi krajinami sú do istej miery úmerné k rozdielnym úrovniam bohatstva, ale tiež odzrkadľujú rozdiely v demografických trendoch, v systémoch sociálnej ochrany, v miere nezamestnanosti a</w:t>
      </w:r>
      <w:r w:rsidR="00AC5AAB" w:rsidRPr="00DA20F5">
        <w:rPr>
          <w:szCs w:val="22"/>
        </w:rPr>
        <w:t xml:space="preserve"> </w:t>
      </w:r>
      <w:r w:rsidRPr="00DA20F5">
        <w:rPr>
          <w:szCs w:val="22"/>
        </w:rPr>
        <w:t>sú ovplyvnené aj ďalšími sociálnymi, inštitucionálnymi a</w:t>
      </w:r>
      <w:r w:rsidR="00AC5AAB" w:rsidRPr="00DA20F5">
        <w:rPr>
          <w:szCs w:val="22"/>
        </w:rPr>
        <w:t xml:space="preserve"> </w:t>
      </w:r>
      <w:r w:rsidRPr="00DA20F5">
        <w:rPr>
          <w:szCs w:val="22"/>
        </w:rPr>
        <w:t xml:space="preserve">ekonomickými faktormi. </w:t>
      </w:r>
    </w:p>
    <w:p w:rsidR="00B07B4A" w:rsidRPr="00DA20F5" w:rsidRDefault="00B07B4A" w:rsidP="00D36FB8">
      <w:pPr>
        <w:rPr>
          <w:szCs w:val="22"/>
        </w:rPr>
      </w:pPr>
      <w:r w:rsidRPr="00DA20F5">
        <w:rPr>
          <w:szCs w:val="22"/>
        </w:rPr>
        <w:t>Nasledujúci graf zobrazuje časové rady a porovnáva výdavky na sociálnu ochranu v % HDP a indexy medziročných zmien výdavkov na sociálnu ochranu a HDP v bežných cenách v Slovenskej republike a EA-17. Kým v krízovom roku 2009 pokleslo HDP v SR o -6,1 %</w:t>
      </w:r>
      <w:r w:rsidR="005C3A6A" w:rsidRPr="00DA20F5">
        <w:rPr>
          <w:szCs w:val="22"/>
        </w:rPr>
        <w:t xml:space="preserve"> (v EA-17 o -3,4 %), výdavky na </w:t>
      </w:r>
      <w:r w:rsidRPr="00DA20F5">
        <w:rPr>
          <w:szCs w:val="22"/>
        </w:rPr>
        <w:t xml:space="preserve">sociálnu ochranu v SR dosiahli 18,8 % a medziročne sa zvýšili o 10,5 % (v EA-17 dosiahli 30,2 % s rastom 6,3 %). </w:t>
      </w:r>
    </w:p>
    <w:p w:rsidR="005C3A6A" w:rsidRPr="00DA20F5" w:rsidRDefault="005C3A6A">
      <w:pPr>
        <w:jc w:val="left"/>
        <w:rPr>
          <w:b/>
          <w:szCs w:val="22"/>
        </w:rPr>
      </w:pPr>
      <w:bookmarkStart w:id="1274" w:name="_Toc325438264"/>
      <w:bookmarkStart w:id="1275" w:name="_Toc325441006"/>
      <w:bookmarkStart w:id="1276" w:name="_Toc325626818"/>
      <w:bookmarkStart w:id="1277" w:name="_Toc326217079"/>
      <w:r w:rsidRPr="00DA20F5">
        <w:rPr>
          <w:szCs w:val="22"/>
        </w:rPr>
        <w:br w:type="page"/>
      </w:r>
    </w:p>
    <w:p w:rsidR="00B07B4A" w:rsidRPr="00DA20F5" w:rsidRDefault="00B07B4A" w:rsidP="00D36FB8">
      <w:pPr>
        <w:pStyle w:val="Nadpis7"/>
      </w:pPr>
      <w:r w:rsidRPr="00DA20F5">
        <w:rPr>
          <w:szCs w:val="22"/>
        </w:rPr>
        <w:lastRenderedPageBreak/>
        <w:t xml:space="preserve">Graf </w:t>
      </w:r>
      <w:r w:rsidR="002B1933" w:rsidRPr="00DA20F5">
        <w:rPr>
          <w:szCs w:val="22"/>
        </w:rPr>
        <w:t>3.2</w:t>
      </w:r>
      <w:r w:rsidR="00CC69B8" w:rsidRPr="00DA20F5">
        <w:rPr>
          <w:szCs w:val="22"/>
        </w:rPr>
        <w:t>2</w:t>
      </w:r>
      <w:r w:rsidR="00AC5AAB" w:rsidRPr="00DA20F5">
        <w:rPr>
          <w:szCs w:val="22"/>
        </w:rPr>
        <w:t xml:space="preserve"> </w:t>
      </w:r>
      <w:r w:rsidRPr="00DA20F5">
        <w:rPr>
          <w:szCs w:val="22"/>
        </w:rPr>
        <w:t xml:space="preserve">Výdavky na sociálnu ochranu v % HDP a ročné indexy výdavkov </w:t>
      </w:r>
      <w:r w:rsidR="00C20D7E" w:rsidRPr="00DA20F5">
        <w:rPr>
          <w:szCs w:val="22"/>
        </w:rPr>
        <w:br/>
      </w:r>
      <w:r w:rsidRPr="00DA20F5">
        <w:rPr>
          <w:szCs w:val="22"/>
        </w:rPr>
        <w:t>na</w:t>
      </w:r>
      <w:r w:rsidRPr="00DA20F5">
        <w:t xml:space="preserve"> sociálnu ochranu</w:t>
      </w:r>
      <w:r w:rsidR="00AC5AAB" w:rsidRPr="00DA20F5">
        <w:t xml:space="preserve"> </w:t>
      </w:r>
      <w:r w:rsidRPr="00DA20F5">
        <w:t>a HDP v SR a EA-17 v %</w:t>
      </w:r>
      <w:bookmarkEnd w:id="1274"/>
      <w:bookmarkEnd w:id="1275"/>
      <w:bookmarkEnd w:id="1276"/>
      <w:bookmarkEnd w:id="1277"/>
    </w:p>
    <w:p w:rsidR="005C3A6A" w:rsidRPr="00DA20F5" w:rsidRDefault="00EC546A" w:rsidP="005C3A6A">
      <w:pPr>
        <w:pStyle w:val="zdroj"/>
        <w:ind w:firstLine="0"/>
        <w:jc w:val="center"/>
      </w:pPr>
      <w:r w:rsidRPr="00DA20F5">
        <w:rPr>
          <w:noProof/>
        </w:rPr>
        <w:drawing>
          <wp:inline distT="0" distB="0" distL="0" distR="0" wp14:anchorId="76B810C5" wp14:editId="0E6850AD">
            <wp:extent cx="5520520" cy="2654490"/>
            <wp:effectExtent l="0" t="0" r="0" b="0"/>
            <wp:docPr id="61" name="Graf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07B4A" w:rsidRPr="00DA20F5" w:rsidRDefault="00B07B4A" w:rsidP="005C3A6A">
      <w:pPr>
        <w:pStyle w:val="zdroj"/>
        <w:ind w:firstLine="0"/>
        <w:jc w:val="left"/>
      </w:pPr>
      <w:r w:rsidRPr="00DA20F5">
        <w:t xml:space="preserve">Zdroj: </w:t>
      </w:r>
      <w:r w:rsidR="00C6395C" w:rsidRPr="00DA20F5">
        <w:t>Eurostat</w:t>
      </w:r>
      <w:r w:rsidRPr="00DA20F5">
        <w:t>-ESSPROS</w:t>
      </w:r>
    </w:p>
    <w:p w:rsidR="00B07B4A" w:rsidRPr="00DA20F5" w:rsidRDefault="00B07B4A" w:rsidP="00D36FB8">
      <w:pPr>
        <w:rPr>
          <w:szCs w:val="22"/>
        </w:rPr>
      </w:pPr>
      <w:r w:rsidRPr="00DA20F5">
        <w:rPr>
          <w:szCs w:val="22"/>
        </w:rPr>
        <w:t>Štruktúra výdavkov na sociálnu ochranu v Slovenskej republike bola nasledovná: sociálne dávky tvorili 97,2 % (v členení podľa účelov: choroba/zdravotná starostlivosť(30,4 %), invalidita (9,2 %), staroba (35,8 %), pozostalí (5,1 %), rodina/deti (9,0 %), nezamestnanosť (5,5 %), bývanie</w:t>
      </w:r>
      <w:r w:rsidR="00AC5AAB" w:rsidRPr="00DA20F5">
        <w:rPr>
          <w:szCs w:val="22"/>
        </w:rPr>
        <w:t xml:space="preserve"> </w:t>
      </w:r>
      <w:r w:rsidRPr="00DA20F5">
        <w:rPr>
          <w:szCs w:val="22"/>
        </w:rPr>
        <w:t>a sociálne vylúčenie (2,2 %); administratívne náklady (2,7 %) a iné výdavky (0,1 %).</w:t>
      </w:r>
    </w:p>
    <w:p w:rsidR="00B07B4A" w:rsidRPr="00DA20F5" w:rsidRDefault="002B1933" w:rsidP="00D36FB8">
      <w:pPr>
        <w:pStyle w:val="Nadpis7"/>
      </w:pPr>
      <w:bookmarkStart w:id="1278" w:name="_Toc325438265"/>
      <w:bookmarkStart w:id="1279" w:name="_Toc325441007"/>
      <w:bookmarkStart w:id="1280" w:name="_Toc325626819"/>
      <w:bookmarkStart w:id="1281" w:name="_Toc326217080"/>
      <w:r w:rsidRPr="00DA20F5">
        <w:t>Graf 3.2</w:t>
      </w:r>
      <w:r w:rsidR="00CC69B8" w:rsidRPr="00DA20F5">
        <w:t>3</w:t>
      </w:r>
      <w:r w:rsidR="00AC5AAB" w:rsidRPr="00DA20F5">
        <w:t xml:space="preserve"> </w:t>
      </w:r>
      <w:r w:rsidR="00B07B4A" w:rsidRPr="00DA20F5">
        <w:t>Štruktúra výdavkov na sociálne dávky podľa účelov, 2009</w:t>
      </w:r>
      <w:bookmarkEnd w:id="1278"/>
      <w:bookmarkEnd w:id="1279"/>
      <w:bookmarkEnd w:id="1280"/>
      <w:bookmarkEnd w:id="1281"/>
    </w:p>
    <w:p w:rsidR="00B07B4A" w:rsidRPr="00DA20F5" w:rsidRDefault="00EC546A" w:rsidP="00D36FB8">
      <w:pPr>
        <w:jc w:val="center"/>
        <w:rPr>
          <w:color w:val="4F81BD" w:themeColor="accent1"/>
          <w:lang w:eastAsia="cs-CZ"/>
        </w:rPr>
      </w:pPr>
      <w:r w:rsidRPr="00DA20F5">
        <w:rPr>
          <w:noProof/>
        </w:rPr>
        <w:drawing>
          <wp:inline distT="0" distB="0" distL="0" distR="0" wp14:anchorId="52EBC11B" wp14:editId="395C14DB">
            <wp:extent cx="5633049" cy="2596551"/>
            <wp:effectExtent l="0" t="0" r="63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07B4A" w:rsidRPr="00DA20F5" w:rsidRDefault="00B07B4A" w:rsidP="00D36FB8">
      <w:pPr>
        <w:pStyle w:val="zdroj"/>
      </w:pPr>
      <w:r w:rsidRPr="00DA20F5">
        <w:t xml:space="preserve">Zdroj: </w:t>
      </w:r>
      <w:r w:rsidR="00C6395C" w:rsidRPr="00DA20F5">
        <w:t>Eurostat</w:t>
      </w:r>
      <w:r w:rsidRPr="00DA20F5">
        <w:t>-ESSPROS</w:t>
      </w:r>
      <w:r w:rsidR="00AC5AAB" w:rsidRPr="00DA20F5">
        <w:t xml:space="preserve"> </w:t>
      </w:r>
    </w:p>
    <w:p w:rsidR="00B07B4A" w:rsidRPr="00DA20F5" w:rsidRDefault="00B07B4A" w:rsidP="00D36FB8">
      <w:pPr>
        <w:rPr>
          <w:szCs w:val="22"/>
        </w:rPr>
      </w:pPr>
      <w:r w:rsidRPr="00DA20F5">
        <w:rPr>
          <w:szCs w:val="22"/>
        </w:rPr>
        <w:t xml:space="preserve">Výdavky na sociálne dávky </w:t>
      </w:r>
      <w:r w:rsidRPr="00DA20F5">
        <w:rPr>
          <w:i/>
          <w:szCs w:val="22"/>
        </w:rPr>
        <w:t>(predchádzajúci graf)</w:t>
      </w:r>
      <w:r w:rsidRPr="00DA20F5">
        <w:rPr>
          <w:szCs w:val="22"/>
        </w:rPr>
        <w:t xml:space="preserve"> na účel </w:t>
      </w:r>
      <w:r w:rsidRPr="00DA20F5">
        <w:rPr>
          <w:i/>
          <w:iCs/>
          <w:szCs w:val="22"/>
        </w:rPr>
        <w:t>choroba/zdravotná starostlivosť</w:t>
      </w:r>
      <w:r w:rsidRPr="00DA20F5">
        <w:rPr>
          <w:szCs w:val="22"/>
        </w:rPr>
        <w:t xml:space="preserve"> v EU27 dosiahli 29,6 % zo všetkých dávok, v Írsku (40,6 %). Nadpriemerné podiely v účele </w:t>
      </w:r>
      <w:r w:rsidRPr="00DA20F5">
        <w:rPr>
          <w:i/>
          <w:szCs w:val="22"/>
        </w:rPr>
        <w:t>invalidita</w:t>
      </w:r>
      <w:r w:rsidRPr="00DA20F5">
        <w:rPr>
          <w:szCs w:val="22"/>
        </w:rPr>
        <w:t xml:space="preserve"> v porovnaní s priemerom EU-27 (8,0 %) boli najmä v Dánsku (15,1 %) a vo Švédsku (14,4 %), v účele </w:t>
      </w:r>
      <w:r w:rsidRPr="00DA20F5">
        <w:rPr>
          <w:i/>
          <w:szCs w:val="22"/>
        </w:rPr>
        <w:t>rodina/deti</w:t>
      </w:r>
      <w:r w:rsidRPr="00DA20F5">
        <w:rPr>
          <w:szCs w:val="22"/>
        </w:rPr>
        <w:t xml:space="preserve"> v Luxembursku 17,8 %), v účele </w:t>
      </w:r>
      <w:r w:rsidRPr="00DA20F5">
        <w:rPr>
          <w:i/>
          <w:szCs w:val="22"/>
        </w:rPr>
        <w:t xml:space="preserve">nezamestnanosť </w:t>
      </w:r>
      <w:r w:rsidRPr="00DA20F5">
        <w:rPr>
          <w:szCs w:val="22"/>
        </w:rPr>
        <w:t xml:space="preserve">v Španielsku (15,0 %). Významný podiel na dávky v účeloch </w:t>
      </w:r>
      <w:r w:rsidRPr="00DA20F5">
        <w:rPr>
          <w:i/>
          <w:szCs w:val="22"/>
        </w:rPr>
        <w:t>bývanie a sociálne vylúčenie</w:t>
      </w:r>
      <w:r w:rsidRPr="00DA20F5">
        <w:rPr>
          <w:szCs w:val="22"/>
        </w:rPr>
        <w:t xml:space="preserve"> </w:t>
      </w:r>
      <w:r w:rsidR="005C3A6A" w:rsidRPr="00DA20F5">
        <w:rPr>
          <w:szCs w:val="22"/>
        </w:rPr>
        <w:t>bol prezentovaný na Cypre (12,3 </w:t>
      </w:r>
      <w:r w:rsidRPr="00DA20F5">
        <w:rPr>
          <w:szCs w:val="22"/>
        </w:rPr>
        <w:t>%) a v Holandsku (8,2 %).</w:t>
      </w:r>
    </w:p>
    <w:p w:rsidR="005C3A6A" w:rsidRPr="00DA20F5" w:rsidRDefault="005C3A6A">
      <w:pPr>
        <w:jc w:val="left"/>
        <w:rPr>
          <w:b/>
        </w:rPr>
      </w:pPr>
      <w:bookmarkStart w:id="1282" w:name="_Toc325441008"/>
      <w:bookmarkStart w:id="1283" w:name="_Toc325626820"/>
      <w:bookmarkStart w:id="1284" w:name="_Toc326217081"/>
      <w:r w:rsidRPr="00DA20F5">
        <w:br w:type="page"/>
      </w:r>
    </w:p>
    <w:p w:rsidR="0001551D" w:rsidRPr="00DA20F5" w:rsidRDefault="002B1933" w:rsidP="00D36FB8">
      <w:pPr>
        <w:pStyle w:val="Nadpis7"/>
      </w:pPr>
      <w:r w:rsidRPr="00DA20F5">
        <w:lastRenderedPageBreak/>
        <w:t>Graf 3.2</w:t>
      </w:r>
      <w:r w:rsidR="00CC69B8" w:rsidRPr="00DA20F5">
        <w:t>4</w:t>
      </w:r>
      <w:r w:rsidR="00AC5AAB" w:rsidRPr="00DA20F5">
        <w:t xml:space="preserve"> </w:t>
      </w:r>
      <w:r w:rsidR="00B07B4A" w:rsidRPr="00DA20F5">
        <w:t>Testované dávky sociálnej ochrany ( % zo všetkých sociálnych dávok), 2009</w:t>
      </w:r>
      <w:bookmarkEnd w:id="1282"/>
      <w:bookmarkEnd w:id="1283"/>
      <w:bookmarkEnd w:id="1284"/>
      <w:r w:rsidR="00B07B4A" w:rsidRPr="00DA20F5">
        <w:t xml:space="preserve"> </w:t>
      </w:r>
    </w:p>
    <w:p w:rsidR="00C20D7E" w:rsidRPr="00DA20F5" w:rsidRDefault="00EC546A" w:rsidP="00D36FB8">
      <w:pPr>
        <w:pStyle w:val="zdroj"/>
        <w:ind w:firstLine="0"/>
        <w:jc w:val="center"/>
      </w:pPr>
      <w:r w:rsidRPr="00DA20F5">
        <w:rPr>
          <w:noProof/>
        </w:rPr>
        <w:drawing>
          <wp:inline distT="0" distB="0" distL="0" distR="0" wp14:anchorId="1C98EC8E" wp14:editId="31B7B2A4">
            <wp:extent cx="5742214" cy="1446068"/>
            <wp:effectExtent l="0" t="0" r="0" b="1905"/>
            <wp:docPr id="1888" name="Graf 18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07B4A" w:rsidRPr="00DA20F5" w:rsidRDefault="00B07B4A" w:rsidP="00D36FB8">
      <w:pPr>
        <w:pStyle w:val="zdroj"/>
        <w:rPr>
          <w:iCs/>
          <w:sz w:val="18"/>
          <w:szCs w:val="18"/>
        </w:rPr>
      </w:pPr>
      <w:r w:rsidRPr="00DA20F5">
        <w:rPr>
          <w:iCs/>
        </w:rPr>
        <w:t xml:space="preserve">Zdroj </w:t>
      </w:r>
      <w:r w:rsidR="00C6395C" w:rsidRPr="00DA20F5">
        <w:rPr>
          <w:iCs/>
        </w:rPr>
        <w:t>Eurostat</w:t>
      </w:r>
      <w:r w:rsidRPr="00DA20F5">
        <w:rPr>
          <w:iCs/>
        </w:rPr>
        <w:t>-ESSPROS</w:t>
      </w:r>
    </w:p>
    <w:p w:rsidR="00B07B4A" w:rsidRPr="00DA20F5" w:rsidRDefault="00B07B4A" w:rsidP="00D36FB8">
      <w:pPr>
        <w:rPr>
          <w:iCs/>
          <w:szCs w:val="22"/>
        </w:rPr>
      </w:pPr>
      <w:r w:rsidRPr="00DA20F5">
        <w:rPr>
          <w:lang w:eastAsia="cs-CZ"/>
        </w:rPr>
        <w:t>V roku 2009 sa vyplácalo v SR 4,9 % zo všetkých dávok ako testované na príjem, resp. výšku majetku. Najvyšší bol podiel testovaných dávok v Írsku (25,5 %) a najnižší v Estónsku (0,5 %).</w:t>
      </w:r>
      <w:r w:rsidRPr="00DA20F5">
        <w:rPr>
          <w:iCs/>
          <w:szCs w:val="22"/>
        </w:rPr>
        <w:t xml:space="preserve"> </w:t>
      </w:r>
    </w:p>
    <w:p w:rsidR="00AF2CB5" w:rsidRPr="00DA20F5" w:rsidRDefault="00AF2CB5" w:rsidP="00D36FB8">
      <w:pPr>
        <w:rPr>
          <w:iCs/>
          <w:szCs w:val="22"/>
        </w:rPr>
      </w:pPr>
    </w:p>
    <w:p w:rsidR="00B07B4A" w:rsidRPr="00DA20F5" w:rsidRDefault="00B07B4A" w:rsidP="00D36FB8">
      <w:pPr>
        <w:rPr>
          <w:szCs w:val="22"/>
        </w:rPr>
      </w:pPr>
      <w:r w:rsidRPr="00DA20F5">
        <w:rPr>
          <w:iCs/>
          <w:szCs w:val="22"/>
        </w:rPr>
        <w:t>Celkové hrubé výdavky na dôchodky</w:t>
      </w:r>
      <w:r w:rsidR="00AC5AAB" w:rsidRPr="00DA20F5">
        <w:rPr>
          <w:iCs/>
          <w:szCs w:val="22"/>
        </w:rPr>
        <w:t xml:space="preserve"> </w:t>
      </w:r>
      <w:r w:rsidRPr="00DA20F5">
        <w:rPr>
          <w:iCs/>
          <w:szCs w:val="22"/>
        </w:rPr>
        <w:t>(nasledujúci</w:t>
      </w:r>
      <w:r w:rsidR="00AC5AAB" w:rsidRPr="00DA20F5">
        <w:rPr>
          <w:iCs/>
          <w:szCs w:val="22"/>
        </w:rPr>
        <w:t xml:space="preserve"> </w:t>
      </w:r>
      <w:r w:rsidRPr="00DA20F5">
        <w:rPr>
          <w:iCs/>
          <w:szCs w:val="22"/>
        </w:rPr>
        <w:t>graf,</w:t>
      </w:r>
      <w:r w:rsidR="00AC5AAB" w:rsidRPr="00DA20F5">
        <w:rPr>
          <w:iCs/>
          <w:szCs w:val="22"/>
        </w:rPr>
        <w:t xml:space="preserve"> </w:t>
      </w:r>
      <w:r w:rsidRPr="00DA20F5">
        <w:rPr>
          <w:iCs/>
          <w:szCs w:val="22"/>
        </w:rPr>
        <w:t>tab</w:t>
      </w:r>
      <w:r w:rsidR="007013BA" w:rsidRPr="00DA20F5">
        <w:rPr>
          <w:iCs/>
          <w:szCs w:val="22"/>
        </w:rPr>
        <w:t xml:space="preserve">. </w:t>
      </w:r>
      <w:r w:rsidRPr="00DA20F5">
        <w:rPr>
          <w:iCs/>
          <w:szCs w:val="22"/>
        </w:rPr>
        <w:t>3</w:t>
      </w:r>
      <w:r w:rsidR="007013BA" w:rsidRPr="00DA20F5">
        <w:rPr>
          <w:iCs/>
          <w:szCs w:val="22"/>
        </w:rPr>
        <w:t>4</w:t>
      </w:r>
      <w:r w:rsidR="00AC5AAB" w:rsidRPr="00DA20F5">
        <w:rPr>
          <w:iCs/>
          <w:szCs w:val="22"/>
        </w:rPr>
        <w:t xml:space="preserve"> </w:t>
      </w:r>
      <w:r w:rsidRPr="00DA20F5">
        <w:rPr>
          <w:iCs/>
          <w:szCs w:val="22"/>
        </w:rPr>
        <w:t>v prílohe ku kapitole 3</w:t>
      </w:r>
      <w:r w:rsidRPr="00DA20F5">
        <w:rPr>
          <w:szCs w:val="22"/>
        </w:rPr>
        <w:t xml:space="preserve">) </w:t>
      </w:r>
      <w:r w:rsidR="005C3A6A" w:rsidRPr="00DA20F5">
        <w:rPr>
          <w:iCs/>
          <w:szCs w:val="22"/>
        </w:rPr>
        <w:t>v EU-27 v </w:t>
      </w:r>
      <w:r w:rsidRPr="00DA20F5">
        <w:rPr>
          <w:iCs/>
          <w:szCs w:val="22"/>
        </w:rPr>
        <w:t xml:space="preserve">roku 2009 dosiahli 3 071 PPS na obyvateľa (v SR 1 454 PPS na obyvateľa), 2 750 </w:t>
      </w:r>
      <w:r w:rsidR="00E364F3" w:rsidRPr="00DA20F5">
        <w:rPr>
          <w:iCs/>
          <w:szCs w:val="22"/>
        </w:rPr>
        <w:t>€</w:t>
      </w:r>
      <w:r w:rsidRPr="00DA20F5">
        <w:rPr>
          <w:iCs/>
          <w:szCs w:val="22"/>
        </w:rPr>
        <w:t xml:space="preserve"> na osobu v stálych cenách roku 2000 (v SR 685 </w:t>
      </w:r>
      <w:r w:rsidR="00E364F3" w:rsidRPr="00DA20F5">
        <w:rPr>
          <w:iCs/>
          <w:szCs w:val="22"/>
        </w:rPr>
        <w:t>€</w:t>
      </w:r>
      <w:r w:rsidRPr="00DA20F5">
        <w:rPr>
          <w:iCs/>
          <w:szCs w:val="22"/>
        </w:rPr>
        <w:t xml:space="preserve"> na osobu v stálych cenách) a 13,1 % HDP (v SR 8,4 %).</w:t>
      </w:r>
      <w:r w:rsidR="00AC5AAB" w:rsidRPr="00DA20F5">
        <w:rPr>
          <w:iCs/>
          <w:szCs w:val="22"/>
        </w:rPr>
        <w:t xml:space="preserve"> </w:t>
      </w:r>
      <w:r w:rsidRPr="00DA20F5">
        <w:rPr>
          <w:iCs/>
          <w:szCs w:val="22"/>
        </w:rPr>
        <w:t>Najnižšie výdavky v</w:t>
      </w:r>
      <w:r w:rsidR="00AC5AAB" w:rsidRPr="00DA20F5">
        <w:rPr>
          <w:iCs/>
          <w:szCs w:val="22"/>
        </w:rPr>
        <w:t xml:space="preserve"> </w:t>
      </w:r>
      <w:r w:rsidRPr="00DA20F5">
        <w:rPr>
          <w:iCs/>
          <w:szCs w:val="22"/>
        </w:rPr>
        <w:t>% HDP prezentovalo Írsko (7,3 % HDP) s najmladšou populáciou v E</w:t>
      </w:r>
      <w:r w:rsidR="00AF20A2" w:rsidRPr="00DA20F5">
        <w:rPr>
          <w:iCs/>
          <w:szCs w:val="22"/>
        </w:rPr>
        <w:t>Ú</w:t>
      </w:r>
      <w:r w:rsidRPr="00DA20F5">
        <w:rPr>
          <w:iCs/>
          <w:szCs w:val="22"/>
        </w:rPr>
        <w:t xml:space="preserve"> a najvyššie Taliansko (16,0 % HDP) s najstarším</w:t>
      </w:r>
      <w:r w:rsidR="00AC5AAB" w:rsidRPr="00DA20F5">
        <w:rPr>
          <w:iCs/>
          <w:szCs w:val="22"/>
        </w:rPr>
        <w:t xml:space="preserve"> </w:t>
      </w:r>
      <w:r w:rsidRPr="00DA20F5">
        <w:rPr>
          <w:iCs/>
          <w:szCs w:val="22"/>
        </w:rPr>
        <w:t>obyvateľstvom. Výraznejšie sú rozdiely medzi štátmi EÚ, ak výdavky na dôchodky sú vyjadrené v PPS na osobu. Najnižšie výdavky v PPS na osobu dosiahlo Bulharsko (913) a najvyššie Luxembursko (5 929).</w:t>
      </w:r>
    </w:p>
    <w:p w:rsidR="00B07B4A" w:rsidRPr="00DA20F5" w:rsidRDefault="002B1933" w:rsidP="00D36FB8">
      <w:pPr>
        <w:pStyle w:val="Nadpis7"/>
        <w:rPr>
          <w:sz w:val="18"/>
          <w:szCs w:val="18"/>
        </w:rPr>
      </w:pPr>
      <w:bookmarkStart w:id="1285" w:name="_Toc325438266"/>
      <w:bookmarkStart w:id="1286" w:name="_Toc325441009"/>
      <w:bookmarkStart w:id="1287" w:name="_Toc325626821"/>
      <w:bookmarkStart w:id="1288" w:name="_Toc326217082"/>
      <w:r w:rsidRPr="00DA20F5">
        <w:t>Graf 3.2</w:t>
      </w:r>
      <w:r w:rsidR="00CC69B8" w:rsidRPr="00DA20F5">
        <w:t>5</w:t>
      </w:r>
      <w:r w:rsidR="00AC5AAB" w:rsidRPr="00DA20F5">
        <w:t xml:space="preserve"> </w:t>
      </w:r>
      <w:r w:rsidR="00B07B4A" w:rsidRPr="00DA20F5">
        <w:t>Výdavky na dôchodky, 2009</w:t>
      </w:r>
      <w:bookmarkEnd w:id="1285"/>
      <w:bookmarkEnd w:id="1286"/>
      <w:bookmarkEnd w:id="1287"/>
      <w:bookmarkEnd w:id="1288"/>
    </w:p>
    <w:p w:rsidR="00161E87" w:rsidRPr="00DA20F5" w:rsidRDefault="00EC546A" w:rsidP="00D36FB8">
      <w:pPr>
        <w:rPr>
          <w:b/>
          <w:iCs/>
          <w:color w:val="4F81BD" w:themeColor="accent1"/>
          <w:sz w:val="18"/>
          <w:szCs w:val="18"/>
        </w:rPr>
      </w:pPr>
      <w:r w:rsidRPr="00DA20F5">
        <w:rPr>
          <w:noProof/>
        </w:rPr>
        <w:drawing>
          <wp:inline distT="0" distB="0" distL="0" distR="0" wp14:anchorId="6F4D1A1D" wp14:editId="7BEFB0E2">
            <wp:extent cx="5572125" cy="2743200"/>
            <wp:effectExtent l="0" t="0" r="0" b="0"/>
            <wp:docPr id="1889" name="Graf 18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07B4A" w:rsidRPr="00DA20F5" w:rsidRDefault="00B07B4A" w:rsidP="00D36FB8">
      <w:pPr>
        <w:pStyle w:val="zdroj"/>
        <w:rPr>
          <w:lang w:eastAsia="cs-CZ"/>
        </w:rPr>
      </w:pPr>
      <w:r w:rsidRPr="00DA20F5">
        <w:t xml:space="preserve">Zdroj </w:t>
      </w:r>
      <w:r w:rsidR="00C6395C" w:rsidRPr="00DA20F5">
        <w:t>Eurostat</w:t>
      </w:r>
      <w:r w:rsidRPr="00DA20F5">
        <w:t>-ESSPROS</w:t>
      </w:r>
    </w:p>
    <w:p w:rsidR="00B07B4A" w:rsidRPr="00DA20F5" w:rsidRDefault="00B07B4A" w:rsidP="005C3A6A">
      <w:pPr>
        <w:tabs>
          <w:tab w:val="left" w:pos="2023"/>
        </w:tabs>
        <w:rPr>
          <w:iCs/>
          <w:szCs w:val="22"/>
        </w:rPr>
      </w:pPr>
      <w:r w:rsidRPr="00DA20F5">
        <w:rPr>
          <w:iCs/>
          <w:szCs w:val="22"/>
        </w:rPr>
        <w:t>Podľa údajov z modulu „Počet poberateľov dôchodkov (bez dvojitého narátavania)</w:t>
      </w:r>
      <w:r w:rsidR="007261B3" w:rsidRPr="00DA20F5">
        <w:rPr>
          <w:iCs/>
          <w:szCs w:val="22"/>
        </w:rPr>
        <w:t>,</w:t>
      </w:r>
      <w:r w:rsidRPr="00DA20F5">
        <w:rPr>
          <w:iCs/>
          <w:szCs w:val="22"/>
        </w:rPr>
        <w:t xml:space="preserve"> najvyšší podiel poberateľov dôchodkov v populácii má Bulharsko (29,3 %) a Estónsko (29,1 %), najnižší prezentoval Cyprus (14,5 %) a Írsko (17,3 %). V Slovenskej republike ukazovateľ dosiahol 24,3 %.</w:t>
      </w:r>
    </w:p>
    <w:p w:rsidR="00B07B4A" w:rsidRPr="00DA20F5" w:rsidRDefault="00B07B4A" w:rsidP="00D36FB8">
      <w:pPr>
        <w:rPr>
          <w:iCs/>
          <w:szCs w:val="22"/>
        </w:rPr>
      </w:pPr>
    </w:p>
    <w:p w:rsidR="00B07B4A" w:rsidRPr="00DA20F5" w:rsidRDefault="00B07B4A" w:rsidP="00D36FB8">
      <w:pPr>
        <w:rPr>
          <w:iCs/>
          <w:szCs w:val="22"/>
        </w:rPr>
      </w:pPr>
      <w:r w:rsidRPr="00DA20F5">
        <w:rPr>
          <w:iCs/>
          <w:szCs w:val="22"/>
        </w:rPr>
        <w:t xml:space="preserve"> Najnižšie hodnoty pre ukazovateľ starnutia 60+/populácia vykazovali v roku 2009 Írsko (16,1 %) a Slovensko (17,5 %), najvyššie hodnoty Taliansko (26,3 %) a Nemecko (25,9 %). Najnižšie hodnoty pre ukazovateľ 60+/aktívna populácia (20-59 roční) boli monitorované v roku 2009 v Írsku (28,5 %) a v SR (28,9 %) a najvyššie hodnoty prezentovalo Taliansko (48,2 %) a Švédsko (47,9 %).</w:t>
      </w:r>
      <w:r w:rsidR="007261B3" w:rsidRPr="00DA20F5">
        <w:rPr>
          <w:rStyle w:val="Odkaznapoznmkupodiarou"/>
        </w:rPr>
        <w:footnoteReference w:id="31"/>
      </w:r>
    </w:p>
    <w:p w:rsidR="00B07B4A" w:rsidRPr="00DA20F5" w:rsidRDefault="002B1933" w:rsidP="00D36FB8">
      <w:pPr>
        <w:pStyle w:val="Nadpis7"/>
        <w:spacing w:before="0"/>
      </w:pPr>
      <w:bookmarkStart w:id="1289" w:name="_Toc325438267"/>
      <w:bookmarkStart w:id="1290" w:name="_Toc325441010"/>
      <w:bookmarkStart w:id="1291" w:name="_Toc325626822"/>
      <w:bookmarkStart w:id="1292" w:name="_Toc326217083"/>
      <w:r w:rsidRPr="00DA20F5">
        <w:lastRenderedPageBreak/>
        <w:t>Graf 3.2</w:t>
      </w:r>
      <w:r w:rsidR="00CC69B8" w:rsidRPr="00DA20F5">
        <w:t>6</w:t>
      </w:r>
      <w:r w:rsidR="00B07B4A" w:rsidRPr="00DA20F5">
        <w:t xml:space="preserve"> Poberatelia dôchodkov a indexy starnutia (%), 2009</w:t>
      </w:r>
      <w:bookmarkEnd w:id="1289"/>
      <w:bookmarkEnd w:id="1290"/>
      <w:bookmarkEnd w:id="1291"/>
      <w:bookmarkEnd w:id="1292"/>
    </w:p>
    <w:p w:rsidR="00B07B4A" w:rsidRPr="00DA20F5" w:rsidRDefault="00526970" w:rsidP="005C3A6A">
      <w:pPr>
        <w:jc w:val="center"/>
        <w:rPr>
          <w:color w:val="FF0000"/>
          <w:szCs w:val="22"/>
        </w:rPr>
      </w:pPr>
      <w:r w:rsidRPr="00DA20F5">
        <w:rPr>
          <w:noProof/>
        </w:rPr>
        <w:drawing>
          <wp:inline distT="0" distB="0" distL="0" distR="0" wp14:anchorId="3561D2F3" wp14:editId="04E69012">
            <wp:extent cx="5759450" cy="2463962"/>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B07B4A" w:rsidRPr="00DA20F5" w:rsidRDefault="003B1AE3" w:rsidP="00D36FB8">
      <w:pPr>
        <w:pStyle w:val="zdroj"/>
      </w:pPr>
      <w:r w:rsidRPr="00DA20F5">
        <w:rPr>
          <w:color w:val="FF0000"/>
          <w:sz w:val="18"/>
          <w:szCs w:val="18"/>
        </w:rPr>
        <w:tab/>
      </w:r>
      <w:r w:rsidR="00AC5AAB" w:rsidRPr="00DA20F5">
        <w:rPr>
          <w:color w:val="FF0000"/>
          <w:sz w:val="18"/>
          <w:szCs w:val="18"/>
        </w:rPr>
        <w:t xml:space="preserve"> </w:t>
      </w:r>
      <w:r w:rsidR="00B07B4A" w:rsidRPr="00DA20F5">
        <w:t xml:space="preserve">Zdroj </w:t>
      </w:r>
      <w:r w:rsidR="00C6395C" w:rsidRPr="00DA20F5">
        <w:t>Eurostat</w:t>
      </w:r>
      <w:r w:rsidR="00B07B4A" w:rsidRPr="00DA20F5">
        <w:t>-ESSPROS</w:t>
      </w:r>
    </w:p>
    <w:p w:rsidR="00177D15" w:rsidRPr="00DA20F5" w:rsidRDefault="00177D15" w:rsidP="00D36FB8">
      <w:pPr>
        <w:jc w:val="left"/>
        <w:rPr>
          <w:rFonts w:ascii="Times New Roman Bold" w:hAnsi="Times New Roman Bold"/>
          <w:b/>
          <w:bCs/>
          <w:iCs/>
          <w:color w:val="365F91"/>
          <w:sz w:val="28"/>
          <w:szCs w:val="26"/>
          <w:lang w:eastAsia="cs-CZ"/>
        </w:rPr>
      </w:pPr>
      <w:bookmarkStart w:id="1293" w:name="_Toc325438268"/>
      <w:r w:rsidRPr="00DA20F5">
        <w:br w:type="page"/>
      </w:r>
    </w:p>
    <w:p w:rsidR="00BD2C0B" w:rsidRPr="00DA20F5" w:rsidRDefault="00F01325" w:rsidP="00D36FB8">
      <w:pPr>
        <w:pStyle w:val="Nadpis5"/>
      </w:pPr>
      <w:bookmarkStart w:id="1294" w:name="_Toc326217084"/>
      <w:r w:rsidRPr="00DA20F5">
        <w:lastRenderedPageBreak/>
        <w:t>3.5</w:t>
      </w:r>
      <w:r w:rsidR="002271D4" w:rsidRPr="00DA20F5">
        <w:t xml:space="preserve"> </w:t>
      </w:r>
      <w:r w:rsidR="000B6DBC" w:rsidRPr="00DA20F5">
        <w:tab/>
      </w:r>
      <w:r w:rsidR="004C6309" w:rsidRPr="00DA20F5">
        <w:t>Európs</w:t>
      </w:r>
      <w:r w:rsidRPr="00DA20F5">
        <w:t>ky sociálny fond</w:t>
      </w:r>
      <w:bookmarkEnd w:id="1293"/>
      <w:bookmarkEnd w:id="1294"/>
      <w:r w:rsidRPr="00DA20F5">
        <w:t xml:space="preserve"> </w:t>
      </w:r>
    </w:p>
    <w:p w:rsidR="00045675" w:rsidRPr="00DA20F5" w:rsidRDefault="00045675" w:rsidP="00D36FB8">
      <w:pPr>
        <w:rPr>
          <w:szCs w:val="22"/>
        </w:rPr>
      </w:pPr>
      <w:r w:rsidRPr="00DA20F5">
        <w:rPr>
          <w:szCs w:val="22"/>
        </w:rPr>
        <w:t xml:space="preserve">V rámci Operačného programu Zamestnanosť a sociálna inklúzia (OP ZaSI) sa v programovom období 2007-2013 poskytuje podpora v oblasti </w:t>
      </w:r>
      <w:r w:rsidRPr="00DA20F5">
        <w:rPr>
          <w:i/>
          <w:szCs w:val="22"/>
        </w:rPr>
        <w:t>rozvoja ľudských zdrojov, zvyšovania zamestnanosti, zvyšovania sociálnej inklúzie a budovania kapacít</w:t>
      </w:r>
      <w:r w:rsidRPr="00DA20F5">
        <w:rPr>
          <w:szCs w:val="22"/>
        </w:rPr>
        <w:t>. Globálnym cieľom operačného programu je rast zamestnanosti, pokles nezamestnanosti, sociálna inklúzia a budovanie kapacít</w:t>
      </w:r>
      <w:r w:rsidR="00C50FA4" w:rsidRPr="00DA20F5">
        <w:rPr>
          <w:rStyle w:val="Odkaznapoznmkupodiarou"/>
          <w:szCs w:val="22"/>
        </w:rPr>
        <w:footnoteReference w:id="32"/>
      </w:r>
      <w:r w:rsidR="00516519" w:rsidRPr="00DA20F5">
        <w:rPr>
          <w:szCs w:val="22"/>
        </w:rPr>
        <w:t>.</w:t>
      </w:r>
      <w:r w:rsidR="00C50FA4" w:rsidRPr="00DA20F5">
        <w:rPr>
          <w:szCs w:val="22"/>
        </w:rPr>
        <w:t xml:space="preserve"> </w:t>
      </w:r>
      <w:r w:rsidRPr="00DA20F5">
        <w:rPr>
          <w:szCs w:val="22"/>
        </w:rPr>
        <w:t>Pre jeho dosiahnutie boli stanovené tri hlavné ciele:</w:t>
      </w:r>
    </w:p>
    <w:p w:rsidR="00045675" w:rsidRPr="00DA20F5" w:rsidRDefault="00045675" w:rsidP="00D36FB8">
      <w:pPr>
        <w:rPr>
          <w:szCs w:val="22"/>
        </w:rPr>
      </w:pPr>
    </w:p>
    <w:p w:rsidR="00045675" w:rsidRPr="00DA20F5" w:rsidRDefault="00045675" w:rsidP="00DB509D">
      <w:pPr>
        <w:numPr>
          <w:ilvl w:val="0"/>
          <w:numId w:val="37"/>
        </w:numPr>
        <w:rPr>
          <w:szCs w:val="22"/>
        </w:rPr>
      </w:pPr>
      <w:r w:rsidRPr="00DA20F5">
        <w:rPr>
          <w:szCs w:val="22"/>
        </w:rPr>
        <w:t>zvyšovanie zamestnanosti a adaptability a znižovanie nezamestnanosti;</w:t>
      </w:r>
    </w:p>
    <w:p w:rsidR="00045675" w:rsidRPr="00DA20F5" w:rsidRDefault="00045675" w:rsidP="00DB509D">
      <w:pPr>
        <w:numPr>
          <w:ilvl w:val="0"/>
          <w:numId w:val="37"/>
        </w:numPr>
        <w:rPr>
          <w:szCs w:val="22"/>
        </w:rPr>
      </w:pPr>
      <w:r w:rsidRPr="00DA20F5">
        <w:rPr>
          <w:szCs w:val="22"/>
        </w:rPr>
        <w:t>posilnenie integrácie osôb ohrozených sociálnym vylúčením alebo sociálne vylúčených a podpora zosúladenia rodinného a pracovného života;</w:t>
      </w:r>
    </w:p>
    <w:p w:rsidR="00045675" w:rsidRPr="00DA20F5" w:rsidRDefault="00045675" w:rsidP="00DB509D">
      <w:pPr>
        <w:numPr>
          <w:ilvl w:val="0"/>
          <w:numId w:val="37"/>
        </w:numPr>
        <w:rPr>
          <w:szCs w:val="22"/>
        </w:rPr>
      </w:pPr>
      <w:r w:rsidRPr="00DA20F5">
        <w:rPr>
          <w:szCs w:val="22"/>
        </w:rPr>
        <w:t>zvyšovanie kvality ľudských zdrojov a ich riadenia v oblasti verejnej politiky.</w:t>
      </w:r>
    </w:p>
    <w:p w:rsidR="00045675" w:rsidRPr="00DA20F5" w:rsidRDefault="00045675" w:rsidP="00D36FB8">
      <w:pPr>
        <w:rPr>
          <w:szCs w:val="22"/>
        </w:rPr>
      </w:pPr>
    </w:p>
    <w:p w:rsidR="00045675" w:rsidRPr="00DA20F5" w:rsidRDefault="00045675" w:rsidP="00D36FB8">
      <w:pPr>
        <w:rPr>
          <w:szCs w:val="22"/>
        </w:rPr>
      </w:pPr>
      <w:r w:rsidRPr="00DA20F5">
        <w:rPr>
          <w:szCs w:val="22"/>
        </w:rPr>
        <w:t>Hlavné ciele sú zamerané na prevenciu a riešenie hlavných problémov na trhu práce. Ich vzájomná synergia a nadväznosť je obsiahnutá v 5 prioritných osiach:</w:t>
      </w:r>
    </w:p>
    <w:p w:rsidR="00045675" w:rsidRPr="00DA20F5" w:rsidRDefault="00045675" w:rsidP="00DB509D">
      <w:pPr>
        <w:numPr>
          <w:ilvl w:val="0"/>
          <w:numId w:val="38"/>
        </w:numPr>
        <w:rPr>
          <w:szCs w:val="22"/>
        </w:rPr>
      </w:pPr>
      <w:r w:rsidRPr="00DA20F5">
        <w:rPr>
          <w:szCs w:val="22"/>
        </w:rPr>
        <w:t>Podpora rastu zamestnanosti</w:t>
      </w:r>
    </w:p>
    <w:p w:rsidR="00045675" w:rsidRPr="00DA20F5" w:rsidRDefault="00045675" w:rsidP="00DB509D">
      <w:pPr>
        <w:numPr>
          <w:ilvl w:val="0"/>
          <w:numId w:val="38"/>
        </w:numPr>
        <w:rPr>
          <w:szCs w:val="22"/>
        </w:rPr>
      </w:pPr>
      <w:r w:rsidRPr="00DA20F5">
        <w:rPr>
          <w:szCs w:val="22"/>
        </w:rPr>
        <w:t>Podpora sociálnej inklúzie</w:t>
      </w:r>
    </w:p>
    <w:p w:rsidR="00045675" w:rsidRPr="00DA20F5" w:rsidRDefault="00045675" w:rsidP="00DB509D">
      <w:pPr>
        <w:numPr>
          <w:ilvl w:val="0"/>
          <w:numId w:val="38"/>
        </w:numPr>
        <w:jc w:val="left"/>
        <w:rPr>
          <w:szCs w:val="22"/>
        </w:rPr>
      </w:pPr>
      <w:r w:rsidRPr="00DA20F5">
        <w:rPr>
          <w:szCs w:val="22"/>
        </w:rPr>
        <w:t>Podpora zamestnanosti, sociálnej inklúzie a budovanie kapacít v Bratislavskom</w:t>
      </w:r>
      <w:r w:rsidR="00AC5AAB" w:rsidRPr="00DA20F5">
        <w:rPr>
          <w:szCs w:val="22"/>
        </w:rPr>
        <w:t xml:space="preserve"> </w:t>
      </w:r>
      <w:r w:rsidRPr="00DA20F5">
        <w:rPr>
          <w:szCs w:val="22"/>
        </w:rPr>
        <w:t xml:space="preserve">samosprávnom kraji </w:t>
      </w:r>
    </w:p>
    <w:p w:rsidR="00045675" w:rsidRPr="00DA20F5" w:rsidRDefault="00045675" w:rsidP="00DB509D">
      <w:pPr>
        <w:numPr>
          <w:ilvl w:val="0"/>
          <w:numId w:val="38"/>
        </w:numPr>
        <w:rPr>
          <w:szCs w:val="22"/>
        </w:rPr>
      </w:pPr>
      <w:r w:rsidRPr="00DA20F5">
        <w:rPr>
          <w:szCs w:val="22"/>
        </w:rPr>
        <w:t>Budovanie kapacít a zlepšenie kvality verejnej správy</w:t>
      </w:r>
    </w:p>
    <w:p w:rsidR="00045675" w:rsidRPr="00DA20F5" w:rsidRDefault="00045675" w:rsidP="00DB509D">
      <w:pPr>
        <w:numPr>
          <w:ilvl w:val="0"/>
          <w:numId w:val="38"/>
        </w:numPr>
        <w:rPr>
          <w:szCs w:val="22"/>
        </w:rPr>
      </w:pPr>
      <w:r w:rsidRPr="00DA20F5">
        <w:rPr>
          <w:szCs w:val="22"/>
        </w:rPr>
        <w:t>Technická pomoc</w:t>
      </w:r>
    </w:p>
    <w:p w:rsidR="00045675" w:rsidRPr="00DA20F5" w:rsidRDefault="00045675" w:rsidP="00D36FB8">
      <w:pPr>
        <w:rPr>
          <w:szCs w:val="22"/>
        </w:rPr>
      </w:pPr>
    </w:p>
    <w:p w:rsidR="00045675" w:rsidRPr="00DA20F5" w:rsidRDefault="00045675" w:rsidP="00D36FB8">
      <w:pPr>
        <w:rPr>
          <w:szCs w:val="22"/>
          <w:lang w:eastAsia="en-GB"/>
        </w:rPr>
      </w:pPr>
      <w:r w:rsidRPr="00DA20F5">
        <w:rPr>
          <w:szCs w:val="22"/>
        </w:rPr>
        <w:t xml:space="preserve">Prioritné osi sú rozpracované do 11 opatrení; v rámci opatrenia technickej pomoci sú uplatňované dve prioritné témy. Podpora je rozdeľovaná prostredníctvom dvoch cieľov </w:t>
      </w:r>
      <w:r w:rsidRPr="00DA20F5">
        <w:rPr>
          <w:i/>
          <w:szCs w:val="22"/>
        </w:rPr>
        <w:t>Konvergencia</w:t>
      </w:r>
      <w:r w:rsidRPr="00DA20F5">
        <w:rPr>
          <w:szCs w:val="22"/>
        </w:rPr>
        <w:t xml:space="preserve"> a </w:t>
      </w:r>
      <w:r w:rsidRPr="00DA20F5">
        <w:rPr>
          <w:i/>
          <w:szCs w:val="22"/>
        </w:rPr>
        <w:t>Regionálna konkurencieschopnosť a zamestnanosť</w:t>
      </w:r>
      <w:r w:rsidRPr="00DA20F5">
        <w:rPr>
          <w:szCs w:val="22"/>
        </w:rPr>
        <w:t xml:space="preserve"> medzi regióny podľa ich ekonomickej výkonnosti. OP ZaSI je operačný program financovaný z prostriedkov Európskeho sociálneho fondu v celkovom objeme </w:t>
      </w:r>
      <w:r w:rsidRPr="00DA20F5">
        <w:rPr>
          <w:b/>
          <w:szCs w:val="22"/>
        </w:rPr>
        <w:t>1 037 413 623 €</w:t>
      </w:r>
      <w:r w:rsidRPr="00DA20F5">
        <w:rPr>
          <w:szCs w:val="22"/>
        </w:rPr>
        <w:t xml:space="preserve">. Príspevok Európskeho spoločenstva predstavuje sumu 881 801 578 €, štátny rozpočet prispieva čiastkou 155 612 045 €. </w:t>
      </w:r>
      <w:r w:rsidRPr="00DA20F5">
        <w:rPr>
          <w:szCs w:val="22"/>
          <w:lang w:eastAsia="en-GB"/>
        </w:rPr>
        <w:t xml:space="preserve">Implementácia OP ZaSI spadá do obdobia oprávnenosti 01. 01. 2007 - 31. 12. 2015. </w:t>
      </w:r>
    </w:p>
    <w:p w:rsidR="00045675" w:rsidRPr="00DA20F5" w:rsidRDefault="00045675" w:rsidP="00D36FB8">
      <w:pPr>
        <w:rPr>
          <w:szCs w:val="22"/>
          <w:lang w:eastAsia="en-GB"/>
        </w:rPr>
      </w:pPr>
      <w:r w:rsidRPr="00DA20F5">
        <w:rPr>
          <w:szCs w:val="22"/>
          <w:lang w:eastAsia="en-GB"/>
        </w:rPr>
        <w:t xml:space="preserve">V sledovanom období predstavoval podiel čerpania na záväzku 34,50%, pričom prostriedky boli zazmluvnené na úrovni 90,84 %. </w:t>
      </w:r>
    </w:p>
    <w:p w:rsidR="00045675" w:rsidRPr="00DA20F5" w:rsidRDefault="000B3663" w:rsidP="00D36FB8">
      <w:pPr>
        <w:pStyle w:val="Nadpis7"/>
        <w:spacing w:before="120" w:after="0"/>
        <w:rPr>
          <w:lang w:eastAsia="en-GB"/>
        </w:rPr>
      </w:pPr>
      <w:bookmarkStart w:id="1295" w:name="_Toc325438269"/>
      <w:bookmarkStart w:id="1296" w:name="_Toc325441012"/>
      <w:bookmarkStart w:id="1297" w:name="_Toc325626824"/>
      <w:bookmarkStart w:id="1298" w:name="_Toc326217085"/>
      <w:r w:rsidRPr="00DA20F5">
        <w:rPr>
          <w:bCs/>
          <w:iCs/>
          <w:lang w:eastAsia="cs-CZ"/>
        </w:rPr>
        <w:t>Tab. 3.26</w:t>
      </w:r>
      <w:r w:rsidR="00AC5AAB" w:rsidRPr="00DA20F5">
        <w:rPr>
          <w:bCs/>
          <w:iCs/>
          <w:lang w:eastAsia="cs-CZ"/>
        </w:rPr>
        <w:t xml:space="preserve"> </w:t>
      </w:r>
      <w:r w:rsidR="00045675" w:rsidRPr="00DA20F5">
        <w:rPr>
          <w:lang w:eastAsia="en-GB"/>
        </w:rPr>
        <w:t>Stav zazmluvnenia a čerpania k 31.12.2011</w:t>
      </w:r>
      <w:bookmarkEnd w:id="1295"/>
      <w:bookmarkEnd w:id="1296"/>
      <w:bookmarkEnd w:id="1297"/>
      <w:bookmarkEnd w:id="1298"/>
    </w:p>
    <w:tbl>
      <w:tblPr>
        <w:tblpPr w:leftFromText="141" w:rightFromText="141" w:vertAnchor="text" w:horzAnchor="margin" w:tblpY="264"/>
        <w:tblW w:w="902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283"/>
        <w:gridCol w:w="1539"/>
        <w:gridCol w:w="1681"/>
        <w:gridCol w:w="1482"/>
        <w:gridCol w:w="1521"/>
        <w:gridCol w:w="1523"/>
      </w:tblGrid>
      <w:tr w:rsidR="00F706E1" w:rsidRPr="00DA20F5" w:rsidTr="004D2CAB">
        <w:trPr>
          <w:trHeight w:val="698"/>
        </w:trPr>
        <w:tc>
          <w:tcPr>
            <w:tcW w:w="1283" w:type="dxa"/>
            <w:shd w:val="clear" w:color="auto" w:fill="4F81BD" w:themeFill="accent1"/>
          </w:tcPr>
          <w:p w:rsidR="00045675" w:rsidRPr="00DA20F5" w:rsidRDefault="006432F0" w:rsidP="00D36FB8">
            <w:pPr>
              <w:rPr>
                <w:b/>
                <w:color w:val="FFFFFF" w:themeColor="background1"/>
                <w:sz w:val="20"/>
                <w:szCs w:val="20"/>
              </w:rPr>
            </w:pPr>
            <w:r w:rsidRPr="00DA20F5">
              <w:rPr>
                <w:b/>
                <w:color w:val="FFFFFF" w:themeColor="background1"/>
                <w:sz w:val="20"/>
                <w:szCs w:val="20"/>
              </w:rPr>
              <w:t>Programový dokument</w:t>
            </w:r>
          </w:p>
        </w:tc>
        <w:tc>
          <w:tcPr>
            <w:tcW w:w="1539" w:type="dxa"/>
            <w:shd w:val="clear" w:color="auto" w:fill="4F81BD" w:themeFill="accent1"/>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Zazmluvnenie k 31.12.2011</w:t>
            </w:r>
          </w:p>
        </w:tc>
        <w:tc>
          <w:tcPr>
            <w:tcW w:w="1681" w:type="dxa"/>
            <w:shd w:val="clear" w:color="auto" w:fill="4F81BD" w:themeFill="accent1"/>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Podiel zazmluvnenia</w:t>
            </w:r>
            <w:r w:rsidR="00AC5AAB" w:rsidRPr="00DA20F5">
              <w:rPr>
                <w:b/>
                <w:color w:val="FFFFFF" w:themeColor="background1"/>
                <w:sz w:val="20"/>
                <w:szCs w:val="20"/>
              </w:rPr>
              <w:t xml:space="preserve"> </w:t>
            </w:r>
            <w:r w:rsidRPr="00DA20F5">
              <w:rPr>
                <w:b/>
                <w:color w:val="FFFFFF" w:themeColor="background1"/>
                <w:sz w:val="20"/>
                <w:szCs w:val="20"/>
              </w:rPr>
              <w:t xml:space="preserve">na záväzku v % </w:t>
            </w:r>
          </w:p>
        </w:tc>
        <w:tc>
          <w:tcPr>
            <w:tcW w:w="1482" w:type="dxa"/>
            <w:shd w:val="clear" w:color="auto" w:fill="4F81BD" w:themeFill="accent1"/>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Čerpanie k 31.12.2011</w:t>
            </w:r>
          </w:p>
        </w:tc>
        <w:tc>
          <w:tcPr>
            <w:tcW w:w="1521" w:type="dxa"/>
            <w:shd w:val="clear" w:color="auto" w:fill="4F81BD" w:themeFill="accent1"/>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 xml:space="preserve">Záväzok 2007-2013 v bežných cenách v </w:t>
            </w:r>
            <w:r w:rsidR="00AF20A2" w:rsidRPr="00DA20F5">
              <w:rPr>
                <w:b/>
                <w:color w:val="FFFFFF" w:themeColor="background1"/>
                <w:sz w:val="20"/>
                <w:szCs w:val="20"/>
              </w:rPr>
              <w:t>€</w:t>
            </w:r>
          </w:p>
        </w:tc>
        <w:tc>
          <w:tcPr>
            <w:tcW w:w="1523" w:type="dxa"/>
            <w:shd w:val="clear" w:color="auto" w:fill="4F81BD" w:themeFill="accent1"/>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Podiel čerpania na záväzku</w:t>
            </w:r>
            <w:r w:rsidR="00AC5AAB" w:rsidRPr="00DA20F5">
              <w:rPr>
                <w:b/>
                <w:color w:val="FFFFFF" w:themeColor="background1"/>
                <w:sz w:val="20"/>
                <w:szCs w:val="20"/>
              </w:rPr>
              <w:t xml:space="preserve"> </w:t>
            </w:r>
            <w:r w:rsidRPr="00DA20F5">
              <w:rPr>
                <w:b/>
                <w:color w:val="FFFFFF" w:themeColor="background1"/>
                <w:sz w:val="20"/>
                <w:szCs w:val="20"/>
              </w:rPr>
              <w:t xml:space="preserve">v % </w:t>
            </w:r>
          </w:p>
        </w:tc>
      </w:tr>
      <w:tr w:rsidR="00F706E1" w:rsidRPr="00DA20F5" w:rsidTr="004D2CAB">
        <w:trPr>
          <w:trHeight w:val="225"/>
        </w:trPr>
        <w:tc>
          <w:tcPr>
            <w:tcW w:w="1283" w:type="dxa"/>
          </w:tcPr>
          <w:p w:rsidR="00045675" w:rsidRPr="00DA20F5" w:rsidRDefault="00045675" w:rsidP="00D36FB8">
            <w:pPr>
              <w:jc w:val="center"/>
              <w:rPr>
                <w:sz w:val="20"/>
                <w:szCs w:val="20"/>
              </w:rPr>
            </w:pPr>
          </w:p>
        </w:tc>
        <w:tc>
          <w:tcPr>
            <w:tcW w:w="1539" w:type="dxa"/>
          </w:tcPr>
          <w:p w:rsidR="00045675" w:rsidRPr="00DA20F5" w:rsidRDefault="00045675" w:rsidP="00D36FB8">
            <w:pPr>
              <w:jc w:val="center"/>
              <w:rPr>
                <w:sz w:val="20"/>
                <w:szCs w:val="20"/>
              </w:rPr>
            </w:pPr>
            <w:r w:rsidRPr="00DA20F5">
              <w:rPr>
                <w:sz w:val="20"/>
                <w:szCs w:val="20"/>
              </w:rPr>
              <w:t>EÚ a ŠR zdroje</w:t>
            </w:r>
          </w:p>
        </w:tc>
        <w:tc>
          <w:tcPr>
            <w:tcW w:w="1681" w:type="dxa"/>
          </w:tcPr>
          <w:p w:rsidR="00045675" w:rsidRPr="00DA20F5" w:rsidRDefault="00045675" w:rsidP="00D36FB8">
            <w:pPr>
              <w:rPr>
                <w:sz w:val="20"/>
                <w:szCs w:val="20"/>
              </w:rPr>
            </w:pPr>
            <w:r w:rsidRPr="00DA20F5">
              <w:rPr>
                <w:sz w:val="20"/>
                <w:szCs w:val="20"/>
              </w:rPr>
              <w:t>EÚ a ŠR zdroje</w:t>
            </w:r>
          </w:p>
        </w:tc>
        <w:tc>
          <w:tcPr>
            <w:tcW w:w="1482" w:type="dxa"/>
          </w:tcPr>
          <w:p w:rsidR="00045675" w:rsidRPr="00DA20F5" w:rsidRDefault="00045675" w:rsidP="00D36FB8">
            <w:pPr>
              <w:rPr>
                <w:sz w:val="20"/>
                <w:szCs w:val="20"/>
              </w:rPr>
            </w:pPr>
            <w:r w:rsidRPr="00DA20F5">
              <w:rPr>
                <w:sz w:val="20"/>
                <w:szCs w:val="20"/>
              </w:rPr>
              <w:t>EÚ a ŠR zdroje</w:t>
            </w:r>
          </w:p>
        </w:tc>
        <w:tc>
          <w:tcPr>
            <w:tcW w:w="1521" w:type="dxa"/>
          </w:tcPr>
          <w:p w:rsidR="00045675" w:rsidRPr="00DA20F5" w:rsidRDefault="00045675" w:rsidP="00D36FB8">
            <w:pPr>
              <w:rPr>
                <w:sz w:val="20"/>
                <w:szCs w:val="20"/>
              </w:rPr>
            </w:pPr>
            <w:r w:rsidRPr="00DA20F5">
              <w:rPr>
                <w:sz w:val="20"/>
                <w:szCs w:val="20"/>
              </w:rPr>
              <w:t>EÚ a ŠR zdroje</w:t>
            </w:r>
          </w:p>
        </w:tc>
        <w:tc>
          <w:tcPr>
            <w:tcW w:w="1523" w:type="dxa"/>
          </w:tcPr>
          <w:p w:rsidR="00045675" w:rsidRPr="00DA20F5" w:rsidRDefault="00045675" w:rsidP="00D36FB8">
            <w:pPr>
              <w:rPr>
                <w:sz w:val="20"/>
                <w:szCs w:val="20"/>
              </w:rPr>
            </w:pPr>
            <w:r w:rsidRPr="00DA20F5">
              <w:rPr>
                <w:sz w:val="20"/>
                <w:szCs w:val="20"/>
              </w:rPr>
              <w:t>EÚ a ŠR zdroje</w:t>
            </w:r>
          </w:p>
        </w:tc>
      </w:tr>
      <w:tr w:rsidR="00F706E1" w:rsidRPr="00DA20F5" w:rsidTr="004D2CAB">
        <w:trPr>
          <w:trHeight w:val="273"/>
        </w:trPr>
        <w:tc>
          <w:tcPr>
            <w:tcW w:w="1283" w:type="dxa"/>
            <w:vAlign w:val="center"/>
          </w:tcPr>
          <w:p w:rsidR="00045675" w:rsidRPr="00DA20F5" w:rsidRDefault="00045675" w:rsidP="00D36FB8">
            <w:pPr>
              <w:jc w:val="center"/>
              <w:rPr>
                <w:sz w:val="20"/>
                <w:szCs w:val="20"/>
              </w:rPr>
            </w:pPr>
            <w:r w:rsidRPr="00DA20F5">
              <w:rPr>
                <w:sz w:val="20"/>
                <w:szCs w:val="20"/>
              </w:rPr>
              <w:t>OP ZaSI</w:t>
            </w:r>
          </w:p>
        </w:tc>
        <w:tc>
          <w:tcPr>
            <w:tcW w:w="1539" w:type="dxa"/>
            <w:vAlign w:val="center"/>
          </w:tcPr>
          <w:p w:rsidR="00045675" w:rsidRPr="00DA20F5" w:rsidRDefault="00045675" w:rsidP="00D36FB8">
            <w:pPr>
              <w:jc w:val="center"/>
              <w:rPr>
                <w:sz w:val="20"/>
                <w:szCs w:val="20"/>
              </w:rPr>
            </w:pPr>
            <w:r w:rsidRPr="00DA20F5">
              <w:rPr>
                <w:sz w:val="20"/>
                <w:szCs w:val="20"/>
              </w:rPr>
              <w:t>942 414 502,35</w:t>
            </w:r>
          </w:p>
        </w:tc>
        <w:tc>
          <w:tcPr>
            <w:tcW w:w="1681" w:type="dxa"/>
            <w:vAlign w:val="center"/>
          </w:tcPr>
          <w:p w:rsidR="00045675" w:rsidRPr="00DA20F5" w:rsidRDefault="00045675" w:rsidP="00D36FB8">
            <w:pPr>
              <w:jc w:val="center"/>
              <w:rPr>
                <w:sz w:val="20"/>
                <w:szCs w:val="20"/>
              </w:rPr>
            </w:pPr>
            <w:r w:rsidRPr="00DA20F5">
              <w:rPr>
                <w:sz w:val="20"/>
                <w:szCs w:val="20"/>
              </w:rPr>
              <w:t>90,84</w:t>
            </w:r>
          </w:p>
        </w:tc>
        <w:tc>
          <w:tcPr>
            <w:tcW w:w="1482" w:type="dxa"/>
            <w:vAlign w:val="center"/>
          </w:tcPr>
          <w:p w:rsidR="00045675" w:rsidRPr="00DA20F5" w:rsidRDefault="00045675" w:rsidP="00D36FB8">
            <w:pPr>
              <w:jc w:val="center"/>
              <w:rPr>
                <w:sz w:val="20"/>
                <w:szCs w:val="20"/>
              </w:rPr>
            </w:pPr>
            <w:r w:rsidRPr="00DA20F5">
              <w:rPr>
                <w:sz w:val="20"/>
                <w:szCs w:val="20"/>
              </w:rPr>
              <w:t>357 914 241,9</w:t>
            </w:r>
          </w:p>
        </w:tc>
        <w:tc>
          <w:tcPr>
            <w:tcW w:w="1521" w:type="dxa"/>
            <w:vAlign w:val="center"/>
          </w:tcPr>
          <w:p w:rsidR="00045675" w:rsidRPr="00DA20F5" w:rsidRDefault="00045675" w:rsidP="00D36FB8">
            <w:pPr>
              <w:jc w:val="center"/>
              <w:rPr>
                <w:sz w:val="20"/>
                <w:szCs w:val="20"/>
              </w:rPr>
            </w:pPr>
            <w:r w:rsidRPr="00DA20F5">
              <w:rPr>
                <w:sz w:val="20"/>
                <w:szCs w:val="20"/>
              </w:rPr>
              <w:t>881 801 578</w:t>
            </w:r>
          </w:p>
        </w:tc>
        <w:tc>
          <w:tcPr>
            <w:tcW w:w="1523" w:type="dxa"/>
            <w:vAlign w:val="center"/>
          </w:tcPr>
          <w:p w:rsidR="00045675" w:rsidRPr="00DA20F5" w:rsidRDefault="00045675" w:rsidP="00D36FB8">
            <w:pPr>
              <w:jc w:val="center"/>
              <w:rPr>
                <w:sz w:val="20"/>
                <w:szCs w:val="20"/>
              </w:rPr>
            </w:pPr>
            <w:r w:rsidRPr="00DA20F5">
              <w:rPr>
                <w:sz w:val="20"/>
                <w:szCs w:val="20"/>
              </w:rPr>
              <w:t>34,50</w:t>
            </w:r>
          </w:p>
        </w:tc>
      </w:tr>
    </w:tbl>
    <w:p w:rsidR="00045675" w:rsidRPr="00DA20F5" w:rsidRDefault="00045675" w:rsidP="00D36FB8">
      <w:pPr>
        <w:pStyle w:val="zdroj"/>
      </w:pPr>
      <w:r w:rsidRPr="00DA20F5">
        <w:t>Zdroj: RO pre OP ZaSI/ ITMS</w:t>
      </w:r>
    </w:p>
    <w:p w:rsidR="00045675" w:rsidRPr="00DA20F5" w:rsidRDefault="00045675" w:rsidP="00D36FB8">
      <w:pPr>
        <w:rPr>
          <w:szCs w:val="22"/>
        </w:rPr>
      </w:pPr>
      <w:r w:rsidRPr="00DA20F5">
        <w:rPr>
          <w:szCs w:val="22"/>
        </w:rPr>
        <w:t xml:space="preserve">K 31.12.2011 bolo v rámci OP ZaSI realizovaných 1 522 projektov (vrátane mimoriadne ukončených a projektov Technickej asistencie) v celkovej kontrahovanej hodnote </w:t>
      </w:r>
      <w:r w:rsidRPr="00DA20F5">
        <w:rPr>
          <w:b/>
          <w:szCs w:val="22"/>
        </w:rPr>
        <w:t xml:space="preserve">942,4 mil. </w:t>
      </w:r>
      <w:r w:rsidR="00AF20A2" w:rsidRPr="00DA20F5">
        <w:rPr>
          <w:b/>
          <w:szCs w:val="22"/>
        </w:rPr>
        <w:t>€</w:t>
      </w:r>
      <w:r w:rsidRPr="00DA20F5">
        <w:rPr>
          <w:szCs w:val="22"/>
        </w:rPr>
        <w:t>. Z celkového počtu projektov bolo 96 národných projektov</w:t>
      </w:r>
      <w:r w:rsidR="0036562F" w:rsidRPr="00DA20F5">
        <w:rPr>
          <w:szCs w:val="22"/>
        </w:rPr>
        <w:t xml:space="preserve"> (NP)</w:t>
      </w:r>
      <w:r w:rsidRPr="00DA20F5">
        <w:rPr>
          <w:szCs w:val="22"/>
        </w:rPr>
        <w:t xml:space="preserve"> ( tieto sú administrované prostredníctvom riadiaceho orgánu) a</w:t>
      </w:r>
      <w:r w:rsidR="00AC5AAB" w:rsidRPr="00DA20F5">
        <w:rPr>
          <w:szCs w:val="22"/>
        </w:rPr>
        <w:t xml:space="preserve"> </w:t>
      </w:r>
      <w:r w:rsidRPr="00DA20F5">
        <w:rPr>
          <w:szCs w:val="22"/>
        </w:rPr>
        <w:t>1</w:t>
      </w:r>
      <w:r w:rsidR="008915DA" w:rsidRPr="00DA20F5">
        <w:rPr>
          <w:szCs w:val="22"/>
        </w:rPr>
        <w:t xml:space="preserve"> </w:t>
      </w:r>
      <w:r w:rsidRPr="00DA20F5">
        <w:rPr>
          <w:szCs w:val="22"/>
        </w:rPr>
        <w:t>384 dopytovo-orientovaných projektov</w:t>
      </w:r>
      <w:r w:rsidR="00F97C8F" w:rsidRPr="00DA20F5">
        <w:rPr>
          <w:szCs w:val="22"/>
        </w:rPr>
        <w:t xml:space="preserve"> (DOP)</w:t>
      </w:r>
      <w:r w:rsidRPr="00DA20F5">
        <w:rPr>
          <w:szCs w:val="22"/>
        </w:rPr>
        <w:t>. Z nich je 766 administrovaných sprostredkovateľským orgánom Sociálna implementačná</w:t>
      </w:r>
      <w:r w:rsidR="00AC5AAB" w:rsidRPr="00DA20F5">
        <w:rPr>
          <w:szCs w:val="22"/>
        </w:rPr>
        <w:t xml:space="preserve"> </w:t>
      </w:r>
      <w:r w:rsidRPr="00DA20F5">
        <w:rPr>
          <w:szCs w:val="22"/>
        </w:rPr>
        <w:t>agentúra</w:t>
      </w:r>
      <w:r w:rsidR="00AC5AAB" w:rsidRPr="00DA20F5">
        <w:rPr>
          <w:szCs w:val="22"/>
        </w:rPr>
        <w:t xml:space="preserve"> </w:t>
      </w:r>
      <w:r w:rsidRPr="00DA20F5">
        <w:rPr>
          <w:szCs w:val="22"/>
        </w:rPr>
        <w:t>(SIA)</w:t>
      </w:r>
      <w:r w:rsidR="00AC5AAB" w:rsidRPr="00DA20F5">
        <w:rPr>
          <w:szCs w:val="22"/>
        </w:rPr>
        <w:t xml:space="preserve"> </w:t>
      </w:r>
      <w:r w:rsidRPr="00DA20F5">
        <w:rPr>
          <w:szCs w:val="22"/>
        </w:rPr>
        <w:t>a 618</w:t>
      </w:r>
      <w:r w:rsidR="00AC5AAB" w:rsidRPr="00DA20F5">
        <w:rPr>
          <w:szCs w:val="22"/>
        </w:rPr>
        <w:t xml:space="preserve"> </w:t>
      </w:r>
      <w:r w:rsidRPr="00DA20F5">
        <w:rPr>
          <w:szCs w:val="22"/>
        </w:rPr>
        <w:t>sprostredkovateľským orgánom</w:t>
      </w:r>
      <w:r w:rsidR="00AC5AAB" w:rsidRPr="00DA20F5">
        <w:rPr>
          <w:szCs w:val="22"/>
        </w:rPr>
        <w:t xml:space="preserve"> </w:t>
      </w:r>
      <w:r w:rsidRPr="00DA20F5">
        <w:rPr>
          <w:szCs w:val="22"/>
        </w:rPr>
        <w:t>Fond sociálneho rozvoja (FSR). 42 projektov je kontrahovaných v rámci Technickej pomoci.</w:t>
      </w:r>
      <w:r w:rsidR="00AC5AAB" w:rsidRPr="00DA20F5">
        <w:rPr>
          <w:szCs w:val="22"/>
        </w:rPr>
        <w:t xml:space="preserve"> </w:t>
      </w:r>
    </w:p>
    <w:p w:rsidR="00177D15" w:rsidRPr="00DA20F5" w:rsidRDefault="00177D15" w:rsidP="00D36FB8">
      <w:pPr>
        <w:jc w:val="left"/>
        <w:rPr>
          <w:b/>
          <w:bCs/>
          <w:iCs/>
          <w:lang w:eastAsia="cs-CZ"/>
        </w:rPr>
      </w:pPr>
      <w:bookmarkStart w:id="1299" w:name="_Toc325438270"/>
      <w:bookmarkStart w:id="1300" w:name="_Toc325441013"/>
      <w:r w:rsidRPr="00DA20F5">
        <w:rPr>
          <w:bCs/>
          <w:iCs/>
          <w:lang w:eastAsia="cs-CZ"/>
        </w:rPr>
        <w:br w:type="page"/>
      </w:r>
    </w:p>
    <w:p w:rsidR="00045675" w:rsidRPr="00DA20F5" w:rsidRDefault="000B3663" w:rsidP="00D36FB8">
      <w:pPr>
        <w:pStyle w:val="Nadpis7"/>
      </w:pPr>
      <w:bookmarkStart w:id="1301" w:name="_Toc325626825"/>
      <w:bookmarkStart w:id="1302" w:name="_Toc326217086"/>
      <w:r w:rsidRPr="00DA20F5">
        <w:rPr>
          <w:bCs/>
          <w:iCs/>
          <w:lang w:eastAsia="cs-CZ"/>
        </w:rPr>
        <w:lastRenderedPageBreak/>
        <w:t>Tab. 3.27</w:t>
      </w:r>
      <w:r w:rsidR="00AC5AAB" w:rsidRPr="00DA20F5">
        <w:rPr>
          <w:bCs/>
          <w:iCs/>
          <w:lang w:eastAsia="cs-CZ"/>
        </w:rPr>
        <w:t xml:space="preserve"> </w:t>
      </w:r>
      <w:r w:rsidR="00045675" w:rsidRPr="00DA20F5">
        <w:t>Stav zazmluvnenia podľa prioritných osí OP ZaSI</w:t>
      </w:r>
      <w:bookmarkEnd w:id="1299"/>
      <w:bookmarkEnd w:id="1300"/>
      <w:bookmarkEnd w:id="1301"/>
      <w:bookmarkEnd w:id="1302"/>
    </w:p>
    <w:tbl>
      <w:tblPr>
        <w:tblW w:w="888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2670"/>
        <w:gridCol w:w="1486"/>
        <w:gridCol w:w="1350"/>
        <w:gridCol w:w="1351"/>
        <w:gridCol w:w="2026"/>
      </w:tblGrid>
      <w:tr w:rsidR="00F706E1" w:rsidRPr="00DA20F5" w:rsidTr="003A163B">
        <w:trPr>
          <w:trHeight w:val="725"/>
        </w:trPr>
        <w:tc>
          <w:tcPr>
            <w:tcW w:w="2670" w:type="dxa"/>
            <w:vMerge w:val="restart"/>
            <w:shd w:val="clear" w:color="auto" w:fill="4F81BD" w:themeFill="accent1"/>
            <w:vAlign w:val="center"/>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Prioritná os</w:t>
            </w:r>
          </w:p>
        </w:tc>
        <w:tc>
          <w:tcPr>
            <w:tcW w:w="1486" w:type="dxa"/>
            <w:vMerge w:val="restart"/>
            <w:shd w:val="clear" w:color="auto" w:fill="4F81BD" w:themeFill="accent1"/>
            <w:vAlign w:val="center"/>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Celková alokácia pre os</w:t>
            </w:r>
            <w:r w:rsidR="00AC5AAB" w:rsidRPr="00DA20F5">
              <w:rPr>
                <w:b/>
                <w:color w:val="FFFFFF" w:themeColor="background1"/>
                <w:sz w:val="20"/>
                <w:szCs w:val="20"/>
              </w:rPr>
              <w:t xml:space="preserve"> </w:t>
            </w:r>
            <w:r w:rsidRPr="00DA20F5">
              <w:rPr>
                <w:b/>
                <w:color w:val="FFFFFF" w:themeColor="background1"/>
                <w:sz w:val="20"/>
                <w:szCs w:val="20"/>
              </w:rPr>
              <w:t xml:space="preserve">v mil. </w:t>
            </w:r>
            <w:r w:rsidR="00AF20A2" w:rsidRPr="00DA20F5">
              <w:rPr>
                <w:b/>
                <w:color w:val="FFFFFF" w:themeColor="background1"/>
                <w:sz w:val="20"/>
                <w:szCs w:val="20"/>
              </w:rPr>
              <w:t>€</w:t>
            </w:r>
          </w:p>
        </w:tc>
        <w:tc>
          <w:tcPr>
            <w:tcW w:w="2701" w:type="dxa"/>
            <w:gridSpan w:val="2"/>
            <w:shd w:val="clear" w:color="auto" w:fill="4F81BD" w:themeFill="accent1"/>
            <w:vAlign w:val="center"/>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Počet podporených projektov</w:t>
            </w:r>
          </w:p>
        </w:tc>
        <w:tc>
          <w:tcPr>
            <w:tcW w:w="2026" w:type="dxa"/>
            <w:vMerge w:val="restart"/>
            <w:shd w:val="clear" w:color="auto" w:fill="4F81BD" w:themeFill="accent1"/>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 xml:space="preserve">Výška kontrahovaných finančných prostriedkov v mil. </w:t>
            </w:r>
            <w:r w:rsidR="00AF20A2" w:rsidRPr="00DA20F5">
              <w:rPr>
                <w:b/>
                <w:color w:val="FFFFFF" w:themeColor="background1"/>
                <w:sz w:val="20"/>
                <w:szCs w:val="20"/>
              </w:rPr>
              <w:t>€</w:t>
            </w:r>
          </w:p>
        </w:tc>
      </w:tr>
      <w:tr w:rsidR="00F706E1" w:rsidRPr="00DA20F5" w:rsidTr="003A163B">
        <w:trPr>
          <w:trHeight w:val="150"/>
        </w:trPr>
        <w:tc>
          <w:tcPr>
            <w:tcW w:w="2670" w:type="dxa"/>
            <w:vMerge/>
            <w:shd w:val="clear" w:color="auto" w:fill="FFFFFF"/>
          </w:tcPr>
          <w:p w:rsidR="00045675" w:rsidRPr="00DA20F5" w:rsidRDefault="00045675" w:rsidP="00D36FB8">
            <w:pPr>
              <w:rPr>
                <w:color w:val="4F81BD" w:themeColor="accent1"/>
                <w:sz w:val="20"/>
                <w:szCs w:val="20"/>
              </w:rPr>
            </w:pPr>
          </w:p>
        </w:tc>
        <w:tc>
          <w:tcPr>
            <w:tcW w:w="1486" w:type="dxa"/>
            <w:vMerge/>
            <w:shd w:val="clear" w:color="auto" w:fill="FFFFFF"/>
          </w:tcPr>
          <w:p w:rsidR="00045675" w:rsidRPr="00DA20F5" w:rsidRDefault="00045675" w:rsidP="00D36FB8">
            <w:pPr>
              <w:rPr>
                <w:color w:val="4F81BD" w:themeColor="accent1"/>
                <w:sz w:val="20"/>
                <w:szCs w:val="20"/>
              </w:rPr>
            </w:pPr>
          </w:p>
        </w:tc>
        <w:tc>
          <w:tcPr>
            <w:tcW w:w="1350" w:type="dxa"/>
            <w:shd w:val="clear" w:color="auto" w:fill="4F81BD" w:themeFill="accent1"/>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NP</w:t>
            </w:r>
          </w:p>
        </w:tc>
        <w:tc>
          <w:tcPr>
            <w:tcW w:w="1351" w:type="dxa"/>
            <w:shd w:val="clear" w:color="auto" w:fill="4F81BD" w:themeFill="accent1"/>
          </w:tcPr>
          <w:p w:rsidR="00045675" w:rsidRPr="00DA20F5" w:rsidRDefault="00045675" w:rsidP="00D36FB8">
            <w:pPr>
              <w:jc w:val="center"/>
              <w:rPr>
                <w:b/>
                <w:color w:val="FFFFFF" w:themeColor="background1"/>
                <w:sz w:val="20"/>
                <w:szCs w:val="20"/>
              </w:rPr>
            </w:pPr>
            <w:r w:rsidRPr="00DA20F5">
              <w:rPr>
                <w:b/>
                <w:color w:val="FFFFFF" w:themeColor="background1"/>
                <w:sz w:val="20"/>
                <w:szCs w:val="20"/>
              </w:rPr>
              <w:t>DOP</w:t>
            </w:r>
          </w:p>
        </w:tc>
        <w:tc>
          <w:tcPr>
            <w:tcW w:w="2026" w:type="dxa"/>
            <w:vMerge/>
            <w:shd w:val="clear" w:color="auto" w:fill="FFFFFF"/>
          </w:tcPr>
          <w:p w:rsidR="00045675" w:rsidRPr="00DA20F5" w:rsidRDefault="00045675" w:rsidP="00D36FB8">
            <w:pPr>
              <w:jc w:val="center"/>
              <w:rPr>
                <w:b/>
                <w:color w:val="FFFFFF" w:themeColor="background1"/>
                <w:sz w:val="20"/>
                <w:szCs w:val="20"/>
              </w:rPr>
            </w:pPr>
          </w:p>
        </w:tc>
      </w:tr>
      <w:tr w:rsidR="00F706E1" w:rsidRPr="00DA20F5" w:rsidTr="003A163B">
        <w:trPr>
          <w:trHeight w:val="245"/>
        </w:trPr>
        <w:tc>
          <w:tcPr>
            <w:tcW w:w="2670" w:type="dxa"/>
            <w:shd w:val="clear" w:color="auto" w:fill="FFFFFF"/>
          </w:tcPr>
          <w:p w:rsidR="00045675" w:rsidRPr="00DA20F5" w:rsidRDefault="00045675" w:rsidP="00D36FB8">
            <w:pPr>
              <w:rPr>
                <w:sz w:val="20"/>
                <w:szCs w:val="20"/>
              </w:rPr>
            </w:pPr>
            <w:r w:rsidRPr="00DA20F5">
              <w:rPr>
                <w:sz w:val="20"/>
                <w:szCs w:val="20"/>
              </w:rPr>
              <w:t>1. Podpora zamestnanosti</w:t>
            </w:r>
          </w:p>
        </w:tc>
        <w:tc>
          <w:tcPr>
            <w:tcW w:w="1486" w:type="dxa"/>
            <w:shd w:val="clear" w:color="auto" w:fill="FFFFFF"/>
          </w:tcPr>
          <w:p w:rsidR="00045675" w:rsidRPr="00DA20F5" w:rsidRDefault="00045675" w:rsidP="00D36FB8">
            <w:pPr>
              <w:ind w:right="254"/>
              <w:jc w:val="right"/>
              <w:rPr>
                <w:sz w:val="20"/>
                <w:szCs w:val="20"/>
              </w:rPr>
            </w:pPr>
            <w:r w:rsidRPr="00DA20F5">
              <w:rPr>
                <w:sz w:val="20"/>
                <w:szCs w:val="20"/>
              </w:rPr>
              <w:t>667,550</w:t>
            </w:r>
          </w:p>
        </w:tc>
        <w:tc>
          <w:tcPr>
            <w:tcW w:w="1350" w:type="dxa"/>
            <w:shd w:val="clear" w:color="auto" w:fill="FFFFFF"/>
          </w:tcPr>
          <w:p w:rsidR="00045675" w:rsidRPr="00DA20F5" w:rsidRDefault="00045675" w:rsidP="00D36FB8">
            <w:pPr>
              <w:ind w:right="254"/>
              <w:jc w:val="right"/>
              <w:rPr>
                <w:sz w:val="20"/>
                <w:szCs w:val="20"/>
              </w:rPr>
            </w:pPr>
            <w:r w:rsidRPr="00DA20F5">
              <w:rPr>
                <w:sz w:val="20"/>
                <w:szCs w:val="20"/>
              </w:rPr>
              <w:t>29</w:t>
            </w:r>
          </w:p>
        </w:tc>
        <w:tc>
          <w:tcPr>
            <w:tcW w:w="1351" w:type="dxa"/>
            <w:shd w:val="clear" w:color="auto" w:fill="FFFFFF"/>
          </w:tcPr>
          <w:p w:rsidR="00045675" w:rsidRPr="00DA20F5" w:rsidRDefault="00045675" w:rsidP="00D36FB8">
            <w:pPr>
              <w:ind w:right="254"/>
              <w:jc w:val="right"/>
              <w:rPr>
                <w:sz w:val="20"/>
                <w:szCs w:val="20"/>
              </w:rPr>
            </w:pPr>
            <w:r w:rsidRPr="00DA20F5">
              <w:rPr>
                <w:sz w:val="20"/>
                <w:szCs w:val="20"/>
              </w:rPr>
              <w:t>581</w:t>
            </w:r>
          </w:p>
        </w:tc>
        <w:tc>
          <w:tcPr>
            <w:tcW w:w="2026" w:type="dxa"/>
            <w:shd w:val="clear" w:color="auto" w:fill="FFFFFF"/>
          </w:tcPr>
          <w:p w:rsidR="00045675" w:rsidRPr="00DA20F5" w:rsidRDefault="00045675" w:rsidP="005C3A6A">
            <w:pPr>
              <w:ind w:right="587"/>
              <w:jc w:val="right"/>
              <w:rPr>
                <w:sz w:val="20"/>
                <w:szCs w:val="20"/>
              </w:rPr>
            </w:pPr>
            <w:r w:rsidRPr="00DA20F5">
              <w:rPr>
                <w:sz w:val="20"/>
                <w:szCs w:val="20"/>
              </w:rPr>
              <w:t>639,876</w:t>
            </w:r>
          </w:p>
        </w:tc>
      </w:tr>
      <w:tr w:rsidR="00F706E1" w:rsidRPr="00DA20F5" w:rsidTr="003A163B">
        <w:trPr>
          <w:trHeight w:val="222"/>
        </w:trPr>
        <w:tc>
          <w:tcPr>
            <w:tcW w:w="2670" w:type="dxa"/>
            <w:shd w:val="clear" w:color="auto" w:fill="FFFFFF"/>
          </w:tcPr>
          <w:p w:rsidR="00045675" w:rsidRPr="00DA20F5" w:rsidRDefault="00045675" w:rsidP="00D36FB8">
            <w:pPr>
              <w:rPr>
                <w:sz w:val="20"/>
                <w:szCs w:val="20"/>
              </w:rPr>
            </w:pPr>
            <w:r w:rsidRPr="00DA20F5">
              <w:rPr>
                <w:sz w:val="20"/>
                <w:szCs w:val="20"/>
              </w:rPr>
              <w:t>2. Sociálna inklúzia</w:t>
            </w:r>
          </w:p>
        </w:tc>
        <w:tc>
          <w:tcPr>
            <w:tcW w:w="1486" w:type="dxa"/>
            <w:shd w:val="clear" w:color="auto" w:fill="FFFFFF"/>
          </w:tcPr>
          <w:p w:rsidR="00045675" w:rsidRPr="00DA20F5" w:rsidRDefault="00045675" w:rsidP="00D36FB8">
            <w:pPr>
              <w:ind w:right="254"/>
              <w:jc w:val="right"/>
              <w:rPr>
                <w:sz w:val="20"/>
                <w:szCs w:val="20"/>
              </w:rPr>
            </w:pPr>
            <w:r w:rsidRPr="00DA20F5">
              <w:rPr>
                <w:sz w:val="20"/>
                <w:szCs w:val="20"/>
              </w:rPr>
              <w:t>220,941</w:t>
            </w:r>
          </w:p>
        </w:tc>
        <w:tc>
          <w:tcPr>
            <w:tcW w:w="1350" w:type="dxa"/>
            <w:shd w:val="clear" w:color="auto" w:fill="FFFFFF"/>
          </w:tcPr>
          <w:p w:rsidR="00045675" w:rsidRPr="00DA20F5" w:rsidRDefault="00045675" w:rsidP="00D36FB8">
            <w:pPr>
              <w:ind w:right="254"/>
              <w:jc w:val="right"/>
              <w:rPr>
                <w:sz w:val="20"/>
                <w:szCs w:val="20"/>
              </w:rPr>
            </w:pPr>
            <w:r w:rsidRPr="00DA20F5">
              <w:rPr>
                <w:sz w:val="20"/>
                <w:szCs w:val="20"/>
              </w:rPr>
              <w:t>9</w:t>
            </w:r>
          </w:p>
        </w:tc>
        <w:tc>
          <w:tcPr>
            <w:tcW w:w="1351" w:type="dxa"/>
            <w:shd w:val="clear" w:color="auto" w:fill="FFFFFF"/>
          </w:tcPr>
          <w:p w:rsidR="00045675" w:rsidRPr="00DA20F5" w:rsidRDefault="00045675" w:rsidP="00D36FB8">
            <w:pPr>
              <w:ind w:right="254"/>
              <w:jc w:val="right"/>
              <w:rPr>
                <w:sz w:val="20"/>
                <w:szCs w:val="20"/>
              </w:rPr>
            </w:pPr>
            <w:r w:rsidRPr="00DA20F5">
              <w:rPr>
                <w:sz w:val="20"/>
                <w:szCs w:val="20"/>
              </w:rPr>
              <w:t>609</w:t>
            </w:r>
          </w:p>
        </w:tc>
        <w:tc>
          <w:tcPr>
            <w:tcW w:w="2026" w:type="dxa"/>
            <w:shd w:val="clear" w:color="auto" w:fill="FFFFFF"/>
          </w:tcPr>
          <w:p w:rsidR="00045675" w:rsidRPr="00DA20F5" w:rsidRDefault="00045675" w:rsidP="005C3A6A">
            <w:pPr>
              <w:ind w:right="587"/>
              <w:jc w:val="right"/>
              <w:rPr>
                <w:sz w:val="20"/>
                <w:szCs w:val="20"/>
              </w:rPr>
            </w:pPr>
            <w:r w:rsidRPr="00DA20F5">
              <w:rPr>
                <w:sz w:val="20"/>
                <w:szCs w:val="20"/>
              </w:rPr>
              <w:t>178,025</w:t>
            </w:r>
          </w:p>
        </w:tc>
      </w:tr>
      <w:tr w:rsidR="00F706E1" w:rsidRPr="00DA20F5" w:rsidTr="003A163B">
        <w:trPr>
          <w:trHeight w:val="479"/>
        </w:trPr>
        <w:tc>
          <w:tcPr>
            <w:tcW w:w="2670" w:type="dxa"/>
            <w:shd w:val="clear" w:color="auto" w:fill="FFFFFF"/>
          </w:tcPr>
          <w:p w:rsidR="00045675" w:rsidRPr="00DA20F5" w:rsidRDefault="00045675" w:rsidP="00D36FB8">
            <w:pPr>
              <w:ind w:left="240" w:hanging="240"/>
              <w:rPr>
                <w:sz w:val="20"/>
                <w:szCs w:val="20"/>
              </w:rPr>
            </w:pPr>
            <w:r w:rsidRPr="00DA20F5">
              <w:rPr>
                <w:sz w:val="20"/>
                <w:szCs w:val="20"/>
              </w:rPr>
              <w:t>3. BSK + Technická pomoc</w:t>
            </w:r>
            <w:r w:rsidR="00AC5AAB" w:rsidRPr="00DA20F5">
              <w:rPr>
                <w:sz w:val="20"/>
                <w:szCs w:val="20"/>
              </w:rPr>
              <w:t xml:space="preserve"> </w:t>
            </w:r>
            <w:r w:rsidRPr="00DA20F5">
              <w:rPr>
                <w:sz w:val="20"/>
                <w:szCs w:val="20"/>
              </w:rPr>
              <w:t>BSK</w:t>
            </w:r>
          </w:p>
        </w:tc>
        <w:tc>
          <w:tcPr>
            <w:tcW w:w="1486" w:type="dxa"/>
            <w:shd w:val="clear" w:color="auto" w:fill="FFFFFF"/>
          </w:tcPr>
          <w:p w:rsidR="00045675" w:rsidRPr="00DA20F5" w:rsidRDefault="00045675" w:rsidP="00D36FB8">
            <w:pPr>
              <w:ind w:right="254"/>
              <w:jc w:val="right"/>
              <w:rPr>
                <w:sz w:val="20"/>
                <w:szCs w:val="20"/>
              </w:rPr>
            </w:pPr>
            <w:r w:rsidRPr="00DA20F5">
              <w:rPr>
                <w:sz w:val="20"/>
                <w:szCs w:val="20"/>
              </w:rPr>
              <w:t>20,943</w:t>
            </w:r>
          </w:p>
        </w:tc>
        <w:tc>
          <w:tcPr>
            <w:tcW w:w="1350" w:type="dxa"/>
            <w:shd w:val="clear" w:color="auto" w:fill="FFFFFF"/>
          </w:tcPr>
          <w:p w:rsidR="00045675" w:rsidRPr="00DA20F5" w:rsidRDefault="00045675" w:rsidP="00D36FB8">
            <w:pPr>
              <w:ind w:right="254"/>
              <w:jc w:val="right"/>
              <w:rPr>
                <w:sz w:val="20"/>
                <w:szCs w:val="20"/>
              </w:rPr>
            </w:pPr>
            <w:r w:rsidRPr="00DA20F5">
              <w:rPr>
                <w:sz w:val="20"/>
                <w:szCs w:val="20"/>
              </w:rPr>
              <w:t>34</w:t>
            </w:r>
          </w:p>
        </w:tc>
        <w:tc>
          <w:tcPr>
            <w:tcW w:w="1351" w:type="dxa"/>
            <w:shd w:val="clear" w:color="auto" w:fill="FFFFFF"/>
          </w:tcPr>
          <w:p w:rsidR="00045675" w:rsidRPr="00DA20F5" w:rsidRDefault="00045675" w:rsidP="00D36FB8">
            <w:pPr>
              <w:ind w:right="254"/>
              <w:jc w:val="right"/>
              <w:rPr>
                <w:sz w:val="20"/>
                <w:szCs w:val="20"/>
              </w:rPr>
            </w:pPr>
            <w:r w:rsidRPr="00DA20F5">
              <w:rPr>
                <w:sz w:val="20"/>
                <w:szCs w:val="20"/>
              </w:rPr>
              <w:t>46</w:t>
            </w:r>
          </w:p>
        </w:tc>
        <w:tc>
          <w:tcPr>
            <w:tcW w:w="2026" w:type="dxa"/>
            <w:shd w:val="clear" w:color="auto" w:fill="FFFFFF"/>
          </w:tcPr>
          <w:p w:rsidR="00045675" w:rsidRPr="00DA20F5" w:rsidRDefault="00045675" w:rsidP="005C3A6A">
            <w:pPr>
              <w:ind w:right="587"/>
              <w:jc w:val="right"/>
              <w:rPr>
                <w:sz w:val="20"/>
                <w:szCs w:val="20"/>
              </w:rPr>
            </w:pPr>
            <w:r w:rsidRPr="00DA20F5">
              <w:rPr>
                <w:sz w:val="20"/>
                <w:szCs w:val="20"/>
              </w:rPr>
              <w:t>19,085</w:t>
            </w:r>
          </w:p>
        </w:tc>
      </w:tr>
      <w:tr w:rsidR="00F706E1" w:rsidRPr="00DA20F5" w:rsidTr="003A163B">
        <w:trPr>
          <w:trHeight w:val="234"/>
        </w:trPr>
        <w:tc>
          <w:tcPr>
            <w:tcW w:w="2670" w:type="dxa"/>
            <w:shd w:val="clear" w:color="auto" w:fill="FFFFFF"/>
          </w:tcPr>
          <w:p w:rsidR="00045675" w:rsidRPr="00DA20F5" w:rsidRDefault="00045675" w:rsidP="00D36FB8">
            <w:pPr>
              <w:rPr>
                <w:sz w:val="20"/>
                <w:szCs w:val="20"/>
              </w:rPr>
            </w:pPr>
            <w:r w:rsidRPr="00DA20F5">
              <w:rPr>
                <w:sz w:val="20"/>
                <w:szCs w:val="20"/>
              </w:rPr>
              <w:t>4. Budovanie kapacít</w:t>
            </w:r>
          </w:p>
        </w:tc>
        <w:tc>
          <w:tcPr>
            <w:tcW w:w="1486" w:type="dxa"/>
            <w:shd w:val="clear" w:color="auto" w:fill="FFFFFF"/>
          </w:tcPr>
          <w:p w:rsidR="00045675" w:rsidRPr="00DA20F5" w:rsidRDefault="00045675" w:rsidP="00D36FB8">
            <w:pPr>
              <w:ind w:right="254"/>
              <w:jc w:val="right"/>
              <w:rPr>
                <w:sz w:val="20"/>
                <w:szCs w:val="20"/>
              </w:rPr>
            </w:pPr>
            <w:r w:rsidRPr="00DA20F5">
              <w:rPr>
                <w:sz w:val="20"/>
                <w:szCs w:val="20"/>
              </w:rPr>
              <w:t>96,158</w:t>
            </w:r>
          </w:p>
        </w:tc>
        <w:tc>
          <w:tcPr>
            <w:tcW w:w="1350" w:type="dxa"/>
            <w:shd w:val="clear" w:color="auto" w:fill="FFFFFF"/>
          </w:tcPr>
          <w:p w:rsidR="00045675" w:rsidRPr="00DA20F5" w:rsidRDefault="00045675" w:rsidP="00D36FB8">
            <w:pPr>
              <w:ind w:right="254"/>
              <w:jc w:val="right"/>
              <w:rPr>
                <w:sz w:val="20"/>
                <w:szCs w:val="20"/>
              </w:rPr>
            </w:pPr>
            <w:r w:rsidRPr="00DA20F5">
              <w:rPr>
                <w:sz w:val="20"/>
                <w:szCs w:val="20"/>
              </w:rPr>
              <w:t>24</w:t>
            </w:r>
          </w:p>
        </w:tc>
        <w:tc>
          <w:tcPr>
            <w:tcW w:w="1351" w:type="dxa"/>
            <w:shd w:val="clear" w:color="auto" w:fill="FFFFFF"/>
          </w:tcPr>
          <w:p w:rsidR="00045675" w:rsidRPr="00DA20F5" w:rsidRDefault="00045675" w:rsidP="00D36FB8">
            <w:pPr>
              <w:ind w:right="254"/>
              <w:jc w:val="right"/>
              <w:rPr>
                <w:sz w:val="20"/>
                <w:szCs w:val="20"/>
              </w:rPr>
            </w:pPr>
            <w:r w:rsidRPr="00DA20F5">
              <w:rPr>
                <w:sz w:val="20"/>
                <w:szCs w:val="20"/>
              </w:rPr>
              <w:t>163</w:t>
            </w:r>
          </w:p>
        </w:tc>
        <w:tc>
          <w:tcPr>
            <w:tcW w:w="2026" w:type="dxa"/>
            <w:shd w:val="clear" w:color="auto" w:fill="FFFFFF"/>
          </w:tcPr>
          <w:p w:rsidR="00045675" w:rsidRPr="00DA20F5" w:rsidRDefault="00045675" w:rsidP="005C3A6A">
            <w:pPr>
              <w:ind w:right="587"/>
              <w:jc w:val="right"/>
              <w:rPr>
                <w:sz w:val="20"/>
                <w:szCs w:val="20"/>
              </w:rPr>
            </w:pPr>
            <w:r w:rsidRPr="00DA20F5">
              <w:rPr>
                <w:sz w:val="20"/>
                <w:szCs w:val="20"/>
              </w:rPr>
              <w:t>76,599</w:t>
            </w:r>
          </w:p>
        </w:tc>
      </w:tr>
      <w:tr w:rsidR="00F706E1" w:rsidRPr="00DA20F5" w:rsidTr="003A163B">
        <w:trPr>
          <w:trHeight w:val="245"/>
        </w:trPr>
        <w:tc>
          <w:tcPr>
            <w:tcW w:w="2670" w:type="dxa"/>
            <w:shd w:val="clear" w:color="auto" w:fill="FFFFFF"/>
          </w:tcPr>
          <w:p w:rsidR="00045675" w:rsidRPr="00DA20F5" w:rsidRDefault="00045675" w:rsidP="00D36FB8">
            <w:pPr>
              <w:rPr>
                <w:sz w:val="20"/>
                <w:szCs w:val="20"/>
              </w:rPr>
            </w:pPr>
            <w:r w:rsidRPr="00DA20F5">
              <w:rPr>
                <w:sz w:val="20"/>
                <w:szCs w:val="20"/>
              </w:rPr>
              <w:t>5. Technická asistencia</w:t>
            </w:r>
          </w:p>
        </w:tc>
        <w:tc>
          <w:tcPr>
            <w:tcW w:w="1486" w:type="dxa"/>
            <w:shd w:val="clear" w:color="auto" w:fill="FFFFFF"/>
          </w:tcPr>
          <w:p w:rsidR="00045675" w:rsidRPr="00DA20F5" w:rsidRDefault="00045675" w:rsidP="00D36FB8">
            <w:pPr>
              <w:ind w:right="254"/>
              <w:jc w:val="right"/>
              <w:rPr>
                <w:sz w:val="20"/>
                <w:szCs w:val="20"/>
              </w:rPr>
            </w:pPr>
            <w:r w:rsidRPr="00DA20F5">
              <w:rPr>
                <w:sz w:val="20"/>
                <w:szCs w:val="20"/>
              </w:rPr>
              <w:t>31,816</w:t>
            </w:r>
          </w:p>
        </w:tc>
        <w:tc>
          <w:tcPr>
            <w:tcW w:w="1350" w:type="dxa"/>
            <w:shd w:val="clear" w:color="auto" w:fill="FFFFFF"/>
          </w:tcPr>
          <w:p w:rsidR="00045675" w:rsidRPr="00DA20F5" w:rsidRDefault="00045675" w:rsidP="00D36FB8">
            <w:pPr>
              <w:ind w:right="254"/>
              <w:jc w:val="right"/>
              <w:rPr>
                <w:sz w:val="20"/>
                <w:szCs w:val="20"/>
              </w:rPr>
            </w:pPr>
            <w:r w:rsidRPr="00DA20F5">
              <w:rPr>
                <w:sz w:val="20"/>
                <w:szCs w:val="20"/>
              </w:rPr>
              <w:t>0</w:t>
            </w:r>
          </w:p>
        </w:tc>
        <w:tc>
          <w:tcPr>
            <w:tcW w:w="1351" w:type="dxa"/>
            <w:shd w:val="clear" w:color="auto" w:fill="FFFFFF"/>
          </w:tcPr>
          <w:p w:rsidR="00045675" w:rsidRPr="00DA20F5" w:rsidRDefault="00045675" w:rsidP="00D36FB8">
            <w:pPr>
              <w:ind w:right="254"/>
              <w:jc w:val="right"/>
              <w:rPr>
                <w:sz w:val="20"/>
                <w:szCs w:val="20"/>
              </w:rPr>
            </w:pPr>
            <w:r w:rsidRPr="00DA20F5">
              <w:rPr>
                <w:sz w:val="20"/>
                <w:szCs w:val="20"/>
              </w:rPr>
              <w:t>27</w:t>
            </w:r>
          </w:p>
        </w:tc>
        <w:tc>
          <w:tcPr>
            <w:tcW w:w="2026" w:type="dxa"/>
            <w:shd w:val="clear" w:color="auto" w:fill="FFFFFF"/>
          </w:tcPr>
          <w:p w:rsidR="00045675" w:rsidRPr="00DA20F5" w:rsidRDefault="00045675" w:rsidP="005C3A6A">
            <w:pPr>
              <w:ind w:right="587"/>
              <w:jc w:val="right"/>
              <w:rPr>
                <w:sz w:val="20"/>
                <w:szCs w:val="20"/>
              </w:rPr>
            </w:pPr>
            <w:r w:rsidRPr="00DA20F5">
              <w:rPr>
                <w:sz w:val="20"/>
                <w:szCs w:val="20"/>
              </w:rPr>
              <w:t>28,829</w:t>
            </w:r>
          </w:p>
        </w:tc>
      </w:tr>
    </w:tbl>
    <w:p w:rsidR="00045675" w:rsidRPr="00DA20F5" w:rsidRDefault="00045675" w:rsidP="00D36FB8">
      <w:pPr>
        <w:pStyle w:val="zdroj"/>
      </w:pPr>
      <w:r w:rsidRPr="00DA20F5">
        <w:t>Zdroj: RO pre OP ZaSI/ ITMS</w:t>
      </w:r>
    </w:p>
    <w:p w:rsidR="00045675" w:rsidRPr="00DA20F5" w:rsidRDefault="00045675" w:rsidP="00D36FB8">
      <w:pPr>
        <w:pStyle w:val="Nadpis7"/>
      </w:pPr>
      <w:bookmarkStart w:id="1303" w:name="_Toc325438271"/>
      <w:bookmarkStart w:id="1304" w:name="_Toc325441014"/>
      <w:bookmarkStart w:id="1305" w:name="_Toc325626826"/>
      <w:bookmarkStart w:id="1306" w:name="_Toc326217087"/>
      <w:r w:rsidRPr="00DA20F5">
        <w:t>Graf</w:t>
      </w:r>
      <w:r w:rsidR="00AC5AAB" w:rsidRPr="00DA20F5">
        <w:t xml:space="preserve"> </w:t>
      </w:r>
      <w:r w:rsidR="002B1933" w:rsidRPr="00DA20F5">
        <w:t>3.2</w:t>
      </w:r>
      <w:r w:rsidR="00CC69B8" w:rsidRPr="00DA20F5">
        <w:t>7</w:t>
      </w:r>
      <w:r w:rsidR="00161E87" w:rsidRPr="00DA20F5">
        <w:t xml:space="preserve"> </w:t>
      </w:r>
      <w:r w:rsidRPr="00DA20F5">
        <w:t>Stav zazmluvnenia projektov podľa samosprávnych krajov</w:t>
      </w:r>
      <w:bookmarkEnd w:id="1303"/>
      <w:bookmarkEnd w:id="1304"/>
      <w:bookmarkEnd w:id="1305"/>
      <w:bookmarkEnd w:id="1306"/>
    </w:p>
    <w:p w:rsidR="00045675" w:rsidRPr="00DA20F5" w:rsidRDefault="00045675" w:rsidP="00D36FB8">
      <w:pPr>
        <w:rPr>
          <w:i/>
          <w:color w:val="4F81BD" w:themeColor="accent1"/>
        </w:rPr>
      </w:pPr>
    </w:p>
    <w:p w:rsidR="00045675" w:rsidRPr="00DA20F5" w:rsidRDefault="00045675" w:rsidP="00D36FB8">
      <w:pPr>
        <w:rPr>
          <w:i/>
          <w:color w:val="4F81BD" w:themeColor="accent1"/>
        </w:rPr>
      </w:pPr>
      <w:r w:rsidRPr="00DA20F5">
        <w:rPr>
          <w:i/>
          <w:noProof/>
          <w:color w:val="4F81BD" w:themeColor="accent1"/>
        </w:rPr>
        <w:drawing>
          <wp:inline distT="0" distB="0" distL="0" distR="0" wp14:anchorId="1C31A336" wp14:editId="374F0996">
            <wp:extent cx="5736590" cy="298640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36590" cy="2986405"/>
                    </a:xfrm>
                    <a:prstGeom prst="rect">
                      <a:avLst/>
                    </a:prstGeom>
                    <a:noFill/>
                    <a:ln>
                      <a:noFill/>
                    </a:ln>
                  </pic:spPr>
                </pic:pic>
              </a:graphicData>
            </a:graphic>
          </wp:inline>
        </w:drawing>
      </w:r>
    </w:p>
    <w:p w:rsidR="00045675" w:rsidRPr="00DA20F5" w:rsidRDefault="00045675" w:rsidP="00D36FB8">
      <w:pPr>
        <w:pStyle w:val="zdroj"/>
      </w:pPr>
      <w:r w:rsidRPr="00DA20F5">
        <w:t>Zdroj: RO orgán pre OP ZaSI/ ITMS</w:t>
      </w:r>
    </w:p>
    <w:p w:rsidR="00045675" w:rsidRPr="00DA20F5" w:rsidRDefault="00045675" w:rsidP="00D36FB8">
      <w:pPr>
        <w:rPr>
          <w:szCs w:val="22"/>
        </w:rPr>
      </w:pPr>
      <w:r w:rsidRPr="00DA20F5">
        <w:rPr>
          <w:szCs w:val="22"/>
        </w:rPr>
        <w:t>K zlepšovaniu kvality života a sociálnej situácie obyvateľstva prispieva OP ZaSI najmä prostredníctvom implementácie prioritnej osi 2 a 3, konkrétne</w:t>
      </w:r>
      <w:r w:rsidR="00AC5AAB" w:rsidRPr="00DA20F5">
        <w:rPr>
          <w:szCs w:val="22"/>
        </w:rPr>
        <w:t xml:space="preserve"> </w:t>
      </w:r>
      <w:r w:rsidRPr="00DA20F5">
        <w:rPr>
          <w:szCs w:val="22"/>
        </w:rPr>
        <w:t>prostredníctvom opatrení:</w:t>
      </w:r>
    </w:p>
    <w:p w:rsidR="00045675" w:rsidRPr="00DA20F5" w:rsidRDefault="00045675" w:rsidP="00D36FB8">
      <w:pPr>
        <w:rPr>
          <w:szCs w:val="22"/>
        </w:rPr>
      </w:pPr>
    </w:p>
    <w:p w:rsidR="00045675" w:rsidRPr="00DA20F5" w:rsidRDefault="00045675" w:rsidP="00D36FB8">
      <w:pPr>
        <w:ind w:left="1080" w:hanging="720"/>
        <w:contextualSpacing/>
        <w:rPr>
          <w:szCs w:val="22"/>
        </w:rPr>
      </w:pPr>
      <w:r w:rsidRPr="00DA20F5">
        <w:rPr>
          <w:szCs w:val="22"/>
        </w:rPr>
        <w:t> 2.1</w:t>
      </w:r>
      <w:r w:rsidRPr="00DA20F5">
        <w:rPr>
          <w:szCs w:val="22"/>
        </w:rPr>
        <w:tab/>
        <w:t>Podpora sociálnej inklúzie osôb ohrozených sociálnym vylúčením alebo sociálne vylúčených prostredníctvom rozvoja služieb starost</w:t>
      </w:r>
      <w:r w:rsidR="005C3A6A" w:rsidRPr="00DA20F5">
        <w:rPr>
          <w:szCs w:val="22"/>
        </w:rPr>
        <w:t>livosti s osobitným zreteľom na </w:t>
      </w:r>
      <w:r w:rsidRPr="00DA20F5">
        <w:rPr>
          <w:szCs w:val="22"/>
        </w:rPr>
        <w:t>marginalizované rómske komunity</w:t>
      </w:r>
    </w:p>
    <w:p w:rsidR="00045675" w:rsidRPr="00DA20F5" w:rsidRDefault="00045675" w:rsidP="00D36FB8">
      <w:pPr>
        <w:ind w:left="1080" w:hanging="720"/>
        <w:contextualSpacing/>
        <w:rPr>
          <w:szCs w:val="22"/>
        </w:rPr>
      </w:pPr>
      <w:r w:rsidRPr="00DA20F5">
        <w:rPr>
          <w:szCs w:val="22"/>
        </w:rPr>
        <w:t> 2.2</w:t>
      </w:r>
      <w:r w:rsidRPr="00DA20F5">
        <w:rPr>
          <w:szCs w:val="22"/>
        </w:rPr>
        <w:tab/>
        <w:t>Podpora vytvárania rovnosti príležitostí v prístupe na trh práce a podpora integrácie znevýhodnených skupín na trh práce s osobitným zreteľom na marginalizované rómske komunity</w:t>
      </w:r>
    </w:p>
    <w:p w:rsidR="00045675" w:rsidRPr="00DA20F5" w:rsidRDefault="00045675" w:rsidP="00D36FB8">
      <w:pPr>
        <w:ind w:left="1080" w:hanging="720"/>
        <w:contextualSpacing/>
        <w:rPr>
          <w:szCs w:val="22"/>
        </w:rPr>
      </w:pPr>
      <w:r w:rsidRPr="00DA20F5">
        <w:rPr>
          <w:szCs w:val="22"/>
        </w:rPr>
        <w:t> 2.3</w:t>
      </w:r>
      <w:r w:rsidRPr="00DA20F5">
        <w:rPr>
          <w:szCs w:val="22"/>
        </w:rPr>
        <w:tab/>
        <w:t>Podpora zosúladenia rodinného a pracovného života</w:t>
      </w:r>
    </w:p>
    <w:p w:rsidR="00045675" w:rsidRPr="00DA20F5" w:rsidRDefault="00045675" w:rsidP="00D36FB8">
      <w:pPr>
        <w:ind w:left="1080" w:hanging="720"/>
        <w:contextualSpacing/>
        <w:rPr>
          <w:szCs w:val="22"/>
        </w:rPr>
      </w:pPr>
      <w:r w:rsidRPr="00DA20F5">
        <w:rPr>
          <w:szCs w:val="22"/>
        </w:rPr>
        <w:t xml:space="preserve"> 3.2</w:t>
      </w:r>
      <w:r w:rsidRPr="00DA20F5">
        <w:rPr>
          <w:szCs w:val="22"/>
        </w:rPr>
        <w:tab/>
        <w:t>Podpora sociálnej inklúzie, rodovej rovnosti a zosúladenie pracovného a rodinného života v BSK</w:t>
      </w:r>
    </w:p>
    <w:p w:rsidR="00045675" w:rsidRPr="00DA20F5" w:rsidRDefault="00045675" w:rsidP="00D36FB8">
      <w:pPr>
        <w:ind w:left="1080" w:hanging="720"/>
        <w:contextualSpacing/>
        <w:rPr>
          <w:szCs w:val="22"/>
        </w:rPr>
      </w:pPr>
      <w:r w:rsidRPr="00DA20F5">
        <w:rPr>
          <w:szCs w:val="22"/>
        </w:rPr>
        <w:t xml:space="preserve"> 3.3</w:t>
      </w:r>
      <w:r w:rsidRPr="00DA20F5">
        <w:rPr>
          <w:szCs w:val="22"/>
        </w:rPr>
        <w:tab/>
        <w:t>Budovanie kapacít a zlepšenie kvality verejnej správy v BSK</w:t>
      </w:r>
    </w:p>
    <w:p w:rsidR="00045675" w:rsidRPr="00DA20F5" w:rsidRDefault="00045675" w:rsidP="00D36FB8">
      <w:pPr>
        <w:ind w:left="1080" w:hanging="720"/>
        <w:contextualSpacing/>
        <w:rPr>
          <w:szCs w:val="22"/>
        </w:rPr>
      </w:pPr>
      <w:r w:rsidRPr="00DA20F5">
        <w:rPr>
          <w:szCs w:val="22"/>
        </w:rPr>
        <w:t xml:space="preserve"> 4.1</w:t>
      </w:r>
      <w:r w:rsidRPr="00DA20F5">
        <w:rPr>
          <w:szCs w:val="22"/>
        </w:rPr>
        <w:tab/>
        <w:t>Zlepšenie kvality služieb poskytovaných verejnou správou a neziskovými organizáciami</w:t>
      </w:r>
    </w:p>
    <w:p w:rsidR="008915DA" w:rsidRPr="00DA20F5" w:rsidRDefault="00045675" w:rsidP="00D36FB8">
      <w:pPr>
        <w:rPr>
          <w:szCs w:val="22"/>
        </w:rPr>
      </w:pPr>
      <w:r w:rsidRPr="00DA20F5">
        <w:rPr>
          <w:szCs w:val="22"/>
        </w:rPr>
        <w:t>Opatrenia sa napĺňajú implementáciou národných projektov, najmä</w:t>
      </w:r>
      <w:r w:rsidR="005C3A6A" w:rsidRPr="00DA20F5">
        <w:rPr>
          <w:szCs w:val="22"/>
        </w:rPr>
        <w:t xml:space="preserve"> však prostredníctvom výziev na </w:t>
      </w:r>
      <w:r w:rsidRPr="00DA20F5">
        <w:rPr>
          <w:szCs w:val="22"/>
        </w:rPr>
        <w:t xml:space="preserve">predkladanie žiadostí o nenávratný finančný príspevok (NFP), ktoré sú vyhlasované </w:t>
      </w:r>
      <w:r w:rsidR="008915DA" w:rsidRPr="00DA20F5">
        <w:rPr>
          <w:szCs w:val="22"/>
        </w:rPr>
        <w:t xml:space="preserve">FSR </w:t>
      </w:r>
      <w:r w:rsidRPr="00DA20F5">
        <w:rPr>
          <w:szCs w:val="22"/>
        </w:rPr>
        <w:t xml:space="preserve">ako sprostredkovateľským orgánom a sú zamerané na </w:t>
      </w:r>
      <w:r w:rsidRPr="00DA20F5">
        <w:rPr>
          <w:i/>
          <w:szCs w:val="22"/>
        </w:rPr>
        <w:t>odstraňovanie sociálneho vylúčenia, terénnu sociálnu prácu, podporu nezamestnaným a sociálne vylúčeným osobám</w:t>
      </w:r>
      <w:r w:rsidRPr="00DA20F5">
        <w:rPr>
          <w:szCs w:val="22"/>
        </w:rPr>
        <w:t xml:space="preserve">, </w:t>
      </w:r>
      <w:r w:rsidR="005C3A6A" w:rsidRPr="00DA20F5">
        <w:rPr>
          <w:i/>
          <w:szCs w:val="22"/>
        </w:rPr>
        <w:t xml:space="preserve">prevažne obyvateľom </w:t>
      </w:r>
      <w:r w:rsidR="005C3A6A" w:rsidRPr="00DA20F5">
        <w:rPr>
          <w:i/>
          <w:szCs w:val="22"/>
        </w:rPr>
        <w:lastRenderedPageBreak/>
        <w:t>z </w:t>
      </w:r>
      <w:r w:rsidRPr="00DA20F5">
        <w:rPr>
          <w:i/>
          <w:szCs w:val="22"/>
        </w:rPr>
        <w:t xml:space="preserve">marginalizovaných a znevýhodnených komunít. </w:t>
      </w:r>
      <w:r w:rsidRPr="00DA20F5">
        <w:rPr>
          <w:szCs w:val="22"/>
        </w:rPr>
        <w:t>Za významnú</w:t>
      </w:r>
      <w:r w:rsidR="005C3A6A" w:rsidRPr="00DA20F5">
        <w:rPr>
          <w:szCs w:val="22"/>
        </w:rPr>
        <w:t xml:space="preserve"> podporenú aktivitu zameranú na </w:t>
      </w:r>
      <w:r w:rsidRPr="00DA20F5">
        <w:rPr>
          <w:szCs w:val="22"/>
        </w:rPr>
        <w:t xml:space="preserve">cieľovú skupinu marginalizované rómske komunity považujeme výkon </w:t>
      </w:r>
      <w:r w:rsidRPr="00DA20F5">
        <w:rPr>
          <w:i/>
          <w:szCs w:val="22"/>
        </w:rPr>
        <w:t>terénnej sociálnej práce</w:t>
      </w:r>
      <w:r w:rsidRPr="00DA20F5">
        <w:rPr>
          <w:szCs w:val="22"/>
        </w:rPr>
        <w:t xml:space="preserve">. </w:t>
      </w:r>
    </w:p>
    <w:p w:rsidR="00045675" w:rsidRPr="00DA20F5" w:rsidRDefault="00045675" w:rsidP="00D36FB8">
      <w:pPr>
        <w:rPr>
          <w:szCs w:val="22"/>
        </w:rPr>
      </w:pPr>
      <w:r w:rsidRPr="00DA20F5">
        <w:rPr>
          <w:szCs w:val="22"/>
        </w:rPr>
        <w:t>FSR v rámci programového obdobia 2007-2013 celkom vyhlásil 20 výziev</w:t>
      </w:r>
      <w:r w:rsidR="00C50FA4" w:rsidRPr="00DA20F5">
        <w:rPr>
          <w:szCs w:val="22"/>
        </w:rPr>
        <w:t>.</w:t>
      </w:r>
      <w:r w:rsidRPr="00DA20F5">
        <w:rPr>
          <w:szCs w:val="22"/>
        </w:rPr>
        <w:t xml:space="preserve"> Dňa 30. novembra 2011 boli FSR vyhlásené dve časovo ohraničené výzvy na predkladanie žiadostí o NFP :</w:t>
      </w:r>
    </w:p>
    <w:p w:rsidR="00045675" w:rsidRPr="00DA20F5" w:rsidRDefault="00045675" w:rsidP="00DB509D">
      <w:pPr>
        <w:numPr>
          <w:ilvl w:val="0"/>
          <w:numId w:val="15"/>
        </w:numPr>
        <w:ind w:left="426"/>
        <w:rPr>
          <w:szCs w:val="22"/>
        </w:rPr>
      </w:pPr>
      <w:r w:rsidRPr="00DA20F5">
        <w:rPr>
          <w:szCs w:val="22"/>
        </w:rPr>
        <w:t>výzva OP ZaSI – FSR – 2011/2.1/01 je zameraná na podporu zvyšovania dostupnosti a efektivity služieb starostlivosti (sociálnych služieb a sociálnoprávnej ochrany a sociálnej kurately), ktoré zlepšujú prístup ohrozených skupín na trh práce,</w:t>
      </w:r>
    </w:p>
    <w:p w:rsidR="00045675" w:rsidRPr="00DA20F5" w:rsidRDefault="00045675" w:rsidP="00DB509D">
      <w:pPr>
        <w:numPr>
          <w:ilvl w:val="0"/>
          <w:numId w:val="15"/>
        </w:numPr>
        <w:ind w:left="426"/>
        <w:rPr>
          <w:szCs w:val="22"/>
        </w:rPr>
      </w:pPr>
      <w:r w:rsidRPr="00DA20F5">
        <w:rPr>
          <w:szCs w:val="22"/>
        </w:rPr>
        <w:t>výzva OP ZaSI – FSR – 2011/3.2/02 je zameraná na podporu sociálnej inklúzie, rodovej rovnosti a zosúladenie pracovného a rodinného života v BSK .</w:t>
      </w:r>
    </w:p>
    <w:p w:rsidR="00045675" w:rsidRPr="00DA20F5" w:rsidRDefault="00045675" w:rsidP="00D36FB8">
      <w:pPr>
        <w:rPr>
          <w:szCs w:val="22"/>
        </w:rPr>
      </w:pPr>
    </w:p>
    <w:p w:rsidR="00045675" w:rsidRPr="00DA20F5" w:rsidRDefault="00045675" w:rsidP="00D36FB8">
      <w:pPr>
        <w:rPr>
          <w:szCs w:val="22"/>
        </w:rPr>
      </w:pPr>
      <w:r w:rsidRPr="00DA20F5">
        <w:rPr>
          <w:szCs w:val="22"/>
        </w:rPr>
        <w:t>Výzvy svojím zameraním podporia osamostatnenie sa mladých dospelých po odchode z detského domova a prípravu na osamostatneni</w:t>
      </w:r>
      <w:r w:rsidR="008915DA" w:rsidRPr="00DA20F5">
        <w:rPr>
          <w:szCs w:val="22"/>
        </w:rPr>
        <w:t>e</w:t>
      </w:r>
      <w:r w:rsidRPr="00DA20F5">
        <w:rPr>
          <w:szCs w:val="22"/>
        </w:rPr>
        <w:t xml:space="preserve"> sa detí v detskom domove. Výzvami budú podporované</w:t>
      </w:r>
      <w:r w:rsidR="00AC5AAB" w:rsidRPr="00DA20F5">
        <w:rPr>
          <w:szCs w:val="22"/>
        </w:rPr>
        <w:t xml:space="preserve"> </w:t>
      </w:r>
      <w:r w:rsidRPr="00DA20F5">
        <w:rPr>
          <w:szCs w:val="22"/>
        </w:rPr>
        <w:t>programy, činnosti a metódy zamerané na schopnosť plnoletých osôb po odchode z detského domova samostatne sa živiť, získať a udržať si samostatné bývanie a budú podporené</w:t>
      </w:r>
      <w:r w:rsidR="00AC5AAB" w:rsidRPr="00DA20F5">
        <w:rPr>
          <w:szCs w:val="22"/>
        </w:rPr>
        <w:t xml:space="preserve"> </w:t>
      </w:r>
      <w:r w:rsidRPr="00DA20F5">
        <w:rPr>
          <w:szCs w:val="22"/>
        </w:rPr>
        <w:t>nové a inovatívne programy pre deti a mladých dospelých.</w:t>
      </w:r>
    </w:p>
    <w:p w:rsidR="00045675" w:rsidRPr="00DA20F5" w:rsidRDefault="00045675" w:rsidP="00D36FB8">
      <w:pPr>
        <w:rPr>
          <w:szCs w:val="22"/>
        </w:rPr>
      </w:pPr>
      <w:r w:rsidRPr="00DA20F5">
        <w:rPr>
          <w:szCs w:val="22"/>
        </w:rPr>
        <w:t xml:space="preserve">Okrem dopytovo orientovaných projektov </w:t>
      </w:r>
      <w:r w:rsidR="008915DA" w:rsidRPr="00DA20F5">
        <w:rPr>
          <w:szCs w:val="22"/>
        </w:rPr>
        <w:t>FSR</w:t>
      </w:r>
      <w:r w:rsidR="00AC5AAB" w:rsidRPr="00DA20F5">
        <w:rPr>
          <w:szCs w:val="22"/>
        </w:rPr>
        <w:t xml:space="preserve"> </w:t>
      </w:r>
      <w:r w:rsidRPr="00DA20F5">
        <w:rPr>
          <w:szCs w:val="22"/>
        </w:rPr>
        <w:t>realizoval v sledovanom období</w:t>
      </w:r>
      <w:r w:rsidR="00AC5AAB" w:rsidRPr="00DA20F5">
        <w:rPr>
          <w:szCs w:val="22"/>
        </w:rPr>
        <w:t xml:space="preserve"> </w:t>
      </w:r>
      <w:r w:rsidRPr="00DA20F5">
        <w:rPr>
          <w:szCs w:val="22"/>
        </w:rPr>
        <w:t>ako prijímateľ</w:t>
      </w:r>
      <w:r w:rsidR="00AC5AAB" w:rsidRPr="00DA20F5">
        <w:rPr>
          <w:szCs w:val="22"/>
        </w:rPr>
        <w:t xml:space="preserve"> </w:t>
      </w:r>
      <w:r w:rsidR="005C3A6A" w:rsidRPr="00DA20F5">
        <w:rPr>
          <w:szCs w:val="22"/>
        </w:rPr>
        <w:t>1 </w:t>
      </w:r>
      <w:r w:rsidRPr="00DA20F5">
        <w:rPr>
          <w:szCs w:val="22"/>
        </w:rPr>
        <w:t>národný projekt.</w:t>
      </w:r>
      <w:bookmarkStart w:id="1307" w:name="OLE_LINK1"/>
      <w:bookmarkStart w:id="1308" w:name="OLE_LINK2"/>
      <w:r w:rsidR="00AC5AAB" w:rsidRPr="00DA20F5">
        <w:rPr>
          <w:szCs w:val="22"/>
        </w:rPr>
        <w:t xml:space="preserve"> </w:t>
      </w:r>
      <w:r w:rsidRPr="00DA20F5">
        <w:rPr>
          <w:szCs w:val="22"/>
        </w:rPr>
        <w:t>Nasledujúca tabuľka poskytuje deskripciu a stav plnenia.</w:t>
      </w:r>
      <w:bookmarkEnd w:id="1307"/>
      <w:bookmarkEnd w:id="1308"/>
    </w:p>
    <w:p w:rsidR="00045675" w:rsidRPr="00DA20F5" w:rsidRDefault="000B3663" w:rsidP="00D36FB8">
      <w:pPr>
        <w:pStyle w:val="Nadpis7"/>
      </w:pPr>
      <w:bookmarkStart w:id="1309" w:name="_Toc325438272"/>
      <w:bookmarkStart w:id="1310" w:name="_Toc325441015"/>
      <w:bookmarkStart w:id="1311" w:name="_Toc325626827"/>
      <w:bookmarkStart w:id="1312" w:name="_Toc326217088"/>
      <w:r w:rsidRPr="00DA20F5">
        <w:rPr>
          <w:bCs/>
          <w:iCs/>
          <w:lang w:eastAsia="cs-CZ"/>
        </w:rPr>
        <w:t>Tab. 3.28</w:t>
      </w:r>
      <w:r w:rsidR="00AC5AAB" w:rsidRPr="00DA20F5">
        <w:rPr>
          <w:bCs/>
          <w:iCs/>
          <w:lang w:eastAsia="cs-CZ"/>
        </w:rPr>
        <w:t xml:space="preserve"> </w:t>
      </w:r>
      <w:r w:rsidR="00045675" w:rsidRPr="00DA20F5">
        <w:t>NP Terénna sociálna práca v obciach</w:t>
      </w:r>
      <w:bookmarkEnd w:id="1309"/>
      <w:bookmarkEnd w:id="1310"/>
      <w:bookmarkEnd w:id="1311"/>
      <w:bookmarkEnd w:id="1312"/>
    </w:p>
    <w:tbl>
      <w:tblPr>
        <w:tblW w:w="9228" w:type="dxa"/>
        <w:tblLayout w:type="fixed"/>
        <w:tblLook w:val="01E0" w:firstRow="1" w:lastRow="1" w:firstColumn="1" w:lastColumn="1" w:noHBand="0" w:noVBand="0"/>
      </w:tblPr>
      <w:tblGrid>
        <w:gridCol w:w="2988"/>
        <w:gridCol w:w="6240"/>
      </w:tblGrid>
      <w:tr w:rsidR="004D2CAB" w:rsidRPr="00DA20F5" w:rsidTr="00570ECB">
        <w:trPr>
          <w:trHeight w:val="367"/>
        </w:trPr>
        <w:tc>
          <w:tcPr>
            <w:tcW w:w="2988" w:type="dxa"/>
            <w:tcBorders>
              <w:top w:val="single" w:sz="4" w:space="0" w:color="auto"/>
              <w:left w:val="single" w:sz="4" w:space="0" w:color="auto"/>
              <w:bottom w:val="single" w:sz="4" w:space="0" w:color="auto"/>
              <w:right w:val="single" w:sz="4" w:space="0" w:color="auto"/>
            </w:tcBorders>
            <w:shd w:val="clear" w:color="auto" w:fill="B8CCE4"/>
            <w:vAlign w:val="center"/>
          </w:tcPr>
          <w:p w:rsidR="00045675" w:rsidRPr="00DA20F5" w:rsidRDefault="00045675" w:rsidP="00D36FB8">
            <w:pPr>
              <w:rPr>
                <w:sz w:val="20"/>
                <w:szCs w:val="20"/>
              </w:rPr>
            </w:pPr>
            <w:r w:rsidRPr="00DA20F5">
              <w:rPr>
                <w:sz w:val="20"/>
                <w:szCs w:val="20"/>
              </w:rPr>
              <w:t xml:space="preserve">Prijímateľ: </w:t>
            </w:r>
          </w:p>
        </w:tc>
        <w:tc>
          <w:tcPr>
            <w:tcW w:w="6240" w:type="dxa"/>
            <w:tcBorders>
              <w:top w:val="single" w:sz="4" w:space="0" w:color="auto"/>
              <w:left w:val="single" w:sz="4" w:space="0" w:color="auto"/>
              <w:bottom w:val="single" w:sz="4" w:space="0" w:color="auto"/>
              <w:right w:val="single" w:sz="4" w:space="0" w:color="auto"/>
            </w:tcBorders>
            <w:shd w:val="clear" w:color="auto" w:fill="B8CCE4"/>
            <w:vAlign w:val="center"/>
          </w:tcPr>
          <w:p w:rsidR="00045675" w:rsidRPr="00DA20F5" w:rsidRDefault="00045675" w:rsidP="00D36FB8">
            <w:pPr>
              <w:rPr>
                <w:sz w:val="20"/>
                <w:szCs w:val="20"/>
              </w:rPr>
            </w:pPr>
            <w:r w:rsidRPr="00DA20F5">
              <w:rPr>
                <w:sz w:val="20"/>
                <w:szCs w:val="20"/>
              </w:rPr>
              <w:t>Fond sociálneho rozvoja</w:t>
            </w:r>
          </w:p>
        </w:tc>
      </w:tr>
      <w:tr w:rsidR="004D2CAB" w:rsidRPr="00DA20F5" w:rsidTr="00570ECB">
        <w:trPr>
          <w:trHeight w:val="558"/>
        </w:trPr>
        <w:tc>
          <w:tcPr>
            <w:tcW w:w="2988" w:type="dxa"/>
            <w:tcBorders>
              <w:top w:val="single" w:sz="4" w:space="0" w:color="auto"/>
              <w:left w:val="single" w:sz="4" w:space="0" w:color="auto"/>
              <w:bottom w:val="single" w:sz="4" w:space="0" w:color="auto"/>
              <w:right w:val="single" w:sz="4" w:space="0" w:color="auto"/>
            </w:tcBorders>
            <w:shd w:val="clear" w:color="auto" w:fill="B8CCE4"/>
            <w:vAlign w:val="center"/>
          </w:tcPr>
          <w:p w:rsidR="00045675" w:rsidRPr="00DA20F5" w:rsidRDefault="00045675" w:rsidP="00D36FB8">
            <w:pPr>
              <w:rPr>
                <w:sz w:val="20"/>
                <w:szCs w:val="20"/>
              </w:rPr>
            </w:pPr>
            <w:r w:rsidRPr="00DA20F5">
              <w:rPr>
                <w:sz w:val="20"/>
                <w:szCs w:val="20"/>
              </w:rPr>
              <w:t>Názov projektu:</w:t>
            </w:r>
          </w:p>
        </w:tc>
        <w:tc>
          <w:tcPr>
            <w:tcW w:w="6240" w:type="dxa"/>
            <w:tcBorders>
              <w:top w:val="single" w:sz="4" w:space="0" w:color="auto"/>
              <w:left w:val="single" w:sz="4" w:space="0" w:color="auto"/>
              <w:bottom w:val="single" w:sz="4" w:space="0" w:color="auto"/>
              <w:right w:val="single" w:sz="4" w:space="0" w:color="auto"/>
            </w:tcBorders>
            <w:vAlign w:val="center"/>
          </w:tcPr>
          <w:p w:rsidR="00045675" w:rsidRPr="00DA20F5" w:rsidRDefault="00045675" w:rsidP="00D36FB8">
            <w:pPr>
              <w:rPr>
                <w:sz w:val="20"/>
                <w:szCs w:val="20"/>
              </w:rPr>
            </w:pPr>
            <w:r w:rsidRPr="00DA20F5">
              <w:rPr>
                <w:sz w:val="20"/>
                <w:szCs w:val="20"/>
              </w:rPr>
              <w:t>Národný projekt: Terénna sociálna práca v obciach</w:t>
            </w:r>
          </w:p>
        </w:tc>
      </w:tr>
      <w:tr w:rsidR="004D2CAB" w:rsidRPr="00DA20F5" w:rsidTr="00570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2988" w:type="dxa"/>
            <w:shd w:val="clear" w:color="auto" w:fill="B8CCE4"/>
            <w:vAlign w:val="center"/>
          </w:tcPr>
          <w:p w:rsidR="00045675" w:rsidRPr="00DA20F5" w:rsidRDefault="00045675" w:rsidP="00D36FB8">
            <w:pPr>
              <w:rPr>
                <w:sz w:val="20"/>
                <w:szCs w:val="20"/>
              </w:rPr>
            </w:pPr>
            <w:r w:rsidRPr="00DA20F5">
              <w:rPr>
                <w:sz w:val="20"/>
                <w:szCs w:val="20"/>
              </w:rPr>
              <w:t>ITMS kód projektu:</w:t>
            </w:r>
          </w:p>
        </w:tc>
        <w:tc>
          <w:tcPr>
            <w:tcW w:w="6240" w:type="dxa"/>
            <w:vAlign w:val="center"/>
          </w:tcPr>
          <w:p w:rsidR="00045675" w:rsidRPr="00DA20F5" w:rsidRDefault="00045675" w:rsidP="00D36FB8">
            <w:pPr>
              <w:rPr>
                <w:bCs/>
                <w:sz w:val="20"/>
                <w:szCs w:val="20"/>
              </w:rPr>
            </w:pPr>
            <w:r w:rsidRPr="00DA20F5">
              <w:rPr>
                <w:sz w:val="20"/>
                <w:szCs w:val="20"/>
              </w:rPr>
              <w:t>27120130525</w:t>
            </w:r>
          </w:p>
        </w:tc>
      </w:tr>
      <w:tr w:rsidR="004D2CAB" w:rsidRPr="00DA20F5" w:rsidTr="00570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shd w:val="clear" w:color="auto" w:fill="B8CCE4"/>
            <w:vAlign w:val="center"/>
          </w:tcPr>
          <w:p w:rsidR="00045675" w:rsidRPr="00DA20F5" w:rsidRDefault="00045675" w:rsidP="00D36FB8">
            <w:pPr>
              <w:rPr>
                <w:sz w:val="20"/>
                <w:szCs w:val="20"/>
              </w:rPr>
            </w:pPr>
            <w:r w:rsidRPr="00DA20F5">
              <w:rPr>
                <w:sz w:val="20"/>
                <w:szCs w:val="20"/>
              </w:rPr>
              <w:t>Termín realizácie od - do:</w:t>
            </w:r>
          </w:p>
        </w:tc>
        <w:tc>
          <w:tcPr>
            <w:tcW w:w="6240" w:type="dxa"/>
            <w:vAlign w:val="center"/>
          </w:tcPr>
          <w:p w:rsidR="00045675" w:rsidRPr="00DA20F5" w:rsidRDefault="00045675" w:rsidP="00D36FB8">
            <w:pPr>
              <w:rPr>
                <w:sz w:val="20"/>
                <w:szCs w:val="20"/>
              </w:rPr>
            </w:pPr>
            <w:r w:rsidRPr="00DA20F5">
              <w:rPr>
                <w:sz w:val="20"/>
                <w:szCs w:val="20"/>
              </w:rPr>
              <w:t>12/2011 -</w:t>
            </w:r>
            <w:r w:rsidR="00AC5AAB" w:rsidRPr="00DA20F5">
              <w:rPr>
                <w:sz w:val="20"/>
                <w:szCs w:val="20"/>
              </w:rPr>
              <w:t xml:space="preserve"> </w:t>
            </w:r>
            <w:r w:rsidRPr="00DA20F5">
              <w:rPr>
                <w:sz w:val="20"/>
                <w:szCs w:val="20"/>
              </w:rPr>
              <w:t>12/2015*</w:t>
            </w:r>
          </w:p>
        </w:tc>
      </w:tr>
      <w:tr w:rsidR="004D2CAB" w:rsidRPr="00DA20F5" w:rsidTr="00570ECB">
        <w:trPr>
          <w:trHeight w:val="524"/>
        </w:trPr>
        <w:tc>
          <w:tcPr>
            <w:tcW w:w="2988" w:type="dxa"/>
            <w:tcBorders>
              <w:top w:val="single" w:sz="4" w:space="0" w:color="auto"/>
              <w:left w:val="single" w:sz="4" w:space="0" w:color="auto"/>
              <w:bottom w:val="single" w:sz="4" w:space="0" w:color="auto"/>
              <w:right w:val="single" w:sz="4" w:space="0" w:color="auto"/>
            </w:tcBorders>
            <w:shd w:val="clear" w:color="auto" w:fill="B8CCE4"/>
            <w:vAlign w:val="center"/>
          </w:tcPr>
          <w:p w:rsidR="00045675" w:rsidRPr="00DA20F5" w:rsidRDefault="00045675" w:rsidP="00D36FB8">
            <w:pPr>
              <w:rPr>
                <w:sz w:val="20"/>
                <w:szCs w:val="20"/>
              </w:rPr>
            </w:pPr>
            <w:r w:rsidRPr="00DA20F5">
              <w:rPr>
                <w:sz w:val="20"/>
                <w:szCs w:val="20"/>
              </w:rPr>
              <w:t>Cieľ projektu:</w:t>
            </w:r>
          </w:p>
        </w:tc>
        <w:tc>
          <w:tcPr>
            <w:tcW w:w="6240" w:type="dxa"/>
            <w:tcBorders>
              <w:top w:val="single" w:sz="4" w:space="0" w:color="auto"/>
              <w:left w:val="single" w:sz="4" w:space="0" w:color="auto"/>
              <w:bottom w:val="single" w:sz="4" w:space="0" w:color="auto"/>
              <w:right w:val="single" w:sz="4" w:space="0" w:color="auto"/>
            </w:tcBorders>
            <w:vAlign w:val="center"/>
          </w:tcPr>
          <w:p w:rsidR="00045675" w:rsidRPr="00DA20F5" w:rsidRDefault="00045675" w:rsidP="00D36FB8">
            <w:pPr>
              <w:rPr>
                <w:sz w:val="20"/>
                <w:szCs w:val="20"/>
              </w:rPr>
            </w:pPr>
            <w:r w:rsidRPr="00DA20F5">
              <w:rPr>
                <w:sz w:val="20"/>
                <w:szCs w:val="20"/>
              </w:rPr>
              <w:t>NP je zameraný na podporu terénnej sociálnej práce. Jeho hlavným cieľom je podpora sociálnej inklúzie</w:t>
            </w:r>
            <w:r w:rsidR="00AC5AAB" w:rsidRPr="00DA20F5">
              <w:rPr>
                <w:sz w:val="20"/>
                <w:szCs w:val="20"/>
              </w:rPr>
              <w:t xml:space="preserve"> </w:t>
            </w:r>
            <w:r w:rsidRPr="00DA20F5">
              <w:rPr>
                <w:sz w:val="20"/>
                <w:szCs w:val="20"/>
              </w:rPr>
              <w:t>prostredníctvom zvyšovania dostupnosti, kvality a efektivity služieb starostlivosti pre osoby ohrozené sociálnym vylúčením alebo osoby sociálne vylúčené so zameraním na zvyšovanie ich zamestnateľnosti, predchádzanie vzniku sociálno patologických javov. Terénn</w:t>
            </w:r>
            <w:r w:rsidR="00D67851" w:rsidRPr="00DA20F5">
              <w:rPr>
                <w:sz w:val="20"/>
                <w:szCs w:val="20"/>
              </w:rPr>
              <w:t>a</w:t>
            </w:r>
            <w:r w:rsidRPr="00DA20F5">
              <w:rPr>
                <w:sz w:val="20"/>
                <w:szCs w:val="20"/>
              </w:rPr>
              <w:t xml:space="preserve"> sociáln</w:t>
            </w:r>
            <w:r w:rsidR="00D67851" w:rsidRPr="00DA20F5">
              <w:rPr>
                <w:sz w:val="20"/>
                <w:szCs w:val="20"/>
              </w:rPr>
              <w:t>a</w:t>
            </w:r>
            <w:r w:rsidRPr="00DA20F5">
              <w:rPr>
                <w:sz w:val="20"/>
                <w:szCs w:val="20"/>
              </w:rPr>
              <w:t xml:space="preserve"> prác</w:t>
            </w:r>
            <w:r w:rsidR="00D67851" w:rsidRPr="00DA20F5">
              <w:rPr>
                <w:sz w:val="20"/>
                <w:szCs w:val="20"/>
              </w:rPr>
              <w:t>a</w:t>
            </w:r>
            <w:r w:rsidRPr="00DA20F5">
              <w:rPr>
                <w:sz w:val="20"/>
                <w:szCs w:val="20"/>
              </w:rPr>
              <w:t xml:space="preserve"> v marginalizovaných rómskych komunitách </w:t>
            </w:r>
            <w:r w:rsidR="00D67851" w:rsidRPr="00DA20F5">
              <w:rPr>
                <w:sz w:val="20"/>
                <w:szCs w:val="20"/>
              </w:rPr>
              <w:t>je považovaná z</w:t>
            </w:r>
            <w:r w:rsidRPr="00DA20F5">
              <w:rPr>
                <w:sz w:val="20"/>
                <w:szCs w:val="20"/>
              </w:rPr>
              <w:t xml:space="preserve">a významný nástroj sociálneho začleňovania jednotlivcov, rodiny, skupiny a komunity. </w:t>
            </w:r>
          </w:p>
          <w:p w:rsidR="00045675" w:rsidRPr="00DA20F5" w:rsidRDefault="00045675" w:rsidP="00D36FB8">
            <w:pPr>
              <w:rPr>
                <w:sz w:val="20"/>
                <w:szCs w:val="20"/>
              </w:rPr>
            </w:pPr>
          </w:p>
        </w:tc>
      </w:tr>
    </w:tbl>
    <w:p w:rsidR="00045675" w:rsidRPr="00DA20F5" w:rsidRDefault="00045675" w:rsidP="00D36FB8">
      <w:pPr>
        <w:pStyle w:val="zdroj"/>
        <w:rPr>
          <w:bCs/>
        </w:rPr>
      </w:pPr>
      <w:r w:rsidRPr="00DA20F5">
        <w:rPr>
          <w:bCs/>
        </w:rPr>
        <w:t xml:space="preserve">* </w:t>
      </w:r>
      <w:r w:rsidRPr="00DA20F5">
        <w:t>národný projekt bol zazmluvnený v sledovanom období</w:t>
      </w:r>
      <w:r w:rsidR="00AC5AAB" w:rsidRPr="00DA20F5">
        <w:t xml:space="preserve"> </w:t>
      </w:r>
      <w:r w:rsidRPr="00DA20F5">
        <w:t>( dňa 28.12.2011 )</w:t>
      </w:r>
    </w:p>
    <w:p w:rsidR="00045675" w:rsidRPr="00DA20F5" w:rsidRDefault="00045675" w:rsidP="00D36FB8">
      <w:pPr>
        <w:rPr>
          <w:szCs w:val="22"/>
        </w:rPr>
      </w:pPr>
      <w:r w:rsidRPr="00DA20F5">
        <w:rPr>
          <w:szCs w:val="22"/>
        </w:rPr>
        <w:t xml:space="preserve">S cieľom boja proti chudobe a sociálnemu vylúčeniu FSR realizoval aktivity v rámci Európskeho roka boja proti chudobe (ER 2010), ktorý bol zameraný na zvyšovanie povedomia o chudobe a sociálnom vylúčení. Väčšina aktivít bola sústredená na rok 2010, v roku 2011 sa konali dve aktivity, ktoré prezentovali ER 2010 smerom k verejnosti. </w:t>
      </w:r>
    </w:p>
    <w:p w:rsidR="00045675" w:rsidRPr="00DA20F5" w:rsidRDefault="00045675" w:rsidP="00D36FB8">
      <w:pPr>
        <w:rPr>
          <w:szCs w:val="22"/>
        </w:rPr>
      </w:pPr>
    </w:p>
    <w:p w:rsidR="00045675" w:rsidRPr="00DA20F5" w:rsidRDefault="00045675" w:rsidP="00D36FB8">
      <w:pPr>
        <w:rPr>
          <w:szCs w:val="22"/>
        </w:rPr>
      </w:pPr>
      <w:r w:rsidRPr="00DA20F5">
        <w:rPr>
          <w:szCs w:val="22"/>
        </w:rPr>
        <w:t>Národné projekty realizované ostatnými prijímateľmi v rámci prioritnej osi 2 OP ZaSI:</w:t>
      </w:r>
    </w:p>
    <w:p w:rsidR="00045675" w:rsidRPr="00DA20F5" w:rsidRDefault="00045675" w:rsidP="00DB509D">
      <w:pPr>
        <w:numPr>
          <w:ilvl w:val="0"/>
          <w:numId w:val="15"/>
        </w:numPr>
        <w:rPr>
          <w:szCs w:val="22"/>
        </w:rPr>
      </w:pPr>
      <w:r w:rsidRPr="00DA20F5">
        <w:rPr>
          <w:szCs w:val="22"/>
        </w:rPr>
        <w:t xml:space="preserve">Zvyšovanie zamestnateľnosti profesionálnych rodičov, </w:t>
      </w:r>
      <w:r w:rsidR="002C022A" w:rsidRPr="00DA20F5">
        <w:rPr>
          <w:szCs w:val="22"/>
        </w:rPr>
        <w:t>p</w:t>
      </w:r>
      <w:r w:rsidRPr="00DA20F5">
        <w:rPr>
          <w:szCs w:val="22"/>
        </w:rPr>
        <w:t>ríspevok na službu starostlivosti o dieťa, prijímateľ : UPSVAR</w:t>
      </w:r>
    </w:p>
    <w:p w:rsidR="00045675" w:rsidRPr="00DA20F5" w:rsidRDefault="00045675" w:rsidP="00DB509D">
      <w:pPr>
        <w:numPr>
          <w:ilvl w:val="0"/>
          <w:numId w:val="15"/>
        </w:numPr>
        <w:rPr>
          <w:szCs w:val="22"/>
        </w:rPr>
      </w:pPr>
      <w:r w:rsidRPr="00DA20F5">
        <w:rPr>
          <w:szCs w:val="22"/>
        </w:rPr>
        <w:t>Stratégia aktívneho starnutia, prijímateľ: C</w:t>
      </w:r>
      <w:r w:rsidR="00C263E3" w:rsidRPr="00DA20F5">
        <w:rPr>
          <w:szCs w:val="22"/>
        </w:rPr>
        <w:t>entrum vzdelávania</w:t>
      </w:r>
      <w:r w:rsidRPr="00DA20F5">
        <w:rPr>
          <w:szCs w:val="22"/>
        </w:rPr>
        <w:t xml:space="preserve"> MPSVR SR.</w:t>
      </w:r>
    </w:p>
    <w:p w:rsidR="00045675" w:rsidRPr="00DA20F5" w:rsidRDefault="00045675" w:rsidP="00D36FB8">
      <w:pPr>
        <w:ind w:left="360"/>
        <w:rPr>
          <w:szCs w:val="22"/>
        </w:rPr>
      </w:pPr>
    </w:p>
    <w:p w:rsidR="00177D15" w:rsidRPr="00DA20F5" w:rsidRDefault="00177D15" w:rsidP="00D36FB8">
      <w:pPr>
        <w:jc w:val="left"/>
        <w:rPr>
          <w:b/>
          <w:bCs/>
          <w:iCs/>
          <w:lang w:eastAsia="cs-CZ"/>
        </w:rPr>
      </w:pPr>
      <w:bookmarkStart w:id="1313" w:name="_Toc325438273"/>
      <w:bookmarkStart w:id="1314" w:name="_Toc325441016"/>
      <w:r w:rsidRPr="00DA20F5">
        <w:rPr>
          <w:bCs/>
          <w:iCs/>
          <w:lang w:eastAsia="cs-CZ"/>
        </w:rPr>
        <w:br w:type="page"/>
      </w:r>
    </w:p>
    <w:p w:rsidR="00045675" w:rsidRPr="00DA20F5" w:rsidRDefault="000B3663" w:rsidP="00D36FB8">
      <w:pPr>
        <w:pStyle w:val="Nadpis7"/>
      </w:pPr>
      <w:bookmarkStart w:id="1315" w:name="_Toc325626828"/>
      <w:bookmarkStart w:id="1316" w:name="_Toc326217089"/>
      <w:r w:rsidRPr="00DA20F5">
        <w:rPr>
          <w:bCs/>
          <w:iCs/>
          <w:lang w:eastAsia="cs-CZ"/>
        </w:rPr>
        <w:lastRenderedPageBreak/>
        <w:t>Tab. 3.29</w:t>
      </w:r>
      <w:r w:rsidR="00AC5AAB" w:rsidRPr="00DA20F5">
        <w:rPr>
          <w:bCs/>
          <w:iCs/>
          <w:lang w:eastAsia="cs-CZ"/>
        </w:rPr>
        <w:t xml:space="preserve"> </w:t>
      </w:r>
      <w:r w:rsidR="00045675" w:rsidRPr="00DA20F5">
        <w:t>NP Stratégia aktívneho starnutia</w:t>
      </w:r>
      <w:bookmarkEnd w:id="1313"/>
      <w:bookmarkEnd w:id="1314"/>
      <w:bookmarkEnd w:id="1315"/>
      <w:bookmarkEnd w:id="1316"/>
    </w:p>
    <w:tbl>
      <w:tblPr>
        <w:tblW w:w="9009" w:type="dxa"/>
        <w:jc w:val="center"/>
        <w:tblInd w:w="1985" w:type="dxa"/>
        <w:tblLayout w:type="fixed"/>
        <w:tblLook w:val="01E0" w:firstRow="1" w:lastRow="1" w:firstColumn="1" w:lastColumn="1" w:noHBand="0" w:noVBand="0"/>
      </w:tblPr>
      <w:tblGrid>
        <w:gridCol w:w="1879"/>
        <w:gridCol w:w="7130"/>
      </w:tblGrid>
      <w:tr w:rsidR="004D2CAB" w:rsidRPr="00DA20F5" w:rsidTr="00045675">
        <w:trPr>
          <w:trHeight w:val="375"/>
          <w:jc w:val="center"/>
        </w:trPr>
        <w:tc>
          <w:tcPr>
            <w:tcW w:w="1879" w:type="dxa"/>
            <w:tcBorders>
              <w:top w:val="single" w:sz="4" w:space="0" w:color="auto"/>
              <w:left w:val="single" w:sz="4" w:space="0" w:color="auto"/>
              <w:bottom w:val="single" w:sz="4" w:space="0" w:color="auto"/>
              <w:right w:val="single" w:sz="4" w:space="0" w:color="auto"/>
            </w:tcBorders>
            <w:shd w:val="clear" w:color="auto" w:fill="B8CCE4"/>
            <w:vAlign w:val="center"/>
          </w:tcPr>
          <w:p w:rsidR="00045675" w:rsidRPr="00DA20F5" w:rsidRDefault="00045675" w:rsidP="00D36FB8">
            <w:pPr>
              <w:rPr>
                <w:sz w:val="20"/>
                <w:szCs w:val="20"/>
              </w:rPr>
            </w:pPr>
            <w:r w:rsidRPr="00DA20F5">
              <w:rPr>
                <w:sz w:val="20"/>
                <w:szCs w:val="20"/>
              </w:rPr>
              <w:t xml:space="preserve">Prijímateľ: </w:t>
            </w:r>
          </w:p>
        </w:tc>
        <w:tc>
          <w:tcPr>
            <w:tcW w:w="7130" w:type="dxa"/>
            <w:tcBorders>
              <w:top w:val="single" w:sz="4" w:space="0" w:color="auto"/>
              <w:left w:val="single" w:sz="4" w:space="0" w:color="auto"/>
              <w:bottom w:val="single" w:sz="4" w:space="0" w:color="auto"/>
              <w:right w:val="single" w:sz="4" w:space="0" w:color="auto"/>
            </w:tcBorders>
            <w:shd w:val="clear" w:color="auto" w:fill="B8CCE4"/>
            <w:vAlign w:val="center"/>
          </w:tcPr>
          <w:p w:rsidR="00045675" w:rsidRPr="00DA20F5" w:rsidRDefault="00045675" w:rsidP="00D36FB8">
            <w:pPr>
              <w:rPr>
                <w:sz w:val="20"/>
                <w:szCs w:val="20"/>
              </w:rPr>
            </w:pPr>
            <w:r w:rsidRPr="00DA20F5">
              <w:rPr>
                <w:sz w:val="20"/>
                <w:szCs w:val="20"/>
              </w:rPr>
              <w:t>Centrum vzdelávania Ministerstva práce, sociálnych vecí a rodiny SR</w:t>
            </w:r>
          </w:p>
        </w:tc>
      </w:tr>
      <w:tr w:rsidR="004D2CAB" w:rsidRPr="00DA20F5" w:rsidTr="00045675">
        <w:trPr>
          <w:trHeight w:val="570"/>
          <w:jc w:val="center"/>
        </w:trPr>
        <w:tc>
          <w:tcPr>
            <w:tcW w:w="1879" w:type="dxa"/>
            <w:tcBorders>
              <w:top w:val="single" w:sz="4" w:space="0" w:color="auto"/>
              <w:left w:val="single" w:sz="4" w:space="0" w:color="auto"/>
              <w:bottom w:val="single" w:sz="4" w:space="0" w:color="auto"/>
              <w:right w:val="single" w:sz="4" w:space="0" w:color="auto"/>
            </w:tcBorders>
            <w:shd w:val="clear" w:color="auto" w:fill="B8CCE4"/>
            <w:vAlign w:val="center"/>
          </w:tcPr>
          <w:p w:rsidR="00045675" w:rsidRPr="00DA20F5" w:rsidRDefault="00045675" w:rsidP="00D36FB8">
            <w:pPr>
              <w:rPr>
                <w:sz w:val="20"/>
                <w:szCs w:val="20"/>
              </w:rPr>
            </w:pPr>
            <w:r w:rsidRPr="00DA20F5">
              <w:rPr>
                <w:sz w:val="20"/>
                <w:szCs w:val="20"/>
              </w:rPr>
              <w:t>Názov projektu:</w:t>
            </w:r>
          </w:p>
        </w:tc>
        <w:tc>
          <w:tcPr>
            <w:tcW w:w="7130" w:type="dxa"/>
            <w:tcBorders>
              <w:top w:val="single" w:sz="4" w:space="0" w:color="auto"/>
              <w:left w:val="single" w:sz="4" w:space="0" w:color="auto"/>
              <w:bottom w:val="single" w:sz="4" w:space="0" w:color="auto"/>
              <w:right w:val="single" w:sz="4" w:space="0" w:color="auto"/>
            </w:tcBorders>
            <w:vAlign w:val="center"/>
          </w:tcPr>
          <w:p w:rsidR="00045675" w:rsidRPr="00DA20F5" w:rsidRDefault="00045675" w:rsidP="00D36FB8">
            <w:pPr>
              <w:rPr>
                <w:sz w:val="20"/>
                <w:szCs w:val="20"/>
              </w:rPr>
            </w:pPr>
            <w:r w:rsidRPr="00DA20F5">
              <w:rPr>
                <w:sz w:val="20"/>
                <w:szCs w:val="20"/>
              </w:rPr>
              <w:t>Stratégia aktívneho starnutia</w:t>
            </w:r>
          </w:p>
        </w:tc>
      </w:tr>
      <w:tr w:rsidR="004D2CAB" w:rsidRPr="00DA20F5" w:rsidTr="00045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jc w:val="center"/>
        </w:trPr>
        <w:tc>
          <w:tcPr>
            <w:tcW w:w="1879" w:type="dxa"/>
            <w:shd w:val="clear" w:color="auto" w:fill="B8CCE4"/>
            <w:vAlign w:val="center"/>
          </w:tcPr>
          <w:p w:rsidR="00045675" w:rsidRPr="00DA20F5" w:rsidRDefault="00045675" w:rsidP="00D36FB8">
            <w:pPr>
              <w:rPr>
                <w:sz w:val="20"/>
                <w:szCs w:val="20"/>
              </w:rPr>
            </w:pPr>
            <w:r w:rsidRPr="00DA20F5">
              <w:rPr>
                <w:sz w:val="20"/>
                <w:szCs w:val="20"/>
              </w:rPr>
              <w:t>ITMS kód projektu:</w:t>
            </w:r>
          </w:p>
        </w:tc>
        <w:tc>
          <w:tcPr>
            <w:tcW w:w="7130" w:type="dxa"/>
            <w:vAlign w:val="center"/>
          </w:tcPr>
          <w:p w:rsidR="00045675" w:rsidRPr="00DA20F5" w:rsidRDefault="00045675" w:rsidP="00D36FB8">
            <w:pPr>
              <w:rPr>
                <w:bCs/>
                <w:sz w:val="20"/>
                <w:szCs w:val="20"/>
              </w:rPr>
            </w:pPr>
            <w:r w:rsidRPr="00DA20F5">
              <w:rPr>
                <w:sz w:val="20"/>
                <w:szCs w:val="20"/>
              </w:rPr>
              <w:t>27120230107 (SVK)</w:t>
            </w:r>
            <w:r w:rsidR="00AC5AAB" w:rsidRPr="00DA20F5">
              <w:rPr>
                <w:sz w:val="20"/>
                <w:szCs w:val="20"/>
              </w:rPr>
              <w:t xml:space="preserve"> </w:t>
            </w:r>
            <w:r w:rsidRPr="00DA20F5">
              <w:rPr>
                <w:sz w:val="20"/>
                <w:szCs w:val="20"/>
              </w:rPr>
              <w:t>/</w:t>
            </w:r>
            <w:r w:rsidR="00AC5AAB" w:rsidRPr="00DA20F5">
              <w:rPr>
                <w:sz w:val="20"/>
                <w:szCs w:val="20"/>
              </w:rPr>
              <w:t xml:space="preserve"> </w:t>
            </w:r>
            <w:r w:rsidRPr="00DA20F5">
              <w:rPr>
                <w:sz w:val="20"/>
                <w:szCs w:val="20"/>
              </w:rPr>
              <w:t>27130230009 (BSK)</w:t>
            </w:r>
          </w:p>
        </w:tc>
      </w:tr>
      <w:tr w:rsidR="004D2CAB" w:rsidRPr="00DA20F5" w:rsidTr="00045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jc w:val="center"/>
        </w:trPr>
        <w:tc>
          <w:tcPr>
            <w:tcW w:w="1879" w:type="dxa"/>
            <w:shd w:val="clear" w:color="auto" w:fill="B8CCE4"/>
            <w:vAlign w:val="center"/>
          </w:tcPr>
          <w:p w:rsidR="00C96DF1" w:rsidRPr="00DA20F5" w:rsidRDefault="00045675" w:rsidP="00D36FB8">
            <w:pPr>
              <w:rPr>
                <w:sz w:val="20"/>
                <w:szCs w:val="20"/>
              </w:rPr>
            </w:pPr>
            <w:r w:rsidRPr="00DA20F5">
              <w:rPr>
                <w:sz w:val="20"/>
                <w:szCs w:val="20"/>
              </w:rPr>
              <w:t>Termín realizácie</w:t>
            </w:r>
          </w:p>
          <w:p w:rsidR="00045675" w:rsidRPr="00DA20F5" w:rsidRDefault="00045675" w:rsidP="00D36FB8">
            <w:pPr>
              <w:rPr>
                <w:sz w:val="20"/>
                <w:szCs w:val="20"/>
              </w:rPr>
            </w:pPr>
            <w:r w:rsidRPr="00DA20F5">
              <w:rPr>
                <w:sz w:val="20"/>
                <w:szCs w:val="20"/>
              </w:rPr>
              <w:t xml:space="preserve"> od - do:</w:t>
            </w:r>
          </w:p>
        </w:tc>
        <w:tc>
          <w:tcPr>
            <w:tcW w:w="7130" w:type="dxa"/>
            <w:vAlign w:val="center"/>
          </w:tcPr>
          <w:p w:rsidR="00045675" w:rsidRPr="00DA20F5" w:rsidRDefault="00045675" w:rsidP="00D36FB8">
            <w:pPr>
              <w:rPr>
                <w:sz w:val="20"/>
                <w:szCs w:val="20"/>
              </w:rPr>
            </w:pPr>
            <w:r w:rsidRPr="00DA20F5">
              <w:rPr>
                <w:sz w:val="20"/>
                <w:szCs w:val="20"/>
              </w:rPr>
              <w:t>07/2010 – 06/2013</w:t>
            </w:r>
          </w:p>
        </w:tc>
      </w:tr>
      <w:tr w:rsidR="004D2CAB" w:rsidRPr="00DA20F5" w:rsidTr="00045675">
        <w:trPr>
          <w:trHeight w:val="535"/>
          <w:jc w:val="center"/>
        </w:trPr>
        <w:tc>
          <w:tcPr>
            <w:tcW w:w="1879" w:type="dxa"/>
            <w:tcBorders>
              <w:top w:val="single" w:sz="4" w:space="0" w:color="auto"/>
              <w:left w:val="single" w:sz="4" w:space="0" w:color="auto"/>
              <w:bottom w:val="single" w:sz="4" w:space="0" w:color="auto"/>
              <w:right w:val="single" w:sz="4" w:space="0" w:color="auto"/>
            </w:tcBorders>
            <w:shd w:val="clear" w:color="auto" w:fill="B8CCE4"/>
            <w:vAlign w:val="center"/>
          </w:tcPr>
          <w:p w:rsidR="00045675" w:rsidRPr="00DA20F5" w:rsidRDefault="00045675" w:rsidP="00D36FB8">
            <w:pPr>
              <w:rPr>
                <w:sz w:val="20"/>
                <w:szCs w:val="20"/>
              </w:rPr>
            </w:pPr>
            <w:r w:rsidRPr="00DA20F5">
              <w:rPr>
                <w:sz w:val="20"/>
                <w:szCs w:val="20"/>
              </w:rPr>
              <w:t>Cieľ projektu:</w:t>
            </w:r>
          </w:p>
        </w:tc>
        <w:tc>
          <w:tcPr>
            <w:tcW w:w="7130" w:type="dxa"/>
            <w:tcBorders>
              <w:top w:val="single" w:sz="4" w:space="0" w:color="auto"/>
              <w:left w:val="single" w:sz="4" w:space="0" w:color="auto"/>
              <w:bottom w:val="single" w:sz="4" w:space="0" w:color="auto"/>
              <w:right w:val="single" w:sz="4" w:space="0" w:color="auto"/>
            </w:tcBorders>
            <w:vAlign w:val="center"/>
          </w:tcPr>
          <w:p w:rsidR="00045675" w:rsidRPr="00DA20F5" w:rsidRDefault="00045675" w:rsidP="00D36FB8">
            <w:pPr>
              <w:rPr>
                <w:sz w:val="20"/>
                <w:szCs w:val="20"/>
              </w:rPr>
            </w:pPr>
            <w:r w:rsidRPr="00DA20F5">
              <w:rPr>
                <w:sz w:val="20"/>
                <w:szCs w:val="20"/>
              </w:rPr>
              <w:t xml:space="preserve">NP je zameraný na vypracovanie: </w:t>
            </w:r>
          </w:p>
          <w:p w:rsidR="00045675" w:rsidRPr="00DA20F5" w:rsidRDefault="00045675" w:rsidP="00DB509D">
            <w:pPr>
              <w:numPr>
                <w:ilvl w:val="0"/>
                <w:numId w:val="39"/>
              </w:numPr>
              <w:tabs>
                <w:tab w:val="clear" w:pos="720"/>
              </w:tabs>
              <w:ind w:left="534"/>
              <w:rPr>
                <w:bCs/>
                <w:iCs/>
                <w:sz w:val="20"/>
                <w:szCs w:val="20"/>
              </w:rPr>
            </w:pPr>
            <w:r w:rsidRPr="00DA20F5">
              <w:rPr>
                <w:iCs/>
                <w:sz w:val="20"/>
                <w:szCs w:val="20"/>
              </w:rPr>
              <w:t xml:space="preserve">sociálno-ekonomickej analýzy demografického vývoja v Slovenskej republike s osobitným zreteľom na vekovú skupinu 55-64 ročných; </w:t>
            </w:r>
          </w:p>
          <w:p w:rsidR="00045675" w:rsidRPr="00DA20F5" w:rsidRDefault="00045675" w:rsidP="00DB509D">
            <w:pPr>
              <w:numPr>
                <w:ilvl w:val="0"/>
                <w:numId w:val="39"/>
              </w:numPr>
              <w:tabs>
                <w:tab w:val="clear" w:pos="720"/>
              </w:tabs>
              <w:ind w:left="534"/>
              <w:rPr>
                <w:sz w:val="20"/>
                <w:szCs w:val="20"/>
              </w:rPr>
            </w:pPr>
            <w:r w:rsidRPr="00DA20F5">
              <w:rPr>
                <w:iCs/>
                <w:sz w:val="20"/>
                <w:szCs w:val="20"/>
              </w:rPr>
              <w:t>prognózy vývoja ponuky práce v Slovenskej republike do roku 2020;</w:t>
            </w:r>
          </w:p>
          <w:p w:rsidR="00045675" w:rsidRPr="00DA20F5" w:rsidRDefault="00045675" w:rsidP="00DB509D">
            <w:pPr>
              <w:numPr>
                <w:ilvl w:val="0"/>
                <w:numId w:val="39"/>
              </w:numPr>
              <w:tabs>
                <w:tab w:val="clear" w:pos="720"/>
              </w:tabs>
              <w:ind w:left="534"/>
              <w:rPr>
                <w:sz w:val="20"/>
                <w:szCs w:val="20"/>
              </w:rPr>
            </w:pPr>
            <w:r w:rsidRPr="00DA20F5">
              <w:rPr>
                <w:iCs/>
                <w:sz w:val="20"/>
                <w:szCs w:val="20"/>
              </w:rPr>
              <w:t>analýzy motivačných a demotivačných faktorov vstupu, udržania a zotrvania v zamestnaní starších v súčasnej legislatíve a politike SR s formulovanými odporúčaniami pre právne úpravy a politiku SR na posilnenie účasti starších na trhu práce;</w:t>
            </w:r>
          </w:p>
          <w:p w:rsidR="00045675" w:rsidRPr="00DA20F5" w:rsidRDefault="00045675" w:rsidP="00DB509D">
            <w:pPr>
              <w:numPr>
                <w:ilvl w:val="0"/>
                <w:numId w:val="39"/>
              </w:numPr>
              <w:tabs>
                <w:tab w:val="clear" w:pos="720"/>
              </w:tabs>
              <w:ind w:left="534"/>
              <w:rPr>
                <w:sz w:val="20"/>
                <w:szCs w:val="20"/>
              </w:rPr>
            </w:pPr>
            <w:r w:rsidRPr="00DA20F5">
              <w:rPr>
                <w:sz w:val="20"/>
                <w:szCs w:val="20"/>
              </w:rPr>
              <w:t>analýzy exogénnych a endogénnych faktorov ovplyvňujúcich účasť starších na</w:t>
            </w:r>
            <w:r w:rsidR="005C3A6A" w:rsidRPr="00DA20F5">
              <w:rPr>
                <w:sz w:val="20"/>
                <w:szCs w:val="20"/>
              </w:rPr>
              <w:t> </w:t>
            </w:r>
            <w:r w:rsidRPr="00DA20F5">
              <w:rPr>
                <w:sz w:val="20"/>
                <w:szCs w:val="20"/>
              </w:rPr>
              <w:t>trhu práce;</w:t>
            </w:r>
          </w:p>
          <w:p w:rsidR="00045675" w:rsidRPr="00DA20F5" w:rsidRDefault="00045675" w:rsidP="00DB509D">
            <w:pPr>
              <w:numPr>
                <w:ilvl w:val="0"/>
                <w:numId w:val="39"/>
              </w:numPr>
              <w:tabs>
                <w:tab w:val="clear" w:pos="720"/>
              </w:tabs>
              <w:ind w:left="534"/>
              <w:rPr>
                <w:sz w:val="20"/>
                <w:szCs w:val="20"/>
              </w:rPr>
            </w:pPr>
            <w:r w:rsidRPr="00DA20F5">
              <w:rPr>
                <w:sz w:val="20"/>
                <w:szCs w:val="20"/>
              </w:rPr>
              <w:t>reprezentatívneho empirického prieskumu (u ekonomicky aktívneho obyvateľstva, zamestnávateľov a u ďalších aktérov) postojov a názorov na</w:t>
            </w:r>
            <w:r w:rsidR="005C3A6A" w:rsidRPr="00DA20F5">
              <w:rPr>
                <w:sz w:val="20"/>
                <w:szCs w:val="20"/>
              </w:rPr>
              <w:t> </w:t>
            </w:r>
            <w:r w:rsidRPr="00DA20F5">
              <w:rPr>
                <w:sz w:val="20"/>
                <w:szCs w:val="20"/>
              </w:rPr>
              <w:t>aktívne starnutie a starobu;</w:t>
            </w:r>
          </w:p>
          <w:p w:rsidR="00045675" w:rsidRPr="00DA20F5" w:rsidRDefault="00045675" w:rsidP="00DB509D">
            <w:pPr>
              <w:numPr>
                <w:ilvl w:val="0"/>
                <w:numId w:val="39"/>
              </w:numPr>
              <w:tabs>
                <w:tab w:val="clear" w:pos="720"/>
              </w:tabs>
              <w:ind w:left="534"/>
              <w:rPr>
                <w:sz w:val="20"/>
                <w:szCs w:val="20"/>
              </w:rPr>
            </w:pPr>
            <w:r w:rsidRPr="00DA20F5">
              <w:rPr>
                <w:sz w:val="20"/>
                <w:szCs w:val="20"/>
              </w:rPr>
              <w:t>odporúčaní nástrojov na zmenu postojov a názorov na aktívne starnutie na</w:t>
            </w:r>
            <w:r w:rsidR="005C3A6A" w:rsidRPr="00DA20F5">
              <w:rPr>
                <w:sz w:val="20"/>
                <w:szCs w:val="20"/>
              </w:rPr>
              <w:t> </w:t>
            </w:r>
            <w:r w:rsidRPr="00DA20F5">
              <w:rPr>
                <w:sz w:val="20"/>
                <w:szCs w:val="20"/>
              </w:rPr>
              <w:t>základe výsledkov empirického prieskumu;</w:t>
            </w:r>
          </w:p>
          <w:p w:rsidR="00045675" w:rsidRPr="00DA20F5" w:rsidRDefault="00045675" w:rsidP="00DB509D">
            <w:pPr>
              <w:numPr>
                <w:ilvl w:val="0"/>
                <w:numId w:val="39"/>
              </w:numPr>
              <w:tabs>
                <w:tab w:val="clear" w:pos="720"/>
              </w:tabs>
              <w:ind w:left="534"/>
              <w:rPr>
                <w:sz w:val="20"/>
                <w:szCs w:val="20"/>
              </w:rPr>
            </w:pPr>
            <w:r w:rsidRPr="00DA20F5">
              <w:rPr>
                <w:iCs/>
                <w:sz w:val="20"/>
                <w:szCs w:val="20"/>
              </w:rPr>
              <w:t>Stratégie aktívneho starnutia, Akčného plánu napĺňania stratégie aktívneho starnutia.</w:t>
            </w:r>
            <w:r w:rsidRPr="00DA20F5">
              <w:rPr>
                <w:sz w:val="20"/>
                <w:szCs w:val="20"/>
              </w:rPr>
              <w:t>.</w:t>
            </w:r>
          </w:p>
        </w:tc>
      </w:tr>
      <w:tr w:rsidR="004D2CAB" w:rsidRPr="00DA20F5" w:rsidTr="00045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8"/>
          <w:jc w:val="center"/>
        </w:trPr>
        <w:tc>
          <w:tcPr>
            <w:tcW w:w="1879" w:type="dxa"/>
            <w:shd w:val="clear" w:color="auto" w:fill="B8CCE4"/>
            <w:vAlign w:val="center"/>
          </w:tcPr>
          <w:p w:rsidR="00045675" w:rsidRPr="00DA20F5" w:rsidRDefault="00045675" w:rsidP="00D36FB8">
            <w:pPr>
              <w:jc w:val="left"/>
              <w:rPr>
                <w:sz w:val="20"/>
                <w:szCs w:val="20"/>
              </w:rPr>
            </w:pPr>
            <w:r w:rsidRPr="00DA20F5">
              <w:rPr>
                <w:sz w:val="20"/>
                <w:szCs w:val="20"/>
              </w:rPr>
              <w:t xml:space="preserve">Kumulovaný stav plnenia indikátorov (plánovaná hodnota/dosiahnutá hodnota) </w:t>
            </w:r>
          </w:p>
        </w:tc>
        <w:tc>
          <w:tcPr>
            <w:tcW w:w="7130" w:type="dxa"/>
            <w:vAlign w:val="center"/>
          </w:tcPr>
          <w:p w:rsidR="00045675" w:rsidRPr="00DA20F5" w:rsidRDefault="00045675" w:rsidP="00D36FB8">
            <w:pPr>
              <w:rPr>
                <w:bCs/>
                <w:iCs/>
                <w:sz w:val="20"/>
                <w:szCs w:val="20"/>
              </w:rPr>
            </w:pPr>
            <w:r w:rsidRPr="00DA20F5">
              <w:rPr>
                <w:iCs/>
                <w:sz w:val="20"/>
                <w:szCs w:val="20"/>
              </w:rPr>
              <w:t>Počet osôb cieľovej skupiny zapojených do podporených projektov -</w:t>
            </w:r>
            <w:r w:rsidR="00AC5AAB" w:rsidRPr="00DA20F5">
              <w:rPr>
                <w:iCs/>
                <w:sz w:val="20"/>
                <w:szCs w:val="20"/>
              </w:rPr>
              <w:t xml:space="preserve"> </w:t>
            </w:r>
            <w:r w:rsidRPr="00DA20F5">
              <w:rPr>
                <w:iCs/>
                <w:sz w:val="20"/>
                <w:szCs w:val="20"/>
              </w:rPr>
              <w:t>spolu: 180/0</w:t>
            </w:r>
          </w:p>
          <w:p w:rsidR="00045675" w:rsidRPr="00DA20F5" w:rsidRDefault="00045675" w:rsidP="00D36FB8">
            <w:pPr>
              <w:rPr>
                <w:bCs/>
                <w:iCs/>
                <w:sz w:val="20"/>
                <w:szCs w:val="20"/>
              </w:rPr>
            </w:pPr>
            <w:r w:rsidRPr="00DA20F5">
              <w:rPr>
                <w:iCs/>
                <w:sz w:val="20"/>
                <w:szCs w:val="20"/>
              </w:rPr>
              <w:t>Počet vytvorených monitorovacích systémov, vypracovaných analýz, výskumov, stratégií, hodnotení v oblasti sociálnej inklúzie: 8/0</w:t>
            </w:r>
          </w:p>
          <w:p w:rsidR="00045675" w:rsidRPr="00DA20F5" w:rsidRDefault="00045675" w:rsidP="00D36FB8">
            <w:pPr>
              <w:rPr>
                <w:bCs/>
                <w:iCs/>
                <w:sz w:val="20"/>
                <w:szCs w:val="20"/>
              </w:rPr>
            </w:pPr>
            <w:r w:rsidRPr="00DA20F5">
              <w:rPr>
                <w:iCs/>
                <w:sz w:val="20"/>
                <w:szCs w:val="20"/>
              </w:rPr>
              <w:t>Počet opatrení zameraných na predchádzanie a elimináciu diskriminácie a zosúlaďovanie pracovného života: 4/0</w:t>
            </w:r>
          </w:p>
        </w:tc>
      </w:tr>
      <w:tr w:rsidR="004D2CAB" w:rsidRPr="00DA20F5" w:rsidTr="00045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jc w:val="center"/>
        </w:trPr>
        <w:tc>
          <w:tcPr>
            <w:tcW w:w="1879" w:type="dxa"/>
            <w:shd w:val="clear" w:color="auto" w:fill="B8CCE4"/>
            <w:vAlign w:val="center"/>
          </w:tcPr>
          <w:p w:rsidR="00045675" w:rsidRPr="00DA20F5" w:rsidRDefault="00045675" w:rsidP="00D36FB8">
            <w:pPr>
              <w:jc w:val="left"/>
              <w:rPr>
                <w:sz w:val="20"/>
                <w:szCs w:val="20"/>
              </w:rPr>
            </w:pPr>
            <w:r w:rsidRPr="00DA20F5">
              <w:rPr>
                <w:sz w:val="20"/>
                <w:szCs w:val="20"/>
              </w:rPr>
              <w:t xml:space="preserve">Doterajší priebeh realizácie projektu </w:t>
            </w:r>
          </w:p>
        </w:tc>
        <w:tc>
          <w:tcPr>
            <w:tcW w:w="7130" w:type="dxa"/>
            <w:vAlign w:val="center"/>
          </w:tcPr>
          <w:p w:rsidR="00045675" w:rsidRPr="00DA20F5" w:rsidRDefault="00045675" w:rsidP="00D36FB8">
            <w:pPr>
              <w:rPr>
                <w:sz w:val="20"/>
                <w:szCs w:val="20"/>
              </w:rPr>
            </w:pPr>
            <w:r w:rsidRPr="00DA20F5">
              <w:rPr>
                <w:sz w:val="20"/>
                <w:szCs w:val="20"/>
              </w:rPr>
              <w:t>Nakoľko boli vykonané zásadné zmeny v projekte a v rozpočtových položkách , došlo v sledovanom období k nevyhnutnému posunu realizácie hlavných aktivít projektu.</w:t>
            </w:r>
          </w:p>
          <w:p w:rsidR="00045675" w:rsidRPr="00DA20F5" w:rsidRDefault="00045675" w:rsidP="00D36FB8">
            <w:pPr>
              <w:rPr>
                <w:bCs/>
                <w:sz w:val="20"/>
                <w:szCs w:val="20"/>
              </w:rPr>
            </w:pPr>
          </w:p>
        </w:tc>
      </w:tr>
    </w:tbl>
    <w:p w:rsidR="00045675" w:rsidRPr="00DA20F5" w:rsidRDefault="00045675" w:rsidP="00D36FB8"/>
    <w:p w:rsidR="00045675" w:rsidRPr="00DA20F5" w:rsidRDefault="00045675" w:rsidP="00D36FB8"/>
    <w:p w:rsidR="00045675" w:rsidRPr="00DA20F5" w:rsidRDefault="00045675" w:rsidP="00D36FB8">
      <w:pPr>
        <w:rPr>
          <w:vanish/>
        </w:rPr>
      </w:pPr>
    </w:p>
    <w:p w:rsidR="00045675" w:rsidRPr="00DA20F5" w:rsidRDefault="00045675" w:rsidP="00D36FB8">
      <w:pPr>
        <w:rPr>
          <w:szCs w:val="22"/>
        </w:rPr>
      </w:pPr>
      <w:r w:rsidRPr="00DA20F5">
        <w:rPr>
          <w:szCs w:val="22"/>
        </w:rPr>
        <w:t xml:space="preserve">Detailné informácie o implementácii OP </w:t>
      </w:r>
      <w:r w:rsidR="002B7F70" w:rsidRPr="00DA20F5">
        <w:rPr>
          <w:szCs w:val="22"/>
        </w:rPr>
        <w:t>ZaSI</w:t>
      </w:r>
      <w:r w:rsidR="00AC5AAB" w:rsidRPr="00DA20F5">
        <w:rPr>
          <w:szCs w:val="22"/>
        </w:rPr>
        <w:t xml:space="preserve"> </w:t>
      </w:r>
      <w:r w:rsidRPr="00DA20F5">
        <w:rPr>
          <w:szCs w:val="22"/>
        </w:rPr>
        <w:t>sú k dispozícii v rámci Výročných správ o vykonávaní OP ZaSI, dostupné na</w:t>
      </w:r>
      <w:r w:rsidR="00AC5AAB" w:rsidRPr="00DA20F5">
        <w:rPr>
          <w:szCs w:val="22"/>
        </w:rPr>
        <w:t xml:space="preserve"> </w:t>
      </w:r>
      <w:hyperlink r:id="rId69" w:history="1">
        <w:r w:rsidRPr="00DA20F5">
          <w:rPr>
            <w:rStyle w:val="Hypertextovprepojenie"/>
            <w:color w:val="auto"/>
            <w:szCs w:val="22"/>
          </w:rPr>
          <w:t>www.esf.gov.sk</w:t>
        </w:r>
      </w:hyperlink>
      <w:r w:rsidRPr="00DA20F5">
        <w:rPr>
          <w:szCs w:val="22"/>
        </w:rPr>
        <w:t xml:space="preserve"> v časti </w:t>
      </w:r>
      <w:r w:rsidRPr="00DA20F5">
        <w:rPr>
          <w:i/>
          <w:szCs w:val="22"/>
        </w:rPr>
        <w:t>Riadenie, monitorovanie, kontrola, implementácia</w:t>
      </w:r>
      <w:r w:rsidRPr="00DA20F5">
        <w:rPr>
          <w:szCs w:val="22"/>
        </w:rPr>
        <w:t>.</w:t>
      </w:r>
    </w:p>
    <w:p w:rsidR="00526BE2" w:rsidRPr="00DA20F5" w:rsidRDefault="00526BE2" w:rsidP="00D36FB8"/>
    <w:p w:rsidR="00526BE2" w:rsidRPr="00DA20F5" w:rsidRDefault="00526BE2" w:rsidP="00D36FB8">
      <w:pPr>
        <w:rPr>
          <w:vanish/>
        </w:rPr>
      </w:pPr>
    </w:p>
    <w:p w:rsidR="00045675" w:rsidRPr="00DA20F5" w:rsidRDefault="00045675" w:rsidP="00D36FB8">
      <w:pPr>
        <w:rPr>
          <w:vanish/>
        </w:rPr>
      </w:pPr>
    </w:p>
    <w:p w:rsidR="00045675" w:rsidRPr="00DA20F5" w:rsidRDefault="00045675" w:rsidP="00D36FB8">
      <w:pPr>
        <w:rPr>
          <w:vanish/>
          <w:color w:val="4F81BD" w:themeColor="accent1"/>
        </w:rPr>
        <w:sectPr w:rsidR="00045675" w:rsidRPr="00DA20F5" w:rsidSect="00570ECB">
          <w:headerReference w:type="even" r:id="rId70"/>
          <w:headerReference w:type="default" r:id="rId71"/>
          <w:pgSz w:w="11906" w:h="16838"/>
          <w:pgMar w:top="1418" w:right="1418" w:bottom="1418" w:left="1418" w:header="709" w:footer="709" w:gutter="0"/>
          <w:cols w:space="708"/>
          <w:docGrid w:linePitch="360"/>
        </w:sectPr>
      </w:pPr>
    </w:p>
    <w:p w:rsidR="008962EA" w:rsidRPr="00DA20F5" w:rsidRDefault="008962EA" w:rsidP="00D36FB8">
      <w:pPr>
        <w:pStyle w:val="Nadpis1"/>
      </w:pPr>
      <w:bookmarkStart w:id="1317" w:name="_Toc325438274"/>
      <w:bookmarkStart w:id="1318" w:name="_Toc326217090"/>
      <w:r w:rsidRPr="00DA20F5">
        <w:lastRenderedPageBreak/>
        <w:t>ŽIVOTNÁ ÚROVEŇ A SOCIÁLNA KOHÉZIA</w:t>
      </w:r>
      <w:bookmarkEnd w:id="1317"/>
      <w:bookmarkEnd w:id="1318"/>
    </w:p>
    <w:p w:rsidR="008962EA" w:rsidRPr="00DA20F5" w:rsidRDefault="008962EA" w:rsidP="00D36FB8">
      <w:pPr>
        <w:pStyle w:val="nadpis2"/>
      </w:pPr>
      <w:bookmarkStart w:id="1319" w:name="_Toc325438275"/>
      <w:bookmarkStart w:id="1320" w:name="_Toc326217091"/>
      <w:r w:rsidRPr="00DA20F5">
        <w:t>Peňažné príjmy a výdavky súkromných domácností</w:t>
      </w:r>
      <w:bookmarkEnd w:id="1319"/>
      <w:bookmarkEnd w:id="1320"/>
    </w:p>
    <w:p w:rsidR="008962EA" w:rsidRPr="00DA20F5" w:rsidRDefault="008962EA" w:rsidP="00D36FB8">
      <w:pPr>
        <w:rPr>
          <w:b/>
          <w:szCs w:val="22"/>
        </w:rPr>
      </w:pPr>
      <w:r w:rsidRPr="00DA20F5">
        <w:rPr>
          <w:szCs w:val="22"/>
        </w:rPr>
        <w:t xml:space="preserve">Údaje o príjmoch a výdavkoch domácností získava Štatistický úrad SR prostredníctvom štatistiky rodinných účtov, ktorá na rozdiel od štatistiky národných účtov zahrňuje len príjmy a výdavky, spojené so zabezpečovaním chodu domácností a osobných potrieb jej členov. </w:t>
      </w:r>
    </w:p>
    <w:p w:rsidR="008962EA" w:rsidRPr="00DA20F5" w:rsidRDefault="008962EA" w:rsidP="00D36FB8">
      <w:pPr>
        <w:pStyle w:val="Normlnysozarkami12"/>
      </w:pPr>
      <w:r w:rsidRPr="00DA20F5">
        <w:t>V roku 2011 nastal medziročný nominálny nárast čistých peňažných príjmov i výdavkov súkromných domácností. Čisté peňažné príjmy na jedného člena do</w:t>
      </w:r>
      <w:r w:rsidRPr="00DA20F5">
        <w:softHyphen/>
        <w:t>mácnosti oproti ro</w:t>
      </w:r>
      <w:r w:rsidRPr="00DA20F5">
        <w:softHyphen/>
        <w:t>ku 2010 narástli nominálne o 2,8 % na 358,62 € a čisté pe</w:t>
      </w:r>
      <w:r w:rsidRPr="00DA20F5">
        <w:softHyphen/>
        <w:t>ňaž</w:t>
      </w:r>
      <w:r w:rsidRPr="00DA20F5">
        <w:softHyphen/>
        <w:t>né výdavky na jedn</w:t>
      </w:r>
      <w:r w:rsidR="005C3A6A" w:rsidRPr="00DA20F5">
        <w:t>ého člena domácnosti o 3,7 % na </w:t>
      </w:r>
      <w:r w:rsidRPr="00DA20F5">
        <w:t>319,22 €. Po zo</w:t>
      </w:r>
      <w:r w:rsidRPr="00DA20F5">
        <w:softHyphen/>
        <w:t>hľad</w:t>
      </w:r>
      <w:r w:rsidRPr="00DA20F5">
        <w:softHyphen/>
        <w:t>není vývoja spotrebiteľských cien boli čisté me</w:t>
      </w:r>
      <w:r w:rsidRPr="00DA20F5">
        <w:softHyphen/>
        <w:t>sačné príjmy na jedného člena domác</w:t>
      </w:r>
      <w:r w:rsidRPr="00DA20F5">
        <w:softHyphen/>
        <w:t>nosti reálne nižšie o 1,1 % a čisté peňažné výdavky o 0,2 %.</w:t>
      </w:r>
    </w:p>
    <w:p w:rsidR="008962EA" w:rsidRPr="00DA20F5" w:rsidRDefault="008962EA" w:rsidP="00D36FB8">
      <w:pPr>
        <w:pStyle w:val="Nadpis7"/>
      </w:pPr>
      <w:bookmarkStart w:id="1321" w:name="_Toc294027708"/>
      <w:bookmarkStart w:id="1322" w:name="_Toc294029947"/>
      <w:bookmarkStart w:id="1323" w:name="_Toc313879438"/>
      <w:bookmarkStart w:id="1324" w:name="_Toc325438276"/>
      <w:bookmarkStart w:id="1325" w:name="_Toc325441019"/>
      <w:bookmarkStart w:id="1326" w:name="_Toc325626831"/>
      <w:bookmarkStart w:id="1327" w:name="_Toc326217092"/>
      <w:r w:rsidRPr="00DA20F5">
        <w:t>Tab. 4.1</w:t>
      </w:r>
      <w:r w:rsidR="00AC5AAB" w:rsidRPr="00DA20F5">
        <w:t xml:space="preserve"> </w:t>
      </w:r>
      <w:r w:rsidRPr="00DA20F5">
        <w:t>Čisté peňažné príjmy a výdavky súkromných domácností v € na mesiac a osobu</w:t>
      </w:r>
      <w:bookmarkEnd w:id="1321"/>
      <w:bookmarkEnd w:id="1322"/>
      <w:bookmarkEnd w:id="1323"/>
      <w:bookmarkEnd w:id="1324"/>
      <w:bookmarkEnd w:id="1325"/>
      <w:bookmarkEnd w:id="1326"/>
      <w:bookmarkEnd w:id="1327"/>
    </w:p>
    <w:tbl>
      <w:tblPr>
        <w:tblW w:w="8346"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659"/>
        <w:gridCol w:w="879"/>
        <w:gridCol w:w="960"/>
        <w:gridCol w:w="1219"/>
        <w:gridCol w:w="815"/>
        <w:gridCol w:w="1219"/>
        <w:gridCol w:w="815"/>
      </w:tblGrid>
      <w:tr w:rsidR="008962EA" w:rsidRPr="00DA20F5" w:rsidTr="007A29A1">
        <w:trPr>
          <w:trHeight w:val="255"/>
          <w:jc w:val="center"/>
        </w:trPr>
        <w:tc>
          <w:tcPr>
            <w:tcW w:w="2659" w:type="dxa"/>
            <w:vMerge w:val="restart"/>
            <w:shd w:val="clear" w:color="auto" w:fill="4F81BD"/>
            <w:noWrap/>
            <w:vAlign w:val="center"/>
            <w:hideMark/>
          </w:tcPr>
          <w:p w:rsidR="008962EA" w:rsidRPr="00DA20F5" w:rsidRDefault="008962EA" w:rsidP="00D36FB8">
            <w:pPr>
              <w:jc w:val="center"/>
              <w:rPr>
                <w:b/>
                <w:color w:val="FFFFFF" w:themeColor="background1"/>
                <w:lang w:eastAsia="cs-CZ"/>
              </w:rPr>
            </w:pPr>
            <w:bookmarkStart w:id="1328" w:name="_Toc294020338"/>
            <w:bookmarkStart w:id="1329" w:name="_Toc294027709"/>
            <w:bookmarkStart w:id="1330" w:name="_Toc294029948"/>
            <w:bookmarkStart w:id="1331" w:name="_Toc313879439"/>
            <w:r w:rsidRPr="00DA20F5">
              <w:rPr>
                <w:b/>
                <w:color w:val="FFFFFF" w:themeColor="background1"/>
                <w:lang w:eastAsia="cs-CZ"/>
              </w:rPr>
              <w:t>Ukazovateľ</w:t>
            </w:r>
            <w:bookmarkEnd w:id="1328"/>
            <w:bookmarkEnd w:id="1329"/>
            <w:bookmarkEnd w:id="1330"/>
            <w:bookmarkEnd w:id="1331"/>
          </w:p>
        </w:tc>
        <w:tc>
          <w:tcPr>
            <w:tcW w:w="879" w:type="dxa"/>
            <w:vMerge w:val="restart"/>
            <w:shd w:val="clear" w:color="auto" w:fill="4F81BD"/>
            <w:noWrap/>
            <w:vAlign w:val="center"/>
            <w:hideMark/>
          </w:tcPr>
          <w:p w:rsidR="008962EA" w:rsidRPr="00DA20F5" w:rsidRDefault="008962EA" w:rsidP="00D36FB8">
            <w:pPr>
              <w:jc w:val="center"/>
              <w:rPr>
                <w:b/>
                <w:color w:val="FFFFFF" w:themeColor="background1"/>
                <w:lang w:eastAsia="cs-CZ"/>
              </w:rPr>
            </w:pPr>
            <w:bookmarkStart w:id="1332" w:name="_Toc294020339"/>
            <w:bookmarkStart w:id="1333" w:name="_Toc294027710"/>
            <w:bookmarkStart w:id="1334" w:name="_Toc294029949"/>
            <w:bookmarkStart w:id="1335" w:name="_Toc313879440"/>
            <w:r w:rsidRPr="00DA20F5">
              <w:rPr>
                <w:b/>
                <w:color w:val="FFFFFF" w:themeColor="background1"/>
                <w:lang w:eastAsia="cs-CZ"/>
              </w:rPr>
              <w:t>20</w:t>
            </w:r>
            <w:bookmarkEnd w:id="1332"/>
            <w:bookmarkEnd w:id="1333"/>
            <w:bookmarkEnd w:id="1334"/>
            <w:bookmarkEnd w:id="1335"/>
            <w:r w:rsidRPr="00DA20F5">
              <w:rPr>
                <w:b/>
                <w:color w:val="FFFFFF" w:themeColor="background1"/>
                <w:lang w:eastAsia="cs-CZ"/>
              </w:rPr>
              <w:t>10</w:t>
            </w:r>
          </w:p>
        </w:tc>
        <w:tc>
          <w:tcPr>
            <w:tcW w:w="960" w:type="dxa"/>
            <w:vMerge w:val="restart"/>
            <w:shd w:val="clear" w:color="auto" w:fill="4F81BD"/>
            <w:noWrap/>
            <w:vAlign w:val="center"/>
            <w:hideMark/>
          </w:tcPr>
          <w:p w:rsidR="008962EA" w:rsidRPr="00DA20F5" w:rsidRDefault="008962EA" w:rsidP="00D36FB8">
            <w:pPr>
              <w:jc w:val="center"/>
              <w:rPr>
                <w:b/>
                <w:color w:val="FFFFFF" w:themeColor="background1"/>
                <w:lang w:eastAsia="cs-CZ"/>
              </w:rPr>
            </w:pPr>
            <w:bookmarkStart w:id="1336" w:name="_Toc294020340"/>
            <w:bookmarkStart w:id="1337" w:name="_Toc294027711"/>
            <w:bookmarkStart w:id="1338" w:name="_Toc294029950"/>
            <w:bookmarkStart w:id="1339" w:name="_Toc313879441"/>
            <w:r w:rsidRPr="00DA20F5">
              <w:rPr>
                <w:b/>
                <w:color w:val="FFFFFF" w:themeColor="background1"/>
                <w:lang w:eastAsia="cs-CZ"/>
              </w:rPr>
              <w:t>201</w:t>
            </w:r>
            <w:bookmarkEnd w:id="1336"/>
            <w:bookmarkEnd w:id="1337"/>
            <w:bookmarkEnd w:id="1338"/>
            <w:bookmarkEnd w:id="1339"/>
            <w:r w:rsidRPr="00DA20F5">
              <w:rPr>
                <w:b/>
                <w:color w:val="FFFFFF" w:themeColor="background1"/>
                <w:lang w:eastAsia="cs-CZ"/>
              </w:rPr>
              <w:t>1</w:t>
            </w:r>
          </w:p>
        </w:tc>
        <w:tc>
          <w:tcPr>
            <w:tcW w:w="1924" w:type="dxa"/>
            <w:gridSpan w:val="2"/>
            <w:shd w:val="clear" w:color="auto" w:fill="4F81BD"/>
            <w:vAlign w:val="center"/>
            <w:hideMark/>
          </w:tcPr>
          <w:p w:rsidR="008962EA" w:rsidRPr="00DA20F5" w:rsidRDefault="008962EA" w:rsidP="00D36FB8">
            <w:pPr>
              <w:jc w:val="center"/>
              <w:rPr>
                <w:b/>
                <w:color w:val="FFFFFF" w:themeColor="background1"/>
                <w:lang w:eastAsia="cs-CZ"/>
              </w:rPr>
            </w:pPr>
            <w:bookmarkStart w:id="1340" w:name="_Toc294020341"/>
            <w:bookmarkStart w:id="1341" w:name="_Toc294027712"/>
            <w:bookmarkStart w:id="1342" w:name="_Toc294029951"/>
            <w:bookmarkStart w:id="1343" w:name="_Toc313879442"/>
            <w:r w:rsidRPr="00DA20F5">
              <w:rPr>
                <w:b/>
                <w:color w:val="FFFFFF" w:themeColor="background1"/>
                <w:lang w:eastAsia="cs-CZ"/>
              </w:rPr>
              <w:t>Index 2010/200</w:t>
            </w:r>
            <w:bookmarkEnd w:id="1340"/>
            <w:bookmarkEnd w:id="1341"/>
            <w:bookmarkEnd w:id="1342"/>
            <w:bookmarkEnd w:id="1343"/>
            <w:r w:rsidRPr="00DA20F5">
              <w:rPr>
                <w:b/>
                <w:color w:val="FFFFFF" w:themeColor="background1"/>
                <w:lang w:eastAsia="cs-CZ"/>
              </w:rPr>
              <w:t>9</w:t>
            </w:r>
          </w:p>
        </w:tc>
        <w:tc>
          <w:tcPr>
            <w:tcW w:w="1924" w:type="dxa"/>
            <w:gridSpan w:val="2"/>
            <w:shd w:val="clear" w:color="auto" w:fill="4F81BD"/>
            <w:vAlign w:val="center"/>
            <w:hideMark/>
          </w:tcPr>
          <w:p w:rsidR="008962EA" w:rsidRPr="00DA20F5" w:rsidRDefault="008962EA" w:rsidP="00D36FB8">
            <w:pPr>
              <w:jc w:val="center"/>
              <w:rPr>
                <w:b/>
                <w:color w:val="FFFFFF" w:themeColor="background1"/>
                <w:lang w:eastAsia="cs-CZ"/>
              </w:rPr>
            </w:pPr>
            <w:bookmarkStart w:id="1344" w:name="_Toc294020342"/>
            <w:bookmarkStart w:id="1345" w:name="_Toc294027713"/>
            <w:bookmarkStart w:id="1346" w:name="_Toc294029952"/>
            <w:bookmarkStart w:id="1347" w:name="_Toc313879443"/>
            <w:r w:rsidRPr="00DA20F5">
              <w:rPr>
                <w:b/>
                <w:color w:val="FFFFFF" w:themeColor="background1"/>
                <w:lang w:eastAsia="cs-CZ"/>
              </w:rPr>
              <w:t>Index 2011/20</w:t>
            </w:r>
            <w:bookmarkEnd w:id="1344"/>
            <w:bookmarkEnd w:id="1345"/>
            <w:bookmarkEnd w:id="1346"/>
            <w:bookmarkEnd w:id="1347"/>
            <w:r w:rsidRPr="00DA20F5">
              <w:rPr>
                <w:b/>
                <w:color w:val="FFFFFF" w:themeColor="background1"/>
                <w:lang w:eastAsia="cs-CZ"/>
              </w:rPr>
              <w:t>10</w:t>
            </w:r>
          </w:p>
        </w:tc>
      </w:tr>
      <w:tr w:rsidR="008962EA" w:rsidRPr="00DA20F5" w:rsidTr="007A29A1">
        <w:trPr>
          <w:trHeight w:val="255"/>
          <w:jc w:val="center"/>
        </w:trPr>
        <w:tc>
          <w:tcPr>
            <w:tcW w:w="2659" w:type="dxa"/>
            <w:vMerge/>
            <w:shd w:val="clear" w:color="auto" w:fill="4F81BD"/>
            <w:vAlign w:val="center"/>
            <w:hideMark/>
          </w:tcPr>
          <w:p w:rsidR="008962EA" w:rsidRPr="00DA20F5" w:rsidRDefault="008962EA" w:rsidP="00D36FB8">
            <w:pPr>
              <w:jc w:val="center"/>
              <w:rPr>
                <w:b/>
                <w:color w:val="FFFFFF" w:themeColor="background1"/>
                <w:lang w:eastAsia="cs-CZ"/>
              </w:rPr>
            </w:pPr>
          </w:p>
        </w:tc>
        <w:tc>
          <w:tcPr>
            <w:tcW w:w="879" w:type="dxa"/>
            <w:vMerge/>
            <w:shd w:val="clear" w:color="auto" w:fill="4F81BD"/>
            <w:vAlign w:val="center"/>
            <w:hideMark/>
          </w:tcPr>
          <w:p w:rsidR="008962EA" w:rsidRPr="00DA20F5" w:rsidRDefault="008962EA" w:rsidP="00D36FB8">
            <w:pPr>
              <w:jc w:val="center"/>
              <w:rPr>
                <w:b/>
                <w:color w:val="FFFFFF" w:themeColor="background1"/>
                <w:lang w:eastAsia="cs-CZ"/>
              </w:rPr>
            </w:pPr>
          </w:p>
        </w:tc>
        <w:tc>
          <w:tcPr>
            <w:tcW w:w="960" w:type="dxa"/>
            <w:vMerge/>
            <w:shd w:val="clear" w:color="auto" w:fill="4F81BD"/>
            <w:vAlign w:val="center"/>
            <w:hideMark/>
          </w:tcPr>
          <w:p w:rsidR="008962EA" w:rsidRPr="00DA20F5" w:rsidRDefault="008962EA" w:rsidP="00D36FB8">
            <w:pPr>
              <w:jc w:val="center"/>
              <w:rPr>
                <w:b/>
                <w:color w:val="FFFFFF" w:themeColor="background1"/>
                <w:lang w:eastAsia="cs-CZ"/>
              </w:rPr>
            </w:pPr>
          </w:p>
        </w:tc>
        <w:tc>
          <w:tcPr>
            <w:tcW w:w="1158" w:type="dxa"/>
            <w:shd w:val="clear" w:color="auto" w:fill="4F81BD"/>
            <w:noWrap/>
            <w:vAlign w:val="center"/>
            <w:hideMark/>
          </w:tcPr>
          <w:p w:rsidR="008962EA" w:rsidRPr="00DA20F5" w:rsidRDefault="008962EA" w:rsidP="00D36FB8">
            <w:pPr>
              <w:jc w:val="center"/>
              <w:rPr>
                <w:b/>
                <w:color w:val="FFFFFF" w:themeColor="background1"/>
                <w:lang w:eastAsia="cs-CZ"/>
              </w:rPr>
            </w:pPr>
            <w:bookmarkStart w:id="1348" w:name="_Toc294020343"/>
            <w:bookmarkStart w:id="1349" w:name="_Toc294027714"/>
            <w:bookmarkStart w:id="1350" w:name="_Toc294029953"/>
            <w:bookmarkStart w:id="1351" w:name="_Toc313879444"/>
            <w:r w:rsidRPr="00DA20F5">
              <w:rPr>
                <w:b/>
                <w:color w:val="FFFFFF" w:themeColor="background1"/>
                <w:lang w:eastAsia="cs-CZ"/>
              </w:rPr>
              <w:t>nominálny</w:t>
            </w:r>
            <w:bookmarkEnd w:id="1348"/>
            <w:bookmarkEnd w:id="1349"/>
            <w:bookmarkEnd w:id="1350"/>
            <w:bookmarkEnd w:id="1351"/>
          </w:p>
        </w:tc>
        <w:tc>
          <w:tcPr>
            <w:tcW w:w="766" w:type="dxa"/>
            <w:shd w:val="clear" w:color="auto" w:fill="4F81BD"/>
            <w:noWrap/>
            <w:vAlign w:val="center"/>
            <w:hideMark/>
          </w:tcPr>
          <w:p w:rsidR="008962EA" w:rsidRPr="00DA20F5" w:rsidRDefault="008962EA" w:rsidP="00D36FB8">
            <w:pPr>
              <w:jc w:val="center"/>
              <w:rPr>
                <w:b/>
                <w:color w:val="FFFFFF" w:themeColor="background1"/>
                <w:lang w:eastAsia="cs-CZ"/>
              </w:rPr>
            </w:pPr>
            <w:bookmarkStart w:id="1352" w:name="_Toc294020344"/>
            <w:bookmarkStart w:id="1353" w:name="_Toc294027715"/>
            <w:bookmarkStart w:id="1354" w:name="_Toc294029954"/>
            <w:bookmarkStart w:id="1355" w:name="_Toc313879445"/>
            <w:r w:rsidRPr="00DA20F5">
              <w:rPr>
                <w:b/>
                <w:color w:val="FFFFFF" w:themeColor="background1"/>
                <w:lang w:eastAsia="cs-CZ"/>
              </w:rPr>
              <w:t>reálny</w:t>
            </w:r>
            <w:bookmarkEnd w:id="1352"/>
            <w:bookmarkEnd w:id="1353"/>
            <w:bookmarkEnd w:id="1354"/>
            <w:bookmarkEnd w:id="1355"/>
          </w:p>
        </w:tc>
        <w:tc>
          <w:tcPr>
            <w:tcW w:w="1158" w:type="dxa"/>
            <w:shd w:val="clear" w:color="auto" w:fill="4F81BD"/>
            <w:noWrap/>
            <w:vAlign w:val="center"/>
            <w:hideMark/>
          </w:tcPr>
          <w:p w:rsidR="008962EA" w:rsidRPr="00DA20F5" w:rsidRDefault="008962EA" w:rsidP="00D36FB8">
            <w:pPr>
              <w:jc w:val="center"/>
              <w:rPr>
                <w:b/>
                <w:color w:val="FFFFFF" w:themeColor="background1"/>
                <w:lang w:eastAsia="cs-CZ"/>
              </w:rPr>
            </w:pPr>
            <w:bookmarkStart w:id="1356" w:name="_Toc294020345"/>
            <w:bookmarkStart w:id="1357" w:name="_Toc294027716"/>
            <w:bookmarkStart w:id="1358" w:name="_Toc294029955"/>
            <w:bookmarkStart w:id="1359" w:name="_Toc313879446"/>
            <w:r w:rsidRPr="00DA20F5">
              <w:rPr>
                <w:b/>
                <w:color w:val="FFFFFF" w:themeColor="background1"/>
                <w:lang w:eastAsia="cs-CZ"/>
              </w:rPr>
              <w:t>nominálny</w:t>
            </w:r>
            <w:bookmarkEnd w:id="1356"/>
            <w:bookmarkEnd w:id="1357"/>
            <w:bookmarkEnd w:id="1358"/>
            <w:bookmarkEnd w:id="1359"/>
          </w:p>
        </w:tc>
        <w:tc>
          <w:tcPr>
            <w:tcW w:w="766" w:type="dxa"/>
            <w:shd w:val="clear" w:color="auto" w:fill="4F81BD"/>
            <w:noWrap/>
            <w:vAlign w:val="center"/>
            <w:hideMark/>
          </w:tcPr>
          <w:p w:rsidR="008962EA" w:rsidRPr="00DA20F5" w:rsidRDefault="008962EA" w:rsidP="00D36FB8">
            <w:pPr>
              <w:jc w:val="center"/>
              <w:rPr>
                <w:b/>
                <w:color w:val="FFFFFF" w:themeColor="background1"/>
                <w:lang w:eastAsia="cs-CZ"/>
              </w:rPr>
            </w:pPr>
            <w:bookmarkStart w:id="1360" w:name="_Toc294020346"/>
            <w:bookmarkStart w:id="1361" w:name="_Toc294027717"/>
            <w:bookmarkStart w:id="1362" w:name="_Toc294029956"/>
            <w:bookmarkStart w:id="1363" w:name="_Toc313879447"/>
            <w:r w:rsidRPr="00DA20F5">
              <w:rPr>
                <w:b/>
                <w:color w:val="FFFFFF" w:themeColor="background1"/>
                <w:lang w:eastAsia="cs-CZ"/>
              </w:rPr>
              <w:t>reálny</w:t>
            </w:r>
            <w:bookmarkEnd w:id="1360"/>
            <w:bookmarkEnd w:id="1361"/>
            <w:bookmarkEnd w:id="1362"/>
            <w:bookmarkEnd w:id="1363"/>
          </w:p>
        </w:tc>
      </w:tr>
      <w:tr w:rsidR="008962EA" w:rsidRPr="00DA20F5" w:rsidTr="007A29A1">
        <w:trPr>
          <w:trHeight w:val="255"/>
          <w:jc w:val="center"/>
        </w:trPr>
        <w:tc>
          <w:tcPr>
            <w:tcW w:w="2659" w:type="dxa"/>
            <w:shd w:val="clear" w:color="auto" w:fill="auto"/>
            <w:noWrap/>
            <w:vAlign w:val="center"/>
            <w:hideMark/>
          </w:tcPr>
          <w:p w:rsidR="008962EA" w:rsidRPr="00DA20F5" w:rsidRDefault="008962EA" w:rsidP="00D36FB8">
            <w:pPr>
              <w:rPr>
                <w:lang w:eastAsia="en-US"/>
              </w:rPr>
            </w:pPr>
            <w:bookmarkStart w:id="1364" w:name="_Toc294020347"/>
            <w:bookmarkStart w:id="1365" w:name="_Toc294027718"/>
            <w:bookmarkStart w:id="1366" w:name="_Toc294029957"/>
            <w:bookmarkStart w:id="1367" w:name="_Toc313879448"/>
            <w:r w:rsidRPr="00DA20F5">
              <w:rPr>
                <w:lang w:eastAsia="en-US"/>
              </w:rPr>
              <w:t>Čisté mesačné príjmy v €</w:t>
            </w:r>
            <w:bookmarkEnd w:id="1364"/>
            <w:bookmarkEnd w:id="1365"/>
            <w:bookmarkEnd w:id="1366"/>
            <w:bookmarkEnd w:id="1367"/>
          </w:p>
        </w:tc>
        <w:tc>
          <w:tcPr>
            <w:tcW w:w="879" w:type="dxa"/>
            <w:shd w:val="clear" w:color="auto" w:fill="auto"/>
            <w:noWrap/>
            <w:vAlign w:val="center"/>
            <w:hideMark/>
          </w:tcPr>
          <w:p w:rsidR="008962EA" w:rsidRPr="00DA20F5" w:rsidRDefault="008962EA" w:rsidP="00D36FB8">
            <w:pPr>
              <w:rPr>
                <w:szCs w:val="20"/>
              </w:rPr>
            </w:pPr>
            <w:r w:rsidRPr="00DA20F5">
              <w:rPr>
                <w:szCs w:val="20"/>
              </w:rPr>
              <w:t>348,95</w:t>
            </w:r>
          </w:p>
        </w:tc>
        <w:tc>
          <w:tcPr>
            <w:tcW w:w="960" w:type="dxa"/>
            <w:shd w:val="clear" w:color="auto" w:fill="auto"/>
            <w:noWrap/>
            <w:vAlign w:val="center"/>
            <w:hideMark/>
          </w:tcPr>
          <w:p w:rsidR="008962EA" w:rsidRPr="00DA20F5" w:rsidRDefault="008962EA" w:rsidP="00D36FB8">
            <w:pPr>
              <w:rPr>
                <w:szCs w:val="20"/>
              </w:rPr>
            </w:pPr>
            <w:r w:rsidRPr="00DA20F5">
              <w:rPr>
                <w:szCs w:val="20"/>
              </w:rPr>
              <w:t>358,62</w:t>
            </w:r>
          </w:p>
        </w:tc>
        <w:tc>
          <w:tcPr>
            <w:tcW w:w="1158" w:type="dxa"/>
            <w:shd w:val="clear" w:color="auto" w:fill="auto"/>
            <w:noWrap/>
            <w:vAlign w:val="center"/>
            <w:hideMark/>
          </w:tcPr>
          <w:p w:rsidR="008962EA" w:rsidRPr="00DA20F5" w:rsidRDefault="008962EA" w:rsidP="00D36FB8">
            <w:pPr>
              <w:ind w:right="183"/>
              <w:jc w:val="right"/>
              <w:rPr>
                <w:szCs w:val="20"/>
              </w:rPr>
            </w:pPr>
            <w:r w:rsidRPr="00DA20F5">
              <w:rPr>
                <w:szCs w:val="20"/>
              </w:rPr>
              <w:t>99,5</w:t>
            </w:r>
          </w:p>
        </w:tc>
        <w:tc>
          <w:tcPr>
            <w:tcW w:w="766" w:type="dxa"/>
            <w:shd w:val="clear" w:color="auto" w:fill="auto"/>
            <w:noWrap/>
            <w:vAlign w:val="center"/>
            <w:hideMark/>
          </w:tcPr>
          <w:p w:rsidR="008962EA" w:rsidRPr="00DA20F5" w:rsidRDefault="008962EA" w:rsidP="00D36FB8">
            <w:pPr>
              <w:rPr>
                <w:szCs w:val="20"/>
              </w:rPr>
            </w:pPr>
            <w:r w:rsidRPr="00DA20F5">
              <w:rPr>
                <w:szCs w:val="20"/>
              </w:rPr>
              <w:t>98,6</w:t>
            </w:r>
          </w:p>
        </w:tc>
        <w:tc>
          <w:tcPr>
            <w:tcW w:w="1158" w:type="dxa"/>
            <w:shd w:val="clear" w:color="auto" w:fill="auto"/>
            <w:noWrap/>
            <w:vAlign w:val="center"/>
            <w:hideMark/>
          </w:tcPr>
          <w:p w:rsidR="008962EA" w:rsidRPr="00DA20F5" w:rsidRDefault="008962EA" w:rsidP="00D36FB8">
            <w:pPr>
              <w:ind w:right="183"/>
              <w:jc w:val="right"/>
              <w:rPr>
                <w:szCs w:val="20"/>
              </w:rPr>
            </w:pPr>
            <w:r w:rsidRPr="00DA20F5">
              <w:rPr>
                <w:szCs w:val="20"/>
              </w:rPr>
              <w:t>102,8</w:t>
            </w:r>
          </w:p>
        </w:tc>
        <w:tc>
          <w:tcPr>
            <w:tcW w:w="766" w:type="dxa"/>
            <w:shd w:val="clear" w:color="auto" w:fill="auto"/>
            <w:noWrap/>
            <w:vAlign w:val="center"/>
            <w:hideMark/>
          </w:tcPr>
          <w:p w:rsidR="008962EA" w:rsidRPr="00DA20F5" w:rsidRDefault="008962EA" w:rsidP="00D36FB8">
            <w:pPr>
              <w:rPr>
                <w:szCs w:val="20"/>
              </w:rPr>
            </w:pPr>
            <w:r w:rsidRPr="00DA20F5">
              <w:rPr>
                <w:szCs w:val="20"/>
              </w:rPr>
              <w:t>98,9</w:t>
            </w:r>
          </w:p>
        </w:tc>
      </w:tr>
      <w:tr w:rsidR="008962EA" w:rsidRPr="00DA20F5" w:rsidTr="007A29A1">
        <w:trPr>
          <w:trHeight w:val="255"/>
          <w:jc w:val="center"/>
        </w:trPr>
        <w:tc>
          <w:tcPr>
            <w:tcW w:w="2659" w:type="dxa"/>
            <w:shd w:val="clear" w:color="auto" w:fill="auto"/>
            <w:noWrap/>
            <w:vAlign w:val="center"/>
            <w:hideMark/>
          </w:tcPr>
          <w:p w:rsidR="008962EA" w:rsidRPr="00DA20F5" w:rsidRDefault="008962EA" w:rsidP="00D36FB8">
            <w:pPr>
              <w:rPr>
                <w:lang w:eastAsia="en-US"/>
              </w:rPr>
            </w:pPr>
            <w:bookmarkStart w:id="1368" w:name="_Toc294020354"/>
            <w:bookmarkStart w:id="1369" w:name="_Toc294023252"/>
            <w:bookmarkStart w:id="1370" w:name="_Toc294027725"/>
            <w:bookmarkStart w:id="1371" w:name="_Toc294029964"/>
            <w:bookmarkStart w:id="1372" w:name="_Toc313879455"/>
            <w:r w:rsidRPr="00DA20F5">
              <w:rPr>
                <w:lang w:eastAsia="en-US"/>
              </w:rPr>
              <w:t>Čisté mesačné výdavky v €</w:t>
            </w:r>
            <w:bookmarkEnd w:id="1368"/>
            <w:bookmarkEnd w:id="1369"/>
            <w:bookmarkEnd w:id="1370"/>
            <w:bookmarkEnd w:id="1371"/>
            <w:bookmarkEnd w:id="1372"/>
          </w:p>
        </w:tc>
        <w:tc>
          <w:tcPr>
            <w:tcW w:w="879" w:type="dxa"/>
            <w:shd w:val="clear" w:color="auto" w:fill="auto"/>
            <w:noWrap/>
            <w:vAlign w:val="center"/>
            <w:hideMark/>
          </w:tcPr>
          <w:p w:rsidR="008962EA" w:rsidRPr="00DA20F5" w:rsidRDefault="008962EA" w:rsidP="00D36FB8">
            <w:pPr>
              <w:rPr>
                <w:szCs w:val="20"/>
              </w:rPr>
            </w:pPr>
            <w:r w:rsidRPr="00DA20F5">
              <w:rPr>
                <w:szCs w:val="20"/>
              </w:rPr>
              <w:t>307,76</w:t>
            </w:r>
          </w:p>
        </w:tc>
        <w:tc>
          <w:tcPr>
            <w:tcW w:w="960" w:type="dxa"/>
            <w:shd w:val="clear" w:color="auto" w:fill="auto"/>
            <w:noWrap/>
            <w:vAlign w:val="center"/>
            <w:hideMark/>
          </w:tcPr>
          <w:p w:rsidR="008962EA" w:rsidRPr="00DA20F5" w:rsidRDefault="008962EA" w:rsidP="00D36FB8">
            <w:pPr>
              <w:rPr>
                <w:szCs w:val="20"/>
              </w:rPr>
            </w:pPr>
            <w:r w:rsidRPr="00DA20F5">
              <w:rPr>
                <w:szCs w:val="20"/>
              </w:rPr>
              <w:t>319,22</w:t>
            </w:r>
          </w:p>
        </w:tc>
        <w:tc>
          <w:tcPr>
            <w:tcW w:w="1158" w:type="dxa"/>
            <w:shd w:val="clear" w:color="auto" w:fill="auto"/>
            <w:noWrap/>
            <w:vAlign w:val="center"/>
            <w:hideMark/>
          </w:tcPr>
          <w:p w:rsidR="008962EA" w:rsidRPr="00DA20F5" w:rsidRDefault="008962EA" w:rsidP="00D36FB8">
            <w:pPr>
              <w:ind w:right="183"/>
              <w:jc w:val="right"/>
              <w:rPr>
                <w:szCs w:val="20"/>
              </w:rPr>
            </w:pPr>
            <w:r w:rsidRPr="00DA20F5">
              <w:rPr>
                <w:szCs w:val="20"/>
              </w:rPr>
              <w:t>100,4</w:t>
            </w:r>
          </w:p>
        </w:tc>
        <w:tc>
          <w:tcPr>
            <w:tcW w:w="766" w:type="dxa"/>
            <w:shd w:val="clear" w:color="auto" w:fill="auto"/>
            <w:noWrap/>
            <w:vAlign w:val="center"/>
            <w:hideMark/>
          </w:tcPr>
          <w:p w:rsidR="008962EA" w:rsidRPr="00DA20F5" w:rsidRDefault="008962EA" w:rsidP="00D36FB8">
            <w:pPr>
              <w:rPr>
                <w:szCs w:val="20"/>
              </w:rPr>
            </w:pPr>
            <w:r w:rsidRPr="00DA20F5">
              <w:rPr>
                <w:szCs w:val="20"/>
              </w:rPr>
              <w:t>99,4</w:t>
            </w:r>
          </w:p>
        </w:tc>
        <w:tc>
          <w:tcPr>
            <w:tcW w:w="1158" w:type="dxa"/>
            <w:shd w:val="clear" w:color="auto" w:fill="auto"/>
            <w:noWrap/>
            <w:vAlign w:val="center"/>
            <w:hideMark/>
          </w:tcPr>
          <w:p w:rsidR="008962EA" w:rsidRPr="00DA20F5" w:rsidRDefault="008962EA" w:rsidP="00D36FB8">
            <w:pPr>
              <w:ind w:right="183"/>
              <w:jc w:val="right"/>
              <w:rPr>
                <w:szCs w:val="20"/>
              </w:rPr>
            </w:pPr>
            <w:r w:rsidRPr="00DA20F5">
              <w:rPr>
                <w:szCs w:val="20"/>
              </w:rPr>
              <w:t>103,7</w:t>
            </w:r>
          </w:p>
        </w:tc>
        <w:tc>
          <w:tcPr>
            <w:tcW w:w="766" w:type="dxa"/>
            <w:shd w:val="clear" w:color="auto" w:fill="auto"/>
            <w:noWrap/>
            <w:vAlign w:val="center"/>
            <w:hideMark/>
          </w:tcPr>
          <w:p w:rsidR="008962EA" w:rsidRPr="00DA20F5" w:rsidRDefault="008962EA" w:rsidP="00D36FB8">
            <w:pPr>
              <w:rPr>
                <w:szCs w:val="20"/>
              </w:rPr>
            </w:pPr>
            <w:r w:rsidRPr="00DA20F5">
              <w:rPr>
                <w:szCs w:val="20"/>
              </w:rPr>
              <w:t>99,8</w:t>
            </w:r>
          </w:p>
        </w:tc>
      </w:tr>
    </w:tbl>
    <w:p w:rsidR="008962EA" w:rsidRPr="00DA20F5" w:rsidRDefault="008962EA" w:rsidP="00D36FB8">
      <w:pPr>
        <w:pStyle w:val="zdroj"/>
      </w:pPr>
      <w:r w:rsidRPr="00DA20F5">
        <w:t>Zdroj: ŠÚ SR, Slovstat, spresnené predbežné odhady podľa štatistiky rodinných účtov</w:t>
      </w:r>
    </w:p>
    <w:p w:rsidR="008962EA" w:rsidRPr="00DA20F5" w:rsidRDefault="008962EA" w:rsidP="00D36FB8">
      <w:r w:rsidRPr="00DA20F5">
        <w:t>Objem výdavkov medziročne narástol vo väčšine agregovaných skupín. Najviac vzrástli výdavky</w:t>
      </w:r>
      <w:r w:rsidR="005C3A6A" w:rsidRPr="00DA20F5">
        <w:t xml:space="preserve"> na </w:t>
      </w:r>
      <w:r w:rsidRPr="00DA20F5">
        <w:t>dopravu, hotely, kaviarne a reštaurácie a na vzdelávanie. Klesli výdavky na nábytok, bytové vybavenie a bežnú údržbu domu, alkoholické nápoje, tabak a na zdravotníctvo. V abso</w:t>
      </w:r>
      <w:r w:rsidRPr="00DA20F5">
        <w:softHyphen/>
        <w:t>lút</w:t>
      </w:r>
      <w:r w:rsidRPr="00DA20F5">
        <w:softHyphen/>
        <w:t>nom vyjadrení najviac k rastu prispeli výdavky na dopravu, hotely, kaviarne a reštaurácie. Podstatnú časť výdavkov tvorili výdavky na potraviny a nealkoholické nápoje a na bývanie, vodu, elektrinu, plyn a iné pa</w:t>
      </w:r>
      <w:r w:rsidRPr="00DA20F5">
        <w:softHyphen/>
        <w:t>livá.</w:t>
      </w:r>
      <w:bookmarkStart w:id="1373" w:name="_Toc294023259"/>
      <w:bookmarkStart w:id="1374" w:name="_Toc294027732"/>
      <w:bookmarkStart w:id="1375" w:name="_Toc294029971"/>
    </w:p>
    <w:p w:rsidR="008962EA" w:rsidRPr="00DA20F5" w:rsidRDefault="008962EA" w:rsidP="00D36FB8">
      <w:pPr>
        <w:pStyle w:val="Nadpis7"/>
      </w:pPr>
      <w:bookmarkStart w:id="1376" w:name="_Toc313879462"/>
      <w:bookmarkStart w:id="1377" w:name="_Toc325438277"/>
      <w:bookmarkStart w:id="1378" w:name="_Toc325441020"/>
      <w:bookmarkStart w:id="1379" w:name="_Toc325626832"/>
      <w:bookmarkStart w:id="1380" w:name="_Toc326217093"/>
      <w:r w:rsidRPr="00DA20F5">
        <w:t>Tab. 4.2</w:t>
      </w:r>
      <w:r w:rsidR="00AC5AAB" w:rsidRPr="00DA20F5">
        <w:t xml:space="preserve"> </w:t>
      </w:r>
      <w:r w:rsidRPr="00DA20F5">
        <w:t>Štruktúra čistých peňažných výdavkov súkromných domácností</w:t>
      </w:r>
      <w:bookmarkEnd w:id="1373"/>
      <w:bookmarkEnd w:id="1374"/>
      <w:bookmarkEnd w:id="1375"/>
      <w:bookmarkEnd w:id="1376"/>
      <w:bookmarkEnd w:id="1377"/>
      <w:bookmarkEnd w:id="1378"/>
      <w:bookmarkEnd w:id="1379"/>
      <w:bookmarkEnd w:id="1380"/>
    </w:p>
    <w:tbl>
      <w:tblPr>
        <w:tblW w:w="895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456"/>
        <w:gridCol w:w="823"/>
        <w:gridCol w:w="823"/>
        <w:gridCol w:w="1048"/>
        <w:gridCol w:w="723"/>
        <w:gridCol w:w="666"/>
        <w:gridCol w:w="666"/>
      </w:tblGrid>
      <w:tr w:rsidR="008962EA" w:rsidRPr="00DA20F5" w:rsidTr="007A29A1">
        <w:trPr>
          <w:trHeight w:val="268"/>
          <w:jc w:val="center"/>
        </w:trPr>
        <w:tc>
          <w:tcPr>
            <w:tcW w:w="8958" w:type="dxa"/>
            <w:gridSpan w:val="7"/>
            <w:shd w:val="clear" w:color="auto" w:fill="4F81BD"/>
            <w:noWrap/>
            <w:vAlign w:val="center"/>
            <w:hideMark/>
          </w:tcPr>
          <w:p w:rsidR="008962EA" w:rsidRPr="00DA20F5" w:rsidRDefault="00FD79C4" w:rsidP="00D36FB8">
            <w:pPr>
              <w:jc w:val="center"/>
              <w:rPr>
                <w:b/>
                <w:color w:val="FFFFFF" w:themeColor="background1"/>
              </w:rPr>
            </w:pPr>
            <w:bookmarkStart w:id="1381" w:name="_Toc294020361"/>
            <w:bookmarkStart w:id="1382" w:name="_Toc294023260"/>
            <w:bookmarkStart w:id="1383" w:name="_Toc294027733"/>
            <w:bookmarkStart w:id="1384" w:name="_Toc294029972"/>
            <w:bookmarkStart w:id="1385" w:name="_Toc313879463"/>
            <w:r w:rsidRPr="00DA20F5">
              <w:rPr>
                <w:b/>
                <w:color w:val="FFFFFF" w:themeColor="background1"/>
              </w:rPr>
              <w:t>v</w:t>
            </w:r>
            <w:r w:rsidR="00AC5AAB" w:rsidRPr="00DA20F5">
              <w:rPr>
                <w:b/>
                <w:color w:val="FFFFFF" w:themeColor="background1"/>
              </w:rPr>
              <w:t xml:space="preserve"> </w:t>
            </w:r>
            <w:r w:rsidR="008962EA" w:rsidRPr="00DA20F5">
              <w:rPr>
                <w:b/>
                <w:color w:val="FFFFFF" w:themeColor="background1"/>
              </w:rPr>
              <w:t>€ na mesiac a osobu, v bež. cenách</w:t>
            </w:r>
            <w:bookmarkEnd w:id="1381"/>
            <w:bookmarkEnd w:id="1382"/>
            <w:bookmarkEnd w:id="1383"/>
            <w:bookmarkEnd w:id="1384"/>
            <w:bookmarkEnd w:id="1385"/>
          </w:p>
        </w:tc>
      </w:tr>
      <w:tr w:rsidR="008962EA" w:rsidRPr="00DA20F5" w:rsidTr="007A29A1">
        <w:trPr>
          <w:trHeight w:val="255"/>
          <w:jc w:val="center"/>
        </w:trPr>
        <w:tc>
          <w:tcPr>
            <w:tcW w:w="4456" w:type="dxa"/>
            <w:vMerge w:val="restart"/>
            <w:shd w:val="clear" w:color="auto" w:fill="4F81BD"/>
            <w:noWrap/>
            <w:vAlign w:val="center"/>
            <w:hideMark/>
          </w:tcPr>
          <w:p w:rsidR="008962EA" w:rsidRPr="00DA20F5" w:rsidRDefault="008962EA" w:rsidP="00D36FB8">
            <w:pPr>
              <w:jc w:val="center"/>
              <w:rPr>
                <w:b/>
                <w:color w:val="FFFFFF" w:themeColor="background1"/>
              </w:rPr>
            </w:pPr>
            <w:bookmarkStart w:id="1386" w:name="_Toc294020362"/>
            <w:bookmarkStart w:id="1387" w:name="_Toc294023261"/>
            <w:bookmarkStart w:id="1388" w:name="_Toc294027734"/>
            <w:bookmarkStart w:id="1389" w:name="_Toc294029973"/>
            <w:bookmarkStart w:id="1390" w:name="_Toc313879464"/>
            <w:r w:rsidRPr="00DA20F5">
              <w:rPr>
                <w:b/>
                <w:color w:val="FFFFFF" w:themeColor="background1"/>
              </w:rPr>
              <w:t>Ukazovateľ</w:t>
            </w:r>
            <w:bookmarkEnd w:id="1386"/>
            <w:bookmarkEnd w:id="1387"/>
            <w:bookmarkEnd w:id="1388"/>
            <w:bookmarkEnd w:id="1389"/>
            <w:bookmarkEnd w:id="1390"/>
          </w:p>
        </w:tc>
        <w:tc>
          <w:tcPr>
            <w:tcW w:w="1532" w:type="dxa"/>
            <w:gridSpan w:val="2"/>
            <w:shd w:val="clear" w:color="auto" w:fill="4F81BD"/>
            <w:noWrap/>
            <w:vAlign w:val="center"/>
            <w:hideMark/>
          </w:tcPr>
          <w:p w:rsidR="008962EA" w:rsidRPr="00DA20F5" w:rsidRDefault="008962EA" w:rsidP="00D36FB8">
            <w:pPr>
              <w:jc w:val="center"/>
              <w:rPr>
                <w:b/>
                <w:color w:val="FFFFFF" w:themeColor="background1"/>
              </w:rPr>
            </w:pPr>
            <w:bookmarkStart w:id="1391" w:name="_Toc294020363"/>
            <w:bookmarkStart w:id="1392" w:name="_Toc294023262"/>
            <w:bookmarkStart w:id="1393" w:name="_Toc294027735"/>
            <w:bookmarkStart w:id="1394" w:name="_Toc294029974"/>
            <w:bookmarkStart w:id="1395" w:name="_Toc313879465"/>
            <w:r w:rsidRPr="00DA20F5">
              <w:rPr>
                <w:b/>
                <w:color w:val="FFFFFF" w:themeColor="background1"/>
              </w:rPr>
              <w:t>201</w:t>
            </w:r>
            <w:bookmarkEnd w:id="1391"/>
            <w:bookmarkEnd w:id="1392"/>
            <w:bookmarkEnd w:id="1393"/>
            <w:bookmarkEnd w:id="1394"/>
            <w:bookmarkEnd w:id="1395"/>
            <w:r w:rsidRPr="00DA20F5">
              <w:rPr>
                <w:b/>
                <w:color w:val="FFFFFF" w:themeColor="background1"/>
              </w:rPr>
              <w:t>1</w:t>
            </w:r>
          </w:p>
        </w:tc>
        <w:tc>
          <w:tcPr>
            <w:tcW w:w="1638" w:type="dxa"/>
            <w:gridSpan w:val="2"/>
            <w:shd w:val="clear" w:color="auto" w:fill="4F81BD"/>
            <w:noWrap/>
            <w:vAlign w:val="center"/>
            <w:hideMark/>
          </w:tcPr>
          <w:p w:rsidR="008962EA" w:rsidRPr="00DA20F5" w:rsidRDefault="008962EA" w:rsidP="00D36FB8">
            <w:pPr>
              <w:jc w:val="center"/>
              <w:rPr>
                <w:b/>
                <w:color w:val="FFFFFF" w:themeColor="background1"/>
              </w:rPr>
            </w:pPr>
            <w:bookmarkStart w:id="1396" w:name="_Toc294020364"/>
            <w:bookmarkStart w:id="1397" w:name="_Toc294023263"/>
            <w:bookmarkStart w:id="1398" w:name="_Toc294027736"/>
            <w:bookmarkStart w:id="1399" w:name="_Toc294029975"/>
            <w:bookmarkStart w:id="1400" w:name="_Toc313879466"/>
            <w:r w:rsidRPr="00DA20F5">
              <w:rPr>
                <w:b/>
                <w:color w:val="FFFFFF" w:themeColor="background1"/>
              </w:rPr>
              <w:t>Indexy</w:t>
            </w:r>
            <w:bookmarkEnd w:id="1396"/>
            <w:bookmarkEnd w:id="1397"/>
            <w:bookmarkEnd w:id="1398"/>
            <w:bookmarkEnd w:id="1399"/>
            <w:bookmarkEnd w:id="1400"/>
          </w:p>
        </w:tc>
        <w:tc>
          <w:tcPr>
            <w:tcW w:w="1332" w:type="dxa"/>
            <w:gridSpan w:val="2"/>
            <w:shd w:val="clear" w:color="auto" w:fill="4F81BD"/>
            <w:noWrap/>
            <w:vAlign w:val="center"/>
            <w:hideMark/>
          </w:tcPr>
          <w:p w:rsidR="008962EA" w:rsidRPr="00DA20F5" w:rsidRDefault="008962EA" w:rsidP="00D36FB8">
            <w:pPr>
              <w:jc w:val="center"/>
              <w:rPr>
                <w:b/>
                <w:color w:val="FFFFFF" w:themeColor="background1"/>
              </w:rPr>
            </w:pPr>
            <w:bookmarkStart w:id="1401" w:name="_Toc294020365"/>
            <w:bookmarkStart w:id="1402" w:name="_Toc294023264"/>
            <w:bookmarkStart w:id="1403" w:name="_Toc294027737"/>
            <w:bookmarkStart w:id="1404" w:name="_Toc294029976"/>
            <w:bookmarkStart w:id="1405" w:name="_Toc313879467"/>
            <w:r w:rsidRPr="00DA20F5">
              <w:rPr>
                <w:b/>
                <w:color w:val="FFFFFF" w:themeColor="background1"/>
              </w:rPr>
              <w:t>Podiel ( %)</w:t>
            </w:r>
            <w:bookmarkEnd w:id="1401"/>
            <w:bookmarkEnd w:id="1402"/>
            <w:bookmarkEnd w:id="1403"/>
            <w:bookmarkEnd w:id="1404"/>
            <w:bookmarkEnd w:id="1405"/>
          </w:p>
        </w:tc>
      </w:tr>
      <w:tr w:rsidR="008962EA" w:rsidRPr="00DA20F5" w:rsidTr="007A29A1">
        <w:trPr>
          <w:trHeight w:val="397"/>
          <w:jc w:val="center"/>
        </w:trPr>
        <w:tc>
          <w:tcPr>
            <w:tcW w:w="4456" w:type="dxa"/>
            <w:vMerge/>
            <w:shd w:val="clear" w:color="auto" w:fill="4F81BD"/>
            <w:vAlign w:val="center"/>
            <w:hideMark/>
          </w:tcPr>
          <w:p w:rsidR="008962EA" w:rsidRPr="00DA20F5" w:rsidRDefault="008962EA" w:rsidP="00D36FB8">
            <w:pPr>
              <w:jc w:val="center"/>
              <w:rPr>
                <w:b/>
                <w:color w:val="FFFFFF" w:themeColor="background1"/>
              </w:rPr>
            </w:pPr>
          </w:p>
        </w:tc>
        <w:tc>
          <w:tcPr>
            <w:tcW w:w="766" w:type="dxa"/>
            <w:shd w:val="clear" w:color="auto" w:fill="4F81BD"/>
            <w:noWrap/>
            <w:vAlign w:val="center"/>
            <w:hideMark/>
          </w:tcPr>
          <w:p w:rsidR="008962EA" w:rsidRPr="00DA20F5" w:rsidRDefault="008962EA" w:rsidP="00D36FB8">
            <w:pPr>
              <w:jc w:val="center"/>
              <w:rPr>
                <w:b/>
                <w:color w:val="FFFFFF" w:themeColor="background1"/>
              </w:rPr>
            </w:pPr>
            <w:bookmarkStart w:id="1406" w:name="_Toc294020366"/>
            <w:bookmarkStart w:id="1407" w:name="_Toc294023265"/>
            <w:bookmarkStart w:id="1408" w:name="_Toc294027738"/>
            <w:bookmarkStart w:id="1409" w:name="_Toc294029977"/>
            <w:bookmarkStart w:id="1410" w:name="_Toc313879468"/>
            <w:r w:rsidRPr="00DA20F5">
              <w:rPr>
                <w:b/>
                <w:color w:val="FFFFFF" w:themeColor="background1"/>
              </w:rPr>
              <w:t>4.Q.</w:t>
            </w:r>
            <w:bookmarkEnd w:id="1406"/>
            <w:bookmarkEnd w:id="1407"/>
            <w:bookmarkEnd w:id="1408"/>
            <w:bookmarkEnd w:id="1409"/>
            <w:bookmarkEnd w:id="1410"/>
          </w:p>
        </w:tc>
        <w:tc>
          <w:tcPr>
            <w:tcW w:w="766" w:type="dxa"/>
            <w:shd w:val="clear" w:color="auto" w:fill="4F81BD"/>
            <w:noWrap/>
            <w:vAlign w:val="center"/>
            <w:hideMark/>
          </w:tcPr>
          <w:p w:rsidR="008962EA" w:rsidRPr="00DA20F5" w:rsidRDefault="008962EA" w:rsidP="00D36FB8">
            <w:pPr>
              <w:jc w:val="center"/>
              <w:rPr>
                <w:b/>
                <w:color w:val="FFFFFF" w:themeColor="background1"/>
              </w:rPr>
            </w:pPr>
            <w:bookmarkStart w:id="1411" w:name="_Toc294020367"/>
            <w:bookmarkStart w:id="1412" w:name="_Toc294023266"/>
            <w:bookmarkStart w:id="1413" w:name="_Toc294027739"/>
            <w:bookmarkStart w:id="1414" w:name="_Toc294029978"/>
            <w:bookmarkStart w:id="1415" w:name="_Toc313879469"/>
            <w:r w:rsidRPr="00DA20F5">
              <w:rPr>
                <w:b/>
                <w:color w:val="FFFFFF" w:themeColor="background1"/>
              </w:rPr>
              <w:t>rok</w:t>
            </w:r>
            <w:bookmarkEnd w:id="1411"/>
            <w:bookmarkEnd w:id="1412"/>
            <w:bookmarkEnd w:id="1413"/>
            <w:bookmarkEnd w:id="1414"/>
            <w:bookmarkEnd w:id="1415"/>
          </w:p>
        </w:tc>
        <w:tc>
          <w:tcPr>
            <w:tcW w:w="972" w:type="dxa"/>
            <w:shd w:val="clear" w:color="auto" w:fill="4F81BD"/>
            <w:vAlign w:val="center"/>
            <w:hideMark/>
          </w:tcPr>
          <w:p w:rsidR="008962EA" w:rsidRPr="00DA20F5" w:rsidRDefault="008962EA" w:rsidP="00D36FB8">
            <w:pPr>
              <w:jc w:val="center"/>
              <w:rPr>
                <w:b/>
                <w:color w:val="FFFFFF" w:themeColor="background1"/>
              </w:rPr>
            </w:pPr>
            <w:bookmarkStart w:id="1416" w:name="_Toc294020368"/>
            <w:bookmarkStart w:id="1417" w:name="_Toc294023267"/>
            <w:bookmarkStart w:id="1418" w:name="_Toc294027740"/>
            <w:bookmarkStart w:id="1419" w:name="_Toc294029979"/>
            <w:bookmarkStart w:id="1420" w:name="_Toc313879470"/>
            <w:r w:rsidRPr="00DA20F5">
              <w:rPr>
                <w:b/>
                <w:color w:val="FFFFFF" w:themeColor="background1"/>
              </w:rPr>
              <w:t>4.Q.2011 4.Q.20</w:t>
            </w:r>
            <w:bookmarkEnd w:id="1416"/>
            <w:bookmarkEnd w:id="1417"/>
            <w:bookmarkEnd w:id="1418"/>
            <w:bookmarkEnd w:id="1419"/>
            <w:bookmarkEnd w:id="1420"/>
            <w:r w:rsidRPr="00DA20F5">
              <w:rPr>
                <w:b/>
                <w:color w:val="FFFFFF" w:themeColor="background1"/>
              </w:rPr>
              <w:t>10</w:t>
            </w:r>
          </w:p>
        </w:tc>
        <w:tc>
          <w:tcPr>
            <w:tcW w:w="666" w:type="dxa"/>
            <w:shd w:val="clear" w:color="auto" w:fill="4F81BD"/>
            <w:vAlign w:val="center"/>
            <w:hideMark/>
          </w:tcPr>
          <w:p w:rsidR="008962EA" w:rsidRPr="00DA20F5" w:rsidRDefault="008962EA" w:rsidP="00D36FB8">
            <w:pPr>
              <w:jc w:val="center"/>
              <w:rPr>
                <w:b/>
                <w:color w:val="FFFFFF" w:themeColor="background1"/>
              </w:rPr>
            </w:pPr>
            <w:bookmarkStart w:id="1421" w:name="_Toc294020369"/>
            <w:bookmarkStart w:id="1422" w:name="_Toc294023268"/>
            <w:bookmarkStart w:id="1423" w:name="_Toc294027741"/>
            <w:bookmarkStart w:id="1424" w:name="_Toc294029980"/>
            <w:bookmarkStart w:id="1425" w:name="_Toc313879471"/>
            <w:r w:rsidRPr="00DA20F5">
              <w:rPr>
                <w:b/>
                <w:color w:val="FFFFFF" w:themeColor="background1"/>
              </w:rPr>
              <w:t>2011 20</w:t>
            </w:r>
            <w:bookmarkEnd w:id="1421"/>
            <w:bookmarkEnd w:id="1422"/>
            <w:bookmarkEnd w:id="1423"/>
            <w:bookmarkEnd w:id="1424"/>
            <w:bookmarkEnd w:id="1425"/>
            <w:r w:rsidRPr="00DA20F5">
              <w:rPr>
                <w:b/>
                <w:color w:val="FFFFFF" w:themeColor="background1"/>
              </w:rPr>
              <w:t>10</w:t>
            </w:r>
          </w:p>
        </w:tc>
        <w:tc>
          <w:tcPr>
            <w:tcW w:w="666" w:type="dxa"/>
            <w:shd w:val="clear" w:color="auto" w:fill="4F81BD"/>
            <w:noWrap/>
            <w:vAlign w:val="center"/>
            <w:hideMark/>
          </w:tcPr>
          <w:p w:rsidR="008962EA" w:rsidRPr="00DA20F5" w:rsidRDefault="008962EA" w:rsidP="00D36FB8">
            <w:pPr>
              <w:jc w:val="center"/>
              <w:rPr>
                <w:b/>
                <w:color w:val="FFFFFF" w:themeColor="background1"/>
              </w:rPr>
            </w:pPr>
            <w:bookmarkStart w:id="1426" w:name="_Toc294020370"/>
            <w:bookmarkStart w:id="1427" w:name="_Toc294023269"/>
            <w:bookmarkStart w:id="1428" w:name="_Toc294027742"/>
            <w:bookmarkStart w:id="1429" w:name="_Toc294029981"/>
            <w:bookmarkStart w:id="1430" w:name="_Toc313879472"/>
            <w:r w:rsidRPr="00DA20F5">
              <w:rPr>
                <w:b/>
                <w:color w:val="FFFFFF" w:themeColor="background1"/>
              </w:rPr>
              <w:t>20</w:t>
            </w:r>
            <w:bookmarkEnd w:id="1426"/>
            <w:bookmarkEnd w:id="1427"/>
            <w:bookmarkEnd w:id="1428"/>
            <w:bookmarkEnd w:id="1429"/>
            <w:bookmarkEnd w:id="1430"/>
            <w:r w:rsidRPr="00DA20F5">
              <w:rPr>
                <w:b/>
                <w:color w:val="FFFFFF" w:themeColor="background1"/>
              </w:rPr>
              <w:t>10</w:t>
            </w:r>
          </w:p>
        </w:tc>
        <w:tc>
          <w:tcPr>
            <w:tcW w:w="666" w:type="dxa"/>
            <w:shd w:val="clear" w:color="auto" w:fill="4F81BD"/>
            <w:noWrap/>
            <w:vAlign w:val="center"/>
            <w:hideMark/>
          </w:tcPr>
          <w:p w:rsidR="008962EA" w:rsidRPr="00DA20F5" w:rsidRDefault="008962EA" w:rsidP="00D36FB8">
            <w:pPr>
              <w:jc w:val="center"/>
              <w:rPr>
                <w:b/>
                <w:color w:val="FFFFFF" w:themeColor="background1"/>
              </w:rPr>
            </w:pPr>
            <w:bookmarkStart w:id="1431" w:name="_Toc294020371"/>
            <w:bookmarkStart w:id="1432" w:name="_Toc294023270"/>
            <w:bookmarkStart w:id="1433" w:name="_Toc294027743"/>
            <w:bookmarkStart w:id="1434" w:name="_Toc294029982"/>
            <w:bookmarkStart w:id="1435" w:name="_Toc313879473"/>
            <w:r w:rsidRPr="00DA20F5">
              <w:rPr>
                <w:b/>
                <w:color w:val="FFFFFF" w:themeColor="background1"/>
              </w:rPr>
              <w:t>201</w:t>
            </w:r>
            <w:bookmarkEnd w:id="1431"/>
            <w:bookmarkEnd w:id="1432"/>
            <w:bookmarkEnd w:id="1433"/>
            <w:bookmarkEnd w:id="1434"/>
            <w:bookmarkEnd w:id="1435"/>
            <w:r w:rsidRPr="00DA20F5">
              <w:rPr>
                <w:b/>
                <w:color w:val="FFFFFF" w:themeColor="background1"/>
              </w:rPr>
              <w:t>1</w:t>
            </w:r>
          </w:p>
        </w:tc>
      </w:tr>
      <w:tr w:rsidR="008962EA" w:rsidRPr="00DA20F5" w:rsidTr="007A29A1">
        <w:trPr>
          <w:trHeight w:val="255"/>
          <w:jc w:val="center"/>
        </w:trPr>
        <w:tc>
          <w:tcPr>
            <w:tcW w:w="4456" w:type="dxa"/>
            <w:shd w:val="clear" w:color="auto" w:fill="auto"/>
            <w:noWrap/>
            <w:vAlign w:val="center"/>
            <w:hideMark/>
          </w:tcPr>
          <w:p w:rsidR="008962EA" w:rsidRPr="00DA20F5" w:rsidRDefault="008962EA" w:rsidP="00D36FB8">
            <w:pPr>
              <w:rPr>
                <w:lang w:eastAsia="en-US"/>
              </w:rPr>
            </w:pPr>
            <w:bookmarkStart w:id="1436" w:name="_Toc294020372"/>
            <w:bookmarkStart w:id="1437" w:name="_Toc294023271"/>
            <w:bookmarkStart w:id="1438" w:name="_Toc294027744"/>
            <w:bookmarkStart w:id="1439" w:name="_Toc294029983"/>
            <w:bookmarkStart w:id="1440" w:name="_Toc313879474"/>
            <w:r w:rsidRPr="00DA20F5">
              <w:rPr>
                <w:lang w:eastAsia="en-US"/>
              </w:rPr>
              <w:t>Čisté peňažné výdavky spolu</w:t>
            </w:r>
            <w:bookmarkEnd w:id="1436"/>
            <w:bookmarkEnd w:id="1437"/>
            <w:bookmarkEnd w:id="1438"/>
            <w:bookmarkEnd w:id="1439"/>
            <w:bookmarkEnd w:id="1440"/>
          </w:p>
        </w:tc>
        <w:tc>
          <w:tcPr>
            <w:tcW w:w="766" w:type="dxa"/>
            <w:shd w:val="clear" w:color="auto" w:fill="auto"/>
            <w:noWrap/>
            <w:vAlign w:val="center"/>
            <w:hideMark/>
          </w:tcPr>
          <w:p w:rsidR="008962EA" w:rsidRPr="00DA20F5" w:rsidRDefault="008962EA" w:rsidP="00D36FB8">
            <w:pPr>
              <w:ind w:right="57"/>
              <w:jc w:val="right"/>
              <w:rPr>
                <w:sz w:val="20"/>
                <w:szCs w:val="20"/>
              </w:rPr>
            </w:pPr>
            <w:r w:rsidRPr="00DA20F5">
              <w:rPr>
                <w:sz w:val="20"/>
                <w:szCs w:val="20"/>
              </w:rPr>
              <w:t>332,31</w:t>
            </w:r>
          </w:p>
        </w:tc>
        <w:tc>
          <w:tcPr>
            <w:tcW w:w="766" w:type="dxa"/>
            <w:shd w:val="clear" w:color="auto" w:fill="auto"/>
            <w:noWrap/>
            <w:vAlign w:val="center"/>
            <w:hideMark/>
          </w:tcPr>
          <w:p w:rsidR="008962EA" w:rsidRPr="00DA20F5" w:rsidRDefault="008962EA" w:rsidP="00D36FB8">
            <w:pPr>
              <w:ind w:right="57"/>
              <w:jc w:val="right"/>
              <w:rPr>
                <w:sz w:val="20"/>
                <w:szCs w:val="20"/>
              </w:rPr>
            </w:pPr>
            <w:r w:rsidRPr="00DA20F5">
              <w:rPr>
                <w:sz w:val="20"/>
                <w:szCs w:val="20"/>
              </w:rPr>
              <w:t>319,22</w:t>
            </w:r>
          </w:p>
        </w:tc>
        <w:tc>
          <w:tcPr>
            <w:tcW w:w="972" w:type="dxa"/>
            <w:shd w:val="clear" w:color="auto" w:fill="auto"/>
            <w:noWrap/>
            <w:vAlign w:val="center"/>
            <w:hideMark/>
          </w:tcPr>
          <w:p w:rsidR="008962EA" w:rsidRPr="00DA20F5" w:rsidRDefault="008962EA" w:rsidP="00D36FB8">
            <w:pPr>
              <w:ind w:right="57"/>
              <w:jc w:val="right"/>
              <w:rPr>
                <w:sz w:val="20"/>
                <w:szCs w:val="20"/>
              </w:rPr>
            </w:pPr>
            <w:r w:rsidRPr="00DA20F5">
              <w:rPr>
                <w:sz w:val="20"/>
                <w:szCs w:val="20"/>
              </w:rPr>
              <w:t>104,3</w:t>
            </w:r>
          </w:p>
        </w:tc>
        <w:tc>
          <w:tcPr>
            <w:tcW w:w="666" w:type="dxa"/>
            <w:shd w:val="clear" w:color="auto" w:fill="auto"/>
            <w:noWrap/>
            <w:vAlign w:val="center"/>
            <w:hideMark/>
          </w:tcPr>
          <w:p w:rsidR="008962EA" w:rsidRPr="00DA20F5" w:rsidRDefault="008962EA" w:rsidP="00D36FB8">
            <w:pPr>
              <w:ind w:right="57"/>
              <w:jc w:val="right"/>
              <w:rPr>
                <w:sz w:val="20"/>
                <w:szCs w:val="20"/>
              </w:rPr>
            </w:pPr>
            <w:r w:rsidRPr="00DA20F5">
              <w:rPr>
                <w:sz w:val="20"/>
                <w:szCs w:val="20"/>
              </w:rPr>
              <w:t>103,7</w:t>
            </w:r>
          </w:p>
        </w:tc>
        <w:tc>
          <w:tcPr>
            <w:tcW w:w="666" w:type="dxa"/>
            <w:shd w:val="clear" w:color="auto" w:fill="auto"/>
            <w:noWrap/>
            <w:vAlign w:val="center"/>
            <w:hideMark/>
          </w:tcPr>
          <w:p w:rsidR="008962EA" w:rsidRPr="00DA20F5" w:rsidRDefault="008962EA" w:rsidP="00D36FB8">
            <w:pPr>
              <w:ind w:right="57"/>
              <w:jc w:val="right"/>
              <w:rPr>
                <w:sz w:val="20"/>
                <w:szCs w:val="20"/>
              </w:rPr>
            </w:pPr>
            <w:r w:rsidRPr="00DA20F5">
              <w:rPr>
                <w:sz w:val="20"/>
                <w:szCs w:val="20"/>
              </w:rPr>
              <w:t>100</w:t>
            </w:r>
          </w:p>
        </w:tc>
        <w:tc>
          <w:tcPr>
            <w:tcW w:w="666" w:type="dxa"/>
            <w:shd w:val="clear" w:color="auto" w:fill="auto"/>
            <w:noWrap/>
            <w:vAlign w:val="center"/>
            <w:hideMark/>
          </w:tcPr>
          <w:p w:rsidR="008962EA" w:rsidRPr="00DA20F5" w:rsidRDefault="008962EA" w:rsidP="00D36FB8">
            <w:pPr>
              <w:ind w:right="57"/>
              <w:jc w:val="right"/>
              <w:rPr>
                <w:sz w:val="20"/>
                <w:szCs w:val="20"/>
              </w:rPr>
            </w:pPr>
            <w:r w:rsidRPr="00DA20F5">
              <w:rPr>
                <w:sz w:val="20"/>
                <w:szCs w:val="20"/>
              </w:rPr>
              <w:t>100</w:t>
            </w:r>
          </w:p>
        </w:tc>
      </w:tr>
      <w:tr w:rsidR="00C6395C" w:rsidRPr="00DA20F5" w:rsidTr="007A29A1">
        <w:trPr>
          <w:trHeight w:val="239"/>
          <w:jc w:val="center"/>
        </w:trPr>
        <w:tc>
          <w:tcPr>
            <w:tcW w:w="4456" w:type="dxa"/>
            <w:shd w:val="clear" w:color="auto" w:fill="auto"/>
            <w:noWrap/>
            <w:vAlign w:val="center"/>
            <w:hideMark/>
          </w:tcPr>
          <w:p w:rsidR="00C6395C" w:rsidRPr="00DA20F5" w:rsidRDefault="00C6395C" w:rsidP="00D36FB8">
            <w:pPr>
              <w:rPr>
                <w:lang w:eastAsia="en-US"/>
              </w:rPr>
            </w:pPr>
            <w:bookmarkStart w:id="1441" w:name="_Toc294020379"/>
            <w:bookmarkStart w:id="1442" w:name="_Toc294023278"/>
            <w:bookmarkStart w:id="1443" w:name="_Toc294027751"/>
            <w:bookmarkStart w:id="1444" w:name="_Toc294029990"/>
            <w:bookmarkStart w:id="1445" w:name="_Toc313879481"/>
            <w:r w:rsidRPr="00DA20F5">
              <w:rPr>
                <w:lang w:eastAsia="en-US"/>
              </w:rPr>
              <w:t>v tom</w:t>
            </w:r>
            <w:bookmarkEnd w:id="1441"/>
            <w:bookmarkEnd w:id="1442"/>
            <w:bookmarkEnd w:id="1443"/>
            <w:bookmarkEnd w:id="1444"/>
            <w:bookmarkEnd w:id="1445"/>
          </w:p>
        </w:tc>
        <w:tc>
          <w:tcPr>
            <w:tcW w:w="4502" w:type="dxa"/>
            <w:gridSpan w:val="6"/>
            <w:shd w:val="clear" w:color="auto" w:fill="auto"/>
            <w:noWrap/>
            <w:vAlign w:val="center"/>
            <w:hideMark/>
          </w:tcPr>
          <w:p w:rsidR="00C6395C" w:rsidRPr="00DA20F5" w:rsidRDefault="00C6395C" w:rsidP="00D36FB8">
            <w:pPr>
              <w:ind w:right="57"/>
              <w:jc w:val="right"/>
              <w:rPr>
                <w:sz w:val="20"/>
                <w:szCs w:val="20"/>
              </w:rPr>
            </w:pP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446" w:name="_Toc294020380"/>
            <w:bookmarkStart w:id="1447" w:name="_Toc294023279"/>
            <w:bookmarkStart w:id="1448" w:name="_Toc294027752"/>
            <w:bookmarkStart w:id="1449" w:name="_Toc294029991"/>
            <w:bookmarkStart w:id="1450" w:name="_Toc313879482"/>
            <w:r w:rsidRPr="00DA20F5">
              <w:rPr>
                <w:lang w:eastAsia="en-US"/>
              </w:rPr>
              <w:t>potraviny a nealkoholické nápoje</w:t>
            </w:r>
            <w:bookmarkEnd w:id="1446"/>
            <w:bookmarkEnd w:id="1447"/>
            <w:bookmarkEnd w:id="1448"/>
            <w:bookmarkEnd w:id="1449"/>
            <w:bookmarkEnd w:id="1450"/>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74,23</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69,51</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105,4</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102,1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22,1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21,8</w:t>
            </w: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451" w:name="_Toc294020387"/>
            <w:bookmarkStart w:id="1452" w:name="_Toc294023286"/>
            <w:bookmarkStart w:id="1453" w:name="_Toc294027759"/>
            <w:bookmarkStart w:id="1454" w:name="_Toc294029998"/>
            <w:bookmarkStart w:id="1455" w:name="_Toc313879489"/>
            <w:r w:rsidRPr="00DA20F5">
              <w:rPr>
                <w:lang w:eastAsia="en-US"/>
              </w:rPr>
              <w:t>alkoholické nápoje a tabak</w:t>
            </w:r>
            <w:bookmarkEnd w:id="1451"/>
            <w:bookmarkEnd w:id="1452"/>
            <w:bookmarkEnd w:id="1453"/>
            <w:bookmarkEnd w:id="1454"/>
            <w:bookmarkEnd w:id="1455"/>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9,85</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9,21</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106,1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98,3</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3</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2,9</w:t>
            </w: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456" w:name="_Toc294020394"/>
            <w:bookmarkStart w:id="1457" w:name="_Toc294023293"/>
            <w:bookmarkStart w:id="1458" w:name="_Toc294027766"/>
            <w:bookmarkStart w:id="1459" w:name="_Toc294030005"/>
            <w:bookmarkStart w:id="1460" w:name="_Toc313879496"/>
            <w:r w:rsidRPr="00DA20F5">
              <w:rPr>
                <w:lang w:eastAsia="en-US"/>
              </w:rPr>
              <w:t>odievanie a obuv</w:t>
            </w:r>
            <w:bookmarkEnd w:id="1456"/>
            <w:bookmarkEnd w:id="1457"/>
            <w:bookmarkEnd w:id="1458"/>
            <w:bookmarkEnd w:id="1459"/>
            <w:bookmarkEnd w:id="1460"/>
            <w:r w:rsidRPr="00DA20F5">
              <w:rPr>
                <w:lang w:eastAsia="en-US"/>
              </w:rPr>
              <w:t xml:space="preserve"> </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22,4</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16,97</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102,9</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103,5</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5,3</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5,3</w:t>
            </w: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461" w:name="_Toc294020401"/>
            <w:bookmarkStart w:id="1462" w:name="_Toc294023300"/>
            <w:bookmarkStart w:id="1463" w:name="_Toc294027773"/>
            <w:bookmarkStart w:id="1464" w:name="_Toc294030012"/>
            <w:bookmarkStart w:id="1465" w:name="_Toc313879503"/>
            <w:r w:rsidRPr="00DA20F5">
              <w:rPr>
                <w:lang w:eastAsia="en-US"/>
              </w:rPr>
              <w:t>bývanie, voda, elektrina, plyn a iné palivá</w:t>
            </w:r>
            <w:bookmarkEnd w:id="1461"/>
            <w:bookmarkEnd w:id="1462"/>
            <w:bookmarkEnd w:id="1463"/>
            <w:bookmarkEnd w:id="1464"/>
            <w:bookmarkEnd w:id="1465"/>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66,14</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64,36</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108,6</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102,4</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20,4</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20,2</w:t>
            </w: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466" w:name="_Toc294020408"/>
            <w:bookmarkStart w:id="1467" w:name="_Toc294023307"/>
            <w:bookmarkStart w:id="1468" w:name="_Toc294027780"/>
            <w:bookmarkStart w:id="1469" w:name="_Toc294030019"/>
            <w:bookmarkStart w:id="1470" w:name="_Toc313879510"/>
            <w:r w:rsidRPr="00DA20F5">
              <w:rPr>
                <w:lang w:eastAsia="en-US"/>
              </w:rPr>
              <w:t>nábytok, bytové vybavenie a bežná údržba domu</w:t>
            </w:r>
            <w:bookmarkEnd w:id="1466"/>
            <w:bookmarkEnd w:id="1467"/>
            <w:bookmarkEnd w:id="1468"/>
            <w:bookmarkEnd w:id="1469"/>
            <w:bookmarkEnd w:id="1470"/>
            <w:r w:rsidRPr="00DA20F5">
              <w:rPr>
                <w:lang w:eastAsia="en-US"/>
              </w:rPr>
              <w:t xml:space="preserve"> </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13,9</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12,07</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90,1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97,1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4</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3,8</w:t>
            </w: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471" w:name="_Toc294020415"/>
            <w:bookmarkStart w:id="1472" w:name="_Toc294023314"/>
            <w:bookmarkStart w:id="1473" w:name="_Toc294027787"/>
            <w:bookmarkStart w:id="1474" w:name="_Toc294030026"/>
            <w:bookmarkStart w:id="1475" w:name="_Toc313879517"/>
            <w:r w:rsidRPr="00DA20F5">
              <w:rPr>
                <w:lang w:eastAsia="en-US"/>
              </w:rPr>
              <w:t>zdravotníctvo</w:t>
            </w:r>
            <w:bookmarkEnd w:id="1471"/>
            <w:bookmarkEnd w:id="1472"/>
            <w:bookmarkEnd w:id="1473"/>
            <w:bookmarkEnd w:id="1474"/>
            <w:bookmarkEnd w:id="1475"/>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8,6</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9,21</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98,2</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98,2</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3</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2,9</w:t>
            </w: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476" w:name="_Toc294020422"/>
            <w:bookmarkStart w:id="1477" w:name="_Toc294023321"/>
            <w:bookmarkStart w:id="1478" w:name="_Toc294027794"/>
            <w:bookmarkStart w:id="1479" w:name="_Toc294030033"/>
            <w:bookmarkStart w:id="1480" w:name="_Toc313879524"/>
            <w:r w:rsidRPr="00DA20F5">
              <w:rPr>
                <w:lang w:eastAsia="en-US"/>
              </w:rPr>
              <w:t>doprava</w:t>
            </w:r>
            <w:bookmarkEnd w:id="1476"/>
            <w:bookmarkEnd w:id="1477"/>
            <w:bookmarkEnd w:id="1478"/>
            <w:bookmarkEnd w:id="1479"/>
            <w:bookmarkEnd w:id="1480"/>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24,52</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25,54</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101,1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115,1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7,2</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8</w:t>
            </w: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481" w:name="_Toc294020429"/>
            <w:bookmarkStart w:id="1482" w:name="_Toc294023328"/>
            <w:bookmarkStart w:id="1483" w:name="_Toc294027801"/>
            <w:bookmarkStart w:id="1484" w:name="_Toc294030040"/>
            <w:bookmarkStart w:id="1485" w:name="_Toc313879531"/>
            <w:r w:rsidRPr="00DA20F5">
              <w:rPr>
                <w:lang w:eastAsia="en-US"/>
              </w:rPr>
              <w:t>pošty a telekomunikácie</w:t>
            </w:r>
            <w:bookmarkEnd w:id="1481"/>
            <w:bookmarkEnd w:id="1482"/>
            <w:bookmarkEnd w:id="1483"/>
            <w:bookmarkEnd w:id="1484"/>
            <w:bookmarkEnd w:id="1485"/>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17,04</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16,74</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104,7</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103,5</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5,3</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5,2</w:t>
            </w: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486" w:name="_Toc294020436"/>
            <w:bookmarkStart w:id="1487" w:name="_Toc294023335"/>
            <w:bookmarkStart w:id="1488" w:name="_Toc294027808"/>
            <w:bookmarkStart w:id="1489" w:name="_Toc294030047"/>
            <w:bookmarkStart w:id="1490" w:name="_Toc313879538"/>
            <w:r w:rsidRPr="00DA20F5">
              <w:rPr>
                <w:lang w:eastAsia="en-US"/>
              </w:rPr>
              <w:t>rekreácia a kultúra</w:t>
            </w:r>
            <w:bookmarkEnd w:id="1486"/>
            <w:bookmarkEnd w:id="1487"/>
            <w:bookmarkEnd w:id="1488"/>
            <w:bookmarkEnd w:id="1489"/>
            <w:bookmarkEnd w:id="1490"/>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19,21</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22,4</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96,1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101,1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7,2</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7</w:t>
            </w:r>
          </w:p>
        </w:tc>
      </w:tr>
      <w:tr w:rsidR="008962EA" w:rsidRPr="00DA20F5" w:rsidTr="007A29A1">
        <w:trPr>
          <w:trHeight w:val="300"/>
          <w:jc w:val="center"/>
        </w:trPr>
        <w:tc>
          <w:tcPr>
            <w:tcW w:w="4456" w:type="dxa"/>
            <w:shd w:val="clear" w:color="000000" w:fill="FFFFFF"/>
            <w:noWrap/>
            <w:vAlign w:val="center"/>
            <w:hideMark/>
          </w:tcPr>
          <w:p w:rsidR="008962EA" w:rsidRPr="00DA20F5" w:rsidRDefault="008962EA" w:rsidP="00D36FB8">
            <w:pPr>
              <w:rPr>
                <w:lang w:eastAsia="en-US"/>
              </w:rPr>
            </w:pPr>
            <w:bookmarkStart w:id="1491" w:name="_Toc294020443"/>
            <w:bookmarkStart w:id="1492" w:name="_Toc294023342"/>
            <w:bookmarkStart w:id="1493" w:name="_Toc294027815"/>
            <w:bookmarkStart w:id="1494" w:name="_Toc294030054"/>
            <w:bookmarkStart w:id="1495" w:name="_Toc313879545"/>
            <w:r w:rsidRPr="00DA20F5">
              <w:rPr>
                <w:lang w:eastAsia="en-US"/>
              </w:rPr>
              <w:t>vzdelávanie</w:t>
            </w:r>
            <w:bookmarkEnd w:id="1491"/>
            <w:bookmarkEnd w:id="1492"/>
            <w:bookmarkEnd w:id="1493"/>
            <w:bookmarkEnd w:id="1494"/>
            <w:bookmarkEnd w:id="1495"/>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1,13</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1,27</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83,1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111,4</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0,4</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0,4</w:t>
            </w: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496" w:name="_Toc294020450"/>
            <w:bookmarkStart w:id="1497" w:name="_Toc294023349"/>
            <w:bookmarkStart w:id="1498" w:name="_Toc294027822"/>
            <w:bookmarkStart w:id="1499" w:name="_Toc294030061"/>
            <w:bookmarkStart w:id="1500" w:name="_Toc313879552"/>
            <w:r w:rsidRPr="00DA20F5">
              <w:rPr>
                <w:lang w:eastAsia="en-US"/>
              </w:rPr>
              <w:t>hotely, kaviarne a reštaurácie</w:t>
            </w:r>
            <w:bookmarkEnd w:id="1496"/>
            <w:bookmarkEnd w:id="1497"/>
            <w:bookmarkEnd w:id="1498"/>
            <w:bookmarkEnd w:id="1499"/>
            <w:bookmarkEnd w:id="1500"/>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17,31</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17,14</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114,0</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114,7</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4,9</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5,4</w:t>
            </w:r>
          </w:p>
        </w:tc>
      </w:tr>
      <w:tr w:rsidR="008962EA" w:rsidRPr="00DA20F5" w:rsidTr="007A29A1">
        <w:trPr>
          <w:trHeight w:val="255"/>
          <w:jc w:val="center"/>
        </w:trPr>
        <w:tc>
          <w:tcPr>
            <w:tcW w:w="4456" w:type="dxa"/>
            <w:shd w:val="clear" w:color="000000" w:fill="FFFFFF"/>
            <w:noWrap/>
            <w:vAlign w:val="center"/>
            <w:hideMark/>
          </w:tcPr>
          <w:p w:rsidR="008962EA" w:rsidRPr="00DA20F5" w:rsidRDefault="008962EA" w:rsidP="00D36FB8">
            <w:pPr>
              <w:rPr>
                <w:lang w:eastAsia="en-US"/>
              </w:rPr>
            </w:pPr>
            <w:bookmarkStart w:id="1501" w:name="_Toc294020457"/>
            <w:bookmarkStart w:id="1502" w:name="_Toc294023356"/>
            <w:bookmarkStart w:id="1503" w:name="_Toc294027829"/>
            <w:bookmarkStart w:id="1504" w:name="_Toc294030068"/>
            <w:bookmarkStart w:id="1505" w:name="_Toc313879559"/>
            <w:r w:rsidRPr="00DA20F5">
              <w:rPr>
                <w:lang w:eastAsia="en-US"/>
              </w:rPr>
              <w:t>rozličné tovary a služby</w:t>
            </w:r>
            <w:bookmarkEnd w:id="1501"/>
            <w:bookmarkEnd w:id="1502"/>
            <w:bookmarkEnd w:id="1503"/>
            <w:bookmarkEnd w:id="1504"/>
            <w:bookmarkEnd w:id="1505"/>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21,88</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20,76</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109,7</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106,6</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6,3</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6,5</w:t>
            </w:r>
          </w:p>
        </w:tc>
      </w:tr>
      <w:tr w:rsidR="008962EA" w:rsidRPr="00DA20F5" w:rsidTr="007A29A1">
        <w:trPr>
          <w:trHeight w:val="285"/>
          <w:jc w:val="center"/>
        </w:trPr>
        <w:tc>
          <w:tcPr>
            <w:tcW w:w="4456" w:type="dxa"/>
            <w:shd w:val="clear" w:color="000000" w:fill="FFFFFF"/>
            <w:noWrap/>
            <w:vAlign w:val="center"/>
            <w:hideMark/>
          </w:tcPr>
          <w:p w:rsidR="008962EA" w:rsidRPr="00DA20F5" w:rsidRDefault="008962EA" w:rsidP="00D36FB8">
            <w:pPr>
              <w:rPr>
                <w:lang w:eastAsia="en-US"/>
              </w:rPr>
            </w:pPr>
            <w:bookmarkStart w:id="1506" w:name="_Toc294020464"/>
            <w:bookmarkStart w:id="1507" w:name="_Toc294023363"/>
            <w:bookmarkStart w:id="1508" w:name="_Toc294027836"/>
            <w:bookmarkStart w:id="1509" w:name="_Toc294030075"/>
            <w:bookmarkStart w:id="1510" w:name="_Toc313879566"/>
            <w:r w:rsidRPr="00DA20F5">
              <w:rPr>
                <w:lang w:eastAsia="en-US"/>
              </w:rPr>
              <w:t>ostatné čisté výdavky</w:t>
            </w:r>
            <w:bookmarkEnd w:id="1506"/>
            <w:bookmarkEnd w:id="1507"/>
            <w:bookmarkEnd w:id="1508"/>
            <w:bookmarkEnd w:id="1509"/>
            <w:bookmarkEnd w:id="1510"/>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36,11</w:t>
            </w:r>
          </w:p>
        </w:tc>
        <w:tc>
          <w:tcPr>
            <w:tcW w:w="7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34,05</w:t>
            </w:r>
          </w:p>
        </w:tc>
        <w:tc>
          <w:tcPr>
            <w:tcW w:w="972"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103,1</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102,7</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10,8</w:t>
            </w:r>
          </w:p>
        </w:tc>
        <w:tc>
          <w:tcPr>
            <w:tcW w:w="666" w:type="dxa"/>
            <w:shd w:val="clear" w:color="000000" w:fill="FFFFFF"/>
            <w:noWrap/>
            <w:vAlign w:val="center"/>
            <w:hideMark/>
          </w:tcPr>
          <w:p w:rsidR="008962EA" w:rsidRPr="00DA20F5" w:rsidRDefault="008962EA" w:rsidP="00D36FB8">
            <w:pPr>
              <w:ind w:right="57"/>
              <w:jc w:val="right"/>
              <w:rPr>
                <w:sz w:val="20"/>
                <w:szCs w:val="20"/>
              </w:rPr>
            </w:pPr>
            <w:r w:rsidRPr="00DA20F5">
              <w:rPr>
                <w:sz w:val="20"/>
                <w:szCs w:val="20"/>
              </w:rPr>
              <w:t>10,7</w:t>
            </w:r>
          </w:p>
        </w:tc>
      </w:tr>
    </w:tbl>
    <w:p w:rsidR="008962EA" w:rsidRPr="00DA20F5" w:rsidRDefault="00AC5AAB" w:rsidP="00D36FB8">
      <w:pPr>
        <w:pStyle w:val="zdroj"/>
      </w:pPr>
      <w:r w:rsidRPr="00DA20F5">
        <w:t xml:space="preserve"> </w:t>
      </w:r>
      <w:r w:rsidR="008962EA" w:rsidRPr="00DA20F5">
        <w:t>Zdroj: ŠÚ SR, Slovstat, spresnené predbežné odhady podľa štatistiky rodinných účtov</w:t>
      </w:r>
    </w:p>
    <w:p w:rsidR="00EA4C56" w:rsidRPr="00DA20F5" w:rsidRDefault="00EA4C56" w:rsidP="00D36FB8">
      <w:pPr>
        <w:jc w:val="left"/>
        <w:rPr>
          <w:rFonts w:ascii="Times New Roman Bold" w:hAnsi="Times New Roman Bold"/>
          <w:b/>
          <w:bCs/>
          <w:iCs/>
          <w:color w:val="365F91"/>
          <w:sz w:val="28"/>
          <w:szCs w:val="22"/>
          <w:lang w:eastAsia="cs-CZ"/>
        </w:rPr>
      </w:pPr>
      <w:r w:rsidRPr="00DA20F5">
        <w:br w:type="page"/>
      </w:r>
    </w:p>
    <w:p w:rsidR="00F83961" w:rsidRPr="00DA20F5" w:rsidRDefault="00F83961" w:rsidP="00D36FB8">
      <w:pPr>
        <w:pStyle w:val="nadpis2"/>
      </w:pPr>
      <w:bookmarkStart w:id="1511" w:name="_Toc325438278"/>
      <w:bookmarkStart w:id="1512" w:name="_Toc326217094"/>
      <w:r w:rsidRPr="00DA20F5">
        <w:lastRenderedPageBreak/>
        <w:t>Chudoba a sociálne vylúčenie</w:t>
      </w:r>
      <w:bookmarkEnd w:id="1511"/>
      <w:bookmarkEnd w:id="1512"/>
      <w:r w:rsidRPr="00DA20F5">
        <w:t xml:space="preserve"> </w:t>
      </w:r>
    </w:p>
    <w:p w:rsidR="00C13E71" w:rsidRPr="00DA20F5" w:rsidRDefault="00C13E71" w:rsidP="00C13E71">
      <w:r w:rsidRPr="00DA20F5">
        <w:rPr>
          <w:color w:val="FF0000"/>
          <w:szCs w:val="22"/>
        </w:rPr>
        <w:tab/>
      </w:r>
      <w:r w:rsidRPr="00DA20F5">
        <w:t>Monitorovanie chudoby a sociálneho vylúčenia sa na Slovensku realizuje v kontexte Otvorenej metódy koordinácie (ďalej len „OMK“), ktorá je vytvorená na úrovni Európskej únie pre spoločné usmerňovanie politík členských krajín v oblasti boja proti chudobe a sociálnemu vylúčeniu</w:t>
      </w:r>
      <w:r w:rsidR="005C3A6A" w:rsidRPr="00DA20F5">
        <w:t>. Jedným z </w:t>
      </w:r>
      <w:r w:rsidRPr="00DA20F5">
        <w:t>hlavných strategických cieľov EÚ je podstatne zredukovať chudobu a pokračovať v realizácií tohto cieľa aj do roku 2020</w:t>
      </w:r>
      <w:r w:rsidRPr="00DA20F5">
        <w:rPr>
          <w:rStyle w:val="Odkaznapoznmkupodiarou"/>
        </w:rPr>
        <w:footnoteReference w:id="33"/>
      </w:r>
      <w:r w:rsidRPr="00DA20F5">
        <w:t xml:space="preserve">. </w:t>
      </w:r>
    </w:p>
    <w:p w:rsidR="00C13E71" w:rsidRPr="00DA20F5" w:rsidRDefault="00C13E71" w:rsidP="00C13E71">
      <w:pPr>
        <w:ind w:firstLine="567"/>
      </w:pPr>
      <w:r w:rsidRPr="00DA20F5">
        <w:t xml:space="preserve">Pre meranie pokroku pri dosahovaní strategických cieľov zameraných na zníženie chudoby a sociálneho vylúčenia a predovšetkým pre vzájomné porovnávanie jednotlivých štátov pri dosahovaní výsledkov boli schválené spoločné indikátory, tzv. Leakenské indikátory. Tieto prešli vývojom a v súčasnosti ich nazývame indikátory sociálnej inklúzie OMK. </w:t>
      </w:r>
    </w:p>
    <w:p w:rsidR="00C13E71" w:rsidRPr="00DA20F5" w:rsidRDefault="00C13E71" w:rsidP="00C13E71">
      <w:pPr>
        <w:ind w:firstLine="567"/>
      </w:pPr>
      <w:r w:rsidRPr="00DA20F5">
        <w:t>Meranie chudoby a sociálneho vylúčenia sa realizuje predovšetkým na základe harmonizovaného štatistického zisťovania EU SILC</w:t>
      </w:r>
      <w:r w:rsidRPr="00DA20F5">
        <w:rPr>
          <w:rStyle w:val="Odkaznapoznmkupodiarou"/>
        </w:rPr>
        <w:footnoteReference w:id="34"/>
      </w:r>
      <w:r w:rsidRPr="00DA20F5">
        <w:t xml:space="preserve"> o príjmoch a životných podmienkach. Ide o hlavný zdroj, na báze ktorého sa vypočítavajú nielen príjmové indikátory, ako je miera rizika chudoby, ale aj indikátory pre komplexnejšie zhodnotenie chudoby a sociálneho vylúčenia, a to materiálna deprivácia či nové zoskupenie indikátorov na meranie rizika chudoby alebo sociálneho vylúčenia. Zoskupenie indikátorov, t. j. miera rizika chudoby</w:t>
      </w:r>
      <w:r w:rsidRPr="00DA20F5">
        <w:rPr>
          <w:rStyle w:val="Odkaznapoznmkupodiarou"/>
        </w:rPr>
        <w:footnoteReference w:id="35"/>
      </w:r>
      <w:r w:rsidRPr="00DA20F5">
        <w:t>, závažná materiálna deprivácia</w:t>
      </w:r>
      <w:r w:rsidRPr="00DA20F5">
        <w:rPr>
          <w:rStyle w:val="Odkaznapoznmkupodiarou"/>
        </w:rPr>
        <w:footnoteReference w:id="36"/>
      </w:r>
      <w:r w:rsidRPr="00DA20F5">
        <w:t xml:space="preserve"> a veľmi nízka intenzita práce</w:t>
      </w:r>
      <w:r w:rsidRPr="00DA20F5">
        <w:rPr>
          <w:rStyle w:val="Odkaznapoznmkupodiarou"/>
        </w:rPr>
        <w:footnoteReference w:id="37"/>
      </w:r>
      <w:r w:rsidRPr="00DA20F5">
        <w:t xml:space="preserve"> definuje skupiny ľudí, ktorí žijú v riziku chudoby alebo sociálneho vylúčenia, t. j. ľudia s nízkym príjmom a/alebo tí, ktorí si nemôžu dovoliť niektorú z nevyhnutných potrieb pre svoj život a/alebo žijúci v domácnostiach, kde nikto nepracuje alebo pracuje iba príležitostne (veľmi nízka pracovná intenzita). </w:t>
      </w:r>
    </w:p>
    <w:p w:rsidR="00C13E71" w:rsidRPr="00DA20F5" w:rsidRDefault="00C13E71" w:rsidP="00C13E71">
      <w:pPr>
        <w:ind w:firstLine="567"/>
      </w:pPr>
      <w:r w:rsidRPr="00DA20F5">
        <w:t xml:space="preserve">V roku 2010 bolo na Slovensku v riziku chudoby alebo sociálneho vylúčenia 1 117 889 ľudí, čo predstavovalo 20,6% na celkovom počte obyvateľov (EÚ 27 – 23,5%). Podrobnejšie rozdelenie tejto skupiny je možné vidieť na grafe 4.1, ktorý znázorňuje zloženie cieľovej skupiny podľa vyššie uvedených troch indikátorov. Pri porovnaní s rovnakým období (2009 – 19,6%) hodnota zoskupenia indikátorov vzrástla o 1 p. b. Avšak v porovnaní s východiskovým rokom 2008 (20,6%) sa hodnota indikátora zachovala. </w:t>
      </w:r>
    </w:p>
    <w:p w:rsidR="00C13E71" w:rsidRPr="00DA20F5" w:rsidRDefault="00C13E71" w:rsidP="00C13E71">
      <w:pPr>
        <w:pStyle w:val="Nadpis7"/>
      </w:pPr>
      <w:bookmarkStart w:id="1513" w:name="_Toc326217095"/>
      <w:r w:rsidRPr="00DA20F5">
        <w:t>Graf 4.1 Podiel ľudí v riziku chudoby alebo sociálneho vylúčenia, 2010</w:t>
      </w:r>
      <w:bookmarkEnd w:id="1513"/>
    </w:p>
    <w:p w:rsidR="00C13E71" w:rsidRPr="00DA20F5" w:rsidRDefault="00C13E71" w:rsidP="00C13E71">
      <w:pPr>
        <w:pStyle w:val="Nadpis7"/>
      </w:pPr>
      <w:bookmarkStart w:id="1514" w:name="_Toc326217096"/>
      <w:r w:rsidRPr="00DA20F5">
        <w:rPr>
          <w:noProof/>
        </w:rPr>
        <w:drawing>
          <wp:inline distT="0" distB="0" distL="0" distR="0" wp14:anchorId="6E2F9775" wp14:editId="32D246C9">
            <wp:extent cx="2001520" cy="1492250"/>
            <wp:effectExtent l="0" t="0" r="0" b="0"/>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01520" cy="1492250"/>
                    </a:xfrm>
                    <a:prstGeom prst="rect">
                      <a:avLst/>
                    </a:prstGeom>
                    <a:noFill/>
                    <a:ln>
                      <a:noFill/>
                    </a:ln>
                  </pic:spPr>
                </pic:pic>
              </a:graphicData>
            </a:graphic>
          </wp:inline>
        </w:drawing>
      </w:r>
      <w:bookmarkEnd w:id="1514"/>
    </w:p>
    <w:p w:rsidR="00C13E71" w:rsidRPr="00DA20F5" w:rsidRDefault="00C13E71" w:rsidP="00C13E71">
      <w:pPr>
        <w:pStyle w:val="zdroj"/>
        <w:ind w:left="1210" w:firstLine="0"/>
        <w:jc w:val="left"/>
      </w:pPr>
      <w:r w:rsidRPr="00DA20F5">
        <w:t>Zdroj: EU SILC 2010</w:t>
      </w:r>
    </w:p>
    <w:p w:rsidR="00C13E71" w:rsidRPr="00DA20F5" w:rsidRDefault="00C13E71" w:rsidP="00C13E71">
      <w:pPr>
        <w:ind w:firstLine="567"/>
        <w:rPr>
          <w:szCs w:val="22"/>
        </w:rPr>
      </w:pPr>
      <w:r w:rsidRPr="00DA20F5">
        <w:lastRenderedPageBreak/>
        <w:t xml:space="preserve">Došlo k nárastu nielen celkového počtu ľudí v riziku chudoby alebo sociálneho vylúčenia, ale aj jednotlivých hodnôt indikátorov, predovšetkým čo sa týka veľmi nízkej intenzity práce (vplyv finančnej krízy – nárast nezamestnanosti). </w:t>
      </w:r>
    </w:p>
    <w:p w:rsidR="00C13E71" w:rsidRPr="00DA20F5" w:rsidRDefault="00C13E71" w:rsidP="00C13E71">
      <w:pPr>
        <w:ind w:firstLine="567"/>
      </w:pPr>
      <w:r w:rsidRPr="00DA20F5">
        <w:t>Najviac ohrozené rizikom chudoby alebo sociálnym vylúčením sú neúplné rodiny s</w:t>
      </w:r>
      <w:r w:rsidR="00DA4C37" w:rsidRPr="00DA20F5">
        <w:t> deťmi - 44,1% (pod priemerom EÚ</w:t>
      </w:r>
      <w:r w:rsidRPr="00DA20F5">
        <w:t xml:space="preserve"> 27 – 51,9%) a viacpočetné rodiny s viac ako tromi deťmi - 33,7% (nad priemerom E</w:t>
      </w:r>
      <w:r w:rsidR="00DA4C37" w:rsidRPr="00DA20F5">
        <w:t>Ú</w:t>
      </w:r>
      <w:r w:rsidRPr="00DA20F5">
        <w:t xml:space="preserve"> 27 – 31,4%) a v neposlednom rade aj jednotlivci – 32,3% (mierne pod priemerom E</w:t>
      </w:r>
      <w:r w:rsidR="00DA4C37" w:rsidRPr="00DA20F5">
        <w:t>Ú</w:t>
      </w:r>
      <w:r w:rsidRPr="00DA20F5">
        <w:t xml:space="preserve"> 27 - 33,6%). </w:t>
      </w:r>
    </w:p>
    <w:p w:rsidR="00C13E71" w:rsidRPr="00DA20F5" w:rsidRDefault="00C13E71" w:rsidP="00C13E71">
      <w:pPr>
        <w:ind w:firstLine="567"/>
      </w:pPr>
      <w:r w:rsidRPr="00DA20F5">
        <w:t>Vo všeobecnosti pre charakterizovanie chudobnej populácie v spoločnosti bola stanovená hranica chudoby</w:t>
      </w:r>
      <w:r w:rsidRPr="00DA20F5">
        <w:rPr>
          <w:rStyle w:val="Odkaznapoznmkupodiarou"/>
        </w:rPr>
        <w:footnoteReference w:id="38"/>
      </w:r>
      <w:r w:rsidRPr="00DA20F5">
        <w:t xml:space="preserve">, pomocou ktorej sa vyjadruje podiel obyvateľstva žijúceho v chudobe. Ide o relatívnu hranicu chudoby, ktorá meria, do akej miery finančné prostriedky domácností klesajú pod stredovú hranicu príjmu spoločnosti. Tento ukazovateľ vyjadruje predovšetkým riziko chudoby a je závislý od sociálno-ekonomického vývoja spoločnosti v danej krajine. </w:t>
      </w:r>
    </w:p>
    <w:p w:rsidR="00C13E71" w:rsidRPr="00DA20F5" w:rsidRDefault="00C13E71" w:rsidP="00C13E71">
      <w:pPr>
        <w:ind w:firstLine="567"/>
      </w:pPr>
      <w:r w:rsidRPr="00DA20F5">
        <w:t>Na základe posledných výsledkov EU SILC 2010 bola miera rizika chudoby v Slovenskej republike na úrovni 12,0% (muži – 11,7%; ženy – 12,2%), čo je pod priemerom EÚ (16,4%). Pri po</w:t>
      </w:r>
      <w:r w:rsidR="00DA4C37" w:rsidRPr="00DA20F5">
        <w:t>rovnávaní jednotlivých krajín EÚ</w:t>
      </w:r>
      <w:r w:rsidRPr="00DA20F5">
        <w:t xml:space="preserve"> 27 patrí Slovenská republika medzi krajiny s najnižšou mierou rizika chudoby, čo je spôsobené najmä nízkou nerovnosťou príjmov ( graf 4.2). </w:t>
      </w:r>
    </w:p>
    <w:p w:rsidR="00C13E71" w:rsidRPr="00DA20F5" w:rsidRDefault="00C13E71" w:rsidP="00C13E71">
      <w:pPr>
        <w:pStyle w:val="Nadpis7"/>
      </w:pPr>
      <w:bookmarkStart w:id="1515" w:name="_Toc326217097"/>
      <w:r w:rsidRPr="00DA20F5">
        <w:t>Graf 4.2 Miera rizika chudoby v jednotlivých štátoch EÚ, 2010</w:t>
      </w:r>
      <w:bookmarkEnd w:id="1515"/>
    </w:p>
    <w:p w:rsidR="00C13E71" w:rsidRPr="00DA20F5" w:rsidRDefault="005C3A6A" w:rsidP="00C13E71">
      <w:pPr>
        <w:jc w:val="center"/>
        <w:rPr>
          <w:color w:val="4F81BD"/>
          <w:sz w:val="20"/>
          <w:szCs w:val="20"/>
        </w:rPr>
      </w:pPr>
      <w:r w:rsidRPr="00DA20F5">
        <w:rPr>
          <w:noProof/>
        </w:rPr>
        <w:drawing>
          <wp:inline distT="0" distB="0" distL="0" distR="0" wp14:anchorId="47F25A6C" wp14:editId="3783AD10">
            <wp:extent cx="4942935" cy="2639683"/>
            <wp:effectExtent l="0" t="0" r="0" b="889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C13E71" w:rsidRPr="00DA20F5" w:rsidRDefault="00C13E71" w:rsidP="00C13E71">
      <w:pPr>
        <w:pStyle w:val="zdroj"/>
      </w:pPr>
      <w:r w:rsidRPr="00DA20F5">
        <w:t>Zdroj: Eurostat</w:t>
      </w:r>
    </w:p>
    <w:p w:rsidR="00C13E71" w:rsidRPr="00DA20F5" w:rsidRDefault="00C13E71" w:rsidP="00C13E71">
      <w:pPr>
        <w:ind w:firstLine="567"/>
      </w:pPr>
      <w:r w:rsidRPr="00DA20F5">
        <w:t>V porovnávaní s predchádzajúcimi rokmi došlo k podstatnému poklesu miery rizika chudoby v roku 2007 (10,5%), následne bol zaznamenaný mierny nárast ( graf 4.3). V porovnaní s rokom 2005 bola hodnota zo zisťovania 2010 nižšia o 1,3 p. b. V rámci medziročného porovnávania s rokom 2009 bol rozdiel v hodnotách miery rizika chudoby 1 p. b.. Tento vývoj bol ovplyvnený sociálno-ekonomickou situáciou v krajine. Na náraste hodnoty zo zisťovania v roku 2010 sa prejavil predovšetkým vplyv finančnej krízy, a to poklesom pracovných príjmov. Zároveň sa však znížil rozdiel v riziku chudoby medzi mužmi a ženami.</w:t>
      </w:r>
    </w:p>
    <w:p w:rsidR="00C13E71" w:rsidRPr="00DA20F5" w:rsidRDefault="00C13E71" w:rsidP="00C13E71">
      <w:pPr>
        <w:jc w:val="left"/>
        <w:rPr>
          <w:b/>
        </w:rPr>
      </w:pPr>
      <w:r w:rsidRPr="00DA20F5">
        <w:br w:type="page"/>
      </w:r>
    </w:p>
    <w:p w:rsidR="00C13E71" w:rsidRPr="00DA20F5" w:rsidRDefault="00C13E71" w:rsidP="00C13E71">
      <w:pPr>
        <w:pStyle w:val="Nadpis7"/>
      </w:pPr>
      <w:bookmarkStart w:id="1516" w:name="_Toc326217098"/>
      <w:r w:rsidRPr="00DA20F5">
        <w:lastRenderedPageBreak/>
        <w:t>Graf 4.3 Vývoj miery rizika chudoby na Slovensku (2005-2010)</w:t>
      </w:r>
      <w:bookmarkEnd w:id="1516"/>
    </w:p>
    <w:p w:rsidR="00C13E71" w:rsidRPr="00DA20F5" w:rsidRDefault="002B5028" w:rsidP="00C13E71">
      <w:pPr>
        <w:jc w:val="center"/>
        <w:rPr>
          <w:b/>
          <w:bCs/>
          <w:color w:val="4F81BD"/>
          <w:sz w:val="20"/>
          <w:szCs w:val="20"/>
        </w:rPr>
      </w:pPr>
      <w:r w:rsidRPr="00DA20F5">
        <w:rPr>
          <w:noProof/>
        </w:rPr>
        <w:drawing>
          <wp:inline distT="0" distB="0" distL="0" distR="0" wp14:anchorId="519311C2" wp14:editId="121D1C3E">
            <wp:extent cx="4688006" cy="2668138"/>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C13E71" w:rsidRPr="00DA20F5" w:rsidRDefault="00C13E71" w:rsidP="00C13E71">
      <w:pPr>
        <w:pStyle w:val="zdroj"/>
      </w:pPr>
      <w:r w:rsidRPr="00DA20F5">
        <w:t>Zdroj: EU SILC 2005-2009, UDB</w:t>
      </w:r>
    </w:p>
    <w:p w:rsidR="00C13E71" w:rsidRPr="00DA20F5" w:rsidRDefault="00C13E71" w:rsidP="00C13E71">
      <w:pPr>
        <w:ind w:firstLine="567"/>
        <w:rPr>
          <w:szCs w:val="22"/>
        </w:rPr>
      </w:pPr>
      <w:r w:rsidRPr="00DA20F5">
        <w:t>Dôležitú úlohu pri redukcii rizika chudoby zohráva nastavenie systému sociálnej ochrany a jej výdavky, t. j. sociálne transfery vrátane starobných a pozostalostných dávok. V prípade neposkytovania sociálnych transferov (s výnimkou starobných a pozostalostných dávok) sa miera rizika chudoby zvýši o 7,8 p. b. (na 19,8%) a v prípade neposkytovania sociálnych transferov (vrátane starobných a pozostalostných dávok) sa miera rizika zvýši o 26,2 p. b. (na 38,2%). V porovnaní s predchádzajúcim rokom bol zaznamenaný vyšší vplyv sociálnych transferov (či už bez alebo vrátane starobných a pozostalostných dávok) na výv</w:t>
      </w:r>
      <w:r w:rsidR="00740E25" w:rsidRPr="00DA20F5">
        <w:t>oj miery rizika chudoby (príloha</w:t>
      </w:r>
      <w:r w:rsidRPr="00DA20F5">
        <w:t xml:space="preserve"> ku kapitole 4). </w:t>
      </w:r>
    </w:p>
    <w:p w:rsidR="00C13E71" w:rsidRPr="00DA20F5" w:rsidRDefault="00C13E71" w:rsidP="00C13E71">
      <w:pPr>
        <w:ind w:firstLine="567"/>
      </w:pPr>
      <w:r w:rsidRPr="00DA20F5">
        <w:t>Porovnanie hranice chudoby (domácnosť jednotlivca), ktorá ma</w:t>
      </w:r>
      <w:r w:rsidR="002B5028" w:rsidRPr="00DA20F5">
        <w:t>la rastúci trend aj vzhľadom na </w:t>
      </w:r>
      <w:r w:rsidRPr="00DA20F5">
        <w:t xml:space="preserve">rast celkových príjmov, je zachytené v tabuľke 4.3. Je evidentné, že medziročne samotná hranica chudoby v roku 2010 (305,8 € ) v porovnaní s rokom 2009 vzrástla o 7,8% (z 283,6 €), t. j. o 22,2 €. Oproti roku 2005 (188,0 €) došlo k nárastu hranice chudoby o 62,8%. Napriek tomu podiel osôb nachádzajúcich sa pod touto hranicou mal klesajúcu tendenciu, v rokoch 2007-2009 zostal takmer nezmenený a výraznejší nárast nastal až v roku 2010. </w:t>
      </w:r>
    </w:p>
    <w:p w:rsidR="00C13E71" w:rsidRPr="00DA20F5" w:rsidRDefault="00C13E71" w:rsidP="00C13E71">
      <w:pPr>
        <w:pStyle w:val="Nadpis7"/>
      </w:pPr>
      <w:bookmarkStart w:id="1517" w:name="_Toc326217099"/>
      <w:r w:rsidRPr="00DA20F5">
        <w:t>Tab. 4.3 Vývoj hranice chudoby - domácnosť jednotlivca</w:t>
      </w:r>
      <w:bookmarkEnd w:id="1517"/>
    </w:p>
    <w:tbl>
      <w:tblPr>
        <w:tblW w:w="8640" w:type="dxa"/>
        <w:tblInd w:w="6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0A0" w:firstRow="1" w:lastRow="0" w:firstColumn="1" w:lastColumn="0" w:noHBand="0" w:noVBand="0"/>
      </w:tblPr>
      <w:tblGrid>
        <w:gridCol w:w="1985"/>
        <w:gridCol w:w="1110"/>
        <w:gridCol w:w="1110"/>
        <w:gridCol w:w="1110"/>
        <w:gridCol w:w="1110"/>
        <w:gridCol w:w="1110"/>
        <w:gridCol w:w="1110"/>
      </w:tblGrid>
      <w:tr w:rsidR="00C13E71" w:rsidRPr="00DA20F5" w:rsidTr="006B7CF8">
        <w:trPr>
          <w:trHeight w:val="510"/>
        </w:trPr>
        <w:tc>
          <w:tcPr>
            <w:tcW w:w="1985" w:type="dxa"/>
            <w:shd w:val="clear" w:color="auto" w:fill="4F81BD"/>
            <w:tcMar>
              <w:top w:w="0" w:type="dxa"/>
              <w:left w:w="70" w:type="dxa"/>
              <w:bottom w:w="0" w:type="dxa"/>
              <w:right w:w="70" w:type="dxa"/>
            </w:tcMar>
            <w:vAlign w:val="bottom"/>
          </w:tcPr>
          <w:p w:rsidR="00C13E71" w:rsidRPr="00DA20F5" w:rsidRDefault="00C13E71" w:rsidP="006B7CF8">
            <w:pPr>
              <w:jc w:val="center"/>
              <w:rPr>
                <w:rFonts w:ascii="Calibri" w:hAnsi="Calibri" w:cs="Calibri"/>
                <w:color w:val="FFFFFF"/>
              </w:rPr>
            </w:pPr>
          </w:p>
        </w:tc>
        <w:tc>
          <w:tcPr>
            <w:tcW w:w="1110" w:type="dxa"/>
            <w:shd w:val="clear" w:color="auto" w:fill="4F81BD"/>
            <w:tcMar>
              <w:top w:w="0" w:type="dxa"/>
              <w:left w:w="70" w:type="dxa"/>
              <w:bottom w:w="0" w:type="dxa"/>
              <w:right w:w="70" w:type="dxa"/>
            </w:tcMar>
            <w:vAlign w:val="center"/>
          </w:tcPr>
          <w:p w:rsidR="00C13E71" w:rsidRPr="00DA20F5" w:rsidRDefault="00C13E71" w:rsidP="006B7CF8">
            <w:pPr>
              <w:jc w:val="center"/>
              <w:rPr>
                <w:rFonts w:ascii="Calibri" w:hAnsi="Calibri" w:cs="Calibri"/>
                <w:b/>
                <w:bCs/>
                <w:color w:val="FFFFFF"/>
              </w:rPr>
            </w:pPr>
            <w:r w:rsidRPr="00DA20F5">
              <w:rPr>
                <w:b/>
                <w:bCs/>
                <w:color w:val="FFFFFF"/>
              </w:rPr>
              <w:t>EU SILC 2005</w:t>
            </w:r>
          </w:p>
        </w:tc>
        <w:tc>
          <w:tcPr>
            <w:tcW w:w="1110" w:type="dxa"/>
            <w:shd w:val="clear" w:color="auto" w:fill="4F81BD"/>
            <w:tcMar>
              <w:top w:w="0" w:type="dxa"/>
              <w:left w:w="70" w:type="dxa"/>
              <w:bottom w:w="0" w:type="dxa"/>
              <w:right w:w="70" w:type="dxa"/>
            </w:tcMar>
            <w:vAlign w:val="center"/>
          </w:tcPr>
          <w:p w:rsidR="00C13E71" w:rsidRPr="00DA20F5" w:rsidRDefault="00C13E71" w:rsidP="006B7CF8">
            <w:pPr>
              <w:jc w:val="center"/>
              <w:rPr>
                <w:rFonts w:ascii="Calibri" w:hAnsi="Calibri" w:cs="Calibri"/>
                <w:b/>
                <w:bCs/>
                <w:color w:val="FFFFFF"/>
              </w:rPr>
            </w:pPr>
            <w:r w:rsidRPr="00DA20F5">
              <w:rPr>
                <w:b/>
                <w:bCs/>
                <w:color w:val="FFFFFF"/>
              </w:rPr>
              <w:t>EU SILC 2006</w:t>
            </w:r>
          </w:p>
        </w:tc>
        <w:tc>
          <w:tcPr>
            <w:tcW w:w="1110" w:type="dxa"/>
            <w:shd w:val="clear" w:color="auto" w:fill="4F81BD"/>
            <w:tcMar>
              <w:top w:w="0" w:type="dxa"/>
              <w:left w:w="70" w:type="dxa"/>
              <w:bottom w:w="0" w:type="dxa"/>
              <w:right w:w="70" w:type="dxa"/>
            </w:tcMar>
            <w:vAlign w:val="center"/>
          </w:tcPr>
          <w:p w:rsidR="00C13E71" w:rsidRPr="00DA20F5" w:rsidRDefault="00C13E71" w:rsidP="006B7CF8">
            <w:pPr>
              <w:jc w:val="center"/>
              <w:rPr>
                <w:rFonts w:ascii="Calibri" w:hAnsi="Calibri" w:cs="Calibri"/>
                <w:b/>
                <w:bCs/>
                <w:color w:val="FFFFFF"/>
              </w:rPr>
            </w:pPr>
            <w:r w:rsidRPr="00DA20F5">
              <w:rPr>
                <w:b/>
                <w:bCs/>
                <w:color w:val="FFFFFF"/>
              </w:rPr>
              <w:t>EU SILC 2007</w:t>
            </w:r>
          </w:p>
        </w:tc>
        <w:tc>
          <w:tcPr>
            <w:tcW w:w="1110" w:type="dxa"/>
            <w:shd w:val="clear" w:color="auto" w:fill="4F81BD"/>
            <w:tcMar>
              <w:top w:w="0" w:type="dxa"/>
              <w:left w:w="70" w:type="dxa"/>
              <w:bottom w:w="0" w:type="dxa"/>
              <w:right w:w="70" w:type="dxa"/>
            </w:tcMar>
            <w:vAlign w:val="center"/>
          </w:tcPr>
          <w:p w:rsidR="00C13E71" w:rsidRPr="00DA20F5" w:rsidRDefault="00C13E71" w:rsidP="006B7CF8">
            <w:pPr>
              <w:jc w:val="center"/>
              <w:rPr>
                <w:rFonts w:ascii="Calibri" w:hAnsi="Calibri" w:cs="Calibri"/>
                <w:b/>
                <w:bCs/>
                <w:color w:val="FFFFFF"/>
              </w:rPr>
            </w:pPr>
            <w:r w:rsidRPr="00DA20F5">
              <w:rPr>
                <w:b/>
                <w:bCs/>
                <w:color w:val="FFFFFF"/>
              </w:rPr>
              <w:t>EU SILC 2008</w:t>
            </w:r>
          </w:p>
        </w:tc>
        <w:tc>
          <w:tcPr>
            <w:tcW w:w="1110" w:type="dxa"/>
            <w:shd w:val="clear" w:color="auto" w:fill="4F81BD"/>
            <w:tcMar>
              <w:top w:w="0" w:type="dxa"/>
              <w:left w:w="70" w:type="dxa"/>
              <w:bottom w:w="0" w:type="dxa"/>
              <w:right w:w="70" w:type="dxa"/>
            </w:tcMar>
            <w:vAlign w:val="center"/>
          </w:tcPr>
          <w:p w:rsidR="00C13E71" w:rsidRPr="00DA20F5" w:rsidRDefault="00C13E71" w:rsidP="006B7CF8">
            <w:pPr>
              <w:jc w:val="center"/>
              <w:rPr>
                <w:rFonts w:ascii="Calibri" w:hAnsi="Calibri" w:cs="Calibri"/>
                <w:b/>
                <w:bCs/>
                <w:color w:val="FFFFFF"/>
              </w:rPr>
            </w:pPr>
            <w:r w:rsidRPr="00DA20F5">
              <w:rPr>
                <w:b/>
                <w:bCs/>
                <w:color w:val="FFFFFF"/>
              </w:rPr>
              <w:t>EU SILC 2009</w:t>
            </w:r>
          </w:p>
        </w:tc>
        <w:tc>
          <w:tcPr>
            <w:tcW w:w="1110" w:type="dxa"/>
            <w:shd w:val="clear" w:color="auto" w:fill="4F81BD"/>
            <w:tcMar>
              <w:top w:w="0" w:type="dxa"/>
              <w:left w:w="70" w:type="dxa"/>
              <w:bottom w:w="0" w:type="dxa"/>
              <w:right w:w="70" w:type="dxa"/>
            </w:tcMar>
            <w:vAlign w:val="center"/>
          </w:tcPr>
          <w:p w:rsidR="00C13E71" w:rsidRPr="00DA20F5" w:rsidRDefault="00C13E71" w:rsidP="006B7CF8">
            <w:pPr>
              <w:jc w:val="center"/>
              <w:rPr>
                <w:rFonts w:ascii="Calibri" w:hAnsi="Calibri" w:cs="Calibri"/>
                <w:b/>
                <w:bCs/>
                <w:color w:val="FFFFFF"/>
              </w:rPr>
            </w:pPr>
            <w:r w:rsidRPr="00DA20F5">
              <w:rPr>
                <w:b/>
                <w:bCs/>
                <w:color w:val="FFFFFF"/>
              </w:rPr>
              <w:t>EU SILC 2010</w:t>
            </w:r>
          </w:p>
        </w:tc>
      </w:tr>
      <w:tr w:rsidR="00C13E71" w:rsidRPr="00DA20F5" w:rsidTr="006B7CF8">
        <w:trPr>
          <w:trHeight w:val="255"/>
        </w:trPr>
        <w:tc>
          <w:tcPr>
            <w:tcW w:w="1985" w:type="dxa"/>
            <w:noWrap/>
            <w:tcMar>
              <w:top w:w="0" w:type="dxa"/>
              <w:left w:w="70" w:type="dxa"/>
              <w:bottom w:w="0" w:type="dxa"/>
              <w:right w:w="70" w:type="dxa"/>
            </w:tcMar>
            <w:vAlign w:val="bottom"/>
          </w:tcPr>
          <w:p w:rsidR="00C13E71" w:rsidRPr="00DA20F5" w:rsidRDefault="00C13E71" w:rsidP="006B7CF8">
            <w:pPr>
              <w:rPr>
                <w:rFonts w:ascii="Calibri" w:hAnsi="Calibri" w:cs="Calibri"/>
              </w:rPr>
            </w:pPr>
            <w:r w:rsidRPr="00DA20F5">
              <w:t>rok v €</w:t>
            </w:r>
          </w:p>
        </w:tc>
        <w:tc>
          <w:tcPr>
            <w:tcW w:w="1110" w:type="dxa"/>
            <w:noWrap/>
            <w:tcMar>
              <w:top w:w="0" w:type="dxa"/>
              <w:left w:w="70" w:type="dxa"/>
              <w:bottom w:w="0" w:type="dxa"/>
              <w:right w:w="70" w:type="dxa"/>
            </w:tcMar>
            <w:vAlign w:val="bottom"/>
          </w:tcPr>
          <w:p w:rsidR="00C13E71" w:rsidRPr="00DA20F5" w:rsidRDefault="00C13E71" w:rsidP="006B7CF8">
            <w:pPr>
              <w:ind w:right="170"/>
              <w:jc w:val="right"/>
              <w:rPr>
                <w:rFonts w:ascii="Calibri" w:hAnsi="Calibri" w:cs="Calibri"/>
              </w:rPr>
            </w:pPr>
            <w:r w:rsidRPr="00DA20F5">
              <w:t>2 256,1</w:t>
            </w:r>
          </w:p>
        </w:tc>
        <w:tc>
          <w:tcPr>
            <w:tcW w:w="1110" w:type="dxa"/>
            <w:noWrap/>
            <w:tcMar>
              <w:top w:w="0" w:type="dxa"/>
              <w:left w:w="70" w:type="dxa"/>
              <w:bottom w:w="0" w:type="dxa"/>
              <w:right w:w="70" w:type="dxa"/>
            </w:tcMar>
            <w:vAlign w:val="bottom"/>
          </w:tcPr>
          <w:p w:rsidR="00C13E71" w:rsidRPr="00DA20F5" w:rsidRDefault="00C13E71" w:rsidP="006B7CF8">
            <w:pPr>
              <w:ind w:right="150"/>
              <w:jc w:val="right"/>
              <w:rPr>
                <w:rFonts w:ascii="Calibri" w:hAnsi="Calibri" w:cs="Calibri"/>
              </w:rPr>
            </w:pPr>
            <w:r w:rsidRPr="00DA20F5">
              <w:t>2 547,1</w:t>
            </w:r>
          </w:p>
        </w:tc>
        <w:tc>
          <w:tcPr>
            <w:tcW w:w="1110" w:type="dxa"/>
            <w:noWrap/>
            <w:tcMar>
              <w:top w:w="0" w:type="dxa"/>
              <w:left w:w="70" w:type="dxa"/>
              <w:bottom w:w="0" w:type="dxa"/>
              <w:right w:w="70" w:type="dxa"/>
            </w:tcMar>
            <w:vAlign w:val="bottom"/>
          </w:tcPr>
          <w:p w:rsidR="00C13E71" w:rsidRPr="00DA20F5" w:rsidRDefault="00C13E71" w:rsidP="006B7CF8">
            <w:pPr>
              <w:ind w:right="170"/>
              <w:jc w:val="right"/>
              <w:rPr>
                <w:rFonts w:ascii="Calibri" w:hAnsi="Calibri" w:cs="Calibri"/>
              </w:rPr>
            </w:pPr>
            <w:r w:rsidRPr="00DA20F5">
              <w:t>2 945,2</w:t>
            </w:r>
          </w:p>
        </w:tc>
        <w:tc>
          <w:tcPr>
            <w:tcW w:w="1110" w:type="dxa"/>
            <w:noWrap/>
            <w:tcMar>
              <w:top w:w="0" w:type="dxa"/>
              <w:left w:w="70" w:type="dxa"/>
              <w:bottom w:w="0" w:type="dxa"/>
              <w:right w:w="70" w:type="dxa"/>
            </w:tcMar>
            <w:vAlign w:val="bottom"/>
          </w:tcPr>
          <w:p w:rsidR="00C13E71" w:rsidRPr="00DA20F5" w:rsidRDefault="00C13E71" w:rsidP="006B7CF8">
            <w:pPr>
              <w:ind w:right="170"/>
              <w:jc w:val="right"/>
              <w:rPr>
                <w:rFonts w:ascii="Calibri" w:hAnsi="Calibri" w:cs="Calibri"/>
              </w:rPr>
            </w:pPr>
            <w:r w:rsidRPr="00DA20F5">
              <w:t>3 223,5</w:t>
            </w:r>
          </w:p>
        </w:tc>
        <w:tc>
          <w:tcPr>
            <w:tcW w:w="1110" w:type="dxa"/>
            <w:noWrap/>
            <w:tcMar>
              <w:top w:w="0" w:type="dxa"/>
              <w:left w:w="70" w:type="dxa"/>
              <w:bottom w:w="0" w:type="dxa"/>
              <w:right w:w="70" w:type="dxa"/>
            </w:tcMar>
            <w:vAlign w:val="bottom"/>
          </w:tcPr>
          <w:p w:rsidR="00C13E71" w:rsidRPr="00DA20F5" w:rsidRDefault="00C13E71" w:rsidP="006B7CF8">
            <w:pPr>
              <w:ind w:right="170"/>
              <w:jc w:val="right"/>
              <w:rPr>
                <w:rFonts w:ascii="Calibri" w:hAnsi="Calibri" w:cs="Calibri"/>
              </w:rPr>
            </w:pPr>
            <w:r w:rsidRPr="00DA20F5">
              <w:t>3 402,6</w:t>
            </w:r>
          </w:p>
        </w:tc>
        <w:tc>
          <w:tcPr>
            <w:tcW w:w="1110" w:type="dxa"/>
            <w:noWrap/>
            <w:tcMar>
              <w:top w:w="0" w:type="dxa"/>
              <w:left w:w="70" w:type="dxa"/>
              <w:bottom w:w="0" w:type="dxa"/>
              <w:right w:w="70" w:type="dxa"/>
            </w:tcMar>
            <w:vAlign w:val="bottom"/>
          </w:tcPr>
          <w:p w:rsidR="00C13E71" w:rsidRPr="00DA20F5" w:rsidRDefault="00C13E71" w:rsidP="006B7CF8">
            <w:pPr>
              <w:ind w:right="170"/>
              <w:jc w:val="right"/>
              <w:rPr>
                <w:rFonts w:ascii="Calibri" w:hAnsi="Calibri" w:cs="Calibri"/>
              </w:rPr>
            </w:pPr>
            <w:r w:rsidRPr="00DA20F5">
              <w:t>3 669,9</w:t>
            </w:r>
          </w:p>
        </w:tc>
      </w:tr>
      <w:tr w:rsidR="00C13E71" w:rsidRPr="00DA20F5" w:rsidTr="006B7CF8">
        <w:trPr>
          <w:trHeight w:val="255"/>
        </w:trPr>
        <w:tc>
          <w:tcPr>
            <w:tcW w:w="1985" w:type="dxa"/>
            <w:noWrap/>
            <w:tcMar>
              <w:top w:w="0" w:type="dxa"/>
              <w:left w:w="70" w:type="dxa"/>
              <w:bottom w:w="0" w:type="dxa"/>
              <w:right w:w="70" w:type="dxa"/>
            </w:tcMar>
            <w:vAlign w:val="bottom"/>
          </w:tcPr>
          <w:p w:rsidR="00C13E71" w:rsidRPr="00DA20F5" w:rsidRDefault="00C13E71" w:rsidP="006B7CF8">
            <w:pPr>
              <w:rPr>
                <w:rFonts w:ascii="Calibri" w:hAnsi="Calibri" w:cs="Calibri"/>
              </w:rPr>
            </w:pPr>
            <w:r w:rsidRPr="00DA20F5">
              <w:t>mesiac v €</w:t>
            </w:r>
          </w:p>
        </w:tc>
        <w:tc>
          <w:tcPr>
            <w:tcW w:w="1110" w:type="dxa"/>
            <w:noWrap/>
            <w:tcMar>
              <w:top w:w="0" w:type="dxa"/>
              <w:left w:w="70" w:type="dxa"/>
              <w:bottom w:w="0" w:type="dxa"/>
              <w:right w:w="70" w:type="dxa"/>
            </w:tcMar>
            <w:vAlign w:val="bottom"/>
          </w:tcPr>
          <w:p w:rsidR="00C13E71" w:rsidRPr="00DA20F5" w:rsidRDefault="00C13E71" w:rsidP="006B7CF8">
            <w:pPr>
              <w:ind w:right="170"/>
              <w:jc w:val="right"/>
              <w:rPr>
                <w:rFonts w:ascii="Calibri" w:hAnsi="Calibri" w:cs="Calibri"/>
              </w:rPr>
            </w:pPr>
            <w:r w:rsidRPr="00DA20F5">
              <w:t>188,0</w:t>
            </w:r>
          </w:p>
        </w:tc>
        <w:tc>
          <w:tcPr>
            <w:tcW w:w="1110" w:type="dxa"/>
            <w:noWrap/>
            <w:tcMar>
              <w:top w:w="0" w:type="dxa"/>
              <w:left w:w="70" w:type="dxa"/>
              <w:bottom w:w="0" w:type="dxa"/>
              <w:right w:w="70" w:type="dxa"/>
            </w:tcMar>
            <w:vAlign w:val="bottom"/>
          </w:tcPr>
          <w:p w:rsidR="00C13E71" w:rsidRPr="00DA20F5" w:rsidRDefault="00C13E71" w:rsidP="006B7CF8">
            <w:pPr>
              <w:ind w:right="150"/>
              <w:jc w:val="right"/>
              <w:rPr>
                <w:rFonts w:ascii="Calibri" w:hAnsi="Calibri" w:cs="Calibri"/>
              </w:rPr>
            </w:pPr>
            <w:r w:rsidRPr="00DA20F5">
              <w:t>212,3</w:t>
            </w:r>
          </w:p>
        </w:tc>
        <w:tc>
          <w:tcPr>
            <w:tcW w:w="1110" w:type="dxa"/>
            <w:noWrap/>
            <w:tcMar>
              <w:top w:w="0" w:type="dxa"/>
              <w:left w:w="70" w:type="dxa"/>
              <w:bottom w:w="0" w:type="dxa"/>
              <w:right w:w="70" w:type="dxa"/>
            </w:tcMar>
            <w:vAlign w:val="bottom"/>
          </w:tcPr>
          <w:p w:rsidR="00C13E71" w:rsidRPr="00DA20F5" w:rsidRDefault="00C13E71" w:rsidP="006B7CF8">
            <w:pPr>
              <w:ind w:right="170"/>
              <w:jc w:val="right"/>
              <w:rPr>
                <w:rFonts w:ascii="Calibri" w:hAnsi="Calibri" w:cs="Calibri"/>
              </w:rPr>
            </w:pPr>
            <w:r w:rsidRPr="00DA20F5">
              <w:t>245,4</w:t>
            </w:r>
          </w:p>
        </w:tc>
        <w:tc>
          <w:tcPr>
            <w:tcW w:w="1110" w:type="dxa"/>
            <w:noWrap/>
            <w:tcMar>
              <w:top w:w="0" w:type="dxa"/>
              <w:left w:w="70" w:type="dxa"/>
              <w:bottom w:w="0" w:type="dxa"/>
              <w:right w:w="70" w:type="dxa"/>
            </w:tcMar>
            <w:vAlign w:val="bottom"/>
          </w:tcPr>
          <w:p w:rsidR="00C13E71" w:rsidRPr="00DA20F5" w:rsidRDefault="00C13E71" w:rsidP="006B7CF8">
            <w:pPr>
              <w:ind w:right="170"/>
              <w:jc w:val="right"/>
              <w:rPr>
                <w:rFonts w:ascii="Calibri" w:hAnsi="Calibri" w:cs="Calibri"/>
              </w:rPr>
            </w:pPr>
            <w:r w:rsidRPr="00DA20F5">
              <w:t>268,6</w:t>
            </w:r>
          </w:p>
        </w:tc>
        <w:tc>
          <w:tcPr>
            <w:tcW w:w="1110" w:type="dxa"/>
            <w:noWrap/>
            <w:tcMar>
              <w:top w:w="0" w:type="dxa"/>
              <w:left w:w="70" w:type="dxa"/>
              <w:bottom w:w="0" w:type="dxa"/>
              <w:right w:w="70" w:type="dxa"/>
            </w:tcMar>
            <w:vAlign w:val="bottom"/>
          </w:tcPr>
          <w:p w:rsidR="00C13E71" w:rsidRPr="00DA20F5" w:rsidRDefault="00C13E71" w:rsidP="006B7CF8">
            <w:pPr>
              <w:ind w:right="170"/>
              <w:jc w:val="right"/>
              <w:rPr>
                <w:rFonts w:ascii="Calibri" w:hAnsi="Calibri" w:cs="Calibri"/>
              </w:rPr>
            </w:pPr>
            <w:r w:rsidRPr="00DA20F5">
              <w:t>283,6</w:t>
            </w:r>
          </w:p>
        </w:tc>
        <w:tc>
          <w:tcPr>
            <w:tcW w:w="1110" w:type="dxa"/>
            <w:noWrap/>
            <w:tcMar>
              <w:top w:w="0" w:type="dxa"/>
              <w:left w:w="70" w:type="dxa"/>
              <w:bottom w:w="0" w:type="dxa"/>
              <w:right w:w="70" w:type="dxa"/>
            </w:tcMar>
            <w:vAlign w:val="bottom"/>
          </w:tcPr>
          <w:p w:rsidR="00C13E71" w:rsidRPr="00DA20F5" w:rsidRDefault="00C13E71" w:rsidP="006B7CF8">
            <w:pPr>
              <w:ind w:right="170"/>
              <w:jc w:val="right"/>
              <w:rPr>
                <w:rFonts w:ascii="Calibri" w:hAnsi="Calibri" w:cs="Calibri"/>
              </w:rPr>
            </w:pPr>
            <w:r w:rsidRPr="00DA20F5">
              <w:t>305,8</w:t>
            </w:r>
          </w:p>
        </w:tc>
      </w:tr>
    </w:tbl>
    <w:p w:rsidR="00C13E71" w:rsidRPr="00DA20F5" w:rsidRDefault="00C13E71" w:rsidP="00C13E71">
      <w:pPr>
        <w:pStyle w:val="zdroj"/>
        <w:rPr>
          <w:rFonts w:ascii="Calibri" w:hAnsi="Calibri" w:cs="Calibri"/>
        </w:rPr>
      </w:pPr>
      <w:r w:rsidRPr="00DA20F5">
        <w:t>Zdroj: Eurostat/ŠÚ SR</w:t>
      </w:r>
    </w:p>
    <w:p w:rsidR="00C13E71" w:rsidRPr="00DA20F5" w:rsidRDefault="00C13E71" w:rsidP="00C13E71">
      <w:pPr>
        <w:ind w:firstLine="567"/>
      </w:pPr>
      <w:r w:rsidRPr="00DA20F5">
        <w:t>Použitím hranice chudoby zakotvenej v čase</w:t>
      </w:r>
      <w:r w:rsidRPr="00DA20F5">
        <w:rPr>
          <w:rStyle w:val="Odkaznapoznmkupodiarou"/>
        </w:rPr>
        <w:footnoteReference w:id="39"/>
      </w:r>
      <w:r w:rsidRPr="00DA20F5">
        <w:t xml:space="preserve"> je možné zachytiť aspekt absolútnej chudoby. V roku 2010 sa hodnota tohto indikátora (2,6%) v porovnaní s predchádzajúcim rokom (2,4 %) takmer nezmenila (muži – 2,8%, ženy – 2,5%; nárast oproti roku 2009 zhodne o 0,2 p. b.) (príloh</w:t>
      </w:r>
      <w:r w:rsidR="00740E25" w:rsidRPr="00DA20F5">
        <w:t>a</w:t>
      </w:r>
      <w:r w:rsidRPr="00DA20F5">
        <w:t xml:space="preserve"> ku kapitole 4). Mierny nárast bol zaznamenaný v prípade jednej z najrizikovejších skupín, a to u detí v</w:t>
      </w:r>
      <w:r w:rsidR="002B5028" w:rsidRPr="00DA20F5">
        <w:t xml:space="preserve">o veku </w:t>
      </w:r>
      <w:r w:rsidR="002B5028" w:rsidRPr="00DA20F5">
        <w:br/>
        <w:t>0-17 </w:t>
      </w:r>
      <w:r w:rsidRPr="00DA20F5">
        <w:t xml:space="preserve">rokov, kde miera rizika chudoby je v tomto prípade na úrovni 5,2% (2009 – 4,5%). V prípade starších ľudí 65 + je miera rizika chudoby na úrovni 0,3% (muži - 0,2%, ženy - 0,3%) a medziročne klesla o 0,1 p. b.. Prostredníctvom predmetného indikátora je možné sledovať životnú úroveň obyvateľstva v prepojení na hospodársky rast krajiny. V grafe 4.4 je zachytený vývoj miery rizika chudoby zakotvenej v čase, predovšetkým jej klesajúci trend, až na posledný rok zisťovania (2010), ktorý odráža príjmovú situáciu za rok 2009. </w:t>
      </w:r>
    </w:p>
    <w:p w:rsidR="00C13E71" w:rsidRPr="00DA20F5" w:rsidRDefault="00C13E71" w:rsidP="00C13E71">
      <w:pPr>
        <w:pStyle w:val="Nadpis7"/>
      </w:pPr>
      <w:bookmarkStart w:id="1518" w:name="_Toc326217100"/>
      <w:r w:rsidRPr="00DA20F5">
        <w:lastRenderedPageBreak/>
        <w:t>Graf 4.4 Vývoj miery rizika chudoby zakotvenej v čase</w:t>
      </w:r>
      <w:bookmarkEnd w:id="1518"/>
    </w:p>
    <w:p w:rsidR="00C13E71" w:rsidRPr="00DA20F5" w:rsidRDefault="002B5028" w:rsidP="00C13E71">
      <w:pPr>
        <w:jc w:val="center"/>
        <w:rPr>
          <w:color w:val="4F81BD"/>
          <w:sz w:val="20"/>
          <w:szCs w:val="20"/>
        </w:rPr>
      </w:pPr>
      <w:r w:rsidRPr="00DA20F5">
        <w:rPr>
          <w:noProof/>
        </w:rPr>
        <w:drawing>
          <wp:inline distT="0" distB="0" distL="0" distR="0" wp14:anchorId="01D1250F" wp14:editId="4F875C35">
            <wp:extent cx="4087505" cy="2190466"/>
            <wp:effectExtent l="0" t="0" r="8255" b="63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C13E71" w:rsidRPr="00DA20F5" w:rsidRDefault="00740E25" w:rsidP="00C13E71">
      <w:pPr>
        <w:pStyle w:val="zdroj"/>
      </w:pPr>
      <w:r w:rsidRPr="00DA20F5">
        <w:t xml:space="preserve">                 </w:t>
      </w:r>
      <w:r w:rsidR="00C13E71" w:rsidRPr="00DA20F5">
        <w:t>Zdroj: Eurostat</w:t>
      </w:r>
    </w:p>
    <w:p w:rsidR="00C13E71" w:rsidRPr="00DA20F5" w:rsidRDefault="00C13E71" w:rsidP="00C13E71">
      <w:r w:rsidRPr="00DA20F5">
        <w:t>V súvislosti so zachytením rozptylu chudoby okolo hranice chudoby</w:t>
      </w:r>
      <w:r w:rsidR="005C3A6A" w:rsidRPr="00DA20F5">
        <w:t xml:space="preserve"> na základe zisťovania (EU SILC </w:t>
      </w:r>
      <w:r w:rsidRPr="00DA20F5">
        <w:t xml:space="preserve">2010) malo na Slovensku príjem nižší ako 40 % mediánu ekvivalentného disponibilného príjmu 5,0 % ľudí (medziročný nárast o 1,4 p. b.), pod 50 % mediánu ekvivalentného disponibilného príjmu 7,8 % ľudí (medziročný nárast o 1,0 p. b.) a v prípade 70 % mediánu ekvivalentného disponibilného príjmu až 19 % ľudí (medziročný nárast o 2,7 p. b.). </w:t>
      </w:r>
    </w:p>
    <w:p w:rsidR="00C13E71" w:rsidRPr="00DA20F5" w:rsidRDefault="00C13E71" w:rsidP="00C13E71">
      <w:pPr>
        <w:ind w:firstLine="567"/>
      </w:pPr>
      <w:r w:rsidRPr="00DA20F5">
        <w:t xml:space="preserve">Relatívny prepad mediánu príjmov v riziku chudoby na základe posledného zisťovania (EU SILC 2010) vzrástol o 2,5 p. b. na hodnotu 25,7 %, pričom tento vyjadruje rozdiel medzi mediánom príjmu osôb v riziku chudoby a hranicou chudoby. Za obdobie roku 2010 bola intenzita chudoby vyššia ako v roku 2005 (23,5 %). Z uvedeného je zrejmé, že sa zvýšila vzdialenosť príjmov chudobných od hranice chudoby, čo predstavuje zhoršenie príjmovej situácie obyvateľstva. </w:t>
      </w:r>
    </w:p>
    <w:p w:rsidR="00C13E71" w:rsidRPr="00DA20F5" w:rsidRDefault="00C13E71" w:rsidP="00C13E71">
      <w:pPr>
        <w:ind w:firstLine="567"/>
      </w:pPr>
      <w:r w:rsidRPr="00DA20F5">
        <w:t>V prípade merania príjmovej nerovnosti za posledné sledované obdobie 20 % osôb s najvyššími príjmami získalo 3,8 krát viac príjmov ako 20 % osôb s najnižšími príjmami. Oproti predchádzajúcemu zisťovaniu (EU SILC 2009) sa na Slovensku hodnota indikátora zvýšila o 0,2 p. b</w:t>
      </w:r>
      <w:r w:rsidRPr="00DA20F5">
        <w:rPr>
          <w:rStyle w:val="Odkaznakomentr"/>
        </w:rPr>
        <w:t> </w:t>
      </w:r>
      <w:r w:rsidRPr="00DA20F5">
        <w:t>., napriek tomu je Slovensko stále pod priemerom E</w:t>
      </w:r>
      <w:r w:rsidR="00740E25" w:rsidRPr="00DA20F5">
        <w:t>Ú</w:t>
      </w:r>
      <w:r w:rsidRPr="00DA20F5">
        <w:t xml:space="preserve"> 27 (5,0). </w:t>
      </w:r>
    </w:p>
    <w:p w:rsidR="00C13E71" w:rsidRPr="00DA20F5" w:rsidRDefault="00C13E71" w:rsidP="00C13E71">
      <w:pPr>
        <w:ind w:firstLine="567"/>
      </w:pPr>
      <w:r w:rsidRPr="00DA20F5">
        <w:t xml:space="preserve">Najohrozenejšou vekovou skupinou z hľadiska príjmovej chudoby sú deti vo veku 0 -17 (miera rizika chudoby 18,8 %) a taktiež mladí ľudia 18-24 (14,7 %). Najnižšiu mieru rizika chudoby má veková skupina 65+ (7,7 %). Pri porovnávaní posledných dvoch zisťovaní nastal nárast miery rizika chudoby takmer u všetkých vekových skupín (o cca 2 p. b.) s výnimkou populácie vo veku 65+ (pokles o 3,1 p. b.). </w:t>
      </w:r>
    </w:p>
    <w:p w:rsidR="00C13E71" w:rsidRPr="00DA20F5" w:rsidRDefault="00C13E71" w:rsidP="00C13E71">
      <w:pPr>
        <w:ind w:firstLine="567"/>
      </w:pPr>
      <w:r w:rsidRPr="00DA20F5">
        <w:t>Na podmienky Slovenskej republiky sa meria riziko chudoby u detí vo veku 0 -15. Z výsledkov zisťovania v roku 2010 je zrejmé, že v riziku chudoby bolo 18,6 % detí v danom veku a v porovnaní so zisťovaním v roku 2009 došlo k nárastu o 1,6 p. b. Riziko chudoby detí súvisí predovšetkým s príjmovou situáciou rodín, a to najmä viacpočetných domácností s deťmi. Z hľadiska globálneho hodnotenia je zrejmé, že dochádza k zmenám v štruktúre populácie v súvislosti s rizikom chudoby, a to v dôsledku zmien v príjmovej situácii obyvateľstva,</w:t>
      </w:r>
      <w:r w:rsidRPr="00DA20F5">
        <w:rPr>
          <w:rStyle w:val="Odkaznakomentr"/>
          <w:sz w:val="20"/>
          <w:szCs w:val="20"/>
        </w:rPr>
        <w:t xml:space="preserve"> </w:t>
      </w:r>
      <w:r w:rsidRPr="00DA20F5">
        <w:t>vyplývajúcich zo súčasnej sociálno-ekonomickej situácie na Slovensku.</w:t>
      </w:r>
    </w:p>
    <w:p w:rsidR="00C13E71" w:rsidRPr="00DA20F5" w:rsidRDefault="00C13E71" w:rsidP="00C13E71">
      <w:pPr>
        <w:jc w:val="left"/>
        <w:rPr>
          <w:b/>
        </w:rPr>
      </w:pPr>
      <w:r w:rsidRPr="00DA20F5">
        <w:br w:type="page"/>
      </w:r>
    </w:p>
    <w:p w:rsidR="00C13E71" w:rsidRPr="00DA20F5" w:rsidRDefault="00C13E71" w:rsidP="00C13E71">
      <w:pPr>
        <w:pStyle w:val="Nadpis7"/>
      </w:pPr>
      <w:bookmarkStart w:id="1519" w:name="_Toc326217101"/>
      <w:r w:rsidRPr="00DA20F5">
        <w:lastRenderedPageBreak/>
        <w:t>Graf 4.5 Miera rizika chudoby podľa vekovej štruktúry (2010)</w:t>
      </w:r>
      <w:bookmarkEnd w:id="1519"/>
    </w:p>
    <w:p w:rsidR="00C13E71" w:rsidRPr="00DA20F5" w:rsidRDefault="002B5028" w:rsidP="002B5028">
      <w:pPr>
        <w:jc w:val="center"/>
        <w:rPr>
          <w:i/>
          <w:iCs/>
          <w:color w:val="4F81BD"/>
          <w:sz w:val="20"/>
          <w:szCs w:val="20"/>
        </w:rPr>
      </w:pPr>
      <w:r w:rsidRPr="00DA20F5">
        <w:rPr>
          <w:noProof/>
        </w:rPr>
        <w:drawing>
          <wp:inline distT="0" distB="0" distL="0" distR="0" wp14:anchorId="16E93A18" wp14:editId="0C667739">
            <wp:extent cx="3937379" cy="2715905"/>
            <wp:effectExtent l="0" t="0" r="6350" b="8255"/>
            <wp:docPr id="55" name="Graf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C13E71" w:rsidRPr="00DA20F5" w:rsidRDefault="00C13E71" w:rsidP="00C13E71">
      <w:pPr>
        <w:pStyle w:val="zdroj"/>
      </w:pPr>
      <w:r w:rsidRPr="00DA20F5">
        <w:t xml:space="preserve"> Zdroj: ŠÚ SR, EU SILC 2010, UDB </w:t>
      </w:r>
    </w:p>
    <w:p w:rsidR="00C13E71" w:rsidRPr="00DA20F5" w:rsidRDefault="00C13E71" w:rsidP="00C13E71">
      <w:pPr>
        <w:ind w:firstLine="567"/>
      </w:pPr>
      <w:r w:rsidRPr="00DA20F5">
        <w:t xml:space="preserve">V prípade detí 0 -17 je možné sledovať aj iný vzťah, a to predmetnú vekovú populáciu žijúcu v domácnostiach bez zamestnania. Pri medziročnom porovnávaní sa situácia v danej vekovej skupine zmenila, a to nárastom z 8,4 % na 10,2 %, t. j. o 1,8 p. b. Výsledky sú z výberového zisťovania pracovných síl. </w:t>
      </w:r>
    </w:p>
    <w:p w:rsidR="00C13E71" w:rsidRPr="00DA20F5" w:rsidRDefault="00C13E71" w:rsidP="00C13E71">
      <w:pPr>
        <w:ind w:firstLine="567"/>
      </w:pPr>
    </w:p>
    <w:p w:rsidR="00740E25" w:rsidRPr="00DA20F5" w:rsidRDefault="00C13E71" w:rsidP="00C13E71">
      <w:r w:rsidRPr="00DA20F5">
        <w:t>V prípade typu domácností sú v najväčšom riziku chudoby rodiny s tromi a viac deťmi (29,8 %), osamelí rodičia s najmenej jedným dieťaťom (25,0 %) a jednotlivci mladší ako 65 rokov (23,4 %). Najnižšie riziko chudoby bolo zazname</w:t>
      </w:r>
      <w:r w:rsidR="00740E25" w:rsidRPr="00DA20F5">
        <w:t>na</w:t>
      </w:r>
      <w:r w:rsidRPr="00DA20F5">
        <w:t>né v prípade domácností s dvomi dospelými, kde aspoň jeden z nich má viac ako 65 rokov. Oproti predchádzajúcemu roku došlo k nárastu rizika chudoby u rodín s tromi a viac deťmi (o 1,9 p. b.), u osamelých rodičov (o 2,0 p. b.) a taktiež k nárastu miery rizika chudoby v prípade jednotlivcov mladších ako 65 rokov (o</w:t>
      </w:r>
      <w:r w:rsidR="002B5028" w:rsidRPr="00DA20F5">
        <w:t xml:space="preserve"> 3,4 p. b.). Naopak v prípade </w:t>
      </w:r>
      <w:r w:rsidRPr="00DA20F5">
        <w:t>jednotlivcov vo veku viac než 65 rokov (druhá najrizikovejšia skupina podľa zisťovania v roku 2009) došlo k výraznému poklesu (o 11 p. b.). Pokles oproti predchádzajúcemu roku bol zaznamenaný aj u skupiny jednotlivcov celkovo (o 3,9 p. b.).</w:t>
      </w:r>
    </w:p>
    <w:p w:rsidR="00C13E71" w:rsidRPr="00DA20F5" w:rsidRDefault="00C13E71" w:rsidP="002B5028">
      <w:pPr>
        <w:pStyle w:val="Nadpis7"/>
        <w:spacing w:after="0"/>
      </w:pPr>
      <w:r w:rsidRPr="00DA20F5">
        <w:t>Graf č. 4.6 Porovnanie miery rizika chudoby podľa typu domácnosti (2009 a 2010)</w:t>
      </w:r>
    </w:p>
    <w:p w:rsidR="00C13E71" w:rsidRPr="00DA20F5" w:rsidRDefault="002B5028" w:rsidP="00C13E71">
      <w:pPr>
        <w:rPr>
          <w:color w:val="4F81BD"/>
          <w:sz w:val="20"/>
          <w:szCs w:val="20"/>
        </w:rPr>
      </w:pPr>
      <w:r w:rsidRPr="00DA20F5">
        <w:rPr>
          <w:noProof/>
        </w:rPr>
        <w:drawing>
          <wp:inline distT="0" distB="0" distL="0" distR="0" wp14:anchorId="51F88AA4" wp14:editId="46EB939D">
            <wp:extent cx="5760720" cy="2776855"/>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C13E71" w:rsidRPr="00DA20F5" w:rsidRDefault="00C13E71" w:rsidP="00C13E71">
      <w:pPr>
        <w:pStyle w:val="zdroj"/>
      </w:pPr>
      <w:r w:rsidRPr="00DA20F5">
        <w:t xml:space="preserve">Zdroj: ŠÚ SR, EU SILC 2009 a 2010, UDB </w:t>
      </w:r>
    </w:p>
    <w:p w:rsidR="00C13E71" w:rsidRPr="00DA20F5" w:rsidRDefault="00C13E71" w:rsidP="00C13E71">
      <w:pPr>
        <w:ind w:firstLine="567"/>
      </w:pPr>
      <w:r w:rsidRPr="00DA20F5">
        <w:lastRenderedPageBreak/>
        <w:t>Pri sledovaní miery rizika chudoby v nadväznosti na ekonomickú aktivitu bolo najvyššie riziko chudoby na Slovensku podľa výsledkov EU SILC 2010 v prípade nezamestnaných, a to 41,2 % (pokles oproti roku 2009 o 7,5 p. b.), z toho viac boli ohrození muži (42,3%) ako ženy (39,9%). V prípade zamestnaných bolo v riziku chudoby 5,7 % ľudí, čo predstavuje nárast oproti predchádzajúcemu roku o 0,5 p. b. Ak sledujeme pracovnú intenzitu</w:t>
      </w:r>
      <w:r w:rsidRPr="00DA20F5">
        <w:rPr>
          <w:rStyle w:val="Odkaznapoznmkupodiarou"/>
        </w:rPr>
        <w:footnoteReference w:id="40"/>
      </w:r>
      <w:r w:rsidR="002B5028" w:rsidRPr="00DA20F5">
        <w:t>, riziko chudoby sa zvyšuje s </w:t>
      </w:r>
      <w:r w:rsidRPr="00DA20F5">
        <w:t>klesajúcou pracovnou intenzitou členov domácností. V prípade domá</w:t>
      </w:r>
      <w:r w:rsidR="002B5028" w:rsidRPr="00DA20F5">
        <w:t>cnosti so závislými deťmi sa so </w:t>
      </w:r>
      <w:r w:rsidRPr="00DA20F5">
        <w:t>zvyšujúcim počtom ľudí, ktorí sú od príjmov domácností závislí, riziko chudoby zvyšuje. V prípade nízkej intenzity práce ako jedného z indikátorov pre definovanie počtu ľudí žijúcich v riziku chudoby a sociálneho vylúčenia (v tomto prípade WI&lt;0,2) došlo k výraznému medziročnému nárastu o 2,3 p. b. Bližšie porovnania jednotlivých pásiem pracovnej intenzity u osôb žijúcich v rizik</w:t>
      </w:r>
      <w:r w:rsidR="00740E25" w:rsidRPr="00DA20F5">
        <w:t>u chudoby sú uvedené v prílohe</w:t>
      </w:r>
      <w:r w:rsidRPr="00DA20F5">
        <w:t xml:space="preserve"> ku kapitole 4.</w:t>
      </w:r>
    </w:p>
    <w:p w:rsidR="00C13E71" w:rsidRPr="00DA20F5" w:rsidRDefault="00C13E71" w:rsidP="00C13E71"/>
    <w:p w:rsidR="00C13E71" w:rsidRPr="00DA20F5" w:rsidRDefault="00C13E71" w:rsidP="00C13E71">
      <w:pPr>
        <w:pStyle w:val="textpoznmkypodiarou0"/>
        <w:ind w:firstLine="567"/>
        <w:rPr>
          <w:rFonts w:ascii="Times New Roman" w:hAnsi="Times New Roman" w:cs="Times New Roman"/>
          <w:sz w:val="22"/>
          <w:szCs w:val="24"/>
        </w:rPr>
      </w:pPr>
      <w:r w:rsidRPr="00DA20F5">
        <w:rPr>
          <w:rFonts w:ascii="Times New Roman" w:hAnsi="Times New Roman" w:cs="Times New Roman"/>
          <w:sz w:val="22"/>
          <w:szCs w:val="24"/>
        </w:rPr>
        <w:t>Vyššie uvedené merania a hodnotenia indikátorov boli na báze príjmu. V prípade merania viac-menej aspektu absolútnej chudoby je možné vychádzať u sledovanej populácie z merania nedostatku materiálnych tovarov, finančných ťažkostí a neschopnosti osôb žiť slušný život. Na meranie uvedených nedostatkov sa využíva nová metodika prostredníctvom indikátora „materiálnej deprivácie“. Na rozdiel od nastavenia miery závažnej materiálnej deprivácie, ktorá je súčasťou zoskupenia indikátorov pre nastavenie cieľovej skupiny, či už na úrovni EÚ alebo na národnej úrovni, v predchádzajúcich obdobiach sa za materiálne deprimovaného považoval občan, ktorý si nemôže dovoliť 3 z 9 položiek v rámci prvých dvoch dimenzií (ekonomická záťaž a predmety dlhodobej spotreby)</w:t>
      </w:r>
      <w:r w:rsidRPr="00DA20F5">
        <w:rPr>
          <w:rFonts w:ascii="Times New Roman" w:hAnsi="Times New Roman"/>
          <w:sz w:val="22"/>
          <w:szCs w:val="24"/>
        </w:rPr>
        <w:t>, a to: nedoplatky v súvislosti s položkami: nájomné a hypot</w:t>
      </w:r>
      <w:r w:rsidR="002B5028" w:rsidRPr="00DA20F5">
        <w:rPr>
          <w:rFonts w:ascii="Times New Roman" w:hAnsi="Times New Roman"/>
          <w:sz w:val="22"/>
          <w:szCs w:val="24"/>
        </w:rPr>
        <w:t>éka, energie, kúpa na splátky a </w:t>
      </w:r>
      <w:r w:rsidRPr="00DA20F5">
        <w:rPr>
          <w:rFonts w:ascii="Times New Roman" w:hAnsi="Times New Roman"/>
          <w:sz w:val="22"/>
          <w:szCs w:val="24"/>
        </w:rPr>
        <w:t>iné pôžičky, schopnosť udržiavať doma adekvátne teplo, schopnosť domácnosti čeliť neočakávaným výdavkom, schopnosť dovoliť si zaplatenie raz ročne jedného týždňa dovolenky mimo domu, schopnosť dovoliť si jedlo s mäsom, kuraťom, rybou alebo vegetariánskym ekvivalentom každý druhý deň alebo vybavenie domácnosti farebným televízorom, práčkou, autom alebo telefónom.</w:t>
      </w:r>
    </w:p>
    <w:p w:rsidR="00C13E71" w:rsidRPr="00DA20F5" w:rsidRDefault="00C13E71" w:rsidP="00C13E71">
      <w:pPr>
        <w:pStyle w:val="textpoznmkypodiarou0"/>
        <w:ind w:firstLine="567"/>
        <w:rPr>
          <w:rFonts w:ascii="Times New Roman" w:hAnsi="Times New Roman" w:cs="Times New Roman"/>
          <w:sz w:val="22"/>
          <w:szCs w:val="24"/>
        </w:rPr>
      </w:pPr>
      <w:r w:rsidRPr="00DA20F5">
        <w:rPr>
          <w:rFonts w:ascii="Times New Roman" w:hAnsi="Times New Roman" w:cs="Times New Roman"/>
          <w:sz w:val="22"/>
          <w:szCs w:val="24"/>
        </w:rPr>
        <w:t xml:space="preserve">Na základe tohto vyjadrenia bolo v roku 2010 materiálne deprivovaných 24,9 % osôb (nárast oproti roku 2009 o 0,4 p. b.). V prípade použitia metodiky pre výpočet indikátora závažnej materiálnej deprivácie (ak si občan nemôže dovoliť 4 z 9 položiek zoznamu) bolo v roku 2010 závažne materiálne deprivovaných 11,4 % osôb (nárast oproti roku 2009 o 0,3 p. b.). </w:t>
      </w:r>
    </w:p>
    <w:p w:rsidR="00C13E71" w:rsidRPr="00DA20F5" w:rsidRDefault="00C13E71" w:rsidP="00C13E71">
      <w:pPr>
        <w:pStyle w:val="textpoznmkypodiarou0"/>
        <w:ind w:firstLine="567"/>
        <w:rPr>
          <w:rFonts w:ascii="Times New Roman" w:hAnsi="Times New Roman" w:cs="Times New Roman"/>
          <w:sz w:val="22"/>
          <w:szCs w:val="24"/>
        </w:rPr>
      </w:pPr>
    </w:p>
    <w:p w:rsidR="00C13E71" w:rsidRPr="00DA20F5" w:rsidRDefault="00C13E71" w:rsidP="00C13E71">
      <w:pPr>
        <w:spacing w:after="120"/>
        <w:rPr>
          <w:b/>
          <w:bCs/>
        </w:rPr>
      </w:pPr>
      <w:r w:rsidRPr="00DA20F5">
        <w:rPr>
          <w:b/>
          <w:bCs/>
        </w:rPr>
        <w:t>Pretrvávajúca chudoba</w:t>
      </w:r>
      <w:r w:rsidRPr="00DA20F5">
        <w:rPr>
          <w:rStyle w:val="Odkaznapoznmkupodiarou"/>
          <w:b/>
          <w:bCs/>
        </w:rPr>
        <w:footnoteReference w:id="41"/>
      </w:r>
    </w:p>
    <w:p w:rsidR="00C13E71" w:rsidRPr="00DA20F5" w:rsidRDefault="00C13E71" w:rsidP="00C13E71">
      <w:pPr>
        <w:ind w:firstLine="567"/>
      </w:pPr>
      <w:r w:rsidRPr="00DA20F5">
        <w:t xml:space="preserve">Zo záveru štúdie „Pretrvávajúca chudoba – analýza longitudinálnej databázy EU SILC“, ktorú spracoval Inštitút pre výskum práce a rodiny, vyplýva nasledovné: </w:t>
      </w:r>
    </w:p>
    <w:p w:rsidR="00C13E71" w:rsidRPr="00DA20F5" w:rsidRDefault="00C13E71" w:rsidP="00C13E71">
      <w:pPr>
        <w:ind w:firstLine="567"/>
      </w:pPr>
      <w:r w:rsidRPr="00DA20F5">
        <w:t xml:space="preserve">V roku 2009 bolo na Slovensku 5,4 % osôb v pretrvávajúcom riziku chudoby. V prípade zvýšenia hranice chudoby na 70 % národného mediánu ekvivalentného disponibilného príjmu by miera pretrvávajúceho rizika chudoby stúpla na 10,8 %. Pri znížení hranice na 50 % mediánu by miera pretrvávajúceho rizika chudoby predstavovala 2,3 % populácie na Slovensku. </w:t>
      </w:r>
    </w:p>
    <w:p w:rsidR="00C13E71" w:rsidRPr="00DA20F5" w:rsidRDefault="00C13E71" w:rsidP="00C13E71">
      <w:pPr>
        <w:ind w:firstLine="567"/>
      </w:pPr>
      <w:r w:rsidRPr="00DA20F5">
        <w:t xml:space="preserve">Popri pretrvávajúcej chudobe možno sledovať aj iné formy chudoby, ktorá ma dlhodobejší charakter. Napríklad podiel osôb, ktoré sa počas sledovaného štvorročného obdobia ocitli v chudobe viac než raz, nie je zanedbateľný. V roku 2009 išlo približne o 11% populácie na Slovensku. </w:t>
      </w:r>
    </w:p>
    <w:p w:rsidR="00C13E71" w:rsidRPr="00DA20F5" w:rsidRDefault="00C13E71" w:rsidP="00C13E71">
      <w:pPr>
        <w:ind w:firstLine="567"/>
      </w:pPr>
      <w:r w:rsidRPr="00DA20F5">
        <w:t>Na Slovensku možno identifikovať niekoľko skupín, ktoré sú najviac ohrozené dlhodobejším zotrvávaním v chudobe. V prípade nezamestnaných až jedna tretina patrila v roku 2009 do kategórie „pretrvávajúcej chudoby“. Z hľadiska typu domácnosti ide predovšetkým o jednorodičovské domácnosti a domácnosti jednotlivca, tieto patria medzi najviac ohrozené skupiny aj v prípade monitorovania rizika chudoby na každoročnej báze. Neplatí to pre domácnosti s viacerými závislými deťmi, ktoré od roku 2006 vykazovali najvyššie percentuálne podiely osôb pod hranicou chudoby, avšak ich zastúpenie v rámci pretrvávajúcej chudoby v období 2006-2009 je nízke (2,2 %). Dôležitým diferenciačným faktorom je vzdelanie, kde podľa očakávania výsk</w:t>
      </w:r>
      <w:r w:rsidR="002B5028" w:rsidRPr="00DA20F5">
        <w:t xml:space="preserve">yt dlhodobej chudoby vzrastá </w:t>
      </w:r>
      <w:r w:rsidR="002B5028" w:rsidRPr="00DA20F5">
        <w:lastRenderedPageBreak/>
        <w:t>so </w:t>
      </w:r>
      <w:r w:rsidRPr="00DA20F5">
        <w:t xml:space="preserve">znižujúcim sa vzdelaním. Pretrvávajúca chudoba sa však najčastejšie netýka osôb s úplne najnižším stupňom dosiahnutého vzdelania, ale osôb s nižším sekundárnym vzdelaním. Medzi osobami s nižším sekundárnym vzdelaním v roku 2009 bolo 15% osôb vo veku 16 rokov a viac dlhodobo pod hranicou chudoby. Medzi osobami s primárnym vzdelaním ich bolo 11%. </w:t>
      </w:r>
    </w:p>
    <w:p w:rsidR="00C13E71" w:rsidRPr="00DA20F5" w:rsidRDefault="00C13E71" w:rsidP="00C13E71">
      <w:r w:rsidRPr="00DA20F5">
        <w:t>Na Slovensku možno pozorovať súvislosť medzi pretrvávajúcou chudobou a materiálnou depriváciou. V roku 2009 sa v kategórii osôb ohrozených pretrvávajúcim rizikom chudoby nachádzalo 63 % ľudí, ktorí čelili materiálnej deprivácii. Avšak pod hranicou chudoby sa dlhodobo nachádzalo 27 % osôb v materiálnej deprivácii.</w:t>
      </w:r>
    </w:p>
    <w:p w:rsidR="00C13E71" w:rsidRPr="00DA20F5" w:rsidRDefault="00C13E71" w:rsidP="00C13E71">
      <w:r w:rsidRPr="00DA20F5">
        <w:t xml:space="preserve">Pretrvávajúca chudoba je spojená aj s častejším subjektívnym konštatovaním zhoršeného zdravia než je tomu v celkovej populácii. </w:t>
      </w:r>
    </w:p>
    <w:p w:rsidR="00C13E71" w:rsidRPr="00DA20F5" w:rsidRDefault="00C13E71" w:rsidP="00C13E71">
      <w:r w:rsidRPr="00DA20F5">
        <w:t xml:space="preserve">Na základe medzinárodného porovnania patrí Slovenská republika medzi krajiny EÚ s najnižším podielom ľudí žijúcich v pretrvávajúcej chudobe. Taktiež možnosti vymaniť sa z pod hranice chudoby (nezotrvať v dlhodobej chudobe) sú na Slovensku vyššie než vo väčšine krajín EÚ. Dôležitú úlohu v tomto zohrávajú pracovné príjmy. </w:t>
      </w:r>
    </w:p>
    <w:p w:rsidR="00C13E71" w:rsidRPr="00DA20F5" w:rsidRDefault="00C13E71" w:rsidP="00C13E71">
      <w:pPr>
        <w:rPr>
          <w:color w:val="4F81BD"/>
        </w:rPr>
      </w:pPr>
    </w:p>
    <w:p w:rsidR="00C13E71" w:rsidRPr="00DA20F5" w:rsidRDefault="00C13E71" w:rsidP="00C13E71">
      <w:pPr>
        <w:spacing w:after="120"/>
        <w:rPr>
          <w:b/>
          <w:bCs/>
        </w:rPr>
      </w:pPr>
      <w:r w:rsidRPr="00DA20F5">
        <w:rPr>
          <w:b/>
          <w:bCs/>
        </w:rPr>
        <w:t xml:space="preserve">Národné indikátory chudoby a sociálneho vylúčenia </w:t>
      </w:r>
    </w:p>
    <w:p w:rsidR="00C13E71" w:rsidRPr="00DA20F5" w:rsidRDefault="00C13E71" w:rsidP="00C13E71">
      <w:pPr>
        <w:ind w:firstLine="567"/>
      </w:pPr>
      <w:r w:rsidRPr="00DA20F5">
        <w:t>Nakoľko spoločné indikátory nezohľadňujú všetky špecifiká v niektorých oblastiach na národnej úrovni, vznikla potreba nastavenia národných indikátorov chudoby a sociálneho vylúčenia. Národné indikátory monitorujú predovšetkým ciele, ktoré boli zadefinované na národnej úrovni v súvislosti so stratégiou sociálnej inklúzie (Národný akčný plán sociálnej inklúzie 2008-2010) a sú zamerané na rizikové skupiny ohrozené chudobou a sociálnym vylúčením na Slovensku. Pokrývajú pomerne veľký počet rôznych aspektov chudoby a sociálneho vylúčenia. Venujú sa príjmovej chudobe, kombinovanej s aspekt</w:t>
      </w:r>
      <w:r w:rsidR="00BC79F9" w:rsidRPr="00DA20F5">
        <w:t>a</w:t>
      </w:r>
      <w:r w:rsidRPr="00DA20F5">
        <w:t xml:space="preserve">mi materiálnej deprivácie, sociálnemu vylúčeniu vzťahujúcemu sa k rôznym dimenziám spoločenského života atď. </w:t>
      </w:r>
    </w:p>
    <w:p w:rsidR="00C13E71" w:rsidRPr="00DA20F5" w:rsidRDefault="00C13E71" w:rsidP="00C13E71">
      <w:pPr>
        <w:ind w:firstLine="567"/>
      </w:pPr>
      <w:r w:rsidRPr="00DA20F5">
        <w:t>Tak ako na úrovni EÚ, aj na národnej úrovni si Slovenská republika stanovila národný cieľ za účelom redukcie chudoby a sociálneho vylúčenia s výhľadom do roku 2020</w:t>
      </w:r>
      <w:r w:rsidRPr="00DA20F5">
        <w:rPr>
          <w:rStyle w:val="Odkaznapoznmkupodiarou"/>
        </w:rPr>
        <w:footnoteReference w:id="42"/>
      </w:r>
      <w:r w:rsidRPr="00DA20F5">
        <w:t xml:space="preserve"> s definovaním cieľovej skupiny na základe zoskupenia troch indikátorov (miera rizika chudoby, materiálna deprivácia a veľmi nízka intenzita práce). (Zoznam národných indikátorov chudoby a sociálneh</w:t>
      </w:r>
      <w:r w:rsidR="009860F4" w:rsidRPr="00DA20F5">
        <w:t>o vylúčenia je uvedený v prílohe</w:t>
      </w:r>
      <w:r w:rsidRPr="00DA20F5">
        <w:t xml:space="preserve"> ku kapitole 4).</w:t>
      </w:r>
    </w:p>
    <w:p w:rsidR="00C13E71" w:rsidRPr="00DA20F5" w:rsidRDefault="00C13E71" w:rsidP="00C13E71"/>
    <w:p w:rsidR="00C13E71" w:rsidRPr="00DA20F5" w:rsidRDefault="00C13E71" w:rsidP="00C13E71">
      <w:pPr>
        <w:spacing w:after="120"/>
        <w:rPr>
          <w:szCs w:val="22"/>
        </w:rPr>
      </w:pPr>
      <w:r w:rsidRPr="00DA20F5">
        <w:rPr>
          <w:b/>
          <w:bCs/>
          <w:i/>
          <w:iCs/>
        </w:rPr>
        <w:t>Indikátory zacielené na detskú populáciu</w:t>
      </w:r>
    </w:p>
    <w:p w:rsidR="00C13E71" w:rsidRPr="00DA20F5" w:rsidRDefault="00C13E71" w:rsidP="00C13E71">
      <w:pPr>
        <w:ind w:firstLine="567"/>
      </w:pPr>
      <w:r w:rsidRPr="00DA20F5">
        <w:t xml:space="preserve">Väčšina národných indikátorov týkajúcich sa </w:t>
      </w:r>
      <w:r w:rsidRPr="00DA20F5">
        <w:rPr>
          <w:b/>
          <w:bCs/>
          <w:i/>
          <w:iCs/>
        </w:rPr>
        <w:t>detskej populácie</w:t>
      </w:r>
      <w:r w:rsidRPr="00DA20F5">
        <w:t xml:space="preserve"> (pre ktoré boli dostupné údaje) vykazovala v sledovanom období negatívny vývoj. Došlo k výraznému zvýšeniu miery extrémnej chudoby detí</w:t>
      </w:r>
      <w:r w:rsidRPr="00DA20F5">
        <w:rPr>
          <w:rStyle w:val="Odkaznapoznmkupodiarou"/>
        </w:rPr>
        <w:footnoteReference w:id="43"/>
      </w:r>
      <w:r w:rsidRPr="00DA20F5">
        <w:t>, ktorá odkazuje na kombináciu príjmovej chudoby a materiálnej deprivácie. K oblasti vzdelávania sa nepriamo vzťahuje aj indikátor ohľadne počtu predškolských zariadení, kde sa ich podiel na počte detí vo vekovej kategórii 3-5 rokov takmer nezmenil, v prípade indikátora týkajúceho sa zaškolenosti detí v materských školách vo veku 3-5</w:t>
      </w:r>
      <w:r w:rsidRPr="00DA20F5">
        <w:rPr>
          <w:rStyle w:val="Odkaznapoznmkupodiarou"/>
        </w:rPr>
        <w:footnoteReference w:id="44"/>
      </w:r>
      <w:r w:rsidRPr="00DA20F5">
        <w:t xml:space="preserve"> sa jeho hodnota nezmenila vôbec. Zhoršenie situácie detskej populácie je zachytené aj nárastom podielu detí vo veku do 17 rokov v domácnostiach, kde nikto nepracuje. V prípade merania príjmovej nerovnosti detí vo veku 0-15 došlo iba k miernemu nárastu. </w:t>
      </w:r>
    </w:p>
    <w:p w:rsidR="00C13E71" w:rsidRPr="00DA20F5" w:rsidRDefault="00C13E71" w:rsidP="00C13E71">
      <w:pPr>
        <w:jc w:val="left"/>
        <w:rPr>
          <w:b/>
        </w:rPr>
      </w:pPr>
      <w:r w:rsidRPr="00DA20F5">
        <w:br w:type="page"/>
      </w:r>
    </w:p>
    <w:p w:rsidR="00C13E71" w:rsidRPr="00DA20F5" w:rsidRDefault="00C13E71" w:rsidP="00C13E71">
      <w:pPr>
        <w:pStyle w:val="Nadpis7"/>
      </w:pPr>
      <w:bookmarkStart w:id="1520" w:name="_Toc326217102"/>
      <w:r w:rsidRPr="00DA20F5">
        <w:lastRenderedPageBreak/>
        <w:t>Tab. č. 4.4 Indikátory zacielené na detskú populáciu</w:t>
      </w:r>
      <w:bookmarkEnd w:id="1520"/>
    </w:p>
    <w:tbl>
      <w:tblPr>
        <w:tblW w:w="92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0A0" w:firstRow="1" w:lastRow="0" w:firstColumn="1" w:lastColumn="0" w:noHBand="0" w:noVBand="0"/>
      </w:tblPr>
      <w:tblGrid>
        <w:gridCol w:w="4521"/>
        <w:gridCol w:w="4767"/>
      </w:tblGrid>
      <w:tr w:rsidR="00C13E71" w:rsidRPr="00DA20F5" w:rsidTr="006B7CF8">
        <w:trPr>
          <w:tblHeader/>
        </w:trPr>
        <w:tc>
          <w:tcPr>
            <w:tcW w:w="4521"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b/>
                <w:bCs/>
                <w:color w:val="FFFFFF"/>
                <w:sz w:val="20"/>
                <w:szCs w:val="20"/>
              </w:rPr>
            </w:pPr>
            <w:r w:rsidRPr="00DA20F5">
              <w:rPr>
                <w:b/>
                <w:bCs/>
                <w:color w:val="FFFFFF"/>
                <w:sz w:val="20"/>
                <w:szCs w:val="20"/>
              </w:rPr>
              <w:t>Názov indikátora</w:t>
            </w:r>
          </w:p>
        </w:tc>
        <w:tc>
          <w:tcPr>
            <w:tcW w:w="4767"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b/>
                <w:bCs/>
                <w:color w:val="FFFFFF"/>
                <w:sz w:val="20"/>
                <w:szCs w:val="20"/>
              </w:rPr>
            </w:pPr>
            <w:r w:rsidRPr="00DA20F5">
              <w:rPr>
                <w:b/>
                <w:bCs/>
                <w:color w:val="FFFFFF"/>
                <w:sz w:val="20"/>
                <w:szCs w:val="20"/>
              </w:rPr>
              <w:t>Vývoj hodnôt</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Miera extrémnej chudoby detí</w:t>
            </w:r>
          </w:p>
        </w:tc>
        <w:tc>
          <w:tcPr>
            <w:tcW w:w="4767" w:type="dxa"/>
            <w:tcMar>
              <w:top w:w="0" w:type="dxa"/>
              <w:left w:w="108" w:type="dxa"/>
              <w:bottom w:w="0" w:type="dxa"/>
              <w:right w:w="108" w:type="dxa"/>
            </w:tcMar>
          </w:tcPr>
          <w:p w:rsidR="00C13E71" w:rsidRPr="00DA20F5" w:rsidRDefault="00C13E71" w:rsidP="002B5028">
            <w:pPr>
              <w:overflowPunct w:val="0"/>
              <w:autoSpaceDE w:val="0"/>
              <w:autoSpaceDN w:val="0"/>
              <w:jc w:val="left"/>
              <w:textAlignment w:val="baseline"/>
              <w:rPr>
                <w:rFonts w:ascii="Calibri" w:hAnsi="Calibri" w:cs="Calibri"/>
                <w:sz w:val="20"/>
                <w:szCs w:val="20"/>
              </w:rPr>
            </w:pPr>
            <w:r w:rsidRPr="00DA20F5">
              <w:rPr>
                <w:b/>
                <w:bCs/>
                <w:sz w:val="20"/>
                <w:szCs w:val="20"/>
              </w:rPr>
              <w:t xml:space="preserve">Nárast </w:t>
            </w:r>
            <w:r w:rsidRPr="00DA20F5">
              <w:rPr>
                <w:sz w:val="20"/>
                <w:szCs w:val="20"/>
              </w:rPr>
              <w:t>podielu z 9,9% (EU SILC 2009) na 14,1% (EU</w:t>
            </w:r>
            <w:r w:rsidR="002B5028" w:rsidRPr="00DA20F5">
              <w:rPr>
                <w:sz w:val="20"/>
                <w:szCs w:val="20"/>
              </w:rPr>
              <w:t> </w:t>
            </w:r>
            <w:r w:rsidRPr="00DA20F5">
              <w:rPr>
                <w:sz w:val="20"/>
                <w:szCs w:val="20"/>
              </w:rPr>
              <w:t>SILC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Podiel detí v dolnom kvintile príjmového rozloženia na celkovom počte detí</w:t>
            </w:r>
          </w:p>
        </w:tc>
        <w:tc>
          <w:tcPr>
            <w:tcW w:w="4767" w:type="dxa"/>
            <w:tcMar>
              <w:top w:w="0" w:type="dxa"/>
              <w:left w:w="108" w:type="dxa"/>
              <w:bottom w:w="0" w:type="dxa"/>
              <w:right w:w="108" w:type="dxa"/>
            </w:tcMar>
          </w:tcPr>
          <w:p w:rsidR="00C13E71" w:rsidRPr="00DA20F5" w:rsidRDefault="00C13E71" w:rsidP="002B5028">
            <w:pPr>
              <w:overflowPunct w:val="0"/>
              <w:autoSpaceDE w:val="0"/>
              <w:autoSpaceDN w:val="0"/>
              <w:jc w:val="left"/>
              <w:textAlignment w:val="baseline"/>
              <w:rPr>
                <w:rFonts w:ascii="Calibri" w:hAnsi="Calibri" w:cs="Calibri"/>
                <w:sz w:val="20"/>
                <w:szCs w:val="20"/>
              </w:rPr>
            </w:pPr>
            <w:r w:rsidRPr="00DA20F5">
              <w:rPr>
                <w:b/>
                <w:bCs/>
                <w:sz w:val="20"/>
                <w:szCs w:val="20"/>
              </w:rPr>
              <w:t>Nárast</w:t>
            </w:r>
            <w:r w:rsidRPr="00DA20F5">
              <w:rPr>
                <w:sz w:val="20"/>
                <w:szCs w:val="20"/>
              </w:rPr>
              <w:t xml:space="preserve"> podielu z 28,0% (EU SILC 2009) na 28,3% (EU</w:t>
            </w:r>
            <w:r w:rsidR="002B5028" w:rsidRPr="00DA20F5">
              <w:rPr>
                <w:sz w:val="20"/>
                <w:szCs w:val="20"/>
              </w:rPr>
              <w:t> </w:t>
            </w:r>
            <w:r w:rsidRPr="00DA20F5">
              <w:rPr>
                <w:sz w:val="20"/>
                <w:szCs w:val="20"/>
              </w:rPr>
              <w:t>SILC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Počet predškolských zariadení pripadajúcich na deti v predškolskom veku</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Pokles</w:t>
            </w:r>
            <w:r w:rsidRPr="00DA20F5">
              <w:rPr>
                <w:sz w:val="20"/>
                <w:szCs w:val="20"/>
              </w:rPr>
              <w:t xml:space="preserve"> počtu z 17,8 v roku 2009 na 17,7 v roku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Deti žijúce v domácnostiach bez zamestnania</w:t>
            </w:r>
            <w:r w:rsidRPr="00DA20F5">
              <w:rPr>
                <w:rStyle w:val="Odkaznapoznmkupodiarou"/>
                <w:sz w:val="20"/>
                <w:szCs w:val="20"/>
              </w:rPr>
              <w:footnoteReference w:id="45"/>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Nárast </w:t>
            </w:r>
            <w:r w:rsidRPr="00DA20F5">
              <w:rPr>
                <w:sz w:val="20"/>
                <w:szCs w:val="20"/>
              </w:rPr>
              <w:t>podielu 8,4% v roku 2009 na 10,2% v roku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Zaškolenosť detí vo veku 3-5 rokov v materských školách</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Rovnaká hodnota </w:t>
            </w:r>
            <w:r w:rsidRPr="00DA20F5">
              <w:rPr>
                <w:sz w:val="20"/>
                <w:szCs w:val="20"/>
              </w:rPr>
              <w:t>71,2 v roku 2009 a 2010</w:t>
            </w:r>
            <w:r w:rsidRPr="00DA20F5">
              <w:rPr>
                <w:rStyle w:val="Odkaznakomentr"/>
                <w:sz w:val="20"/>
                <w:szCs w:val="20"/>
              </w:rPr>
              <w:t xml:space="preserve"> </w:t>
            </w:r>
          </w:p>
        </w:tc>
      </w:tr>
    </w:tbl>
    <w:p w:rsidR="00C13E71" w:rsidRPr="00DA20F5" w:rsidRDefault="00C13E71" w:rsidP="00C13E71">
      <w:pPr>
        <w:pStyle w:val="zdroj"/>
        <w:rPr>
          <w:rFonts w:ascii="Calibri" w:hAnsi="Calibri" w:cs="Calibri"/>
        </w:rPr>
      </w:pPr>
      <w:r w:rsidRPr="00DA20F5">
        <w:t>Zdroj: MPSVR SR</w:t>
      </w:r>
    </w:p>
    <w:p w:rsidR="00C13E71" w:rsidRPr="00DA20F5" w:rsidRDefault="00C13E71" w:rsidP="00C13E71">
      <w:pPr>
        <w:spacing w:after="120"/>
        <w:rPr>
          <w:b/>
          <w:bCs/>
          <w:i/>
          <w:iCs/>
        </w:rPr>
      </w:pPr>
      <w:r w:rsidRPr="00DA20F5">
        <w:rPr>
          <w:b/>
          <w:bCs/>
          <w:i/>
          <w:iCs/>
        </w:rPr>
        <w:t xml:space="preserve">Indikátory zacielené na mladých ľudí </w:t>
      </w:r>
    </w:p>
    <w:p w:rsidR="00C13E71" w:rsidRPr="00DA20F5" w:rsidRDefault="00C13E71" w:rsidP="00C13E71">
      <w:pPr>
        <w:ind w:firstLine="708"/>
      </w:pPr>
      <w:r w:rsidRPr="00DA20F5">
        <w:t>Dva indikátory zamerané na mladých ľudí sa týkali ich participácie na trhu práce. V roku 2009 došlo k prudkému nárastu nezamestnanosti mladých absolventov ZŠ a SŠ do 21 rokov, avšak v roku 2010 sa situácia mierne zlepšila. Pri špecificky znevýhodnenej skupine mladých ľudí z detských domovov sa miera úspešnosti mladých dospelých, ktorí opustili d</w:t>
      </w:r>
      <w:r w:rsidR="002B5028" w:rsidRPr="00DA20F5">
        <w:t>etské domovy medzi rokmi 2009 a </w:t>
      </w:r>
      <w:r w:rsidRPr="00DA20F5">
        <w:t xml:space="preserve">2010 zvýšila o 1,4 p. b.. Podiel živonarodených detí mladým matkám sa medzi rokmi 2009 a 2010 mierne zvýšil. Hodnota prvého indikátora, napriek miernemu zlepšeniu, stále odráža vplyv finančnej a hospodárskej krízy. </w:t>
      </w:r>
    </w:p>
    <w:p w:rsidR="00C13E71" w:rsidRPr="00DA20F5" w:rsidRDefault="00C13E71" w:rsidP="00C13E71">
      <w:pPr>
        <w:pStyle w:val="Nadpis7"/>
      </w:pPr>
      <w:bookmarkStart w:id="1521" w:name="_Toc326217103"/>
      <w:r w:rsidRPr="00DA20F5">
        <w:t>Tab. č. 4.5 Indikátory zacielené na mladých ľudí</w:t>
      </w:r>
      <w:bookmarkEnd w:id="1521"/>
    </w:p>
    <w:tbl>
      <w:tblPr>
        <w:tblW w:w="92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0A0" w:firstRow="1" w:lastRow="0" w:firstColumn="1" w:lastColumn="0" w:noHBand="0" w:noVBand="0"/>
      </w:tblPr>
      <w:tblGrid>
        <w:gridCol w:w="4503"/>
        <w:gridCol w:w="4785"/>
      </w:tblGrid>
      <w:tr w:rsidR="00C13E71" w:rsidRPr="00DA20F5" w:rsidTr="006B7CF8">
        <w:trPr>
          <w:tblHeader/>
        </w:trPr>
        <w:tc>
          <w:tcPr>
            <w:tcW w:w="4503"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ind w:firstLine="284"/>
              <w:textAlignment w:val="baseline"/>
              <w:rPr>
                <w:rFonts w:ascii="Calibri" w:hAnsi="Calibri" w:cs="Calibri"/>
                <w:b/>
                <w:bCs/>
                <w:color w:val="FFFFFF"/>
                <w:sz w:val="20"/>
                <w:szCs w:val="20"/>
              </w:rPr>
            </w:pPr>
            <w:r w:rsidRPr="00DA20F5">
              <w:rPr>
                <w:b/>
                <w:bCs/>
                <w:color w:val="FFFFFF"/>
                <w:sz w:val="20"/>
                <w:szCs w:val="20"/>
              </w:rPr>
              <w:t>Názov indikátora</w:t>
            </w:r>
          </w:p>
        </w:tc>
        <w:tc>
          <w:tcPr>
            <w:tcW w:w="4785"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b/>
                <w:bCs/>
                <w:color w:val="FFFFFF"/>
                <w:sz w:val="20"/>
                <w:szCs w:val="20"/>
              </w:rPr>
            </w:pPr>
            <w:r w:rsidRPr="00DA20F5">
              <w:rPr>
                <w:b/>
                <w:bCs/>
                <w:color w:val="FFFFFF"/>
                <w:sz w:val="20"/>
                <w:szCs w:val="20"/>
              </w:rPr>
              <w:t>Vývoj hodnôt</w:t>
            </w:r>
          </w:p>
        </w:tc>
      </w:tr>
      <w:tr w:rsidR="00C13E71" w:rsidRPr="00DA20F5" w:rsidTr="006B7CF8">
        <w:tc>
          <w:tcPr>
            <w:tcW w:w="4503"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Miera nezamestnanosti mladých ľudí do 21 rokov, absolventov ZŠ a SŠ s ukončeným vzdelaním</w:t>
            </w:r>
          </w:p>
        </w:tc>
        <w:tc>
          <w:tcPr>
            <w:tcW w:w="4785"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Pokles</w:t>
            </w:r>
            <w:r w:rsidRPr="00DA20F5">
              <w:rPr>
                <w:sz w:val="20"/>
                <w:szCs w:val="20"/>
              </w:rPr>
              <w:t xml:space="preserve"> podielu mladých ľudí z 44,9% v štvrtom kvartáli 2009 na 44,6% v štvrtom kvartáli 2010</w:t>
            </w:r>
          </w:p>
        </w:tc>
      </w:tr>
      <w:tr w:rsidR="00C13E71" w:rsidRPr="00DA20F5" w:rsidTr="006B7CF8">
        <w:tc>
          <w:tcPr>
            <w:tcW w:w="4503"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Miera úspešnosti mladých dospelých opúšťajúcich detský domov na trhu práce</w:t>
            </w:r>
          </w:p>
        </w:tc>
        <w:tc>
          <w:tcPr>
            <w:tcW w:w="4785"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Nárast </w:t>
            </w:r>
            <w:r w:rsidRPr="00DA20F5">
              <w:rPr>
                <w:sz w:val="20"/>
                <w:szCs w:val="20"/>
              </w:rPr>
              <w:t>podielu z 36,0% v roku 2009 na 37,4% v roku 2010</w:t>
            </w:r>
          </w:p>
        </w:tc>
      </w:tr>
      <w:tr w:rsidR="00C13E71" w:rsidRPr="00DA20F5" w:rsidTr="006B7CF8">
        <w:tc>
          <w:tcPr>
            <w:tcW w:w="4503"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Podiel živonarodených detí mladým matkám</w:t>
            </w:r>
          </w:p>
        </w:tc>
        <w:tc>
          <w:tcPr>
            <w:tcW w:w="4785"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Nárast </w:t>
            </w:r>
            <w:r w:rsidRPr="00DA20F5">
              <w:rPr>
                <w:sz w:val="20"/>
                <w:szCs w:val="20"/>
              </w:rPr>
              <w:t>podielu z 2,2% v roku 2009 na 2,3% v roku 2010</w:t>
            </w:r>
            <w:r w:rsidRPr="00DA20F5">
              <w:rPr>
                <w:rStyle w:val="Odkaznakomentr"/>
                <w:sz w:val="20"/>
                <w:szCs w:val="20"/>
              </w:rPr>
              <w:t xml:space="preserve"> </w:t>
            </w:r>
          </w:p>
        </w:tc>
      </w:tr>
    </w:tbl>
    <w:p w:rsidR="00C13E71" w:rsidRPr="00DA20F5" w:rsidRDefault="00C13E71" w:rsidP="00C13E71">
      <w:pPr>
        <w:pStyle w:val="zdroj"/>
        <w:rPr>
          <w:rFonts w:ascii="Calibri" w:hAnsi="Calibri" w:cs="Calibri"/>
        </w:rPr>
      </w:pPr>
      <w:r w:rsidRPr="00DA20F5">
        <w:t>Zdroj: MPSVR SR</w:t>
      </w:r>
    </w:p>
    <w:p w:rsidR="00C13E71" w:rsidRPr="00DA20F5" w:rsidRDefault="00C13E71" w:rsidP="00C13E71">
      <w:pPr>
        <w:spacing w:after="120"/>
        <w:rPr>
          <w:b/>
          <w:bCs/>
          <w:i/>
          <w:iCs/>
        </w:rPr>
      </w:pPr>
      <w:r w:rsidRPr="00DA20F5">
        <w:rPr>
          <w:b/>
          <w:bCs/>
          <w:i/>
          <w:iCs/>
        </w:rPr>
        <w:t xml:space="preserve">Indikátory zacielené na znevýhodnených na trhu práce </w:t>
      </w:r>
    </w:p>
    <w:p w:rsidR="00C13E71" w:rsidRPr="00DA20F5" w:rsidRDefault="00C13E71" w:rsidP="00C13E71">
      <w:pPr>
        <w:ind w:firstLine="708"/>
      </w:pPr>
      <w:r w:rsidRPr="00DA20F5">
        <w:t>Ďalšou pozorovanou skupinou sú indikátory zacielené na znevýhodnených na trhu práce. Podiel nezamestnaných osôb s neukončeným vzdelaním sa medzi rokmi 2009 a 2010 zvýšil. Taktiež v prípade „veľmi dlhodobej nezamestnanosti“</w:t>
      </w:r>
      <w:r w:rsidRPr="00DA20F5">
        <w:rPr>
          <w:rStyle w:val="Odkaznapoznmkupodiarou"/>
        </w:rPr>
        <w:footnoteReference w:id="46"/>
      </w:r>
      <w:r w:rsidRPr="00DA20F5">
        <w:t xml:space="preserve"> došlo k nárastu pod</w:t>
      </w:r>
      <w:r w:rsidR="002B5028" w:rsidRPr="00DA20F5">
        <w:t>ielu dlhodobo nezamestnaných na </w:t>
      </w:r>
      <w:r w:rsidRPr="00DA20F5">
        <w:t xml:space="preserve">celkovom počte nezamestnaných medzi rokmi 2009 a 2010. Tento bol však spôsobený celkovým zvýšením miery nezamestnanosti. Nárast nastal aj v prípade výskytu chudoby medzi pracujúcimi, kde došlo k miernemu nárastu pri porovnaní posledných dvoch rokov. </w:t>
      </w:r>
    </w:p>
    <w:p w:rsidR="00C13E71" w:rsidRPr="00DA20F5" w:rsidRDefault="00C13E71" w:rsidP="00C13E71">
      <w:pPr>
        <w:pStyle w:val="Nadpis7"/>
      </w:pPr>
      <w:bookmarkStart w:id="1522" w:name="_Toc326217104"/>
      <w:r w:rsidRPr="00DA20F5">
        <w:t>Tab. 4.6 Indikátory zacielené na znevýhodnených na trhu práce</w:t>
      </w:r>
      <w:bookmarkEnd w:id="1522"/>
    </w:p>
    <w:tbl>
      <w:tblPr>
        <w:tblW w:w="92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0A0" w:firstRow="1" w:lastRow="0" w:firstColumn="1" w:lastColumn="0" w:noHBand="0" w:noVBand="0"/>
      </w:tblPr>
      <w:tblGrid>
        <w:gridCol w:w="4521"/>
        <w:gridCol w:w="4767"/>
      </w:tblGrid>
      <w:tr w:rsidR="00C13E71" w:rsidRPr="00DA20F5" w:rsidTr="006B7CF8">
        <w:trPr>
          <w:tblHeader/>
        </w:trPr>
        <w:tc>
          <w:tcPr>
            <w:tcW w:w="4521"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ind w:firstLine="284"/>
              <w:textAlignment w:val="baseline"/>
              <w:rPr>
                <w:rFonts w:ascii="Calibri" w:hAnsi="Calibri" w:cs="Calibri"/>
                <w:b/>
                <w:bCs/>
                <w:color w:val="FFFFFF"/>
                <w:sz w:val="20"/>
                <w:szCs w:val="20"/>
              </w:rPr>
            </w:pPr>
            <w:r w:rsidRPr="00DA20F5">
              <w:rPr>
                <w:b/>
                <w:bCs/>
                <w:color w:val="FFFFFF"/>
                <w:sz w:val="20"/>
                <w:szCs w:val="20"/>
              </w:rPr>
              <w:t>Názov indikátora</w:t>
            </w:r>
          </w:p>
        </w:tc>
        <w:tc>
          <w:tcPr>
            <w:tcW w:w="4767"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b/>
                <w:bCs/>
                <w:color w:val="FFFFFF"/>
                <w:sz w:val="20"/>
                <w:szCs w:val="20"/>
              </w:rPr>
            </w:pPr>
            <w:r w:rsidRPr="00DA20F5">
              <w:rPr>
                <w:b/>
                <w:bCs/>
                <w:color w:val="FFFFFF"/>
                <w:sz w:val="20"/>
                <w:szCs w:val="20"/>
              </w:rPr>
              <w:t>Vývoj hodnôt</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Miera neukončeného základného vzdelania nezamestnaných osôb</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Nárast </w:t>
            </w:r>
            <w:r w:rsidRPr="00DA20F5">
              <w:rPr>
                <w:sz w:val="20"/>
                <w:szCs w:val="20"/>
              </w:rPr>
              <w:t>podielu z 4,7% v roku 2009 na 4,9% v roku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 xml:space="preserve">Podiel veľmi dlhodobej nezamestnanosti na nezamestnanosti </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Nárast</w:t>
            </w:r>
            <w:r w:rsidRPr="00DA20F5">
              <w:rPr>
                <w:sz w:val="20"/>
                <w:szCs w:val="20"/>
              </w:rPr>
              <w:t xml:space="preserve"> podielu z 22</w:t>
            </w:r>
            <w:r w:rsidR="002B5028" w:rsidRPr="00DA20F5">
              <w:rPr>
                <w:sz w:val="20"/>
                <w:szCs w:val="20"/>
              </w:rPr>
              <w:t>,1% v štvrtom štvrťroku 2009 na </w:t>
            </w:r>
            <w:r w:rsidRPr="00DA20F5">
              <w:rPr>
                <w:sz w:val="20"/>
                <w:szCs w:val="20"/>
              </w:rPr>
              <w:t>26,6% v štvrtom štvrťroku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Miera rizika chudoby pracujúcich</w:t>
            </w:r>
            <w:r w:rsidRPr="00DA20F5">
              <w:rPr>
                <w:rStyle w:val="Odkaznapoznmkupodiarou"/>
                <w:rFonts w:ascii="Calibri" w:hAnsi="Calibri" w:cs="Calibri"/>
                <w:sz w:val="20"/>
                <w:szCs w:val="20"/>
              </w:rPr>
              <w:footnoteReference w:id="47"/>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Nárast </w:t>
            </w:r>
            <w:r w:rsidRPr="00DA20F5">
              <w:rPr>
                <w:sz w:val="20"/>
                <w:szCs w:val="20"/>
              </w:rPr>
              <w:t>podielu z 5,2% (EU SILC 2009) na 5,7% (EU SILC 2010</w:t>
            </w:r>
            <w:r w:rsidRPr="00DA20F5">
              <w:rPr>
                <w:rStyle w:val="Odkaznakomentr"/>
                <w:sz w:val="20"/>
                <w:szCs w:val="20"/>
              </w:rPr>
              <w:t xml:space="preserve"> </w:t>
            </w:r>
            <w:r w:rsidRPr="00DA20F5">
              <w:rPr>
                <w:sz w:val="20"/>
                <w:szCs w:val="20"/>
              </w:rPr>
              <w:t>)</w:t>
            </w:r>
          </w:p>
        </w:tc>
      </w:tr>
    </w:tbl>
    <w:p w:rsidR="00C13E71" w:rsidRPr="00DA20F5" w:rsidRDefault="00C13E71" w:rsidP="00C13E71">
      <w:pPr>
        <w:pStyle w:val="zdroj"/>
        <w:rPr>
          <w:rFonts w:ascii="Calibri" w:hAnsi="Calibri" w:cs="Calibri"/>
        </w:rPr>
      </w:pPr>
      <w:r w:rsidRPr="00DA20F5">
        <w:t>Zdroj: MPSVR SR</w:t>
      </w:r>
    </w:p>
    <w:p w:rsidR="00C13E71" w:rsidRPr="00DA20F5" w:rsidRDefault="00C13E71" w:rsidP="00C13E71">
      <w:pPr>
        <w:spacing w:after="120"/>
        <w:rPr>
          <w:b/>
          <w:bCs/>
          <w:i/>
          <w:iCs/>
        </w:rPr>
      </w:pPr>
      <w:r w:rsidRPr="00DA20F5">
        <w:rPr>
          <w:b/>
          <w:bCs/>
          <w:i/>
          <w:iCs/>
        </w:rPr>
        <w:lastRenderedPageBreak/>
        <w:t>Indikátory zacielené primárne na dospelú populáciu</w:t>
      </w:r>
    </w:p>
    <w:p w:rsidR="00C13E71" w:rsidRPr="00DA20F5" w:rsidRDefault="00C13E71" w:rsidP="00C13E71">
      <w:pPr>
        <w:ind w:firstLine="708"/>
      </w:pPr>
      <w:r w:rsidRPr="00DA20F5">
        <w:t xml:space="preserve">V prípade monitorovania dospelej populácie (vo veku 18 rokov a viac) indikátory boli cielené na prístup k zdravotnej starostlivosti a sociálnym službám (útulky). V prípade prístupu k zdravotnej starostlivosti išlo o identifikáciu osôb, ktoré neabsolvovali zdravotnícke alebo zubné vyšetrenie kvôli ich finančnej alebo geografickej nedostupnosti. Podiel takýchto dospelých osôb na celkovom počte osôb, ktoré neabsolvovali lekárske alebo zubné vyšetrenie, medziročne sa zvýšil o 0,8 p. b. V prípade prístupu k sociálnym službám (útulky) došlo k zvýšeniu počtu miest v útulkoch z 5,2 na 5,7 na 10 000 obyvateľov. </w:t>
      </w:r>
    </w:p>
    <w:p w:rsidR="00C13E71" w:rsidRPr="00DA20F5" w:rsidRDefault="00C13E71" w:rsidP="00C13E71">
      <w:pPr>
        <w:pStyle w:val="Nadpis7"/>
      </w:pPr>
      <w:bookmarkStart w:id="1523" w:name="_Toc326217105"/>
      <w:r w:rsidRPr="00DA20F5">
        <w:t>Tab. 4.7 Indikátory zacielené primárne na dospelú populáciu</w:t>
      </w:r>
      <w:bookmarkEnd w:id="1523"/>
    </w:p>
    <w:tbl>
      <w:tblPr>
        <w:tblW w:w="92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0A0" w:firstRow="1" w:lastRow="0" w:firstColumn="1" w:lastColumn="0" w:noHBand="0" w:noVBand="0"/>
      </w:tblPr>
      <w:tblGrid>
        <w:gridCol w:w="4521"/>
        <w:gridCol w:w="4767"/>
      </w:tblGrid>
      <w:tr w:rsidR="00C13E71" w:rsidRPr="00DA20F5" w:rsidTr="006B7CF8">
        <w:tc>
          <w:tcPr>
            <w:tcW w:w="4521"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ind w:firstLine="284"/>
              <w:jc w:val="left"/>
              <w:textAlignment w:val="baseline"/>
              <w:rPr>
                <w:rFonts w:ascii="Calibri" w:hAnsi="Calibri" w:cs="Calibri"/>
                <w:color w:val="FFFFFF"/>
              </w:rPr>
            </w:pPr>
            <w:r w:rsidRPr="00DA20F5">
              <w:rPr>
                <w:b/>
                <w:bCs/>
                <w:color w:val="FFFFFF"/>
                <w:sz w:val="20"/>
                <w:szCs w:val="20"/>
              </w:rPr>
              <w:t>Názov indikátora</w:t>
            </w:r>
          </w:p>
        </w:tc>
        <w:tc>
          <w:tcPr>
            <w:tcW w:w="4767"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b/>
                <w:bCs/>
                <w:color w:val="FFFFFF"/>
              </w:rPr>
            </w:pPr>
            <w:r w:rsidRPr="00DA20F5">
              <w:rPr>
                <w:b/>
                <w:bCs/>
                <w:color w:val="FFFFFF"/>
                <w:sz w:val="20"/>
                <w:szCs w:val="20"/>
              </w:rPr>
              <w:t>Vývoj hodnôt</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ind w:firstLine="284"/>
              <w:jc w:val="left"/>
              <w:textAlignment w:val="baseline"/>
              <w:rPr>
                <w:rFonts w:ascii="Calibri" w:hAnsi="Calibri" w:cs="Calibri"/>
                <w:sz w:val="20"/>
                <w:szCs w:val="20"/>
              </w:rPr>
            </w:pPr>
            <w:r w:rsidRPr="00DA20F5">
              <w:rPr>
                <w:sz w:val="20"/>
                <w:szCs w:val="20"/>
              </w:rPr>
              <w:t>Miera nedostupnosti zdravotníckeho/</w:t>
            </w:r>
          </w:p>
          <w:p w:rsidR="00C13E71" w:rsidRPr="00DA20F5" w:rsidRDefault="00C13E71" w:rsidP="006B7CF8">
            <w:pPr>
              <w:overflowPunct w:val="0"/>
              <w:autoSpaceDE w:val="0"/>
              <w:autoSpaceDN w:val="0"/>
              <w:ind w:firstLine="284"/>
              <w:jc w:val="left"/>
              <w:textAlignment w:val="baseline"/>
              <w:rPr>
                <w:rFonts w:ascii="Calibri" w:hAnsi="Calibri" w:cs="Calibri"/>
                <w:sz w:val="20"/>
                <w:szCs w:val="20"/>
              </w:rPr>
            </w:pPr>
            <w:r w:rsidRPr="00DA20F5">
              <w:rPr>
                <w:sz w:val="20"/>
                <w:szCs w:val="20"/>
              </w:rPr>
              <w:t>zubného vyšetrenia</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Nárast </w:t>
            </w:r>
            <w:r w:rsidRPr="00DA20F5">
              <w:rPr>
                <w:sz w:val="20"/>
                <w:szCs w:val="20"/>
              </w:rPr>
              <w:t>podielu z 26,1% (EU SILC 2009) na 26,9% (EU SILC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ind w:firstLine="284"/>
              <w:jc w:val="left"/>
              <w:textAlignment w:val="baseline"/>
              <w:rPr>
                <w:rFonts w:ascii="Calibri" w:hAnsi="Calibri" w:cs="Calibri"/>
                <w:sz w:val="20"/>
                <w:szCs w:val="20"/>
              </w:rPr>
            </w:pPr>
            <w:r w:rsidRPr="00DA20F5">
              <w:rPr>
                <w:sz w:val="20"/>
                <w:szCs w:val="20"/>
              </w:rPr>
              <w:t>Kapacita útulkov</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Nárast </w:t>
            </w:r>
            <w:r w:rsidRPr="00DA20F5">
              <w:rPr>
                <w:sz w:val="20"/>
                <w:szCs w:val="20"/>
              </w:rPr>
              <w:t>počtu z 5,2 na 10 000 obyvateľov v roku 2009 na 5,7 na 10 000 obyvateľov v roku 2010</w:t>
            </w:r>
          </w:p>
        </w:tc>
      </w:tr>
    </w:tbl>
    <w:p w:rsidR="00C13E71" w:rsidRPr="00DA20F5" w:rsidRDefault="00C13E71" w:rsidP="00C13E71">
      <w:pPr>
        <w:pStyle w:val="zdroj"/>
        <w:rPr>
          <w:rFonts w:ascii="Calibri" w:hAnsi="Calibri" w:cs="Calibri"/>
        </w:rPr>
      </w:pPr>
      <w:r w:rsidRPr="00DA20F5">
        <w:t>Zdroj: MPSVR SR</w:t>
      </w:r>
    </w:p>
    <w:p w:rsidR="00C13E71" w:rsidRPr="00DA20F5" w:rsidRDefault="00C13E71" w:rsidP="00C13E71">
      <w:pPr>
        <w:spacing w:after="120"/>
        <w:rPr>
          <w:b/>
          <w:bCs/>
          <w:i/>
          <w:iCs/>
          <w:szCs w:val="22"/>
        </w:rPr>
      </w:pPr>
      <w:r w:rsidRPr="00DA20F5">
        <w:rPr>
          <w:b/>
          <w:bCs/>
          <w:i/>
          <w:iCs/>
        </w:rPr>
        <w:t>Indikátory zacielené na výskyt chudoby, deprivácie a sociálneho vylúčenia v celej populácii</w:t>
      </w:r>
    </w:p>
    <w:p w:rsidR="00C13E71" w:rsidRPr="00DA20F5" w:rsidRDefault="00C13E71" w:rsidP="00C13E71">
      <w:pPr>
        <w:ind w:firstLine="708"/>
      </w:pPr>
      <w:r w:rsidRPr="00DA20F5">
        <w:t>Popri špecifických cieľových skupinách, definovaných podľa veku (deti, mladí ľudia), podľa kombinácie rôznych znevýhodnení (dospelí – ľudia bez domova; ľudia, ktorí majú sťažený prístup k zdravotnej starostlivosti) či vzťahom k trhu práce sa v zostave národných indikátorov objavili aj ukazovatele, ktoré si monitorujú rôzne dimenzie chudoby a sociálneho vylúčenia, a to na celej populácii. Dva z týchto ukazovateľov sa týkajú príjmovej chudoby a tri podmienok bývania. V rámci zostavy indikátorov bola sledovaná extrémna príjmová chudoba</w:t>
      </w:r>
      <w:r w:rsidRPr="00DA20F5">
        <w:rPr>
          <w:rStyle w:val="Odkaznapoznmkupodiarou"/>
        </w:rPr>
        <w:footnoteReference w:id="48"/>
      </w:r>
      <w:r w:rsidRPr="00DA20F5">
        <w:t>. Tu bol zaznamenaný mierny nárast indikátora pre celú populáciu. Podobná situácia je aj v prípade ďalšieho monetárneho ukazovateľa, aplikovaného na celú populáciu, ktorým je hĺbka chudoby. Rozdiel medzi mediánom ekvivalentných príjmov chudobných osôb a hranicou chudoby sa zvýšil z 23,2 % hranice chudoby na 25,7 %</w:t>
      </w:r>
      <w:r w:rsidRPr="00DA20F5">
        <w:rPr>
          <w:rStyle w:val="Odkaznapoznmkupodiarou"/>
        </w:rPr>
        <w:footnoteReference w:id="49"/>
      </w:r>
      <w:r w:rsidRPr="00DA20F5">
        <w:t xml:space="preserve">. V oblasti podmienok bývania sme zaznamenali pozitívny posun v hodnotách všetkých troch sledovaných indikátorov. Znížil sa podiel domácností, ktoré čelia zníženej kvalite vnútorných a vonkajších charakteristík obydlia, nastal pokles podielu domácností, ktoré majú nedoplatky súvisiace s bývaním a tiež sa znížil podiel domácností, pre ktoré sú poplatky za bývanie veľkou finančnou záťažou. </w:t>
      </w:r>
    </w:p>
    <w:p w:rsidR="00C13E71" w:rsidRPr="00DA20F5" w:rsidRDefault="00C13E71" w:rsidP="00C13E71">
      <w:pPr>
        <w:pStyle w:val="Nadpis7"/>
      </w:pPr>
      <w:bookmarkStart w:id="1524" w:name="_Toc326217106"/>
      <w:r w:rsidRPr="00DA20F5">
        <w:t xml:space="preserve">Tab. 4.8 Indikátory zacielené na výskyt chudoby, deprivácie a sociálneho vylúčenia </w:t>
      </w:r>
      <w:r w:rsidRPr="00DA20F5">
        <w:br/>
        <w:t>v celej populácii</w:t>
      </w:r>
      <w:bookmarkEnd w:id="1524"/>
    </w:p>
    <w:tbl>
      <w:tblPr>
        <w:tblW w:w="92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0A0" w:firstRow="1" w:lastRow="0" w:firstColumn="1" w:lastColumn="0" w:noHBand="0" w:noVBand="0"/>
      </w:tblPr>
      <w:tblGrid>
        <w:gridCol w:w="4521"/>
        <w:gridCol w:w="4767"/>
      </w:tblGrid>
      <w:tr w:rsidR="00C13E71" w:rsidRPr="00DA20F5" w:rsidTr="006B7CF8">
        <w:trPr>
          <w:tblHeader/>
        </w:trPr>
        <w:tc>
          <w:tcPr>
            <w:tcW w:w="4521"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b/>
                <w:bCs/>
                <w:color w:val="FFFFFF"/>
                <w:sz w:val="20"/>
                <w:szCs w:val="20"/>
              </w:rPr>
            </w:pPr>
            <w:r w:rsidRPr="00DA20F5">
              <w:rPr>
                <w:b/>
                <w:bCs/>
                <w:color w:val="FFFFFF"/>
                <w:sz w:val="20"/>
                <w:szCs w:val="20"/>
              </w:rPr>
              <w:t>Názov indikátora</w:t>
            </w:r>
          </w:p>
        </w:tc>
        <w:tc>
          <w:tcPr>
            <w:tcW w:w="4767"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b/>
                <w:bCs/>
                <w:color w:val="FFFFFF"/>
                <w:sz w:val="20"/>
                <w:szCs w:val="20"/>
              </w:rPr>
            </w:pPr>
            <w:r w:rsidRPr="00DA20F5">
              <w:rPr>
                <w:b/>
                <w:bCs/>
                <w:color w:val="FFFFFF"/>
                <w:sz w:val="20"/>
                <w:szCs w:val="20"/>
              </w:rPr>
              <w:t>Vývoj hodnôt</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Podiel osôb v extrémnej príjmovej chudobe</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Nárast </w:t>
            </w:r>
            <w:r w:rsidRPr="00DA20F5">
              <w:rPr>
                <w:sz w:val="20"/>
                <w:szCs w:val="20"/>
              </w:rPr>
              <w:t>podielu z 2,1% (EU SILC 2009) na 2,5% (EU SILC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Hĺbka chudoby</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Nárast</w:t>
            </w:r>
            <w:r w:rsidRPr="00DA20F5">
              <w:rPr>
                <w:sz w:val="20"/>
                <w:szCs w:val="20"/>
              </w:rPr>
              <w:t xml:space="preserve"> z 23,2,1% (EU SILC 2009) na 25,7% (EU SILC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Nepriaznivé podmienky bývania</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Pokles</w:t>
            </w:r>
            <w:r w:rsidRPr="00DA20F5">
              <w:rPr>
                <w:sz w:val="20"/>
                <w:szCs w:val="20"/>
              </w:rPr>
              <w:t xml:space="preserve"> podielu z 18,2% (EU SILC 2009) na 14,6% (EU SILC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Podiel domácností, pre ktoré bývanie znamená finančnú záťaž</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Pokles </w:t>
            </w:r>
            <w:r w:rsidRPr="00DA20F5">
              <w:rPr>
                <w:sz w:val="20"/>
                <w:szCs w:val="20"/>
              </w:rPr>
              <w:t>podielu z 7,5 (EU SILC 2009) na 5,2% (EU SILC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sz w:val="20"/>
                <w:szCs w:val="20"/>
              </w:rPr>
              <w:t>Podiel domácností s nedoplatkami súvisiacimi s bývaním</w:t>
            </w:r>
          </w:p>
        </w:tc>
        <w:tc>
          <w:tcPr>
            <w:tcW w:w="4767" w:type="dxa"/>
            <w:tcMar>
              <w:top w:w="0" w:type="dxa"/>
              <w:left w:w="108" w:type="dxa"/>
              <w:bottom w:w="0" w:type="dxa"/>
              <w:right w:w="108" w:type="dxa"/>
            </w:tcMar>
          </w:tcPr>
          <w:p w:rsidR="00C13E71" w:rsidRPr="00DA20F5" w:rsidRDefault="00C13E71" w:rsidP="006B7CF8">
            <w:pPr>
              <w:overflowPunct w:val="0"/>
              <w:autoSpaceDE w:val="0"/>
              <w:autoSpaceDN w:val="0"/>
              <w:jc w:val="left"/>
              <w:textAlignment w:val="baseline"/>
              <w:rPr>
                <w:rFonts w:ascii="Calibri" w:hAnsi="Calibri" w:cs="Calibri"/>
                <w:sz w:val="20"/>
                <w:szCs w:val="20"/>
              </w:rPr>
            </w:pPr>
            <w:r w:rsidRPr="00DA20F5">
              <w:rPr>
                <w:b/>
                <w:bCs/>
                <w:sz w:val="20"/>
                <w:szCs w:val="20"/>
              </w:rPr>
              <w:t xml:space="preserve">Pokles </w:t>
            </w:r>
            <w:r w:rsidRPr="00DA20F5">
              <w:rPr>
                <w:sz w:val="20"/>
                <w:szCs w:val="20"/>
              </w:rPr>
              <w:t>podielu z 12,2% (EU SILC 2009) na 10,5% (EU SILC 2010</w:t>
            </w:r>
            <w:r w:rsidRPr="00DA20F5">
              <w:rPr>
                <w:rStyle w:val="Odkaznakomentr"/>
                <w:sz w:val="20"/>
                <w:szCs w:val="20"/>
              </w:rPr>
              <w:t xml:space="preserve"> </w:t>
            </w:r>
            <w:r w:rsidRPr="00DA20F5">
              <w:rPr>
                <w:sz w:val="20"/>
                <w:szCs w:val="20"/>
              </w:rPr>
              <w:t>)</w:t>
            </w:r>
          </w:p>
        </w:tc>
      </w:tr>
    </w:tbl>
    <w:p w:rsidR="00C13E71" w:rsidRPr="00DA20F5" w:rsidRDefault="00C13E71" w:rsidP="00C13E71">
      <w:pPr>
        <w:pStyle w:val="zdroj"/>
      </w:pPr>
      <w:r w:rsidRPr="00DA20F5">
        <w:t>Zdroj: MPSVR SR</w:t>
      </w:r>
    </w:p>
    <w:p w:rsidR="00C13E71" w:rsidRPr="00DA20F5" w:rsidRDefault="00C13E71" w:rsidP="00C13E71">
      <w:pPr>
        <w:jc w:val="left"/>
        <w:rPr>
          <w:b/>
          <w:bCs/>
          <w:i/>
          <w:iCs/>
        </w:rPr>
      </w:pPr>
      <w:r w:rsidRPr="00DA20F5">
        <w:rPr>
          <w:b/>
          <w:bCs/>
          <w:i/>
          <w:iCs/>
        </w:rPr>
        <w:br w:type="page"/>
      </w:r>
    </w:p>
    <w:p w:rsidR="00C13E71" w:rsidRPr="00DA20F5" w:rsidRDefault="00C13E71" w:rsidP="00C13E71">
      <w:pPr>
        <w:rPr>
          <w:b/>
          <w:bCs/>
          <w:i/>
          <w:iCs/>
        </w:rPr>
      </w:pPr>
      <w:r w:rsidRPr="00DA20F5">
        <w:rPr>
          <w:b/>
          <w:bCs/>
          <w:i/>
          <w:iCs/>
        </w:rPr>
        <w:lastRenderedPageBreak/>
        <w:t xml:space="preserve">Ďalšie kontextové indikátory </w:t>
      </w:r>
    </w:p>
    <w:p w:rsidR="00C13E71" w:rsidRPr="00DA20F5" w:rsidRDefault="00C13E71" w:rsidP="00C13E71">
      <w:pPr>
        <w:ind w:firstLine="708"/>
      </w:pPr>
      <w:r w:rsidRPr="00DA20F5">
        <w:t>Ako ukazuje nasledujúca tabuľka, pozitívny smer vývoja možno identifikovať pri všetkých troch indikátoroch, ktoré sa viažu na spotrebné výdavky. V období medzi rokmi 2009 a 2010 došlo k zníženiu podielu výdavkov nízkopríjmových domácností na potraviny, ako aj kumulovaného podielu výdavkov na potraviny a bývanie na spotrebných výdavkoch. Navyše sa znížil aj rozdiel medzi podielmi výdavkov na potraviny u domácností na opačných koncoch príjmového rozdelenia. Znižovala sa nerovnosť vo výdavkoch na potraviny, ale naopak sa zvýšila celková príjmová nerovnosť, meraná ako pomer príjmov horného a dolného kvintilu.</w:t>
      </w:r>
    </w:p>
    <w:p w:rsidR="00C13E71" w:rsidRPr="00DA20F5" w:rsidRDefault="00C13E71" w:rsidP="00C13E71">
      <w:pPr>
        <w:pStyle w:val="Nadpis7"/>
      </w:pPr>
      <w:bookmarkStart w:id="1525" w:name="_Toc326217107"/>
      <w:r w:rsidRPr="00DA20F5">
        <w:t>Tab. 4.9 Kontextové indikátory</w:t>
      </w:r>
      <w:bookmarkEnd w:id="1525"/>
    </w:p>
    <w:tbl>
      <w:tblPr>
        <w:tblW w:w="9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0A0" w:firstRow="1" w:lastRow="0" w:firstColumn="1" w:lastColumn="0" w:noHBand="0" w:noVBand="0"/>
      </w:tblPr>
      <w:tblGrid>
        <w:gridCol w:w="4521"/>
        <w:gridCol w:w="4587"/>
      </w:tblGrid>
      <w:tr w:rsidR="00C13E71" w:rsidRPr="00DA20F5" w:rsidTr="006B7CF8">
        <w:trPr>
          <w:tblHeader/>
        </w:trPr>
        <w:tc>
          <w:tcPr>
            <w:tcW w:w="4521"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ind w:firstLine="284"/>
              <w:textAlignment w:val="baseline"/>
              <w:rPr>
                <w:rFonts w:ascii="Calibri" w:hAnsi="Calibri" w:cs="Calibri"/>
                <w:b/>
                <w:bCs/>
                <w:color w:val="FFFFFF"/>
                <w:sz w:val="20"/>
                <w:szCs w:val="20"/>
              </w:rPr>
            </w:pPr>
            <w:r w:rsidRPr="00DA20F5">
              <w:rPr>
                <w:b/>
                <w:bCs/>
                <w:color w:val="FFFFFF"/>
                <w:sz w:val="20"/>
                <w:szCs w:val="20"/>
              </w:rPr>
              <w:t>Názov indikátora</w:t>
            </w:r>
          </w:p>
        </w:tc>
        <w:tc>
          <w:tcPr>
            <w:tcW w:w="4587" w:type="dxa"/>
            <w:shd w:val="clear" w:color="auto" w:fill="4F81BD"/>
            <w:tcMar>
              <w:top w:w="0" w:type="dxa"/>
              <w:left w:w="108" w:type="dxa"/>
              <w:bottom w:w="0" w:type="dxa"/>
              <w:right w:w="108" w:type="dxa"/>
            </w:tcMar>
          </w:tcPr>
          <w:p w:rsidR="00C13E71" w:rsidRPr="00DA20F5" w:rsidRDefault="00C13E71" w:rsidP="006B7CF8">
            <w:pPr>
              <w:overflowPunct w:val="0"/>
              <w:autoSpaceDE w:val="0"/>
              <w:autoSpaceDN w:val="0"/>
              <w:ind w:firstLine="284"/>
              <w:textAlignment w:val="baseline"/>
              <w:rPr>
                <w:rFonts w:ascii="Calibri" w:hAnsi="Calibri" w:cs="Calibri"/>
                <w:b/>
                <w:bCs/>
                <w:color w:val="FFFFFF"/>
                <w:sz w:val="20"/>
                <w:szCs w:val="20"/>
              </w:rPr>
            </w:pPr>
            <w:r w:rsidRPr="00DA20F5">
              <w:rPr>
                <w:b/>
                <w:bCs/>
                <w:color w:val="FFFFFF"/>
                <w:sz w:val="20"/>
                <w:szCs w:val="20"/>
              </w:rPr>
              <w:t>Vývoj hodnôt</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sz w:val="20"/>
                <w:szCs w:val="20"/>
              </w:rPr>
            </w:pPr>
            <w:r w:rsidRPr="00DA20F5">
              <w:rPr>
                <w:sz w:val="20"/>
                <w:szCs w:val="20"/>
              </w:rPr>
              <w:t>Podiel výdavkov nízkopríjmových domácností na potraviny z celkových spotrebných výdavkov</w:t>
            </w:r>
          </w:p>
        </w:tc>
        <w:tc>
          <w:tcPr>
            <w:tcW w:w="4587" w:type="dxa"/>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sz w:val="20"/>
                <w:szCs w:val="20"/>
              </w:rPr>
            </w:pPr>
            <w:r w:rsidRPr="00DA20F5">
              <w:rPr>
                <w:b/>
                <w:bCs/>
                <w:sz w:val="20"/>
                <w:szCs w:val="20"/>
              </w:rPr>
              <w:t>Pokles</w:t>
            </w:r>
            <w:r w:rsidRPr="00DA20F5">
              <w:rPr>
                <w:sz w:val="20"/>
                <w:szCs w:val="20"/>
              </w:rPr>
              <w:t xml:space="preserve"> podielu z 29,6% v roku 2009 na 26,2% v roku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sz w:val="20"/>
                <w:szCs w:val="20"/>
              </w:rPr>
            </w:pPr>
            <w:r w:rsidRPr="00DA20F5">
              <w:rPr>
                <w:sz w:val="20"/>
                <w:szCs w:val="20"/>
              </w:rPr>
              <w:t>Nerovnosť vo výdavkoch na potraviny</w:t>
            </w:r>
          </w:p>
        </w:tc>
        <w:tc>
          <w:tcPr>
            <w:tcW w:w="4587" w:type="dxa"/>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sz w:val="20"/>
                <w:szCs w:val="20"/>
              </w:rPr>
            </w:pPr>
            <w:r w:rsidRPr="00DA20F5">
              <w:rPr>
                <w:b/>
                <w:bCs/>
                <w:sz w:val="20"/>
                <w:szCs w:val="20"/>
              </w:rPr>
              <w:t>Pokles hodnoty</w:t>
            </w:r>
            <w:r w:rsidRPr="00DA20F5">
              <w:rPr>
                <w:sz w:val="20"/>
                <w:szCs w:val="20"/>
              </w:rPr>
              <w:t xml:space="preserve"> z 0,10 v roku 2009 na 0,08 v roku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sz w:val="20"/>
                <w:szCs w:val="20"/>
              </w:rPr>
            </w:pPr>
            <w:r w:rsidRPr="00DA20F5">
              <w:rPr>
                <w:sz w:val="20"/>
                <w:szCs w:val="20"/>
              </w:rPr>
              <w:t>Podiel výdavkov nízkopríjmových domácností na potraviny a bývanie z celkových spotrebných výdavkov</w:t>
            </w:r>
          </w:p>
        </w:tc>
        <w:tc>
          <w:tcPr>
            <w:tcW w:w="4587" w:type="dxa"/>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sz w:val="20"/>
                <w:szCs w:val="20"/>
              </w:rPr>
            </w:pPr>
            <w:r w:rsidRPr="00DA20F5">
              <w:rPr>
                <w:b/>
                <w:bCs/>
                <w:sz w:val="20"/>
                <w:szCs w:val="20"/>
              </w:rPr>
              <w:t xml:space="preserve">Pokles </w:t>
            </w:r>
            <w:r w:rsidRPr="00DA20F5">
              <w:rPr>
                <w:sz w:val="20"/>
                <w:szCs w:val="20"/>
              </w:rPr>
              <w:t>podielu z 65,9% v roku 2009 na 64,2% v roku 2010</w:t>
            </w:r>
          </w:p>
        </w:tc>
      </w:tr>
      <w:tr w:rsidR="00C13E71" w:rsidRPr="00DA20F5" w:rsidTr="006B7CF8">
        <w:tc>
          <w:tcPr>
            <w:tcW w:w="4521" w:type="dxa"/>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sz w:val="20"/>
                <w:szCs w:val="20"/>
              </w:rPr>
            </w:pPr>
            <w:r w:rsidRPr="00DA20F5">
              <w:rPr>
                <w:sz w:val="20"/>
                <w:szCs w:val="20"/>
              </w:rPr>
              <w:t>Distribúcia príjmov - Pomer príjmov horného a dolného kvintilu (S80/S20)</w:t>
            </w:r>
          </w:p>
        </w:tc>
        <w:tc>
          <w:tcPr>
            <w:tcW w:w="4587" w:type="dxa"/>
            <w:tcMar>
              <w:top w:w="0" w:type="dxa"/>
              <w:left w:w="108" w:type="dxa"/>
              <w:bottom w:w="0" w:type="dxa"/>
              <w:right w:w="108" w:type="dxa"/>
            </w:tcMar>
          </w:tcPr>
          <w:p w:rsidR="00C13E71" w:rsidRPr="00DA20F5" w:rsidRDefault="00C13E71" w:rsidP="006B7CF8">
            <w:pPr>
              <w:overflowPunct w:val="0"/>
              <w:autoSpaceDE w:val="0"/>
              <w:autoSpaceDN w:val="0"/>
              <w:textAlignment w:val="baseline"/>
              <w:rPr>
                <w:rFonts w:ascii="Calibri" w:hAnsi="Calibri" w:cs="Calibri"/>
                <w:sz w:val="20"/>
                <w:szCs w:val="20"/>
              </w:rPr>
            </w:pPr>
            <w:r w:rsidRPr="00DA20F5">
              <w:rPr>
                <w:b/>
                <w:bCs/>
                <w:sz w:val="20"/>
                <w:szCs w:val="20"/>
              </w:rPr>
              <w:t xml:space="preserve">Nárast </w:t>
            </w:r>
            <w:r w:rsidRPr="00DA20F5">
              <w:rPr>
                <w:sz w:val="20"/>
                <w:szCs w:val="20"/>
              </w:rPr>
              <w:t>pomeru z 3,6 (EU SILC 2009) na 3,8 (EU SILC 2010)</w:t>
            </w:r>
          </w:p>
        </w:tc>
      </w:tr>
    </w:tbl>
    <w:p w:rsidR="00C13E71" w:rsidRPr="00DA20F5" w:rsidRDefault="00C13E71" w:rsidP="00C13E71">
      <w:pPr>
        <w:pStyle w:val="zdroj"/>
      </w:pPr>
      <w:r w:rsidRPr="00DA20F5">
        <w:t>Zdroj: MPSVR SR</w:t>
      </w:r>
    </w:p>
    <w:p w:rsidR="0075187A" w:rsidRPr="00DA20F5" w:rsidRDefault="0075187A" w:rsidP="00C13E71"/>
    <w:p w:rsidR="007A29A1" w:rsidRPr="00DA20F5" w:rsidRDefault="0008700C" w:rsidP="00D36FB8">
      <w:pPr>
        <w:pStyle w:val="nadpis2"/>
      </w:pPr>
      <w:bookmarkStart w:id="1526" w:name="_Toc325438292"/>
      <w:bookmarkStart w:id="1527" w:name="_Toc326217108"/>
      <w:r w:rsidRPr="00DA20F5">
        <w:t>Rodová rovnosť a rovnosť príležitostí</w:t>
      </w:r>
      <w:bookmarkEnd w:id="1526"/>
      <w:bookmarkEnd w:id="1527"/>
    </w:p>
    <w:p w:rsidR="0008700C" w:rsidRPr="00DA20F5" w:rsidRDefault="0008700C" w:rsidP="00D36FB8">
      <w:pPr>
        <w:pStyle w:val="Odsekzoznamu"/>
        <w:ind w:left="0" w:firstLine="567"/>
        <w:rPr>
          <w:szCs w:val="22"/>
        </w:rPr>
      </w:pPr>
      <w:r w:rsidRPr="00DA20F5">
        <w:rPr>
          <w:szCs w:val="22"/>
        </w:rPr>
        <w:t xml:space="preserve">V politike rodovej rovnosti a rovnosti príležitostí sa realizovali v roku 2011 zmeny inštitucionálneho pokrytia, legislatívnych ustanovení a kľúčových indikátorov. Zriadením </w:t>
      </w:r>
      <w:r w:rsidRPr="00DA20F5">
        <w:rPr>
          <w:b/>
          <w:szCs w:val="22"/>
        </w:rPr>
        <w:t xml:space="preserve">Rady vlády pre ľudské práva, národnostné menšiny a rodovú rovnosť </w:t>
      </w:r>
      <w:r w:rsidRPr="00DA20F5">
        <w:rPr>
          <w:szCs w:val="22"/>
        </w:rPr>
        <w:t>sa vytvoril priestor pre deliberatívnu demokraciu. Rada vlády pre ľudské práva, národnostné menšiny a rodovú rovnosť vznikla v roku 2011 nov</w:t>
      </w:r>
      <w:r w:rsidR="00B7133F" w:rsidRPr="00DA20F5">
        <w:rPr>
          <w:szCs w:val="22"/>
        </w:rPr>
        <w:t xml:space="preserve">elizáciou zákona </w:t>
      </w:r>
      <w:r w:rsidR="00BB621C" w:rsidRPr="00DA20F5">
        <w:rPr>
          <w:szCs w:val="22"/>
        </w:rPr>
        <w:t xml:space="preserve">č. </w:t>
      </w:r>
      <w:r w:rsidR="00B7133F" w:rsidRPr="00DA20F5">
        <w:rPr>
          <w:szCs w:val="22"/>
        </w:rPr>
        <w:t>575/2001 Z. z.</w:t>
      </w:r>
      <w:r w:rsidRPr="00DA20F5">
        <w:rPr>
          <w:szCs w:val="22"/>
        </w:rPr>
        <w:t xml:space="preserve"> ako</w:t>
      </w:r>
      <w:r w:rsidRPr="00DA20F5">
        <w:rPr>
          <w:kern w:val="36"/>
          <w:szCs w:val="22"/>
        </w:rPr>
        <w:t xml:space="preserve"> </w:t>
      </w:r>
      <w:r w:rsidRPr="00DA20F5">
        <w:rPr>
          <w:szCs w:val="22"/>
        </w:rPr>
        <w:t xml:space="preserve">stály odborný, poradný, koordinačný a konzultačný orgán vlády Slovenskej republiky aj v </w:t>
      </w:r>
      <w:r w:rsidRPr="00DA20F5">
        <w:rPr>
          <w:bCs/>
          <w:szCs w:val="22"/>
        </w:rPr>
        <w:t xml:space="preserve">oblasti </w:t>
      </w:r>
      <w:r w:rsidRPr="00DA20F5">
        <w:rPr>
          <w:szCs w:val="22"/>
        </w:rPr>
        <w:t>presadzovania zásady rovnakého zaobchádzania,</w:t>
      </w:r>
      <w:r w:rsidR="00AC5AAB" w:rsidRPr="00DA20F5">
        <w:rPr>
          <w:szCs w:val="22"/>
        </w:rPr>
        <w:t xml:space="preserve"> </w:t>
      </w:r>
      <w:r w:rsidRPr="00DA20F5">
        <w:rPr>
          <w:szCs w:val="22"/>
        </w:rPr>
        <w:t xml:space="preserve">rodovej rovnosti a rovnosti príležitostí. </w:t>
      </w:r>
    </w:p>
    <w:p w:rsidR="0008700C" w:rsidRPr="00DA20F5" w:rsidRDefault="0008700C" w:rsidP="00D36FB8">
      <w:pPr>
        <w:pStyle w:val="Odsekzoznamu"/>
        <w:ind w:left="0"/>
        <w:rPr>
          <w:szCs w:val="22"/>
        </w:rPr>
      </w:pPr>
      <w:r w:rsidRPr="00DA20F5">
        <w:rPr>
          <w:szCs w:val="22"/>
        </w:rPr>
        <w:t xml:space="preserve">V roku 2011 pokračovalo Centrum vzdelávania MPSVR SR v implementácii </w:t>
      </w:r>
      <w:r w:rsidRPr="00DA20F5">
        <w:rPr>
          <w:b/>
          <w:szCs w:val="22"/>
        </w:rPr>
        <w:t>národného projektu Inštitút rodovej rovnosti</w:t>
      </w:r>
      <w:r w:rsidRPr="00DA20F5">
        <w:rPr>
          <w:szCs w:val="22"/>
        </w:rPr>
        <w:t xml:space="preserve"> operačného programu </w:t>
      </w:r>
      <w:r w:rsidR="00BB621C" w:rsidRPr="00DA20F5">
        <w:rPr>
          <w:szCs w:val="22"/>
        </w:rPr>
        <w:t xml:space="preserve">ZaSI </w:t>
      </w:r>
      <w:r w:rsidRPr="00DA20F5">
        <w:rPr>
          <w:szCs w:val="22"/>
        </w:rPr>
        <w:t xml:space="preserve">v odbornej gescii </w:t>
      </w:r>
      <w:r w:rsidR="00CC69B8" w:rsidRPr="00DA20F5">
        <w:rPr>
          <w:szCs w:val="22"/>
        </w:rPr>
        <w:t>odboru rodovej rovnosti a rovnosti príležitostí.</w:t>
      </w:r>
      <w:r w:rsidRPr="00DA20F5">
        <w:rPr>
          <w:szCs w:val="22"/>
        </w:rPr>
        <w:t xml:space="preserve"> Napriek viacerým</w:t>
      </w:r>
      <w:r w:rsidR="00BB621C" w:rsidRPr="00DA20F5">
        <w:rPr>
          <w:szCs w:val="22"/>
        </w:rPr>
        <w:t xml:space="preserve"> problémom s nastavením aktivít</w:t>
      </w:r>
      <w:r w:rsidRPr="00DA20F5">
        <w:rPr>
          <w:szCs w:val="22"/>
        </w:rPr>
        <w:t xml:space="preserve"> vzhľadom na rozsah a závažnosť problémov vzťahujúcich sa na rodovú rovnosť, prínosom bolo vytvorenie Krajských kontaktných miest vo všetkých samosprávnych krajoch, aj keď úroveň implementácie rodovej rovnosti bola rôzna. V rámci projektu sa uskutočnili vzdelávacie aktivity pre orgány štátnej správy a</w:t>
      </w:r>
      <w:r w:rsidR="00B7133F" w:rsidRPr="00DA20F5">
        <w:rPr>
          <w:szCs w:val="22"/>
        </w:rPr>
        <w:t> </w:t>
      </w:r>
      <w:r w:rsidRPr="00DA20F5">
        <w:rPr>
          <w:szCs w:val="22"/>
        </w:rPr>
        <w:t>samosprávy</w:t>
      </w:r>
      <w:r w:rsidR="00B7133F" w:rsidRPr="00DA20F5">
        <w:rPr>
          <w:szCs w:val="22"/>
        </w:rPr>
        <w:t>,</w:t>
      </w:r>
      <w:r w:rsidR="00AC5AAB" w:rsidRPr="00DA20F5">
        <w:rPr>
          <w:szCs w:val="22"/>
        </w:rPr>
        <w:t xml:space="preserve"> </w:t>
      </w:r>
      <w:r w:rsidRPr="00DA20F5">
        <w:rPr>
          <w:szCs w:val="22"/>
        </w:rPr>
        <w:t>ako napr. pre Ministerstvo obrany SR, Ministerstvo hospodárstva SR, úrady práce a iné inštitúcie.</w:t>
      </w:r>
    </w:p>
    <w:p w:rsidR="0008700C" w:rsidRPr="00DA20F5" w:rsidRDefault="0008700C" w:rsidP="00D36FB8">
      <w:r w:rsidRPr="00DA20F5">
        <w:t xml:space="preserve">Základnými dokumentmi vlády </w:t>
      </w:r>
      <w:r w:rsidRPr="000530AE">
        <w:t xml:space="preserve">SR </w:t>
      </w:r>
      <w:r w:rsidR="00EF471E" w:rsidRPr="000530AE">
        <w:t>sú</w:t>
      </w:r>
      <w:r w:rsidRPr="000530AE">
        <w:t xml:space="preserve"> </w:t>
      </w:r>
      <w:r w:rsidRPr="000530AE">
        <w:rPr>
          <w:b/>
        </w:rPr>
        <w:t>Národná</w:t>
      </w:r>
      <w:r w:rsidRPr="00DA20F5">
        <w:rPr>
          <w:b/>
        </w:rPr>
        <w:t xml:space="preserve"> stratégia rodovej rovnosti na roky 2009 – 2013</w:t>
      </w:r>
      <w:r w:rsidRPr="00DA20F5">
        <w:t xml:space="preserve"> a </w:t>
      </w:r>
      <w:r w:rsidRPr="00DA20F5">
        <w:rPr>
          <w:b/>
        </w:rPr>
        <w:t>Národný akčný plán rodovej rovnosti na roky 2010 – 2013</w:t>
      </w:r>
      <w:r w:rsidRPr="00DA20F5">
        <w:t>. Uznesením č. 272/2009 k Národnej stratégii rodovej rovnosti na roky 2009 – 2013 bol potvrdený záväzok vlády SR integrovať gender mainstreaming</w:t>
      </w:r>
      <w:r w:rsidRPr="00DA20F5">
        <w:rPr>
          <w:bCs/>
        </w:rPr>
        <w:t xml:space="preserve"> (rodové hľadisko)</w:t>
      </w:r>
      <w:r w:rsidRPr="00DA20F5">
        <w:t xml:space="preserve"> </w:t>
      </w:r>
      <w:r w:rsidRPr="00DA20F5">
        <w:rPr>
          <w:bCs/>
        </w:rPr>
        <w:t xml:space="preserve">pri príprave a realizácii strategických a koncepčných materiálov. </w:t>
      </w:r>
      <w:r w:rsidRPr="00DA20F5">
        <w:t>Integrovaný prístup k </w:t>
      </w:r>
      <w:r w:rsidRPr="00151265">
        <w:t>rodovej rovnosti</w:t>
      </w:r>
      <w:r w:rsidRPr="00DA20F5">
        <w:t xml:space="preserve"> mainstreamuje rodovú rovnosť do centra všetkých rozhodovacích činností od definovania politík, prijímania právnych predpisov, prideľovania zdrojov</w:t>
      </w:r>
      <w:r w:rsidR="002B5028" w:rsidRPr="00DA20F5">
        <w:t xml:space="preserve"> k </w:t>
      </w:r>
      <w:r w:rsidRPr="00DA20F5">
        <w:t>vykonávani</w:t>
      </w:r>
      <w:r w:rsidR="008E79D0" w:rsidRPr="00DA20F5">
        <w:t>u a sledovaniu</w:t>
      </w:r>
      <w:r w:rsidRPr="00DA20F5">
        <w:t xml:space="preserve"> časového plánu plnenia programov a opatrení</w:t>
      </w:r>
      <w:r w:rsidRPr="00DA20F5">
        <w:rPr>
          <w:b/>
        </w:rPr>
        <w:t xml:space="preserve">. </w:t>
      </w:r>
      <w:r w:rsidRPr="00DA20F5">
        <w:t>V Národnom akčnom pláne rodovej rovnosti na roky 2010 – 2013 boli identifikované základné rodové nerovnosti na základe analýz a konzultácií s</w:t>
      </w:r>
      <w:r w:rsidR="00C263E3" w:rsidRPr="00DA20F5">
        <w:t> mimovládnymi organizáciami</w:t>
      </w:r>
      <w:r w:rsidRPr="00DA20F5">
        <w:t xml:space="preserve"> v rámci deliberatívnej demokracie. </w:t>
      </w:r>
    </w:p>
    <w:p w:rsidR="0008700C" w:rsidRPr="00DA20F5" w:rsidRDefault="0008700C" w:rsidP="00D36FB8">
      <w:pPr>
        <w:pStyle w:val="Zkladntext2"/>
        <w:ind w:firstLine="708"/>
        <w:rPr>
          <w:b w:val="0"/>
          <w:lang w:val="sk-SK"/>
        </w:rPr>
      </w:pPr>
      <w:r w:rsidRPr="00DA20F5">
        <w:rPr>
          <w:b w:val="0"/>
          <w:lang w:val="sk-SK"/>
        </w:rPr>
        <w:t>Dôležitými dokumentmi vlády SR je aj</w:t>
      </w:r>
      <w:r w:rsidRPr="00DA20F5">
        <w:rPr>
          <w:lang w:val="sk-SK"/>
        </w:rPr>
        <w:t xml:space="preserve"> Národná stratégia pre prevenciu a elimináciu násilia páchaného na ženách a v</w:t>
      </w:r>
      <w:r w:rsidR="00B7133F" w:rsidRPr="00DA20F5">
        <w:rPr>
          <w:lang w:val="sk-SK"/>
        </w:rPr>
        <w:t> </w:t>
      </w:r>
      <w:r w:rsidRPr="00DA20F5">
        <w:rPr>
          <w:lang w:val="sk-SK"/>
        </w:rPr>
        <w:t>rodinách</w:t>
      </w:r>
      <w:r w:rsidR="00B7133F" w:rsidRPr="00DA20F5">
        <w:rPr>
          <w:lang w:val="sk-SK"/>
        </w:rPr>
        <w:t>,</w:t>
      </w:r>
      <w:r w:rsidRPr="00DA20F5">
        <w:rPr>
          <w:b w:val="0"/>
          <w:lang w:val="sk-SK"/>
        </w:rPr>
        <w:t xml:space="preserve"> </w:t>
      </w:r>
      <w:r w:rsidRPr="00DA20F5">
        <w:rPr>
          <w:lang w:val="sk-SK"/>
        </w:rPr>
        <w:t xml:space="preserve">Národný akčný plán na prevenciu a elimináciu násilia páchaného na ženách na roky 2009 – 2012 </w:t>
      </w:r>
      <w:r w:rsidRPr="00DA20F5">
        <w:rPr>
          <w:b w:val="0"/>
          <w:lang w:val="sk-SK"/>
        </w:rPr>
        <w:t>a</w:t>
      </w:r>
      <w:r w:rsidRPr="00DA20F5">
        <w:rPr>
          <w:lang w:val="sk-SK"/>
        </w:rPr>
        <w:t xml:space="preserve"> Memorandum o spolupráci medzi vládou Slovenskej republiky a Konfederáciou odborových zväzov Slovenskej republiky pri uplatňovaní rodovej rovnosti. </w:t>
      </w:r>
      <w:r w:rsidRPr="00DA20F5">
        <w:rPr>
          <w:b w:val="0"/>
          <w:lang w:val="sk-SK"/>
        </w:rPr>
        <w:t>Ďalším materiálom sú</w:t>
      </w:r>
      <w:r w:rsidRPr="00DA20F5">
        <w:rPr>
          <w:lang w:val="sk-SK"/>
        </w:rPr>
        <w:t xml:space="preserve"> Opatrenia na zosúladenie rodinného a pracovného života. </w:t>
      </w:r>
      <w:r w:rsidRPr="00DA20F5">
        <w:rPr>
          <w:b w:val="0"/>
          <w:lang w:val="sk-SK"/>
        </w:rPr>
        <w:lastRenderedPageBreak/>
        <w:t xml:space="preserve">Hlavným cieľom opatrení je uľahčiť osobám s rodinnými povinnosťami a zodpovednosťou za rodinu udržať sa na trhu práce a zvýšiť zamestnateľnosť a zamestnanosť týchto osôb. </w:t>
      </w:r>
    </w:p>
    <w:p w:rsidR="0008700C" w:rsidRPr="00DA20F5" w:rsidRDefault="0008700C" w:rsidP="00D36FB8">
      <w:pPr>
        <w:pStyle w:val="Normlnywebov"/>
        <w:shd w:val="clear" w:color="auto" w:fill="FFFFFF"/>
        <w:spacing w:before="0" w:after="120"/>
        <w:ind w:firstLine="709"/>
      </w:pPr>
      <w:r w:rsidRPr="00DA20F5">
        <w:t xml:space="preserve">Na podporu zosúladenia pracovného a rodinného života a podporu rodovej rovnosti a rovnosti príležitostí MPSVR </w:t>
      </w:r>
      <w:r w:rsidR="00B7133F" w:rsidRPr="00DA20F5">
        <w:t>SR iniciovalo podporné opatrenie</w:t>
      </w:r>
      <w:r w:rsidRPr="00DA20F5">
        <w:t>, ktorým je súťaž „</w:t>
      </w:r>
      <w:r w:rsidRPr="00DA20F5">
        <w:rPr>
          <w:b/>
        </w:rPr>
        <w:t>Zamestnávateľ ústretový k rodine, rodovej rovnosti a rovnosti príležitostí</w:t>
      </w:r>
      <w:r w:rsidRPr="00DA20F5">
        <w:t>“</w:t>
      </w:r>
      <w:r w:rsidR="00B7133F" w:rsidRPr="00DA20F5">
        <w:t xml:space="preserve">, </w:t>
      </w:r>
      <w:r w:rsidRPr="00DA20F5">
        <w:t>realizovaná od roku 2000 v spolupráci s Inštitútom pre výskum práce a rodiny. Počet prihlásených zamestnávateľov, ako aj kvalita predložených projektov sa každoročne zvyšuje.</w:t>
      </w:r>
    </w:p>
    <w:p w:rsidR="0008700C" w:rsidRPr="00DA20F5" w:rsidRDefault="0008700C" w:rsidP="00D36FB8">
      <w:pPr>
        <w:rPr>
          <w:szCs w:val="22"/>
          <w:u w:val="single"/>
        </w:rPr>
      </w:pPr>
      <w:r w:rsidRPr="00DA20F5">
        <w:rPr>
          <w:szCs w:val="22"/>
          <w:u w:val="single"/>
        </w:rPr>
        <w:t>Prehľad legislatívnych zmien v roku 2011</w:t>
      </w:r>
    </w:p>
    <w:p w:rsidR="0008700C" w:rsidRPr="00DA20F5" w:rsidRDefault="0008700C" w:rsidP="00D36FB8">
      <w:pPr>
        <w:rPr>
          <w:szCs w:val="22"/>
        </w:rPr>
      </w:pPr>
      <w:r w:rsidRPr="00DA20F5">
        <w:rPr>
          <w:szCs w:val="22"/>
        </w:rPr>
        <w:t xml:space="preserve">V roku 2011 boli schválené dve novely Zákonníka práce, ktoré okrem iného spresnili definovanie vzťahu medzi uplatňovaním antidiskriminačného zákona a Zákonníka práce v oblasti aplikovania zásady rovnakého zaobchádzania. </w:t>
      </w:r>
    </w:p>
    <w:p w:rsidR="0008700C" w:rsidRPr="00DA20F5" w:rsidRDefault="0008700C" w:rsidP="00D36FB8">
      <w:pPr>
        <w:rPr>
          <w:szCs w:val="22"/>
        </w:rPr>
      </w:pPr>
      <w:r w:rsidRPr="00DA20F5">
        <w:rPr>
          <w:b/>
          <w:szCs w:val="22"/>
        </w:rPr>
        <w:t>1.</w:t>
      </w:r>
      <w:r w:rsidRPr="00DA20F5">
        <w:rPr>
          <w:szCs w:val="22"/>
        </w:rPr>
        <w:t xml:space="preserve"> Zákon č. 48/2011 Z. z. novelizoval Zákonník práce s účinnosťou od 1. apríla 2011 a do novely boli transponované smernice Európskeho parlamentu a Rady: smernica 2002/73/ES z 23. septembra 2002, ktorou sa mení a dopĺňa smernica Rady 76/207/EHS o vykonávaní zásady rovnakého zaobchádzania s mužmi a ženami, pokiaľ ide o prístup k zamestnaniu, odbornej príprave a postupu v zamestnaní a o pracovné podmienky, od 15. augusta 2009 je to smernica Európskeho parlamentu a Rady 2006/54/ES a smernica 2010/18/EÚ z 8. marca 2010, ktorou sa vykonáva revidovaná Rámcová dohoda o rodičovskej dovolenke</w:t>
      </w:r>
      <w:r w:rsidR="00912E98" w:rsidRPr="00DA20F5">
        <w:rPr>
          <w:szCs w:val="22"/>
        </w:rPr>
        <w:t>,</w:t>
      </w:r>
      <w:r w:rsidRPr="00DA20F5">
        <w:rPr>
          <w:szCs w:val="22"/>
        </w:rPr>
        <w:t xml:space="preserve"> uzavretá medzi BUSINESS</w:t>
      </w:r>
      <w:r w:rsidR="00B7133F" w:rsidRPr="00DA20F5">
        <w:rPr>
          <w:szCs w:val="22"/>
        </w:rPr>
        <w:t xml:space="preserve"> EURO</w:t>
      </w:r>
      <w:r w:rsidRPr="00DA20F5">
        <w:rPr>
          <w:szCs w:val="22"/>
        </w:rPr>
        <w:t>PE, UEAPME, CEEP a ETUC a zrušuje sa smernica 96/34/ES do 8.3.2012.</w:t>
      </w:r>
    </w:p>
    <w:p w:rsidR="0008700C" w:rsidRPr="00DA20F5" w:rsidRDefault="0008700C" w:rsidP="00DB509D">
      <w:pPr>
        <w:pStyle w:val="Odsekzoznamu"/>
        <w:numPr>
          <w:ilvl w:val="0"/>
          <w:numId w:val="12"/>
        </w:numPr>
        <w:spacing w:after="120"/>
        <w:contextualSpacing/>
        <w:rPr>
          <w:szCs w:val="22"/>
        </w:rPr>
      </w:pPr>
      <w:r w:rsidRPr="00DA20F5">
        <w:rPr>
          <w:szCs w:val="22"/>
        </w:rPr>
        <w:t>Článok 1 Základných zásad: Novelizácia presnejšie vymedzila vzťah medzi antidiskriminačným zákonom</w:t>
      </w:r>
      <w:r w:rsidR="00AC5AAB" w:rsidRPr="00DA20F5">
        <w:rPr>
          <w:szCs w:val="22"/>
        </w:rPr>
        <w:t xml:space="preserve"> </w:t>
      </w:r>
      <w:r w:rsidRPr="00DA20F5">
        <w:rPr>
          <w:szCs w:val="22"/>
        </w:rPr>
        <w:t xml:space="preserve">(zákon č. 365/2004 Z. z.) a Zákonníkom práce, upravila výnimku z aplikácie zásady rovnakého zaobchádzania (tzv. prípustné rozdielne zaobchádzanie). </w:t>
      </w:r>
    </w:p>
    <w:p w:rsidR="0008700C" w:rsidRPr="00DA20F5" w:rsidRDefault="0008700C" w:rsidP="00D36FB8">
      <w:pPr>
        <w:pStyle w:val="Odsekzoznamu"/>
        <w:spacing w:after="120"/>
        <w:ind w:left="360"/>
        <w:contextualSpacing/>
        <w:rPr>
          <w:szCs w:val="22"/>
        </w:rPr>
      </w:pPr>
      <w:r w:rsidRPr="00DA20F5">
        <w:rPr>
          <w:bCs/>
          <w:szCs w:val="22"/>
        </w:rPr>
        <w:t>Podľa Európskej komisie znenie člán</w:t>
      </w:r>
      <w:r w:rsidR="00B7133F" w:rsidRPr="00DA20F5">
        <w:rPr>
          <w:bCs/>
          <w:szCs w:val="22"/>
        </w:rPr>
        <w:t xml:space="preserve">ku </w:t>
      </w:r>
      <w:r w:rsidRPr="00DA20F5">
        <w:rPr>
          <w:bCs/>
          <w:szCs w:val="22"/>
        </w:rPr>
        <w:t>1 Základných zásad Zákonníka práce nebol v súlade s právom Európskej únie a ani s antidiskriminačným zákonom. Z uvedených dôvodov sa v článku 1 Základných zásad Zákonníka práce doplnil odkaz na antidiskriminačný zákon, ktorý ako právny predpis lex generalis upravuje zásadu rovnakého zaobchádzania a prípustné rozdielne zaobchádzanie. Do článku 1 Základných zásad Zákonníka práce boli doplnené dôvody „sexuálna orientácia“ a „genetické vlastnosti“ s cieľom zaistenia súladu s antidiskriminačným zákonom a právom EÚ.</w:t>
      </w:r>
    </w:p>
    <w:p w:rsidR="0008700C" w:rsidRPr="00DA20F5" w:rsidRDefault="0008700C" w:rsidP="00DB509D">
      <w:pPr>
        <w:pStyle w:val="Odsekzoznamu"/>
        <w:numPr>
          <w:ilvl w:val="0"/>
          <w:numId w:val="12"/>
        </w:numPr>
        <w:spacing w:after="120"/>
        <w:contextualSpacing/>
        <w:rPr>
          <w:szCs w:val="22"/>
        </w:rPr>
      </w:pPr>
      <w:r w:rsidRPr="00DA20F5">
        <w:rPr>
          <w:szCs w:val="22"/>
        </w:rPr>
        <w:t xml:space="preserve">Článok 6 </w:t>
      </w:r>
      <w:r w:rsidRPr="00DA20F5">
        <w:rPr>
          <w:bCs/>
          <w:szCs w:val="22"/>
        </w:rPr>
        <w:t xml:space="preserve">Základných zásad, § </w:t>
      </w:r>
      <w:smartTag w:uri="urn:schemas-microsoft-com:office:smarttags" w:element="metricconverter">
        <w:smartTagPr>
          <w:attr w:name="ProductID" w:val="157 a"/>
        </w:smartTagPr>
        <w:r w:rsidRPr="00DA20F5">
          <w:rPr>
            <w:bCs/>
            <w:szCs w:val="22"/>
          </w:rPr>
          <w:t>157 a</w:t>
        </w:r>
      </w:smartTag>
      <w:r w:rsidRPr="00DA20F5">
        <w:rPr>
          <w:bCs/>
          <w:szCs w:val="22"/>
        </w:rPr>
        <w:t xml:space="preserve"> § 161 Zákonníka práce: Novelizácia </w:t>
      </w:r>
      <w:r w:rsidRPr="00DA20F5">
        <w:rPr>
          <w:szCs w:val="22"/>
        </w:rPr>
        <w:t xml:space="preserve">v článku VI Základných zásad </w:t>
      </w:r>
      <w:r w:rsidRPr="00DA20F5">
        <w:rPr>
          <w:bCs/>
          <w:szCs w:val="22"/>
        </w:rPr>
        <w:t>zosúladila</w:t>
      </w:r>
      <w:r w:rsidRPr="00DA20F5">
        <w:rPr>
          <w:szCs w:val="22"/>
        </w:rPr>
        <w:t xml:space="preserve"> Zákonník práce s právnymi predpismi EÚ tak, aby sa vymedzila ochrana biologického stavu ženy a osobitného vzťahu medzi ňou a dieťaťom a aby sa pri zabezpečovaní pracovných podmienok prihliadalo aj na potreby žien a mužov starajúcich sa o deti a vychovávajúcich deti.</w:t>
      </w:r>
      <w:r w:rsidR="00AC5AAB" w:rsidRPr="00DA20F5">
        <w:rPr>
          <w:szCs w:val="22"/>
        </w:rPr>
        <w:t xml:space="preserve"> </w:t>
      </w:r>
      <w:r w:rsidRPr="00DA20F5">
        <w:rPr>
          <w:szCs w:val="22"/>
        </w:rPr>
        <w:t>P</w:t>
      </w:r>
      <w:r w:rsidRPr="00DA20F5">
        <w:rPr>
          <w:bCs/>
          <w:szCs w:val="22"/>
        </w:rPr>
        <w:t xml:space="preserve">rijaté zmeny týchto ustanovení vychádzajú z účelu smernice Európskeho parlamentu a Rady 2006/54 ES, ktorou sa osobitne chráni biologický stav ženy v čase tehotenstva, krátko po pôrode a v čase dojčenia a osobitný vzťah medzi matkou a dieťaťom krátko po pôrode, pričom po uplynutí tohto obdobia už nie je potrebné chrániť tento stav a vzťah osobitným spôsobom, ktorý uprednostňuje túto ženu pred inými ženami a pred mužmi. </w:t>
      </w:r>
    </w:p>
    <w:p w:rsidR="0008700C" w:rsidRPr="00DA20F5" w:rsidRDefault="0008700C" w:rsidP="00D36FB8">
      <w:pPr>
        <w:pStyle w:val="Odsekzoznamu"/>
        <w:spacing w:after="120"/>
        <w:ind w:left="360"/>
        <w:contextualSpacing/>
        <w:rPr>
          <w:szCs w:val="22"/>
        </w:rPr>
      </w:pPr>
      <w:r w:rsidRPr="00DA20F5">
        <w:rPr>
          <w:bCs/>
          <w:szCs w:val="22"/>
        </w:rPr>
        <w:t>V nadväznosti na citovanú smernicu sa v Zákonníku práce zvýšila ochrana pracovných podmienok matky v čase návratu z materskej dovolenky a zabezpečilo sa týmto aj právo na prospech, na ktorý by žena mala</w:t>
      </w:r>
      <w:r w:rsidR="000A7003" w:rsidRPr="00DA20F5">
        <w:rPr>
          <w:bCs/>
          <w:szCs w:val="22"/>
        </w:rPr>
        <w:t xml:space="preserve"> </w:t>
      </w:r>
      <w:r w:rsidR="00912E98" w:rsidRPr="00DA20F5">
        <w:rPr>
          <w:bCs/>
          <w:szCs w:val="22"/>
        </w:rPr>
        <w:t>nárok</w:t>
      </w:r>
      <w:r w:rsidRPr="00DA20F5">
        <w:rPr>
          <w:bCs/>
          <w:szCs w:val="22"/>
        </w:rPr>
        <w:t>, ak by na materskú dovolenku nenastúpila (§ 157 Z</w:t>
      </w:r>
      <w:r w:rsidR="007C0D64" w:rsidRPr="00DA20F5">
        <w:rPr>
          <w:bCs/>
          <w:szCs w:val="22"/>
        </w:rPr>
        <w:t>ákonníka práce</w:t>
      </w:r>
      <w:r w:rsidRPr="00DA20F5">
        <w:rPr>
          <w:bCs/>
          <w:szCs w:val="22"/>
        </w:rPr>
        <w:t xml:space="preserve">). V súlade s filozofiou Zákonníka práce sa analogicky priznáva obdobné právo aj mužovi. Účelom zmeny článku 6 Základných zásad Zákonníka práce je vyváženie rodinného a pracovného života tak, aby sa pri utváraní a zabezpečovaní pracovných podmienok prihliadalo aj na potreby žien a mužov starajúcich sa a vychovávajúcich deti. </w:t>
      </w:r>
    </w:p>
    <w:p w:rsidR="0008700C" w:rsidRPr="00DA20F5" w:rsidRDefault="0008700C" w:rsidP="00DB509D">
      <w:pPr>
        <w:pStyle w:val="Odsekzoznamu"/>
        <w:numPr>
          <w:ilvl w:val="0"/>
          <w:numId w:val="12"/>
        </w:numPr>
        <w:ind w:left="357" w:hanging="357"/>
        <w:contextualSpacing/>
        <w:rPr>
          <w:szCs w:val="22"/>
        </w:rPr>
      </w:pPr>
      <w:bookmarkStart w:id="1528" w:name="_Toc325438293"/>
      <w:r w:rsidRPr="00DA20F5">
        <w:rPr>
          <w:szCs w:val="22"/>
        </w:rPr>
        <w:t xml:space="preserve">§ 13 odsek 2 Zákonníka práce: Novelizácia zosúladila toto ustanovenie s § 2 ods. </w:t>
      </w:r>
      <w:smartTag w:uri="urn:schemas-microsoft-com:office:smarttags" w:element="metricconverter">
        <w:smartTagPr>
          <w:attr w:name="ProductID" w:val="1 a"/>
        </w:smartTagPr>
        <w:r w:rsidRPr="00DA20F5">
          <w:rPr>
            <w:szCs w:val="22"/>
          </w:rPr>
          <w:t>1 a</w:t>
        </w:r>
      </w:smartTag>
      <w:r w:rsidRPr="00DA20F5">
        <w:rPr>
          <w:szCs w:val="22"/>
        </w:rPr>
        <w:t xml:space="preserve"> § 8 ods. 1 antidiskriminačného zákona; Zákonník práce výslovne uvádza aj ďalšie dôvody, kedy sa zakazuje diskriminácia v pracovnoprávnych vzťahoch, pričom základné definície a prípustné výnimky (prípustné rozdielne zaobchádzanie) sa spravujú ustanoveniami antidiskriminačného zákona.</w:t>
      </w:r>
      <w:bookmarkEnd w:id="1528"/>
      <w:r w:rsidRPr="00DA20F5">
        <w:rPr>
          <w:szCs w:val="22"/>
        </w:rPr>
        <w:t xml:space="preserve"> </w:t>
      </w:r>
    </w:p>
    <w:p w:rsidR="0008700C" w:rsidRPr="00DA20F5" w:rsidRDefault="0008700C" w:rsidP="00D36FB8">
      <w:pPr>
        <w:ind w:left="358"/>
      </w:pPr>
      <w:bookmarkStart w:id="1529" w:name="_Toc325438294"/>
      <w:r w:rsidRPr="00DA20F5">
        <w:t>Vzhľadom na to, že výslovné vymedzenie antidiskriminačných dôvodov v článku 1 Základných zásad Zákonníka práce je širšie ako to ustanovuje antidiskriminačný zákon a vzhľadom na to, že články Základných zásad Zákonníka práce majú všeobecnejšiu povahu</w:t>
      </w:r>
      <w:r w:rsidR="000F4F21" w:rsidRPr="00DA20F5">
        <w:t>,</w:t>
      </w:r>
      <w:r w:rsidR="00AC5AAB" w:rsidRPr="00DA20F5">
        <w:t xml:space="preserve"> </w:t>
      </w:r>
      <w:r w:rsidRPr="00DA20F5">
        <w:t xml:space="preserve">zosúladil sa § 13 ods. 2 Zákonníka práce s článkom 1 Základných zásad Zákonníka práce s antidiskriminačným zákonom. Zákonník práce výslovne uvádza aj ďalšie dôvody, kedy sa zakazuje diskriminácia </w:t>
      </w:r>
      <w:r w:rsidRPr="00DA20F5">
        <w:lastRenderedPageBreak/>
        <w:t>v pracovnoprávnych vzťahoch, pričom základné definície a prípustné výnimky (prípustné rozdielne zaobchádzanie) sa spravujú antidiskriminačným zákonom.</w:t>
      </w:r>
      <w:bookmarkEnd w:id="1529"/>
      <w:r w:rsidR="00AC5AAB" w:rsidRPr="00DA20F5">
        <w:t xml:space="preserve"> </w:t>
      </w:r>
    </w:p>
    <w:p w:rsidR="0008700C" w:rsidRPr="00DA20F5" w:rsidRDefault="0008700C" w:rsidP="00DB509D">
      <w:pPr>
        <w:pStyle w:val="Odsekzoznamu"/>
        <w:numPr>
          <w:ilvl w:val="0"/>
          <w:numId w:val="12"/>
        </w:numPr>
        <w:ind w:left="357" w:hanging="357"/>
        <w:contextualSpacing/>
        <w:rPr>
          <w:szCs w:val="22"/>
        </w:rPr>
      </w:pPr>
      <w:bookmarkStart w:id="1530" w:name="_Toc325438295"/>
      <w:r w:rsidRPr="00DA20F5">
        <w:rPr>
          <w:szCs w:val="22"/>
        </w:rPr>
        <w:t>§ 157 ods. 1 Zákonníka práce: Novelizácia zosúladila toto ustanovenie so smernicami EÚ; právna úprava sa dotýka podmienok návratu zamestnankyne po mater</w:t>
      </w:r>
      <w:r w:rsidR="002B5028" w:rsidRPr="00DA20F5">
        <w:rPr>
          <w:szCs w:val="22"/>
        </w:rPr>
        <w:t>skej dovolenke a zamestnanca po </w:t>
      </w:r>
      <w:r w:rsidRPr="00DA20F5">
        <w:rPr>
          <w:szCs w:val="22"/>
        </w:rPr>
        <w:t>rodičovskej dovolenke do práce a § 157 ods. 2 Zákonníka práce sa týka návratu zamestnankyne a zamestnanca po skončení rodičovskej dovolenky do práce.</w:t>
      </w:r>
      <w:bookmarkEnd w:id="1530"/>
    </w:p>
    <w:p w:rsidR="0008700C" w:rsidRPr="00DA20F5" w:rsidRDefault="0008700C" w:rsidP="00DB509D">
      <w:pPr>
        <w:pStyle w:val="Odsekzoznamu"/>
        <w:numPr>
          <w:ilvl w:val="0"/>
          <w:numId w:val="12"/>
        </w:numPr>
        <w:ind w:left="357" w:hanging="357"/>
        <w:contextualSpacing/>
        <w:rPr>
          <w:szCs w:val="22"/>
        </w:rPr>
      </w:pPr>
      <w:bookmarkStart w:id="1531" w:name="_Toc325438296"/>
      <w:r w:rsidRPr="00DA20F5">
        <w:rPr>
          <w:szCs w:val="22"/>
        </w:rPr>
        <w:t>Novela zúžila § 161 ods. 1 Zákonníka práce, ktorý bol podľa názoru Európskej komisie neurčitý vo vzťahu k určeniu obdobia, kedy sa vykonáva materské poslanie (materské poslanie nemusí byť obmedzené vekom dieťaťa) a to tak, že zabezpečila osobný rozsah znením „tehotná žena, matka do konca deviateho mesiaca po pôrode a dojčiaca žena“, z ktorého je jasné, že ochrana sa vzťahuje len na obdobie tehotenstva, do konca deviateho mesiaca po pôrode a počas celého obdobia dojčenia. Takáto kategória zamestnankýň nesmie byť zamestnávaná prácami, ktoré sú pre ne fyzicky neprimerané alebo škodia ich organizmu.</w:t>
      </w:r>
      <w:bookmarkEnd w:id="1531"/>
      <w:r w:rsidRPr="00DA20F5">
        <w:rPr>
          <w:szCs w:val="22"/>
        </w:rPr>
        <w:t xml:space="preserve"> </w:t>
      </w:r>
    </w:p>
    <w:p w:rsidR="0008700C" w:rsidRPr="00DA20F5" w:rsidRDefault="0008700C" w:rsidP="00DB509D">
      <w:pPr>
        <w:pStyle w:val="Odsekzoznamu"/>
        <w:numPr>
          <w:ilvl w:val="0"/>
          <w:numId w:val="12"/>
        </w:numPr>
        <w:ind w:left="357" w:hanging="357"/>
        <w:contextualSpacing/>
        <w:rPr>
          <w:szCs w:val="22"/>
        </w:rPr>
      </w:pPr>
      <w:r w:rsidRPr="00DA20F5">
        <w:rPr>
          <w:szCs w:val="22"/>
        </w:rPr>
        <w:t xml:space="preserve"> </w:t>
      </w:r>
      <w:bookmarkStart w:id="1532" w:name="_Toc325438297"/>
      <w:r w:rsidRPr="00DA20F5">
        <w:rPr>
          <w:szCs w:val="22"/>
        </w:rPr>
        <w:t>Účelom úpravy § 166 ods. 2 bolo predovšetkým spresniť deň, kedy sa končí rodičovská dovolenka, aby sa predišlo problémom v praxi pri jeho presnom určení (t.</w:t>
      </w:r>
      <w:r w:rsidR="000A7003" w:rsidRPr="00DA20F5">
        <w:rPr>
          <w:szCs w:val="22"/>
        </w:rPr>
        <w:t xml:space="preserve"> </w:t>
      </w:r>
      <w:r w:rsidRPr="00DA20F5">
        <w:rPr>
          <w:szCs w:val="22"/>
        </w:rPr>
        <w:t>j. či ide o deň predchádzajúci dňu, keď dieťa dovŕši tri roky veku alebo deň, keď dieťa dovŕši tri roky veku, resp. 6 rokov veku). Z novelizovaného znenia vyplýva, že posledným dňom rodičovskej dovolenky je deň, kedy dieťa dovŕši tri roky veku, resp. 6 rokov veku.</w:t>
      </w:r>
      <w:bookmarkEnd w:id="1532"/>
      <w:r w:rsidRPr="00DA20F5">
        <w:rPr>
          <w:szCs w:val="22"/>
        </w:rPr>
        <w:t xml:space="preserve"> </w:t>
      </w:r>
    </w:p>
    <w:p w:rsidR="0008700C" w:rsidRPr="00DA20F5" w:rsidRDefault="0008700C" w:rsidP="00DB509D">
      <w:pPr>
        <w:pStyle w:val="Odsekzoznamu"/>
        <w:numPr>
          <w:ilvl w:val="0"/>
          <w:numId w:val="12"/>
        </w:numPr>
        <w:ind w:left="357" w:hanging="357"/>
        <w:contextualSpacing/>
        <w:rPr>
          <w:szCs w:val="22"/>
        </w:rPr>
      </w:pPr>
      <w:bookmarkStart w:id="1533" w:name="_Toc325438298"/>
      <w:r w:rsidRPr="00DA20F5">
        <w:rPr>
          <w:szCs w:val="22"/>
        </w:rPr>
        <w:t>Vyššie uvedený § 166 bol doplnený odsekom 3, kde sa určuje povinnosť pre ženu a muža, ktorí nastupujú na materskú a rodičovskú dovolenku</w:t>
      </w:r>
      <w:r w:rsidR="000F4F21" w:rsidRPr="00DA20F5">
        <w:rPr>
          <w:szCs w:val="22"/>
        </w:rPr>
        <w:t>,</w:t>
      </w:r>
      <w:r w:rsidRPr="00DA20F5">
        <w:rPr>
          <w:szCs w:val="22"/>
        </w:rPr>
        <w:t xml:space="preserve"> písomne oznámiť svojmu zamestnávateľovi predpokladaný deň jej nástupu, jej skončenia, ako aj prípady zmeny týkajúcej sa nástupu, t.</w:t>
      </w:r>
      <w:r w:rsidR="002B5028" w:rsidRPr="00DA20F5">
        <w:rPr>
          <w:szCs w:val="22"/>
        </w:rPr>
        <w:t> j. </w:t>
      </w:r>
      <w:r w:rsidRPr="00DA20F5">
        <w:rPr>
          <w:szCs w:val="22"/>
        </w:rPr>
        <w:t>prerušenia a skončenia materskej dovolenky a rodičovskej dovolenky. V nadväznosti na túto povinnosť sa ustanovuje lehota, v rámci ktorej budú povinní muž a žena upovedomiť zamestnávateľa o svojom úmysle uplatniť svoje právo na materskú a rodičovskú dovolenku.</w:t>
      </w:r>
      <w:bookmarkEnd w:id="1533"/>
      <w:r w:rsidRPr="00DA20F5">
        <w:rPr>
          <w:szCs w:val="22"/>
        </w:rPr>
        <w:t xml:space="preserve"> </w:t>
      </w:r>
    </w:p>
    <w:p w:rsidR="0008700C" w:rsidRPr="00DA20F5" w:rsidRDefault="0008700C" w:rsidP="00D36FB8">
      <w:pPr>
        <w:spacing w:before="120"/>
        <w:rPr>
          <w:bCs/>
          <w:szCs w:val="22"/>
        </w:rPr>
      </w:pPr>
      <w:r w:rsidRPr="00DA20F5">
        <w:rPr>
          <w:b/>
          <w:bCs/>
          <w:szCs w:val="22"/>
        </w:rPr>
        <w:t>2.</w:t>
      </w:r>
      <w:r w:rsidRPr="00DA20F5">
        <w:rPr>
          <w:bCs/>
          <w:szCs w:val="22"/>
        </w:rPr>
        <w:t xml:space="preserve"> Zákonom č. 257/2011 Z. z. ktorým sa mení a dopĺňa</w:t>
      </w:r>
      <w:r w:rsidRPr="00DA20F5">
        <w:rPr>
          <w:b/>
          <w:bCs/>
          <w:szCs w:val="22"/>
        </w:rPr>
        <w:t xml:space="preserve"> </w:t>
      </w:r>
      <w:r w:rsidRPr="00DA20F5">
        <w:rPr>
          <w:bCs/>
          <w:szCs w:val="22"/>
        </w:rPr>
        <w:t xml:space="preserve">zákon č. 311/2001 Z. z. Zákonník práce v znení neskorších predpisov a ktorým sa menia a dopĺňajú </w:t>
      </w:r>
      <w:r w:rsidR="002B5028" w:rsidRPr="00DA20F5">
        <w:rPr>
          <w:bCs/>
          <w:szCs w:val="22"/>
        </w:rPr>
        <w:t>niektoré zákony s účinnosťou od </w:t>
      </w:r>
      <w:r w:rsidRPr="00DA20F5">
        <w:rPr>
          <w:bCs/>
          <w:szCs w:val="22"/>
        </w:rPr>
        <w:t xml:space="preserve">1. septembra 2011 zmenil a doplnil nasledovné ustanovenia: </w:t>
      </w:r>
    </w:p>
    <w:p w:rsidR="0008700C" w:rsidRPr="00DA20F5" w:rsidRDefault="0008700C" w:rsidP="00DB509D">
      <w:pPr>
        <w:pStyle w:val="Odsekzoznamu"/>
        <w:numPr>
          <w:ilvl w:val="0"/>
          <w:numId w:val="13"/>
        </w:numPr>
        <w:ind w:left="714" w:hanging="357"/>
        <w:contextualSpacing/>
        <w:rPr>
          <w:szCs w:val="22"/>
        </w:rPr>
      </w:pPr>
      <w:r w:rsidRPr="00DA20F5">
        <w:rPr>
          <w:szCs w:val="22"/>
        </w:rPr>
        <w:t>§ 13 ods. 4 Zákonníka práce.</w:t>
      </w:r>
      <w:r w:rsidRPr="00DA20F5">
        <w:rPr>
          <w:b/>
          <w:szCs w:val="22"/>
        </w:rPr>
        <w:t xml:space="preserve"> </w:t>
      </w:r>
      <w:r w:rsidRPr="00DA20F5">
        <w:rPr>
          <w:szCs w:val="22"/>
        </w:rPr>
        <w:t>V súvislosti s dodržaním zásady rovnakého zaobchádzania</w:t>
      </w:r>
      <w:r w:rsidRPr="00DA20F5">
        <w:rPr>
          <w:i/>
          <w:szCs w:val="22"/>
        </w:rPr>
        <w:t xml:space="preserve"> </w:t>
      </w:r>
      <w:r w:rsidRPr="00DA20F5">
        <w:rPr>
          <w:szCs w:val="22"/>
        </w:rPr>
        <w:t>sa doplnilo ustanovenie § 13 ods. 4 o právo zamestnanca podať zamestnávateľovi sťažnosť nielen v súvislosti s porušením zásady rovnakého zaobchádzania, ale aj z dôvodov uvedených v § 13 ods. 3 (napríklad mobing, bossing na pracovisku)</w:t>
      </w:r>
    </w:p>
    <w:p w:rsidR="0008700C" w:rsidRPr="00DA20F5" w:rsidRDefault="0008700C" w:rsidP="00DB509D">
      <w:pPr>
        <w:pStyle w:val="Odsekzoznamu"/>
        <w:numPr>
          <w:ilvl w:val="0"/>
          <w:numId w:val="13"/>
        </w:numPr>
        <w:ind w:left="714" w:hanging="357"/>
        <w:contextualSpacing/>
        <w:rPr>
          <w:szCs w:val="22"/>
        </w:rPr>
      </w:pPr>
      <w:r w:rsidRPr="00DA20F5">
        <w:rPr>
          <w:szCs w:val="22"/>
        </w:rPr>
        <w:t xml:space="preserve">doplnil sa § 49a zadefinovaním deleného pracovného miesta, na ktorom si zamestnanci v pracovnom pomere na kratší pracovný čas sami medzi sebou rozvrhnú pracovný čas a pracovnú náplň a ak sa nedohodnú, rozvrhnutie určí zamestnávateľ. </w:t>
      </w:r>
    </w:p>
    <w:p w:rsidR="0008700C" w:rsidRPr="00DA20F5" w:rsidRDefault="0008700C" w:rsidP="00DB509D">
      <w:pPr>
        <w:pStyle w:val="Odsekzoznamu"/>
        <w:numPr>
          <w:ilvl w:val="0"/>
          <w:numId w:val="13"/>
        </w:numPr>
        <w:ind w:left="714" w:hanging="357"/>
        <w:contextualSpacing/>
        <w:rPr>
          <w:szCs w:val="22"/>
        </w:rPr>
      </w:pPr>
      <w:r w:rsidRPr="00DA20F5">
        <w:rPr>
          <w:szCs w:val="22"/>
        </w:rPr>
        <w:t>§ 55 bol doplnený v bode 2 písm. b), ktorým sa ukladá zamestnávateľovi povinnosť preradiť zamestnanca na inú prácu, ak tehotná žena, matka do konca deviateho mesiaca po pôrode a dojčiaca žena vykonáva prácu, ktorou sa nesmú tieto ženy zamestnávať alebo ktorá podľa lekárskeho posudku ohrozuje jej tehotenstvo alebo materské poslanie a písm. f) tehotná žena, matka do konca deviateho mesiaca po pôrode a dojčiaca žena pracujúca v noci požiada o preradenie na dennú prácu.</w:t>
      </w:r>
    </w:p>
    <w:p w:rsidR="0008700C" w:rsidRPr="00DA20F5" w:rsidRDefault="0008700C" w:rsidP="00D36FB8">
      <w:pPr>
        <w:rPr>
          <w:szCs w:val="22"/>
        </w:rPr>
      </w:pPr>
      <w:r w:rsidRPr="00DA20F5">
        <w:rPr>
          <w:szCs w:val="22"/>
        </w:rPr>
        <w:t>Slovenská republika podpísala dňa 11. mája 2011 s výhradou ratifikácie</w:t>
      </w:r>
      <w:r w:rsidR="002B5028" w:rsidRPr="00DA20F5">
        <w:rPr>
          <w:b/>
          <w:szCs w:val="22"/>
        </w:rPr>
        <w:t xml:space="preserve"> Dohovor Rady Európy o </w:t>
      </w:r>
      <w:r w:rsidRPr="00DA20F5">
        <w:rPr>
          <w:b/>
          <w:szCs w:val="22"/>
        </w:rPr>
        <w:t>predchádzaní násiliu na ženách a domácemu násiliu a o boji proti nemu</w:t>
      </w:r>
      <w:r w:rsidRPr="00DA20F5">
        <w:rPr>
          <w:szCs w:val="22"/>
        </w:rPr>
        <w:t>.</w:t>
      </w:r>
    </w:p>
    <w:p w:rsidR="0008700C" w:rsidRPr="00DA20F5" w:rsidRDefault="0008700C" w:rsidP="00D36FB8">
      <w:pPr>
        <w:pStyle w:val="Zkladntext2"/>
        <w:rPr>
          <w:b w:val="0"/>
          <w:szCs w:val="22"/>
          <w:lang w:val="sk-SK"/>
        </w:rPr>
      </w:pPr>
      <w:r w:rsidRPr="00DA20F5">
        <w:rPr>
          <w:b w:val="0"/>
          <w:szCs w:val="22"/>
          <w:lang w:val="sk-SK"/>
        </w:rPr>
        <w:t>Významným pozitívom pre oblasť rodovej rovnosti je publikovanie údajov o rodových nerovnostiach Štatistickým úradom Slovenskej republiky</w:t>
      </w:r>
      <w:r w:rsidR="00AC5AAB" w:rsidRPr="00DA20F5">
        <w:rPr>
          <w:b w:val="0"/>
          <w:szCs w:val="22"/>
          <w:lang w:val="sk-SK"/>
        </w:rPr>
        <w:t xml:space="preserve"> </w:t>
      </w:r>
      <w:r w:rsidRPr="00DA20F5">
        <w:rPr>
          <w:b w:val="0"/>
          <w:szCs w:val="22"/>
          <w:lang w:val="sk-SK"/>
        </w:rPr>
        <w:t>a vytvorenie internetovej stránky Štatistického úradu SR, na ktorej sú zverejnené štatistické údaje o problematike rodovej rovnosti a ich každoročná aktualizácia.</w:t>
      </w:r>
      <w:r w:rsidRPr="00DA20F5">
        <w:rPr>
          <w:rStyle w:val="Odkaznapoznmkupodiarou"/>
          <w:b w:val="0"/>
          <w:szCs w:val="22"/>
          <w:lang w:val="sk-SK"/>
        </w:rPr>
        <w:footnoteReference w:id="50"/>
      </w:r>
    </w:p>
    <w:p w:rsidR="0008700C" w:rsidRPr="00DA20F5" w:rsidRDefault="0008700C" w:rsidP="00D36FB8">
      <w:pPr>
        <w:rPr>
          <w:szCs w:val="22"/>
        </w:rPr>
      </w:pPr>
      <w:r w:rsidRPr="00DA20F5">
        <w:rPr>
          <w:szCs w:val="22"/>
        </w:rPr>
        <w:t xml:space="preserve">Na základe monitorovacej Súhrnnej správy o stave rodovej rovnosti na Slovensku za rok 2011 možno konštatovať zmeny vo viacerých ukazovateľoch stavu rodovej rovnosti. Medzi najsledovanejšie patrí rodový mzdový rozdiel, ktorý sa v posledných rokoch pohybuje nad 20 % a v 1. štvrťroku 2011 dosahoval hodnotu 20,9 %. </w:t>
      </w:r>
    </w:p>
    <w:p w:rsidR="0008700C" w:rsidRPr="00DA20F5" w:rsidRDefault="0008700C" w:rsidP="00D36FB8">
      <w:pPr>
        <w:rPr>
          <w:szCs w:val="22"/>
          <w:lang w:eastAsia="de-DE"/>
        </w:rPr>
      </w:pPr>
      <w:r w:rsidRPr="00DA20F5">
        <w:rPr>
          <w:szCs w:val="22"/>
          <w:lang w:eastAsia="de-DE"/>
        </w:rPr>
        <w:t xml:space="preserve">V oblasti </w:t>
      </w:r>
      <w:r w:rsidRPr="00DA20F5">
        <w:rPr>
          <w:b/>
          <w:szCs w:val="22"/>
          <w:lang w:eastAsia="de-DE"/>
        </w:rPr>
        <w:t>zamestnanosti žien</w:t>
      </w:r>
      <w:r w:rsidRPr="00DA20F5">
        <w:rPr>
          <w:szCs w:val="22"/>
          <w:lang w:eastAsia="de-DE"/>
        </w:rPr>
        <w:t xml:space="preserve"> je na Slovensku situácia porovnateľná s krajinami EÚ. Miera ekonomickej aktivity u mužo</w:t>
      </w:r>
      <w:r w:rsidR="000A7003" w:rsidRPr="00DA20F5">
        <w:rPr>
          <w:szCs w:val="22"/>
          <w:lang w:eastAsia="de-DE"/>
        </w:rPr>
        <w:t>v dosahuje stále neporovnateľne</w:t>
      </w:r>
      <w:r w:rsidRPr="00DA20F5">
        <w:rPr>
          <w:szCs w:val="22"/>
          <w:lang w:eastAsia="de-DE"/>
        </w:rPr>
        <w:t xml:space="preserve"> vyššiu úroveň ako u žien, keď rodový rozdiel dosahuje zhruba 17 %. Rovnako je to v prípade rozdielu v mierach zamestnanosti medzi </w:t>
      </w:r>
      <w:r w:rsidRPr="00DA20F5">
        <w:rPr>
          <w:szCs w:val="22"/>
          <w:lang w:eastAsia="de-DE"/>
        </w:rPr>
        <w:lastRenderedPageBreak/>
        <w:t xml:space="preserve">ženami a mužmi, ktorý dosahuje hodnoty 13 % v neprospech žien. Nárast dlhodobej nezamestnanosti sa premieta aj do zloženia skupiny nezamestnaných žien a mužov podľa dĺžky trvania nezamestnanosti. Najväčšie rozdiely sa prejavujú v zamestnanosti v preddôchodkovom veku. </w:t>
      </w:r>
    </w:p>
    <w:p w:rsidR="0008700C" w:rsidRPr="00DA20F5" w:rsidRDefault="0008700C" w:rsidP="00D36FB8">
      <w:pPr>
        <w:pStyle w:val="Nadpis7"/>
        <w:rPr>
          <w:lang w:eastAsia="de-DE"/>
        </w:rPr>
      </w:pPr>
      <w:bookmarkStart w:id="1534" w:name="_Toc325438299"/>
      <w:bookmarkStart w:id="1535" w:name="_Toc325441035"/>
      <w:bookmarkStart w:id="1536" w:name="_Toc325626848"/>
      <w:bookmarkStart w:id="1537" w:name="_Toc326217109"/>
      <w:r w:rsidRPr="00DA20F5">
        <w:rPr>
          <w:lang w:eastAsia="de-DE"/>
        </w:rPr>
        <w:t>Graf 4.</w:t>
      </w:r>
      <w:r w:rsidR="007D70D2" w:rsidRPr="00DA20F5">
        <w:rPr>
          <w:lang w:eastAsia="de-DE"/>
        </w:rPr>
        <w:t>7</w:t>
      </w:r>
      <w:r w:rsidR="00AC5AAB" w:rsidRPr="00DA20F5">
        <w:rPr>
          <w:lang w:eastAsia="de-DE"/>
        </w:rPr>
        <w:t xml:space="preserve"> </w:t>
      </w:r>
      <w:r w:rsidRPr="00DA20F5">
        <w:rPr>
          <w:lang w:eastAsia="de-DE"/>
        </w:rPr>
        <w:t>Miera zamestnanosti žien a mužov v roku 2011, medzinárodné porovnanie</w:t>
      </w:r>
      <w:bookmarkEnd w:id="1534"/>
      <w:bookmarkEnd w:id="1535"/>
      <w:bookmarkEnd w:id="1536"/>
      <w:bookmarkEnd w:id="1537"/>
    </w:p>
    <w:p w:rsidR="0008700C" w:rsidRPr="00DA20F5" w:rsidRDefault="0008700C" w:rsidP="00D36FB8">
      <w:pPr>
        <w:rPr>
          <w:color w:val="4F81BD" w:themeColor="accent1"/>
          <w:szCs w:val="22"/>
        </w:rPr>
      </w:pPr>
      <w:r w:rsidRPr="00DA20F5">
        <w:rPr>
          <w:noProof/>
          <w:color w:val="4F81BD" w:themeColor="accent1"/>
        </w:rPr>
        <w:drawing>
          <wp:inline distT="0" distB="0" distL="0" distR="0" wp14:anchorId="568AC64D" wp14:editId="24E650C4">
            <wp:extent cx="5760720" cy="2544737"/>
            <wp:effectExtent l="0" t="0" r="0" b="825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08700C" w:rsidRPr="00DA20F5" w:rsidRDefault="0008700C" w:rsidP="00D36FB8">
      <w:pPr>
        <w:pStyle w:val="zdroj"/>
      </w:pPr>
      <w:r w:rsidRPr="00DA20F5">
        <w:t>Zdroj: Eurostat</w:t>
      </w:r>
    </w:p>
    <w:p w:rsidR="0008700C" w:rsidRPr="00DA20F5" w:rsidRDefault="0008700C" w:rsidP="00D36FB8">
      <w:pPr>
        <w:tabs>
          <w:tab w:val="left" w:pos="540"/>
          <w:tab w:val="left" w:pos="720"/>
          <w:tab w:val="left" w:pos="900"/>
        </w:tabs>
        <w:autoSpaceDE w:val="0"/>
        <w:autoSpaceDN w:val="0"/>
        <w:adjustRightInd w:val="0"/>
        <w:rPr>
          <w:szCs w:val="22"/>
          <w:lang w:eastAsia="de-DE"/>
        </w:rPr>
      </w:pPr>
      <w:r w:rsidRPr="00DA20F5">
        <w:rPr>
          <w:szCs w:val="22"/>
          <w:lang w:eastAsia="de-DE"/>
        </w:rPr>
        <w:t xml:space="preserve">V oblasti </w:t>
      </w:r>
      <w:r w:rsidRPr="00DA20F5">
        <w:rPr>
          <w:b/>
          <w:szCs w:val="22"/>
          <w:lang w:eastAsia="de-DE"/>
        </w:rPr>
        <w:t xml:space="preserve">pracovného procesu </w:t>
      </w:r>
      <w:r w:rsidRPr="00DA20F5">
        <w:rPr>
          <w:szCs w:val="22"/>
          <w:lang w:eastAsia="de-DE"/>
        </w:rPr>
        <w:t>sú ženy v SR</w:t>
      </w:r>
      <w:r w:rsidRPr="00DA20F5">
        <w:rPr>
          <w:b/>
          <w:szCs w:val="22"/>
          <w:lang w:eastAsia="de-DE"/>
        </w:rPr>
        <w:t xml:space="preserve"> </w:t>
      </w:r>
      <w:r w:rsidRPr="00DA20F5">
        <w:rPr>
          <w:szCs w:val="22"/>
          <w:lang w:eastAsia="de-DE"/>
        </w:rPr>
        <w:t>konfrontované s horizontálnou i vertikálnou segregáciou. V oblastiach ako zdravotníctvo, sociálne služby a školstvo tvoria ženy až 80 % pracovnej sily, v sektore verejnej správy 70 %. Naopak, v súkromnom sektore s vyššími zárobkami predstavujú ženy iba 42 % zo všetkých zamestnancov. Rodové rozdiely sú najmarkantnejšie v podnikateľskej sfére, kde na jednu podnikateľku pripadajú traja muži - podnikatelia.</w:t>
      </w:r>
    </w:p>
    <w:p w:rsidR="0008700C" w:rsidRPr="00DA20F5" w:rsidRDefault="0008700C" w:rsidP="00D36FB8">
      <w:pPr>
        <w:rPr>
          <w:szCs w:val="22"/>
        </w:rPr>
      </w:pPr>
      <w:r w:rsidRPr="00DA20F5">
        <w:rPr>
          <w:szCs w:val="22"/>
        </w:rPr>
        <w:t>Miery zamestnanosti žien a mužov (15 – 64 ročných) zaznamenali v roku 2011v súvislosti s oživením</w:t>
      </w:r>
      <w:r w:rsidR="00AC5AAB" w:rsidRPr="00DA20F5">
        <w:rPr>
          <w:szCs w:val="22"/>
        </w:rPr>
        <w:t xml:space="preserve"> </w:t>
      </w:r>
      <w:r w:rsidRPr="00DA20F5">
        <w:rPr>
          <w:szCs w:val="22"/>
        </w:rPr>
        <w:t xml:space="preserve">nárast miery zamestnanosti mužov aj žien, u mužov však miera zamestnanosti rastie rýchlejšie. V roku 2011 dosahovala miera zamestnanosti u žien 52,7 % a u mužov 66,3 %. Absolútny rodový rozdiel mier zamestnanosti 15-64 ročných v roku 2011 dosiahol 13,6 p. b. </w:t>
      </w:r>
    </w:p>
    <w:p w:rsidR="0008700C" w:rsidRPr="00DA20F5" w:rsidRDefault="0008700C" w:rsidP="00D36FB8">
      <w:pPr>
        <w:rPr>
          <w:szCs w:val="22"/>
        </w:rPr>
      </w:pPr>
      <w:r w:rsidRPr="00DA20F5">
        <w:rPr>
          <w:szCs w:val="22"/>
        </w:rPr>
        <w:t>Slovenská republika už dlhodobo patrí v Európe medzi krajiny s najnižším podielom žien a mužov pracujúcich na kratší pracovný čas. V roku 2011 sa medziročne podiel žien 15-64 ročných pracujúcich na kratší úväzok zvýšil z 5,67 % na 6,18 % a u mužov z 3,26 % na 3,28 %. Najčastejším dôvodom</w:t>
      </w:r>
      <w:r w:rsidR="00AC5AAB" w:rsidRPr="00DA20F5">
        <w:rPr>
          <w:szCs w:val="22"/>
        </w:rPr>
        <w:t xml:space="preserve"> </w:t>
      </w:r>
      <w:r w:rsidRPr="00DA20F5">
        <w:rPr>
          <w:szCs w:val="22"/>
        </w:rPr>
        <w:t>kratšieho pracovného úväzku je nedostatok práce, resp. z iniciatívy zamestnávateľa a nemožnosť nájsť si prácu</w:t>
      </w:r>
      <w:r w:rsidR="00AC5AAB" w:rsidRPr="00DA20F5">
        <w:rPr>
          <w:szCs w:val="22"/>
        </w:rPr>
        <w:t xml:space="preserve"> </w:t>
      </w:r>
      <w:r w:rsidRPr="00DA20F5">
        <w:rPr>
          <w:szCs w:val="22"/>
        </w:rPr>
        <w:t>na plný pracovný čas.</w:t>
      </w:r>
      <w:r w:rsidRPr="00DA20F5">
        <w:rPr>
          <w:rStyle w:val="Odkaznapoznmkupodiarou"/>
          <w:szCs w:val="22"/>
        </w:rPr>
        <w:footnoteReference w:id="51"/>
      </w:r>
    </w:p>
    <w:p w:rsidR="0008700C" w:rsidRPr="00DA20F5" w:rsidRDefault="007D70D2" w:rsidP="00D36FB8">
      <w:pPr>
        <w:pStyle w:val="Nadpis7"/>
        <w:spacing w:before="120"/>
      </w:pPr>
      <w:bookmarkStart w:id="1538" w:name="_Toc325438300"/>
      <w:bookmarkStart w:id="1539" w:name="_Toc325441036"/>
      <w:bookmarkStart w:id="1540" w:name="_Toc325626849"/>
      <w:bookmarkStart w:id="1541" w:name="_Toc326217110"/>
      <w:r w:rsidRPr="00DA20F5">
        <w:t>Graf 4.8</w:t>
      </w:r>
      <w:r w:rsidR="00AC5AAB" w:rsidRPr="00DA20F5">
        <w:t xml:space="preserve"> </w:t>
      </w:r>
      <w:r w:rsidR="0008700C" w:rsidRPr="00DA20F5">
        <w:t>Vývoj počtu zamestnaných žien a mužov na kratší pracovný úväzok</w:t>
      </w:r>
      <w:bookmarkEnd w:id="1538"/>
      <w:bookmarkEnd w:id="1539"/>
      <w:bookmarkEnd w:id="1540"/>
      <w:bookmarkEnd w:id="1541"/>
    </w:p>
    <w:p w:rsidR="0008700C" w:rsidRPr="00DA20F5" w:rsidRDefault="0008700C" w:rsidP="00D36FB8">
      <w:pPr>
        <w:jc w:val="center"/>
        <w:rPr>
          <w:b/>
          <w:color w:val="4F81BD" w:themeColor="accent1"/>
          <w:szCs w:val="22"/>
        </w:rPr>
      </w:pPr>
      <w:r w:rsidRPr="00DA20F5">
        <w:rPr>
          <w:noProof/>
          <w:color w:val="4F81BD" w:themeColor="accent1"/>
        </w:rPr>
        <w:drawing>
          <wp:inline distT="0" distB="0" distL="0" distR="0" wp14:anchorId="32B52C0C" wp14:editId="6B678EB7">
            <wp:extent cx="3631720" cy="2053086"/>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08700C" w:rsidRPr="00DA20F5" w:rsidRDefault="0008700C" w:rsidP="00D36FB8">
      <w:pPr>
        <w:pStyle w:val="zdroj"/>
      </w:pPr>
      <w:r w:rsidRPr="00DA20F5">
        <w:rPr>
          <w:szCs w:val="22"/>
        </w:rPr>
        <w:tab/>
      </w:r>
      <w:r w:rsidRPr="00DA20F5">
        <w:rPr>
          <w:szCs w:val="22"/>
        </w:rPr>
        <w:tab/>
      </w:r>
      <w:r w:rsidRPr="00DA20F5">
        <w:t>Zdroj:</w:t>
      </w:r>
      <w:r w:rsidR="00DA20F5">
        <w:t xml:space="preserve"> </w:t>
      </w:r>
      <w:r w:rsidRPr="00DA20F5">
        <w:t>ŠÚ SR</w:t>
      </w:r>
    </w:p>
    <w:p w:rsidR="0008700C" w:rsidRPr="00DA20F5" w:rsidRDefault="0008700C" w:rsidP="00D36FB8">
      <w:pPr>
        <w:rPr>
          <w:szCs w:val="22"/>
        </w:rPr>
      </w:pPr>
      <w:r w:rsidRPr="00DA20F5">
        <w:rPr>
          <w:szCs w:val="22"/>
        </w:rPr>
        <w:lastRenderedPageBreak/>
        <w:t xml:space="preserve">Prítomnosť detí mladších ako 6 rokov v rodine významne znižuje mieru zamestnanosti žien, ale iba minimálne zamestnanosť mužov. Miera zamestnanosti žien 25 – 49 ročných s dieťaťom mladším ako 6 rokov je nižšia ako 40%, u mužov tej istej vekovej kategórie a v tej istej fáze rodičovstva je však viac ako 83%. </w:t>
      </w:r>
    </w:p>
    <w:p w:rsidR="0008700C" w:rsidRPr="00DA20F5" w:rsidRDefault="0008700C" w:rsidP="00D36FB8">
      <w:pPr>
        <w:pStyle w:val="Nadpis7"/>
        <w:spacing w:before="120"/>
      </w:pPr>
      <w:bookmarkStart w:id="1542" w:name="_Toc325438301"/>
      <w:bookmarkStart w:id="1543" w:name="_Toc325441037"/>
      <w:bookmarkStart w:id="1544" w:name="_Toc325626850"/>
      <w:bookmarkStart w:id="1545" w:name="_Toc326217111"/>
      <w:r w:rsidRPr="00DA20F5">
        <w:t>Tab. 4.</w:t>
      </w:r>
      <w:r w:rsidR="000F4F21" w:rsidRPr="00DA20F5">
        <w:t>10</w:t>
      </w:r>
      <w:r w:rsidR="00AC5AAB" w:rsidRPr="00DA20F5">
        <w:t xml:space="preserve"> </w:t>
      </w:r>
      <w:r w:rsidRPr="00DA20F5">
        <w:t>Miera zamestnanosti 25 – 49 ročných žien a mužov s dieťaťom mladším ako 6 rokov</w:t>
      </w:r>
      <w:r w:rsidRPr="00DA20F5">
        <w:br/>
        <w:t xml:space="preserve"> (v %, 2005 – 2010)</w:t>
      </w:r>
      <w:bookmarkEnd w:id="1542"/>
      <w:bookmarkEnd w:id="1543"/>
      <w:bookmarkEnd w:id="1544"/>
      <w:bookmarkEnd w:id="1545"/>
    </w:p>
    <w:tbl>
      <w:tblPr>
        <w:tblStyle w:val="Farebnpodfarbenie2zvraznenie6"/>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61"/>
        <w:gridCol w:w="1058"/>
        <w:gridCol w:w="1313"/>
        <w:gridCol w:w="1037"/>
        <w:gridCol w:w="1007"/>
        <w:gridCol w:w="1111"/>
        <w:gridCol w:w="1089"/>
      </w:tblGrid>
      <w:tr w:rsidR="0008700C" w:rsidRPr="00DA20F5" w:rsidTr="00CC521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4F81BD" w:themeFill="accent1"/>
            <w:noWrap/>
            <w:hideMark/>
          </w:tcPr>
          <w:p w:rsidR="0008700C" w:rsidRPr="00DA20F5" w:rsidRDefault="0008700C" w:rsidP="00D36FB8">
            <w:pPr>
              <w:rPr>
                <w:rFonts w:ascii="Times New Roman" w:hAnsi="Times New Roman" w:cs="Times New Roman"/>
                <w:sz w:val="20"/>
                <w:szCs w:val="20"/>
              </w:rPr>
            </w:pPr>
          </w:p>
        </w:tc>
        <w:tc>
          <w:tcPr>
            <w:tcW w:w="1058" w:type="dxa"/>
            <w:tcBorders>
              <w:top w:val="none" w:sz="0" w:space="0" w:color="auto"/>
              <w:left w:val="none" w:sz="0" w:space="0" w:color="auto"/>
              <w:bottom w:val="none" w:sz="0" w:space="0" w:color="auto"/>
              <w:right w:val="none" w:sz="0" w:space="0" w:color="auto"/>
            </w:tcBorders>
            <w:shd w:val="clear" w:color="auto" w:fill="4F81BD" w:themeFill="accent1"/>
            <w:noWrap/>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2005</w:t>
            </w:r>
          </w:p>
        </w:tc>
        <w:tc>
          <w:tcPr>
            <w:tcW w:w="1313" w:type="dxa"/>
            <w:tcBorders>
              <w:top w:val="none" w:sz="0" w:space="0" w:color="auto"/>
              <w:left w:val="none" w:sz="0" w:space="0" w:color="auto"/>
              <w:bottom w:val="none" w:sz="0" w:space="0" w:color="auto"/>
              <w:right w:val="none" w:sz="0" w:space="0" w:color="auto"/>
            </w:tcBorders>
            <w:shd w:val="clear" w:color="auto" w:fill="4F81BD" w:themeFill="accent1"/>
            <w:noWrap/>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2006</w:t>
            </w:r>
          </w:p>
        </w:tc>
        <w:tc>
          <w:tcPr>
            <w:tcW w:w="1037" w:type="dxa"/>
            <w:tcBorders>
              <w:top w:val="none" w:sz="0" w:space="0" w:color="auto"/>
              <w:left w:val="none" w:sz="0" w:space="0" w:color="auto"/>
              <w:bottom w:val="none" w:sz="0" w:space="0" w:color="auto"/>
              <w:right w:val="none" w:sz="0" w:space="0" w:color="auto"/>
            </w:tcBorders>
            <w:shd w:val="clear" w:color="auto" w:fill="4F81BD" w:themeFill="accent1"/>
            <w:noWrap/>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2007</w:t>
            </w:r>
          </w:p>
        </w:tc>
        <w:tc>
          <w:tcPr>
            <w:tcW w:w="1007" w:type="dxa"/>
            <w:tcBorders>
              <w:top w:val="none" w:sz="0" w:space="0" w:color="auto"/>
              <w:left w:val="none" w:sz="0" w:space="0" w:color="auto"/>
              <w:bottom w:val="none" w:sz="0" w:space="0" w:color="auto"/>
              <w:right w:val="none" w:sz="0" w:space="0" w:color="auto"/>
            </w:tcBorders>
            <w:shd w:val="clear" w:color="auto" w:fill="4F81BD" w:themeFill="accent1"/>
            <w:noWrap/>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2008</w:t>
            </w:r>
          </w:p>
        </w:tc>
        <w:tc>
          <w:tcPr>
            <w:tcW w:w="1111" w:type="dxa"/>
            <w:tcBorders>
              <w:top w:val="none" w:sz="0" w:space="0" w:color="auto"/>
              <w:left w:val="none" w:sz="0" w:space="0" w:color="auto"/>
              <w:bottom w:val="none" w:sz="0" w:space="0" w:color="auto"/>
              <w:right w:val="none" w:sz="0" w:space="0" w:color="auto"/>
            </w:tcBorders>
            <w:shd w:val="clear" w:color="auto" w:fill="4F81BD" w:themeFill="accent1"/>
            <w:noWrap/>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2009</w:t>
            </w:r>
          </w:p>
        </w:tc>
        <w:tc>
          <w:tcPr>
            <w:tcW w:w="1089" w:type="dxa"/>
            <w:tcBorders>
              <w:top w:val="none" w:sz="0" w:space="0" w:color="auto"/>
              <w:left w:val="none" w:sz="0" w:space="0" w:color="auto"/>
              <w:bottom w:val="none" w:sz="0" w:space="0" w:color="auto"/>
              <w:right w:val="none" w:sz="0" w:space="0" w:color="auto"/>
            </w:tcBorders>
            <w:shd w:val="clear" w:color="auto" w:fill="4F81BD" w:themeFill="accent1"/>
            <w:noWrap/>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2010</w:t>
            </w:r>
          </w:p>
        </w:tc>
      </w:tr>
      <w:tr w:rsidR="0008700C" w:rsidRPr="00DA20F5" w:rsidTr="00CC52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noWrap/>
            <w:hideMark/>
          </w:tcPr>
          <w:p w:rsidR="0008700C" w:rsidRPr="00DA20F5" w:rsidRDefault="0008700C" w:rsidP="00D36FB8">
            <w:pPr>
              <w:rPr>
                <w:rFonts w:ascii="Times New Roman" w:hAnsi="Times New Roman" w:cs="Times New Roman"/>
                <w:color w:val="auto"/>
                <w:sz w:val="20"/>
                <w:szCs w:val="20"/>
              </w:rPr>
            </w:pPr>
            <w:r w:rsidRPr="00DA20F5">
              <w:rPr>
                <w:rFonts w:ascii="Times New Roman" w:hAnsi="Times New Roman" w:cs="Times New Roman"/>
                <w:color w:val="auto"/>
                <w:sz w:val="20"/>
                <w:szCs w:val="20"/>
              </w:rPr>
              <w:t xml:space="preserve">Muži </w:t>
            </w:r>
          </w:p>
        </w:tc>
        <w:tc>
          <w:tcPr>
            <w:tcW w:w="1058" w:type="dxa"/>
            <w:shd w:val="clear" w:color="auto" w:fill="auto"/>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83.7</w:t>
            </w:r>
          </w:p>
        </w:tc>
        <w:tc>
          <w:tcPr>
            <w:tcW w:w="1313" w:type="dxa"/>
            <w:shd w:val="clear" w:color="auto" w:fill="auto"/>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86.2</w:t>
            </w:r>
          </w:p>
        </w:tc>
        <w:tc>
          <w:tcPr>
            <w:tcW w:w="1037" w:type="dxa"/>
            <w:shd w:val="clear" w:color="auto" w:fill="auto"/>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88.5</w:t>
            </w:r>
          </w:p>
        </w:tc>
        <w:tc>
          <w:tcPr>
            <w:tcW w:w="1007" w:type="dxa"/>
            <w:shd w:val="clear" w:color="auto" w:fill="auto"/>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91.4</w:t>
            </w:r>
          </w:p>
        </w:tc>
        <w:tc>
          <w:tcPr>
            <w:tcW w:w="1111" w:type="dxa"/>
            <w:shd w:val="clear" w:color="auto" w:fill="auto"/>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90.4</w:t>
            </w:r>
          </w:p>
        </w:tc>
        <w:tc>
          <w:tcPr>
            <w:tcW w:w="1089" w:type="dxa"/>
            <w:shd w:val="clear" w:color="auto" w:fill="auto"/>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86.4</w:t>
            </w:r>
          </w:p>
        </w:tc>
      </w:tr>
      <w:tr w:rsidR="0008700C" w:rsidRPr="00DA20F5" w:rsidTr="00CC521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noWrap/>
          </w:tcPr>
          <w:p w:rsidR="0008700C" w:rsidRPr="00DA20F5" w:rsidRDefault="0008700C" w:rsidP="00D36FB8">
            <w:pPr>
              <w:rPr>
                <w:rFonts w:ascii="Times New Roman" w:hAnsi="Times New Roman" w:cs="Times New Roman"/>
                <w:color w:val="auto"/>
                <w:sz w:val="20"/>
                <w:szCs w:val="20"/>
              </w:rPr>
            </w:pPr>
            <w:r w:rsidRPr="00DA20F5">
              <w:rPr>
                <w:rFonts w:ascii="Times New Roman" w:hAnsi="Times New Roman" w:cs="Times New Roman"/>
                <w:color w:val="auto"/>
                <w:sz w:val="20"/>
                <w:szCs w:val="20"/>
              </w:rPr>
              <w:t>Ženy</w:t>
            </w:r>
          </w:p>
        </w:tc>
        <w:tc>
          <w:tcPr>
            <w:tcW w:w="1058" w:type="dxa"/>
            <w:shd w:val="clear" w:color="auto" w:fill="auto"/>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37.2</w:t>
            </w:r>
          </w:p>
        </w:tc>
        <w:tc>
          <w:tcPr>
            <w:tcW w:w="1313" w:type="dxa"/>
            <w:shd w:val="clear" w:color="auto" w:fill="auto"/>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37.9</w:t>
            </w:r>
          </w:p>
        </w:tc>
        <w:tc>
          <w:tcPr>
            <w:tcW w:w="1037" w:type="dxa"/>
            <w:shd w:val="clear" w:color="auto" w:fill="auto"/>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37.8</w:t>
            </w:r>
          </w:p>
        </w:tc>
        <w:tc>
          <w:tcPr>
            <w:tcW w:w="1007" w:type="dxa"/>
            <w:shd w:val="clear" w:color="auto" w:fill="auto"/>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40.6</w:t>
            </w:r>
          </w:p>
        </w:tc>
        <w:tc>
          <w:tcPr>
            <w:tcW w:w="1111" w:type="dxa"/>
            <w:shd w:val="clear" w:color="auto" w:fill="auto"/>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38.3</w:t>
            </w:r>
          </w:p>
        </w:tc>
        <w:tc>
          <w:tcPr>
            <w:tcW w:w="1089" w:type="dxa"/>
            <w:shd w:val="clear" w:color="auto" w:fill="auto"/>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37.2</w:t>
            </w:r>
          </w:p>
        </w:tc>
      </w:tr>
    </w:tbl>
    <w:p w:rsidR="007A29A1" w:rsidRPr="00DA20F5" w:rsidRDefault="00F93252" w:rsidP="00D36FB8">
      <w:pPr>
        <w:pStyle w:val="zdroj"/>
      </w:pPr>
      <w:r w:rsidRPr="00DA20F5">
        <w:t>Zdroj</w:t>
      </w:r>
      <w:r w:rsidR="0008700C" w:rsidRPr="00DA20F5">
        <w:t>: Eurostat, Labour Force Survey</w:t>
      </w:r>
    </w:p>
    <w:p w:rsidR="0008700C" w:rsidRPr="00DA20F5" w:rsidRDefault="0008700C" w:rsidP="00D36FB8">
      <w:pPr>
        <w:pStyle w:val="Zkladntext2"/>
        <w:rPr>
          <w:b w:val="0"/>
          <w:szCs w:val="22"/>
          <w:lang w:val="sk-SK"/>
        </w:rPr>
      </w:pPr>
      <w:r w:rsidRPr="00DA20F5">
        <w:rPr>
          <w:b w:val="0"/>
          <w:szCs w:val="22"/>
          <w:lang w:val="sk-SK"/>
        </w:rPr>
        <w:t>Medzi základné princípy demokratickej spoločnosti patrí požiadavka vytvárať všetkým občanom rovnakú príležitos</w:t>
      </w:r>
      <w:r w:rsidR="00AD2612" w:rsidRPr="00DA20F5">
        <w:rPr>
          <w:b w:val="0"/>
          <w:szCs w:val="22"/>
          <w:lang w:val="sk-SK"/>
        </w:rPr>
        <w:t>ť k uskutočneniu ich pracovných</w:t>
      </w:r>
      <w:r w:rsidRPr="00DA20F5">
        <w:rPr>
          <w:b w:val="0"/>
          <w:szCs w:val="22"/>
          <w:lang w:val="sk-SK"/>
        </w:rPr>
        <w:t xml:space="preserve"> či spoločenských ambícií, a to bez ohľadu na skutočnosť, či občan je mužom alebo ženou.</w:t>
      </w:r>
    </w:p>
    <w:p w:rsidR="0008700C" w:rsidRPr="00DA20F5" w:rsidRDefault="0008700C" w:rsidP="00D36FB8">
      <w:pPr>
        <w:pStyle w:val="Nadpis7"/>
        <w:spacing w:before="120"/>
      </w:pPr>
      <w:bookmarkStart w:id="1546" w:name="_Toc325438302"/>
      <w:bookmarkStart w:id="1547" w:name="_Toc325441038"/>
      <w:bookmarkStart w:id="1548" w:name="_Toc325626851"/>
      <w:bookmarkStart w:id="1549" w:name="_Toc326217112"/>
      <w:r w:rsidRPr="00DA20F5">
        <w:t>Tab. 4.</w:t>
      </w:r>
      <w:r w:rsidR="000F4F21" w:rsidRPr="00DA20F5">
        <w:t>11</w:t>
      </w:r>
      <w:r w:rsidR="00AC5AAB" w:rsidRPr="00DA20F5">
        <w:t xml:space="preserve"> </w:t>
      </w:r>
      <w:r w:rsidRPr="00DA20F5">
        <w:t>Pracujúci muži a ženy vo vedúcich</w:t>
      </w:r>
      <w:r w:rsidR="00AC5AAB" w:rsidRPr="00DA20F5">
        <w:t xml:space="preserve"> </w:t>
      </w:r>
      <w:r w:rsidRPr="00DA20F5">
        <w:t>a riadiacich funkciách</w:t>
      </w:r>
      <w:r w:rsidR="00AC5AAB" w:rsidRPr="00DA20F5">
        <w:t xml:space="preserve"> </w:t>
      </w:r>
      <w:r w:rsidRPr="00DA20F5">
        <w:br/>
        <w:t>(z výberového zisťovania pracovných síl, podľa Klasifikácie zamestnaní ISCO-08)</w:t>
      </w:r>
      <w:bookmarkEnd w:id="1546"/>
      <w:bookmarkEnd w:id="1547"/>
      <w:bookmarkEnd w:id="1548"/>
      <w:bookmarkEnd w:id="1549"/>
    </w:p>
    <w:tbl>
      <w:tblPr>
        <w:tblStyle w:val="Farebnpodfarbenie2zvraznenie6"/>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643"/>
        <w:gridCol w:w="681"/>
        <w:gridCol w:w="656"/>
        <w:gridCol w:w="656"/>
        <w:gridCol w:w="656"/>
        <w:gridCol w:w="656"/>
        <w:gridCol w:w="656"/>
        <w:gridCol w:w="656"/>
        <w:gridCol w:w="720"/>
      </w:tblGrid>
      <w:tr w:rsidR="0008700C" w:rsidRPr="00DA20F5" w:rsidTr="00CC5218">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100" w:firstRow="0" w:lastRow="0" w:firstColumn="1" w:lastColumn="0" w:oddVBand="0" w:evenVBand="0" w:oddHBand="0" w:evenHBand="0" w:firstRowFirstColumn="1" w:firstRowLastColumn="0" w:lastRowFirstColumn="0" w:lastRowLastColumn="0"/>
            <w:tcW w:w="4324" w:type="dxa"/>
            <w:gridSpan w:val="2"/>
            <w:tcBorders>
              <w:top w:val="none" w:sz="0" w:space="0" w:color="auto"/>
              <w:left w:val="none" w:sz="0" w:space="0" w:color="auto"/>
              <w:bottom w:val="none" w:sz="0" w:space="0" w:color="auto"/>
              <w:right w:val="none" w:sz="0" w:space="0" w:color="auto"/>
            </w:tcBorders>
            <w:shd w:val="clear" w:color="auto" w:fill="4F81BD" w:themeFill="accent1"/>
            <w:vAlign w:val="center"/>
            <w:hideMark/>
          </w:tcPr>
          <w:p w:rsidR="0008700C" w:rsidRPr="00DA20F5" w:rsidRDefault="0008700C" w:rsidP="00D36FB8">
            <w:pPr>
              <w:jc w:val="center"/>
              <w:rPr>
                <w:rFonts w:ascii="Times New Roman" w:hAnsi="Times New Roman" w:cs="Times New Roman"/>
                <w:sz w:val="18"/>
                <w:szCs w:val="18"/>
              </w:rPr>
            </w:pPr>
          </w:p>
        </w:tc>
        <w:tc>
          <w:tcPr>
            <w:tcW w:w="656" w:type="dxa"/>
            <w:tcBorders>
              <w:top w:val="none" w:sz="0" w:space="0" w:color="auto"/>
              <w:left w:val="none" w:sz="0" w:space="0" w:color="auto"/>
              <w:bottom w:val="none" w:sz="0" w:space="0" w:color="auto"/>
              <w:right w:val="none" w:sz="0" w:space="0" w:color="auto"/>
            </w:tcBorders>
            <w:shd w:val="clear" w:color="auto" w:fill="4F81BD" w:themeFill="accent1"/>
            <w:vAlign w:val="center"/>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20F5">
              <w:rPr>
                <w:rFonts w:ascii="Times New Roman" w:hAnsi="Times New Roman" w:cs="Times New Roman"/>
                <w:bCs w:val="0"/>
                <w:kern w:val="24"/>
                <w:sz w:val="18"/>
                <w:szCs w:val="18"/>
              </w:rPr>
              <w:t>2005</w:t>
            </w:r>
          </w:p>
        </w:tc>
        <w:tc>
          <w:tcPr>
            <w:tcW w:w="656" w:type="dxa"/>
            <w:tcBorders>
              <w:top w:val="none" w:sz="0" w:space="0" w:color="auto"/>
              <w:left w:val="none" w:sz="0" w:space="0" w:color="auto"/>
              <w:bottom w:val="none" w:sz="0" w:space="0" w:color="auto"/>
              <w:right w:val="none" w:sz="0" w:space="0" w:color="auto"/>
            </w:tcBorders>
            <w:shd w:val="clear" w:color="auto" w:fill="4F81BD" w:themeFill="accent1"/>
            <w:vAlign w:val="center"/>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20F5">
              <w:rPr>
                <w:rFonts w:ascii="Times New Roman" w:hAnsi="Times New Roman" w:cs="Times New Roman"/>
                <w:bCs w:val="0"/>
                <w:kern w:val="24"/>
                <w:sz w:val="18"/>
                <w:szCs w:val="18"/>
              </w:rPr>
              <w:t>2006</w:t>
            </w:r>
          </w:p>
        </w:tc>
        <w:tc>
          <w:tcPr>
            <w:tcW w:w="656" w:type="dxa"/>
            <w:tcBorders>
              <w:top w:val="none" w:sz="0" w:space="0" w:color="auto"/>
              <w:left w:val="none" w:sz="0" w:space="0" w:color="auto"/>
              <w:bottom w:val="none" w:sz="0" w:space="0" w:color="auto"/>
              <w:right w:val="none" w:sz="0" w:space="0" w:color="auto"/>
            </w:tcBorders>
            <w:shd w:val="clear" w:color="auto" w:fill="4F81BD" w:themeFill="accent1"/>
            <w:vAlign w:val="center"/>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20F5">
              <w:rPr>
                <w:rFonts w:ascii="Times New Roman" w:hAnsi="Times New Roman" w:cs="Times New Roman"/>
                <w:bCs w:val="0"/>
                <w:kern w:val="24"/>
                <w:sz w:val="18"/>
                <w:szCs w:val="18"/>
              </w:rPr>
              <w:t>2007</w:t>
            </w:r>
          </w:p>
        </w:tc>
        <w:tc>
          <w:tcPr>
            <w:tcW w:w="656" w:type="dxa"/>
            <w:tcBorders>
              <w:top w:val="none" w:sz="0" w:space="0" w:color="auto"/>
              <w:left w:val="none" w:sz="0" w:space="0" w:color="auto"/>
              <w:bottom w:val="none" w:sz="0" w:space="0" w:color="auto"/>
              <w:right w:val="none" w:sz="0" w:space="0" w:color="auto"/>
            </w:tcBorders>
            <w:shd w:val="clear" w:color="auto" w:fill="4F81BD" w:themeFill="accent1"/>
            <w:vAlign w:val="center"/>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20F5">
              <w:rPr>
                <w:rFonts w:ascii="Times New Roman" w:hAnsi="Times New Roman" w:cs="Times New Roman"/>
                <w:bCs w:val="0"/>
                <w:kern w:val="24"/>
                <w:sz w:val="18"/>
                <w:szCs w:val="18"/>
              </w:rPr>
              <w:t>2008</w:t>
            </w:r>
          </w:p>
        </w:tc>
        <w:tc>
          <w:tcPr>
            <w:tcW w:w="656" w:type="dxa"/>
            <w:tcBorders>
              <w:top w:val="none" w:sz="0" w:space="0" w:color="auto"/>
              <w:left w:val="none" w:sz="0" w:space="0" w:color="auto"/>
              <w:bottom w:val="none" w:sz="0" w:space="0" w:color="auto"/>
              <w:right w:val="none" w:sz="0" w:space="0" w:color="auto"/>
            </w:tcBorders>
            <w:shd w:val="clear" w:color="auto" w:fill="4F81BD" w:themeFill="accent1"/>
            <w:vAlign w:val="center"/>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20F5">
              <w:rPr>
                <w:rFonts w:ascii="Times New Roman" w:hAnsi="Times New Roman" w:cs="Times New Roman"/>
                <w:bCs w:val="0"/>
                <w:kern w:val="24"/>
                <w:sz w:val="18"/>
                <w:szCs w:val="18"/>
              </w:rPr>
              <w:t>2009</w:t>
            </w:r>
          </w:p>
        </w:tc>
        <w:tc>
          <w:tcPr>
            <w:tcW w:w="656" w:type="dxa"/>
            <w:tcBorders>
              <w:top w:val="none" w:sz="0" w:space="0" w:color="auto"/>
              <w:left w:val="none" w:sz="0" w:space="0" w:color="auto"/>
              <w:bottom w:val="none" w:sz="0" w:space="0" w:color="auto"/>
              <w:right w:val="none" w:sz="0" w:space="0" w:color="auto"/>
            </w:tcBorders>
            <w:shd w:val="clear" w:color="auto" w:fill="4F81BD" w:themeFill="accent1"/>
            <w:vAlign w:val="center"/>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20F5">
              <w:rPr>
                <w:rFonts w:ascii="Times New Roman" w:hAnsi="Times New Roman" w:cs="Times New Roman"/>
                <w:bCs w:val="0"/>
                <w:kern w:val="24"/>
                <w:sz w:val="18"/>
                <w:szCs w:val="18"/>
              </w:rPr>
              <w:t>2010</w:t>
            </w:r>
          </w:p>
        </w:tc>
        <w:tc>
          <w:tcPr>
            <w:tcW w:w="720" w:type="dxa"/>
            <w:tcBorders>
              <w:top w:val="none" w:sz="0" w:space="0" w:color="auto"/>
              <w:left w:val="none" w:sz="0" w:space="0" w:color="auto"/>
              <w:bottom w:val="none" w:sz="0" w:space="0" w:color="auto"/>
              <w:right w:val="none" w:sz="0" w:space="0" w:color="auto"/>
            </w:tcBorders>
            <w:shd w:val="clear" w:color="auto" w:fill="4F81BD" w:themeFill="accent1"/>
            <w:vAlign w:val="center"/>
            <w:hideMark/>
          </w:tcPr>
          <w:p w:rsidR="0008700C" w:rsidRPr="00DA20F5" w:rsidRDefault="0008700C" w:rsidP="00D3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20F5">
              <w:rPr>
                <w:rFonts w:ascii="Times New Roman" w:hAnsi="Times New Roman" w:cs="Times New Roman"/>
                <w:bCs w:val="0"/>
                <w:kern w:val="24"/>
                <w:sz w:val="18"/>
                <w:szCs w:val="18"/>
              </w:rPr>
              <w:t>2011</w:t>
            </w:r>
          </w:p>
        </w:tc>
      </w:tr>
      <w:tr w:rsidR="0008700C" w:rsidRPr="00DA20F5" w:rsidTr="00CC521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643" w:type="dxa"/>
            <w:vMerge w:val="restart"/>
            <w:tcBorders>
              <w:left w:val="none" w:sz="0" w:space="0" w:color="auto"/>
              <w:bottom w:val="none" w:sz="0" w:space="0" w:color="auto"/>
              <w:right w:val="none" w:sz="0" w:space="0" w:color="auto"/>
            </w:tcBorders>
            <w:shd w:val="clear" w:color="auto" w:fill="auto"/>
            <w:vAlign w:val="center"/>
            <w:hideMark/>
          </w:tcPr>
          <w:p w:rsidR="0008700C" w:rsidRPr="00DA20F5" w:rsidRDefault="0008700C" w:rsidP="00D36FB8">
            <w:pPr>
              <w:jc w:val="left"/>
              <w:rPr>
                <w:rFonts w:ascii="Times New Roman" w:hAnsi="Times New Roman" w:cs="Times New Roman"/>
                <w:b w:val="0"/>
                <w:color w:val="auto"/>
                <w:sz w:val="20"/>
                <w:szCs w:val="20"/>
              </w:rPr>
            </w:pPr>
            <w:r w:rsidRPr="00DA20F5">
              <w:rPr>
                <w:rFonts w:ascii="Times New Roman" w:hAnsi="Times New Roman" w:cs="Times New Roman"/>
                <w:b w:val="0"/>
                <w:color w:val="auto"/>
                <w:kern w:val="24"/>
                <w:sz w:val="20"/>
                <w:szCs w:val="20"/>
              </w:rPr>
              <w:t>Zákonodarcovia a riadiaci zamestnanci</w:t>
            </w:r>
            <w:r w:rsidR="00AC5AAB" w:rsidRPr="00DA20F5">
              <w:rPr>
                <w:rFonts w:ascii="Times New Roman" w:hAnsi="Times New Roman" w:cs="Times New Roman"/>
                <w:b w:val="0"/>
                <w:color w:val="auto"/>
                <w:kern w:val="24"/>
                <w:sz w:val="20"/>
                <w:szCs w:val="20"/>
              </w:rPr>
              <w:t xml:space="preserve"> </w:t>
            </w:r>
            <w:r w:rsidRPr="00DA20F5">
              <w:rPr>
                <w:rFonts w:ascii="Times New Roman" w:hAnsi="Times New Roman" w:cs="Times New Roman"/>
                <w:b w:val="0"/>
                <w:color w:val="auto"/>
                <w:kern w:val="24"/>
                <w:sz w:val="20"/>
                <w:szCs w:val="20"/>
              </w:rPr>
              <w:t>v tis. osobách</w:t>
            </w:r>
          </w:p>
        </w:tc>
        <w:tc>
          <w:tcPr>
            <w:tcW w:w="681"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A20F5">
              <w:rPr>
                <w:rFonts w:ascii="Times New Roman" w:hAnsi="Times New Roman" w:cs="Times New Roman"/>
                <w:b/>
                <w:kern w:val="24"/>
                <w:sz w:val="20"/>
                <w:szCs w:val="20"/>
              </w:rPr>
              <w:t>muži</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95,7</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A20F5">
              <w:rPr>
                <w:rFonts w:ascii="Times New Roman" w:hAnsi="Times New Roman" w:cs="Times New Roman"/>
                <w:b/>
                <w:kern w:val="24"/>
                <w:sz w:val="20"/>
                <w:szCs w:val="20"/>
              </w:rPr>
              <w:t>95,0</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88,7</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94,2</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92,9</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91,0</w:t>
            </w:r>
          </w:p>
        </w:tc>
        <w:tc>
          <w:tcPr>
            <w:tcW w:w="720"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85,3</w:t>
            </w:r>
          </w:p>
        </w:tc>
      </w:tr>
      <w:tr w:rsidR="0008700C" w:rsidRPr="00DA20F5" w:rsidTr="00CC5218">
        <w:trPr>
          <w:trHeight w:val="340"/>
          <w:jc w:val="center"/>
        </w:trPr>
        <w:tc>
          <w:tcPr>
            <w:cnfStyle w:val="001000000000" w:firstRow="0" w:lastRow="0" w:firstColumn="1" w:lastColumn="0" w:oddVBand="0" w:evenVBand="0" w:oddHBand="0" w:evenHBand="0" w:firstRowFirstColumn="0" w:firstRowLastColumn="0" w:lastRowFirstColumn="0" w:lastRowLastColumn="0"/>
            <w:tcW w:w="3643" w:type="dxa"/>
            <w:vMerge/>
            <w:tcBorders>
              <w:left w:val="none" w:sz="0" w:space="0" w:color="auto"/>
              <w:bottom w:val="none" w:sz="0" w:space="0" w:color="auto"/>
              <w:right w:val="none" w:sz="0" w:space="0" w:color="auto"/>
            </w:tcBorders>
            <w:shd w:val="clear" w:color="auto" w:fill="auto"/>
            <w:vAlign w:val="center"/>
            <w:hideMark/>
          </w:tcPr>
          <w:p w:rsidR="0008700C" w:rsidRPr="00DA20F5" w:rsidRDefault="0008700C" w:rsidP="00D36FB8">
            <w:pPr>
              <w:jc w:val="left"/>
              <w:rPr>
                <w:rFonts w:ascii="Times New Roman" w:hAnsi="Times New Roman" w:cs="Times New Roman"/>
                <w:b w:val="0"/>
                <w:color w:val="auto"/>
                <w:sz w:val="20"/>
                <w:szCs w:val="20"/>
              </w:rPr>
            </w:pPr>
          </w:p>
        </w:tc>
        <w:tc>
          <w:tcPr>
            <w:tcW w:w="681" w:type="dxa"/>
            <w:shd w:val="clear" w:color="auto" w:fill="auto"/>
            <w:vAlign w:val="center"/>
            <w:hideMark/>
          </w:tcPr>
          <w:p w:rsidR="0008700C" w:rsidRPr="00DA20F5" w:rsidRDefault="0008700C" w:rsidP="00D36F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A20F5">
              <w:rPr>
                <w:rFonts w:ascii="Times New Roman" w:hAnsi="Times New Roman" w:cs="Times New Roman"/>
                <w:b/>
                <w:kern w:val="24"/>
                <w:sz w:val="20"/>
                <w:szCs w:val="20"/>
              </w:rPr>
              <w:t>ženy</w:t>
            </w:r>
          </w:p>
        </w:tc>
        <w:tc>
          <w:tcPr>
            <w:tcW w:w="656" w:type="dxa"/>
            <w:shd w:val="clear" w:color="auto" w:fill="auto"/>
            <w:vAlign w:val="center"/>
            <w:hideMark/>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42,5</w:t>
            </w:r>
          </w:p>
        </w:tc>
        <w:tc>
          <w:tcPr>
            <w:tcW w:w="656" w:type="dxa"/>
            <w:shd w:val="clear" w:color="auto" w:fill="auto"/>
            <w:vAlign w:val="center"/>
            <w:hideMark/>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36,8</w:t>
            </w:r>
          </w:p>
        </w:tc>
        <w:tc>
          <w:tcPr>
            <w:tcW w:w="656" w:type="dxa"/>
            <w:shd w:val="clear" w:color="auto" w:fill="auto"/>
            <w:vAlign w:val="center"/>
            <w:hideMark/>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39,7</w:t>
            </w:r>
          </w:p>
        </w:tc>
        <w:tc>
          <w:tcPr>
            <w:tcW w:w="656" w:type="dxa"/>
            <w:shd w:val="clear" w:color="auto" w:fill="auto"/>
            <w:vAlign w:val="center"/>
            <w:hideMark/>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39,8</w:t>
            </w:r>
          </w:p>
        </w:tc>
        <w:tc>
          <w:tcPr>
            <w:tcW w:w="656" w:type="dxa"/>
            <w:shd w:val="clear" w:color="auto" w:fill="auto"/>
            <w:vAlign w:val="center"/>
            <w:hideMark/>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44,2</w:t>
            </w:r>
          </w:p>
        </w:tc>
        <w:tc>
          <w:tcPr>
            <w:tcW w:w="656" w:type="dxa"/>
            <w:shd w:val="clear" w:color="auto" w:fill="auto"/>
            <w:vAlign w:val="center"/>
            <w:hideMark/>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48,1</w:t>
            </w:r>
          </w:p>
        </w:tc>
        <w:tc>
          <w:tcPr>
            <w:tcW w:w="720" w:type="dxa"/>
            <w:shd w:val="clear" w:color="auto" w:fill="auto"/>
            <w:vAlign w:val="center"/>
            <w:hideMark/>
          </w:tcPr>
          <w:p w:rsidR="0008700C" w:rsidRPr="00DA20F5" w:rsidRDefault="0008700C" w:rsidP="00D3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kern w:val="24"/>
                <w:sz w:val="20"/>
                <w:szCs w:val="20"/>
              </w:rPr>
              <w:t>38,3</w:t>
            </w:r>
          </w:p>
        </w:tc>
      </w:tr>
      <w:tr w:rsidR="0008700C" w:rsidRPr="00DA20F5" w:rsidTr="00CC521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643" w:type="dxa"/>
            <w:tcBorders>
              <w:left w:val="none" w:sz="0" w:space="0" w:color="auto"/>
              <w:bottom w:val="none" w:sz="0" w:space="0" w:color="auto"/>
              <w:right w:val="none" w:sz="0" w:space="0" w:color="auto"/>
            </w:tcBorders>
            <w:shd w:val="clear" w:color="auto" w:fill="auto"/>
            <w:vAlign w:val="center"/>
            <w:hideMark/>
          </w:tcPr>
          <w:p w:rsidR="0008700C" w:rsidRPr="00DA20F5" w:rsidRDefault="0008700C" w:rsidP="00D36FB8">
            <w:pPr>
              <w:jc w:val="left"/>
              <w:rPr>
                <w:rFonts w:ascii="Times New Roman" w:hAnsi="Times New Roman" w:cs="Times New Roman"/>
                <w:b w:val="0"/>
                <w:color w:val="auto"/>
                <w:sz w:val="20"/>
                <w:szCs w:val="20"/>
              </w:rPr>
            </w:pPr>
            <w:r w:rsidRPr="00DA20F5">
              <w:rPr>
                <w:rFonts w:ascii="Times New Roman" w:hAnsi="Times New Roman" w:cs="Times New Roman"/>
                <w:b w:val="0"/>
                <w:color w:val="auto"/>
                <w:sz w:val="20"/>
                <w:szCs w:val="20"/>
              </w:rPr>
              <w:t>Podiel žien z celkového počtu</w:t>
            </w:r>
          </w:p>
        </w:tc>
        <w:tc>
          <w:tcPr>
            <w:tcW w:w="681"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24"/>
                <w:sz w:val="20"/>
                <w:szCs w:val="20"/>
              </w:rPr>
            </w:pPr>
            <w:r w:rsidRPr="00DA20F5">
              <w:rPr>
                <w:rFonts w:ascii="Times New Roman" w:hAnsi="Times New Roman" w:cs="Times New Roman"/>
                <w:b/>
                <w:kern w:val="24"/>
                <w:sz w:val="20"/>
                <w:szCs w:val="20"/>
              </w:rPr>
              <w:t>%</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30,8</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27,9</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30,9</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29,7</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32,2</w:t>
            </w:r>
          </w:p>
        </w:tc>
        <w:tc>
          <w:tcPr>
            <w:tcW w:w="656"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34,6</w:t>
            </w:r>
          </w:p>
        </w:tc>
        <w:tc>
          <w:tcPr>
            <w:tcW w:w="720" w:type="dxa"/>
            <w:shd w:val="clear" w:color="auto" w:fill="auto"/>
            <w:vAlign w:val="center"/>
            <w:hideMark/>
          </w:tcPr>
          <w:p w:rsidR="0008700C" w:rsidRPr="00DA20F5" w:rsidRDefault="0008700C" w:rsidP="00D3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20F5">
              <w:rPr>
                <w:rFonts w:ascii="Times New Roman" w:hAnsi="Times New Roman" w:cs="Times New Roman"/>
                <w:sz w:val="20"/>
                <w:szCs w:val="20"/>
              </w:rPr>
              <w:t>30,99</w:t>
            </w:r>
          </w:p>
        </w:tc>
      </w:tr>
    </w:tbl>
    <w:p w:rsidR="0008700C" w:rsidRPr="00DA20F5" w:rsidRDefault="0008700C" w:rsidP="00D36FB8">
      <w:pPr>
        <w:pStyle w:val="zdroj"/>
      </w:pPr>
      <w:r w:rsidRPr="00DA20F5">
        <w:rPr>
          <w:szCs w:val="22"/>
        </w:rPr>
        <w:t xml:space="preserve"> </w:t>
      </w:r>
      <w:r w:rsidRPr="00DA20F5">
        <w:t>Zdroj: Š</w:t>
      </w:r>
      <w:r w:rsidR="007B624E" w:rsidRPr="00DA20F5">
        <w:t>Ú SR</w:t>
      </w:r>
      <w:r w:rsidRPr="00DA20F5">
        <w:t>, VZPS</w:t>
      </w:r>
    </w:p>
    <w:p w:rsidR="0008700C" w:rsidRPr="00DA20F5" w:rsidRDefault="0008700C" w:rsidP="00D36FB8">
      <w:pPr>
        <w:rPr>
          <w:i/>
          <w:szCs w:val="22"/>
        </w:rPr>
      </w:pPr>
      <w:r w:rsidRPr="00DA20F5">
        <w:rPr>
          <w:szCs w:val="22"/>
        </w:rPr>
        <w:t>Podiel žien v najvyšších riadiacich orgánoch firiem na Slovensku, ktoré sú sledované v</w:t>
      </w:r>
      <w:r w:rsidR="00AC5AAB" w:rsidRPr="00DA20F5">
        <w:rPr>
          <w:szCs w:val="22"/>
        </w:rPr>
        <w:t xml:space="preserve"> </w:t>
      </w:r>
      <w:r w:rsidRPr="00DA20F5">
        <w:rPr>
          <w:szCs w:val="22"/>
        </w:rPr>
        <w:t>databáze Európskej komisie (</w:t>
      </w:r>
      <w:r w:rsidRPr="00DA20F5">
        <w:rPr>
          <w:i/>
          <w:szCs w:val="22"/>
        </w:rPr>
        <w:t>Database: women &amp; men in decision making</w:t>
      </w:r>
      <w:r w:rsidRPr="00DA20F5">
        <w:rPr>
          <w:szCs w:val="22"/>
        </w:rPr>
        <w:t xml:space="preserve">) </w:t>
      </w:r>
      <w:r w:rsidR="00AD2612" w:rsidRPr="00DA20F5">
        <w:rPr>
          <w:szCs w:val="22"/>
        </w:rPr>
        <w:t xml:space="preserve">sa </w:t>
      </w:r>
      <w:r w:rsidRPr="00DA20F5">
        <w:rPr>
          <w:szCs w:val="22"/>
        </w:rPr>
        <w:t>v roku 2011 znížil na 15 % (v roku 2010 to bolo 22 %).</w:t>
      </w:r>
    </w:p>
    <w:p w:rsidR="006F1EB4" w:rsidRPr="00DA20F5" w:rsidRDefault="006F1EB4" w:rsidP="00D36FB8">
      <w:pPr>
        <w:jc w:val="left"/>
        <w:rPr>
          <w:b/>
        </w:rPr>
      </w:pPr>
      <w:bookmarkStart w:id="1550" w:name="_Toc325438303"/>
      <w:r w:rsidRPr="00DA20F5">
        <w:br w:type="page"/>
      </w:r>
    </w:p>
    <w:p w:rsidR="0008700C" w:rsidRPr="00DA20F5" w:rsidRDefault="000F4F21" w:rsidP="00D36FB8">
      <w:pPr>
        <w:pStyle w:val="Nadpis7"/>
      </w:pPr>
      <w:bookmarkStart w:id="1551" w:name="_Toc325441039"/>
      <w:bookmarkStart w:id="1552" w:name="_Toc325626852"/>
      <w:bookmarkStart w:id="1553" w:name="_Toc326217113"/>
      <w:r w:rsidRPr="00DA20F5">
        <w:lastRenderedPageBreak/>
        <w:t>Tab. 4.12</w:t>
      </w:r>
      <w:r w:rsidR="00AC5AAB" w:rsidRPr="00DA20F5">
        <w:t xml:space="preserve"> </w:t>
      </w:r>
      <w:r w:rsidR="0008700C" w:rsidRPr="00DA20F5">
        <w:t>Súhrn indikátorov rodovej rovnosti</w:t>
      </w:r>
      <w:bookmarkEnd w:id="1550"/>
      <w:bookmarkEnd w:id="1551"/>
      <w:bookmarkEnd w:id="1552"/>
      <w:bookmarkEnd w:id="1553"/>
    </w:p>
    <w:tbl>
      <w:tblPr>
        <w:tblpPr w:leftFromText="180" w:rightFromText="180" w:bottomFromText="200" w:vertAnchor="text" w:horzAnchor="margin" w:tblpX="-176" w:tblpY="116"/>
        <w:tblW w:w="9645" w:type="dxa"/>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0A0" w:firstRow="1" w:lastRow="0" w:firstColumn="1" w:lastColumn="0" w:noHBand="0" w:noVBand="0"/>
      </w:tblPr>
      <w:tblGrid>
        <w:gridCol w:w="5405"/>
        <w:gridCol w:w="696"/>
        <w:gridCol w:w="709"/>
        <w:gridCol w:w="709"/>
        <w:gridCol w:w="708"/>
        <w:gridCol w:w="709"/>
        <w:gridCol w:w="709"/>
      </w:tblGrid>
      <w:tr w:rsidR="0008700C" w:rsidRPr="00DA20F5" w:rsidTr="00A505E8">
        <w:trPr>
          <w:trHeight w:val="340"/>
        </w:trPr>
        <w:tc>
          <w:tcPr>
            <w:tcW w:w="5405" w:type="dxa"/>
            <w:tcBorders>
              <w:top w:val="single" w:sz="4" w:space="0" w:color="4F81BD"/>
              <w:left w:val="single" w:sz="4" w:space="0" w:color="4F81BD"/>
              <w:bottom w:val="single" w:sz="6" w:space="0" w:color="4F81BD"/>
              <w:right w:val="single" w:sz="6" w:space="0" w:color="4F81BD"/>
            </w:tcBorders>
            <w:shd w:val="clear" w:color="auto" w:fill="4F81BD"/>
            <w:vAlign w:val="center"/>
            <w:hideMark/>
          </w:tcPr>
          <w:p w:rsidR="0008700C" w:rsidRPr="00DA20F5" w:rsidRDefault="0008700C" w:rsidP="00D36FB8">
            <w:pPr>
              <w:suppressAutoHyphens/>
              <w:rPr>
                <w:b/>
                <w:bCs/>
                <w:color w:val="FFFFFF" w:themeColor="background1"/>
                <w:szCs w:val="22"/>
                <w:lang w:eastAsia="en-US"/>
              </w:rPr>
            </w:pPr>
            <w:r w:rsidRPr="00DA20F5">
              <w:rPr>
                <w:b/>
                <w:bCs/>
                <w:color w:val="FFFFFF" w:themeColor="background1"/>
                <w:szCs w:val="22"/>
                <w:lang w:eastAsia="en-US"/>
              </w:rPr>
              <w:t>INDIKÁTOR</w:t>
            </w:r>
          </w:p>
        </w:tc>
        <w:tc>
          <w:tcPr>
            <w:tcW w:w="1405" w:type="dxa"/>
            <w:gridSpan w:val="2"/>
            <w:tcBorders>
              <w:top w:val="single" w:sz="4" w:space="0" w:color="4F81BD"/>
              <w:left w:val="single" w:sz="6" w:space="0" w:color="4F81BD"/>
              <w:bottom w:val="single" w:sz="6" w:space="0" w:color="4F81BD"/>
              <w:right w:val="single" w:sz="6" w:space="0" w:color="4F81BD"/>
            </w:tcBorders>
            <w:shd w:val="clear" w:color="auto" w:fill="4F81BD"/>
            <w:vAlign w:val="center"/>
            <w:hideMark/>
          </w:tcPr>
          <w:p w:rsidR="0008700C" w:rsidRPr="00DA20F5" w:rsidRDefault="0008700C" w:rsidP="00D36FB8">
            <w:pPr>
              <w:suppressAutoHyphens/>
              <w:jc w:val="center"/>
              <w:rPr>
                <w:b/>
                <w:bCs/>
                <w:color w:val="FFFFFF" w:themeColor="background1"/>
                <w:szCs w:val="22"/>
                <w:vertAlign w:val="superscript"/>
                <w:lang w:eastAsia="en-US"/>
              </w:rPr>
            </w:pPr>
            <w:r w:rsidRPr="00DA20F5">
              <w:rPr>
                <w:b/>
                <w:bCs/>
                <w:color w:val="FFFFFF" w:themeColor="background1"/>
                <w:szCs w:val="22"/>
                <w:lang w:eastAsia="en-US"/>
              </w:rPr>
              <w:t>ŽENY</w:t>
            </w:r>
          </w:p>
        </w:tc>
        <w:tc>
          <w:tcPr>
            <w:tcW w:w="1417" w:type="dxa"/>
            <w:gridSpan w:val="2"/>
            <w:tcBorders>
              <w:top w:val="single" w:sz="4" w:space="0" w:color="4F81BD"/>
              <w:left w:val="single" w:sz="6" w:space="0" w:color="4F81BD"/>
              <w:bottom w:val="single" w:sz="6" w:space="0" w:color="4F81BD"/>
              <w:right w:val="single" w:sz="6" w:space="0" w:color="4F81BD"/>
            </w:tcBorders>
            <w:shd w:val="clear" w:color="auto" w:fill="4F81BD"/>
            <w:vAlign w:val="center"/>
            <w:hideMark/>
          </w:tcPr>
          <w:p w:rsidR="0008700C" w:rsidRPr="00DA20F5" w:rsidRDefault="0008700C" w:rsidP="00D36FB8">
            <w:pPr>
              <w:suppressAutoHyphens/>
              <w:jc w:val="center"/>
              <w:rPr>
                <w:b/>
                <w:bCs/>
                <w:color w:val="FFFFFF" w:themeColor="background1"/>
                <w:szCs w:val="22"/>
                <w:vertAlign w:val="superscript"/>
                <w:lang w:eastAsia="en-US"/>
              </w:rPr>
            </w:pPr>
            <w:r w:rsidRPr="00DA20F5">
              <w:rPr>
                <w:b/>
                <w:bCs/>
                <w:color w:val="FFFFFF" w:themeColor="background1"/>
                <w:szCs w:val="22"/>
                <w:lang w:eastAsia="en-US"/>
              </w:rPr>
              <w:t>MUŽI</w:t>
            </w:r>
          </w:p>
        </w:tc>
        <w:tc>
          <w:tcPr>
            <w:tcW w:w="1418" w:type="dxa"/>
            <w:gridSpan w:val="2"/>
            <w:tcBorders>
              <w:top w:val="single" w:sz="4" w:space="0" w:color="4F81BD"/>
              <w:left w:val="single" w:sz="6" w:space="0" w:color="4F81BD"/>
              <w:bottom w:val="single" w:sz="6" w:space="0" w:color="4F81BD"/>
              <w:right w:val="single" w:sz="4" w:space="0" w:color="4F81BD"/>
            </w:tcBorders>
            <w:shd w:val="clear" w:color="auto" w:fill="4F81BD"/>
            <w:vAlign w:val="center"/>
            <w:hideMark/>
          </w:tcPr>
          <w:p w:rsidR="0008700C" w:rsidRPr="00DA20F5" w:rsidRDefault="0008700C" w:rsidP="00D36FB8">
            <w:pPr>
              <w:suppressAutoHyphens/>
              <w:jc w:val="center"/>
              <w:rPr>
                <w:b/>
                <w:bCs/>
                <w:color w:val="FFFFFF" w:themeColor="background1"/>
                <w:szCs w:val="22"/>
                <w:lang w:eastAsia="en-US"/>
              </w:rPr>
            </w:pPr>
            <w:r w:rsidRPr="00DA20F5">
              <w:rPr>
                <w:b/>
                <w:bCs/>
                <w:color w:val="FFFFFF" w:themeColor="background1"/>
                <w:szCs w:val="22"/>
                <w:lang w:eastAsia="en-US"/>
              </w:rPr>
              <w:t>RODOVÝ</w:t>
            </w:r>
          </w:p>
          <w:p w:rsidR="0008700C" w:rsidRPr="00DA20F5" w:rsidRDefault="0008700C" w:rsidP="00D36FB8">
            <w:pPr>
              <w:suppressAutoHyphens/>
              <w:jc w:val="center"/>
              <w:rPr>
                <w:b/>
                <w:bCs/>
                <w:color w:val="FFFFFF" w:themeColor="background1"/>
                <w:szCs w:val="22"/>
                <w:vertAlign w:val="superscript"/>
                <w:lang w:eastAsia="en-US"/>
              </w:rPr>
            </w:pPr>
            <w:r w:rsidRPr="00DA20F5">
              <w:rPr>
                <w:b/>
                <w:bCs/>
                <w:color w:val="FFFFFF" w:themeColor="background1"/>
                <w:szCs w:val="22"/>
                <w:lang w:eastAsia="en-US"/>
              </w:rPr>
              <w:t>ROZDIEL</w:t>
            </w:r>
            <w:r w:rsidRPr="00DA20F5">
              <w:rPr>
                <w:b/>
                <w:bCs/>
                <w:color w:val="FFFFFF" w:themeColor="background1"/>
                <w:szCs w:val="22"/>
                <w:vertAlign w:val="superscript"/>
                <w:lang w:eastAsia="en-US"/>
              </w:rPr>
              <w:t>1</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shd w:val="clear" w:color="auto" w:fill="4F81BD" w:themeFill="accent1"/>
            <w:vAlign w:val="center"/>
          </w:tcPr>
          <w:p w:rsidR="0008700C" w:rsidRPr="00DA20F5" w:rsidRDefault="0008700C" w:rsidP="00D36FB8">
            <w:pPr>
              <w:jc w:val="left"/>
              <w:rPr>
                <w:color w:val="FFFFFF" w:themeColor="background1"/>
                <w:sz w:val="20"/>
                <w:szCs w:val="20"/>
                <w:lang w:eastAsia="en-US"/>
              </w:rPr>
            </w:pPr>
          </w:p>
        </w:tc>
        <w:tc>
          <w:tcPr>
            <w:tcW w:w="696" w:type="dxa"/>
            <w:tcBorders>
              <w:top w:val="single" w:sz="6" w:space="0" w:color="4F81BD"/>
              <w:left w:val="single" w:sz="6" w:space="0" w:color="4F81BD"/>
              <w:bottom w:val="single" w:sz="6" w:space="0" w:color="4F81BD"/>
              <w:right w:val="single" w:sz="6" w:space="0" w:color="4F81BD"/>
            </w:tcBorders>
            <w:shd w:val="clear" w:color="auto" w:fill="4F81BD" w:themeFill="accent1"/>
            <w:vAlign w:val="center"/>
            <w:hideMark/>
          </w:tcPr>
          <w:p w:rsidR="0008700C" w:rsidRPr="00DA20F5" w:rsidRDefault="0008700C" w:rsidP="00D36FB8">
            <w:pPr>
              <w:suppressAutoHyphens/>
              <w:jc w:val="center"/>
              <w:rPr>
                <w:b/>
                <w:color w:val="FFFFFF" w:themeColor="background1"/>
                <w:sz w:val="20"/>
                <w:szCs w:val="20"/>
                <w:lang w:eastAsia="en-US"/>
              </w:rPr>
            </w:pPr>
            <w:r w:rsidRPr="00DA20F5">
              <w:rPr>
                <w:b/>
                <w:color w:val="FFFFFF" w:themeColor="background1"/>
                <w:sz w:val="20"/>
                <w:szCs w:val="20"/>
                <w:lang w:eastAsia="en-US"/>
              </w:rPr>
              <w:t>SR</w:t>
            </w:r>
          </w:p>
        </w:tc>
        <w:tc>
          <w:tcPr>
            <w:tcW w:w="709" w:type="dxa"/>
            <w:tcBorders>
              <w:top w:val="single" w:sz="6" w:space="0" w:color="4F81BD"/>
              <w:left w:val="single" w:sz="6" w:space="0" w:color="4F81BD"/>
              <w:bottom w:val="single" w:sz="6" w:space="0" w:color="4F81BD"/>
              <w:right w:val="single" w:sz="6" w:space="0" w:color="4F81BD"/>
            </w:tcBorders>
            <w:shd w:val="clear" w:color="auto" w:fill="4F81BD" w:themeFill="accent1"/>
            <w:vAlign w:val="center"/>
            <w:hideMark/>
          </w:tcPr>
          <w:p w:rsidR="0008700C" w:rsidRPr="00DA20F5" w:rsidRDefault="0008700C" w:rsidP="00D36FB8">
            <w:pPr>
              <w:suppressAutoHyphens/>
              <w:jc w:val="center"/>
              <w:rPr>
                <w:b/>
                <w:bCs/>
                <w:color w:val="FFFFFF" w:themeColor="background1"/>
                <w:sz w:val="20"/>
                <w:szCs w:val="20"/>
                <w:lang w:eastAsia="en-US"/>
              </w:rPr>
            </w:pPr>
            <w:r w:rsidRPr="00DA20F5">
              <w:rPr>
                <w:b/>
                <w:bCs/>
                <w:color w:val="FFFFFF" w:themeColor="background1"/>
                <w:sz w:val="20"/>
                <w:szCs w:val="20"/>
                <w:lang w:eastAsia="en-US"/>
              </w:rPr>
              <w:t>E</w:t>
            </w:r>
            <w:r w:rsidR="00AF20A2" w:rsidRPr="00DA20F5">
              <w:rPr>
                <w:b/>
                <w:bCs/>
                <w:color w:val="FFFFFF" w:themeColor="background1"/>
                <w:sz w:val="20"/>
                <w:szCs w:val="20"/>
                <w:lang w:eastAsia="en-US"/>
              </w:rPr>
              <w:t>Ú</w:t>
            </w:r>
            <w:r w:rsidRPr="00DA20F5">
              <w:rPr>
                <w:b/>
                <w:bCs/>
                <w:color w:val="FFFFFF" w:themeColor="background1"/>
                <w:sz w:val="20"/>
                <w:szCs w:val="20"/>
                <w:lang w:eastAsia="en-US"/>
              </w:rPr>
              <w:t>27</w:t>
            </w:r>
          </w:p>
        </w:tc>
        <w:tc>
          <w:tcPr>
            <w:tcW w:w="709" w:type="dxa"/>
            <w:tcBorders>
              <w:top w:val="single" w:sz="6" w:space="0" w:color="4F81BD"/>
              <w:left w:val="single" w:sz="6" w:space="0" w:color="4F81BD"/>
              <w:bottom w:val="single" w:sz="6" w:space="0" w:color="4F81BD"/>
              <w:right w:val="single" w:sz="6" w:space="0" w:color="4F81BD"/>
            </w:tcBorders>
            <w:shd w:val="clear" w:color="auto" w:fill="4F81BD" w:themeFill="accent1"/>
            <w:vAlign w:val="center"/>
            <w:hideMark/>
          </w:tcPr>
          <w:p w:rsidR="0008700C" w:rsidRPr="00DA20F5" w:rsidRDefault="0008700C" w:rsidP="00D36FB8">
            <w:pPr>
              <w:suppressAutoHyphens/>
              <w:jc w:val="center"/>
              <w:rPr>
                <w:b/>
                <w:color w:val="FFFFFF" w:themeColor="background1"/>
                <w:sz w:val="20"/>
                <w:szCs w:val="20"/>
                <w:lang w:eastAsia="en-US"/>
              </w:rPr>
            </w:pPr>
            <w:r w:rsidRPr="00DA20F5">
              <w:rPr>
                <w:b/>
                <w:color w:val="FFFFFF" w:themeColor="background1"/>
                <w:sz w:val="20"/>
                <w:szCs w:val="20"/>
                <w:lang w:eastAsia="en-US"/>
              </w:rPr>
              <w:t>SR</w:t>
            </w:r>
          </w:p>
        </w:tc>
        <w:tc>
          <w:tcPr>
            <w:tcW w:w="708" w:type="dxa"/>
            <w:tcBorders>
              <w:top w:val="single" w:sz="6" w:space="0" w:color="4F81BD"/>
              <w:left w:val="single" w:sz="6" w:space="0" w:color="4F81BD"/>
              <w:bottom w:val="single" w:sz="6" w:space="0" w:color="4F81BD"/>
              <w:right w:val="single" w:sz="6" w:space="0" w:color="4F81BD"/>
            </w:tcBorders>
            <w:shd w:val="clear" w:color="auto" w:fill="4F81BD" w:themeFill="accent1"/>
            <w:vAlign w:val="center"/>
            <w:hideMark/>
          </w:tcPr>
          <w:p w:rsidR="0008700C" w:rsidRPr="00DA20F5" w:rsidRDefault="0008700C" w:rsidP="00D36FB8">
            <w:pPr>
              <w:suppressAutoHyphens/>
              <w:jc w:val="center"/>
              <w:rPr>
                <w:b/>
                <w:bCs/>
                <w:color w:val="FFFFFF" w:themeColor="background1"/>
                <w:sz w:val="20"/>
                <w:szCs w:val="20"/>
                <w:lang w:eastAsia="en-US"/>
              </w:rPr>
            </w:pPr>
            <w:r w:rsidRPr="00DA20F5">
              <w:rPr>
                <w:b/>
                <w:bCs/>
                <w:color w:val="FFFFFF" w:themeColor="background1"/>
                <w:sz w:val="20"/>
                <w:szCs w:val="20"/>
                <w:lang w:eastAsia="en-US"/>
              </w:rPr>
              <w:t>E</w:t>
            </w:r>
            <w:r w:rsidR="00AF20A2" w:rsidRPr="00DA20F5">
              <w:rPr>
                <w:b/>
                <w:bCs/>
                <w:color w:val="FFFFFF" w:themeColor="background1"/>
                <w:sz w:val="20"/>
                <w:szCs w:val="20"/>
                <w:lang w:eastAsia="en-US"/>
              </w:rPr>
              <w:t>Ú</w:t>
            </w:r>
            <w:r w:rsidRPr="00DA20F5">
              <w:rPr>
                <w:b/>
                <w:bCs/>
                <w:color w:val="FFFFFF" w:themeColor="background1"/>
                <w:sz w:val="20"/>
                <w:szCs w:val="20"/>
                <w:lang w:eastAsia="en-US"/>
              </w:rPr>
              <w:t>27</w:t>
            </w:r>
          </w:p>
        </w:tc>
        <w:tc>
          <w:tcPr>
            <w:tcW w:w="709" w:type="dxa"/>
            <w:tcBorders>
              <w:top w:val="single" w:sz="6" w:space="0" w:color="4F81BD"/>
              <w:left w:val="single" w:sz="6" w:space="0" w:color="4F81BD"/>
              <w:bottom w:val="single" w:sz="6" w:space="0" w:color="4F81BD"/>
              <w:right w:val="single" w:sz="6" w:space="0" w:color="4F81BD"/>
            </w:tcBorders>
            <w:shd w:val="clear" w:color="auto" w:fill="4F81BD" w:themeFill="accent1"/>
            <w:vAlign w:val="center"/>
            <w:hideMark/>
          </w:tcPr>
          <w:p w:rsidR="0008700C" w:rsidRPr="00DA20F5" w:rsidRDefault="0008700C" w:rsidP="00D36FB8">
            <w:pPr>
              <w:suppressAutoHyphens/>
              <w:jc w:val="center"/>
              <w:rPr>
                <w:b/>
                <w:color w:val="FFFFFF" w:themeColor="background1"/>
                <w:sz w:val="20"/>
                <w:szCs w:val="20"/>
                <w:lang w:eastAsia="en-US"/>
              </w:rPr>
            </w:pPr>
            <w:r w:rsidRPr="00DA20F5">
              <w:rPr>
                <w:b/>
                <w:color w:val="FFFFFF" w:themeColor="background1"/>
                <w:sz w:val="20"/>
                <w:szCs w:val="20"/>
                <w:lang w:eastAsia="en-US"/>
              </w:rPr>
              <w:t>SR</w:t>
            </w:r>
          </w:p>
        </w:tc>
        <w:tc>
          <w:tcPr>
            <w:tcW w:w="709" w:type="dxa"/>
            <w:tcBorders>
              <w:top w:val="single" w:sz="6" w:space="0" w:color="4F81BD"/>
              <w:left w:val="single" w:sz="6" w:space="0" w:color="4F81BD"/>
              <w:bottom w:val="single" w:sz="6" w:space="0" w:color="4F81BD"/>
              <w:right w:val="single" w:sz="4" w:space="0" w:color="4F81BD"/>
            </w:tcBorders>
            <w:shd w:val="clear" w:color="auto" w:fill="4F81BD" w:themeFill="accent1"/>
            <w:vAlign w:val="center"/>
            <w:hideMark/>
          </w:tcPr>
          <w:p w:rsidR="0008700C" w:rsidRPr="00DA20F5" w:rsidRDefault="0008700C" w:rsidP="00D36FB8">
            <w:pPr>
              <w:suppressAutoHyphens/>
              <w:jc w:val="center"/>
              <w:rPr>
                <w:b/>
                <w:bCs/>
                <w:color w:val="FFFFFF" w:themeColor="background1"/>
                <w:sz w:val="20"/>
                <w:szCs w:val="20"/>
                <w:lang w:eastAsia="en-US"/>
              </w:rPr>
            </w:pPr>
            <w:r w:rsidRPr="00DA20F5">
              <w:rPr>
                <w:b/>
                <w:bCs/>
                <w:color w:val="FFFFFF" w:themeColor="background1"/>
                <w:sz w:val="20"/>
                <w:szCs w:val="20"/>
                <w:lang w:eastAsia="en-US"/>
              </w:rPr>
              <w:t>E</w:t>
            </w:r>
            <w:r w:rsidR="00AF20A2" w:rsidRPr="00DA20F5">
              <w:rPr>
                <w:b/>
                <w:bCs/>
                <w:color w:val="FFFFFF" w:themeColor="background1"/>
                <w:sz w:val="20"/>
                <w:szCs w:val="20"/>
                <w:lang w:eastAsia="en-US"/>
              </w:rPr>
              <w:t>Ú</w:t>
            </w:r>
            <w:r w:rsidRPr="00DA20F5">
              <w:rPr>
                <w:b/>
                <w:bCs/>
                <w:color w:val="FFFFFF" w:themeColor="background1"/>
                <w:sz w:val="20"/>
                <w:szCs w:val="20"/>
                <w:lang w:eastAsia="en-US"/>
              </w:rPr>
              <w:t>27</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Miera zamestnanosti (v %,</w:t>
            </w:r>
            <w:r w:rsidR="00AC5AAB" w:rsidRPr="00DA20F5">
              <w:rPr>
                <w:sz w:val="20"/>
                <w:szCs w:val="20"/>
                <w:lang w:eastAsia="en-US"/>
              </w:rPr>
              <w:t xml:space="preserve"> </w:t>
            </w:r>
            <w:r w:rsidRPr="00DA20F5">
              <w:rPr>
                <w:sz w:val="20"/>
                <w:szCs w:val="20"/>
                <w:lang w:eastAsia="en-US"/>
              </w:rPr>
              <w:t>20 – 64 ročných, 2011)</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57,9</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62,1</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73,2</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75,1</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15,3</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13</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Miera zamestnanosti (v %,</w:t>
            </w:r>
            <w:r w:rsidR="00AC5AAB" w:rsidRPr="00DA20F5">
              <w:rPr>
                <w:sz w:val="20"/>
                <w:szCs w:val="20"/>
                <w:lang w:eastAsia="en-US"/>
              </w:rPr>
              <w:t xml:space="preserve"> </w:t>
            </w:r>
            <w:r w:rsidRPr="00DA20F5">
              <w:rPr>
                <w:sz w:val="20"/>
                <w:szCs w:val="20"/>
                <w:lang w:eastAsia="en-US"/>
              </w:rPr>
              <w:t>15 – 64 ročných, 2011)</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52,7</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58,2</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66,3</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70,1</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13,6</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11,9</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Miera zamestnanosti starších ( v %, 55 – 64 ročných,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28,7</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38,6</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54</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54,6</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25,3</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16</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Podiel pracujúcich na kratší pracovný čas ( v %, zo všetkých zamestnaných,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5,4</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31,9</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2,8</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8,7</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2,6</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23,2</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Miera nezamestnanosti</w:t>
            </w:r>
            <w:r w:rsidR="00AC5AAB" w:rsidRPr="00DA20F5">
              <w:rPr>
                <w:sz w:val="20"/>
                <w:szCs w:val="20"/>
                <w:lang w:eastAsia="en-US"/>
              </w:rPr>
              <w:t xml:space="preserve"> </w:t>
            </w:r>
            <w:r w:rsidRPr="00DA20F5">
              <w:rPr>
                <w:sz w:val="20"/>
                <w:szCs w:val="20"/>
                <w:lang w:eastAsia="en-US"/>
              </w:rPr>
              <w:t>(v %, 2011)</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13,6</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10,1</w:t>
            </w:r>
            <w:r w:rsidRPr="00DA20F5">
              <w:rPr>
                <w:sz w:val="18"/>
                <w:szCs w:val="20"/>
                <w:vertAlign w:val="superscript"/>
                <w:lang w:eastAsia="en-US"/>
              </w:rPr>
              <w:t>2</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13,5</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9,8</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0,1</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0,3</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Miera dlhodobej nezamestnanosti (v %,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9,5</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3,8</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9</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3,9</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0,5</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0,1</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Rodový príjmový rozdiel v neupravenej forme</w:t>
            </w:r>
            <w:r w:rsidR="00AC5AAB" w:rsidRPr="00DA20F5">
              <w:rPr>
                <w:sz w:val="20"/>
                <w:szCs w:val="20"/>
                <w:lang w:eastAsia="en-US"/>
              </w:rPr>
              <w:t xml:space="preserve"> </w:t>
            </w:r>
            <w:r w:rsidRPr="00DA20F5">
              <w:rPr>
                <w:sz w:val="20"/>
                <w:szCs w:val="20"/>
                <w:lang w:eastAsia="en-US"/>
              </w:rPr>
              <w:t>( v %, 2010)</w:t>
            </w:r>
          </w:p>
        </w:tc>
        <w:tc>
          <w:tcPr>
            <w:tcW w:w="696" w:type="dxa"/>
            <w:tcBorders>
              <w:top w:val="single" w:sz="6" w:space="0" w:color="4F81BD"/>
              <w:left w:val="single" w:sz="6" w:space="0" w:color="4F81BD"/>
              <w:bottom w:val="single" w:sz="6" w:space="0" w:color="4F81BD"/>
              <w:right w:val="single" w:sz="6" w:space="0" w:color="4F81BD"/>
            </w:tcBorders>
            <w:vAlign w:val="center"/>
          </w:tcPr>
          <w:p w:rsidR="0008700C" w:rsidRPr="00DA20F5" w:rsidRDefault="0008700C" w:rsidP="00D36FB8">
            <w:pPr>
              <w:suppressAutoHyphens/>
              <w:jc w:val="right"/>
              <w:rPr>
                <w:sz w:val="20"/>
                <w:szCs w:val="20"/>
                <w:lang w:eastAsia="en-US"/>
              </w:rPr>
            </w:pPr>
          </w:p>
        </w:tc>
        <w:tc>
          <w:tcPr>
            <w:tcW w:w="709" w:type="dxa"/>
            <w:tcBorders>
              <w:top w:val="single" w:sz="6" w:space="0" w:color="4F81BD"/>
              <w:left w:val="single" w:sz="6" w:space="0" w:color="4F81BD"/>
              <w:bottom w:val="single" w:sz="6" w:space="0" w:color="4F81BD"/>
              <w:right w:val="single" w:sz="6" w:space="0" w:color="4F81BD"/>
            </w:tcBorders>
            <w:vAlign w:val="center"/>
          </w:tcPr>
          <w:p w:rsidR="0008700C" w:rsidRPr="00DA20F5" w:rsidRDefault="0008700C" w:rsidP="00D36FB8">
            <w:pPr>
              <w:suppressAutoHyphens/>
              <w:jc w:val="center"/>
              <w:rPr>
                <w:b/>
                <w:sz w:val="20"/>
                <w:szCs w:val="20"/>
                <w:lang w:eastAsia="en-US"/>
              </w:rPr>
            </w:pPr>
          </w:p>
        </w:tc>
        <w:tc>
          <w:tcPr>
            <w:tcW w:w="709" w:type="dxa"/>
            <w:tcBorders>
              <w:top w:val="single" w:sz="6" w:space="0" w:color="4F81BD"/>
              <w:left w:val="single" w:sz="6" w:space="0" w:color="4F81BD"/>
              <w:bottom w:val="single" w:sz="6" w:space="0" w:color="4F81BD"/>
              <w:right w:val="single" w:sz="6" w:space="0" w:color="4F81BD"/>
            </w:tcBorders>
            <w:vAlign w:val="center"/>
          </w:tcPr>
          <w:p w:rsidR="0008700C" w:rsidRPr="00DA20F5" w:rsidRDefault="0008700C" w:rsidP="00D36FB8">
            <w:pPr>
              <w:suppressAutoHyphens/>
              <w:jc w:val="right"/>
              <w:rPr>
                <w:sz w:val="20"/>
                <w:szCs w:val="20"/>
                <w:lang w:eastAsia="en-US"/>
              </w:rPr>
            </w:pPr>
          </w:p>
        </w:tc>
        <w:tc>
          <w:tcPr>
            <w:tcW w:w="708" w:type="dxa"/>
            <w:tcBorders>
              <w:top w:val="single" w:sz="6" w:space="0" w:color="4F81BD"/>
              <w:left w:val="single" w:sz="6" w:space="0" w:color="4F81BD"/>
              <w:bottom w:val="single" w:sz="6" w:space="0" w:color="4F81BD"/>
              <w:right w:val="single" w:sz="6" w:space="0" w:color="4F81BD"/>
            </w:tcBorders>
            <w:vAlign w:val="center"/>
          </w:tcPr>
          <w:p w:rsidR="0008700C" w:rsidRPr="00DA20F5" w:rsidRDefault="0008700C" w:rsidP="00D36FB8">
            <w:pPr>
              <w:suppressAutoHyphens/>
              <w:jc w:val="center"/>
              <w:rPr>
                <w:b/>
                <w:sz w:val="20"/>
                <w:szCs w:val="20"/>
                <w:lang w:eastAsia="en-US"/>
              </w:rPr>
            </w:pP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20,7</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16,4</w:t>
            </w:r>
            <w:r w:rsidRPr="00DA20F5">
              <w:rPr>
                <w:sz w:val="18"/>
                <w:szCs w:val="20"/>
                <w:vertAlign w:val="superscript"/>
                <w:lang w:eastAsia="en-US"/>
              </w:rPr>
              <w:t>3</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Rodová distribúcia neplatenej práce (hod/týždeň,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24,5</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24,5</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6</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9,2</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18,4</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15,3</w:t>
            </w:r>
          </w:p>
        </w:tc>
      </w:tr>
      <w:tr w:rsidR="0008700C" w:rsidRPr="00DA20F5" w:rsidTr="00A505E8">
        <w:trPr>
          <w:trHeight w:val="227"/>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Celková dotácia platenej a neplatenej práce (hod/týždeň,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67,1</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61,9</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52,6</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53,3</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14,7</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8,6</w:t>
            </w:r>
          </w:p>
        </w:tc>
      </w:tr>
      <w:tr w:rsidR="0008700C" w:rsidRPr="00DA20F5" w:rsidTr="00A505E8">
        <w:trPr>
          <w:trHeight w:val="227"/>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Miera rizika príjmovej chudoby (v %,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12,2</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17,2</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11,7</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15,7</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0,5</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1,5</w:t>
            </w:r>
          </w:p>
        </w:tc>
      </w:tr>
      <w:tr w:rsidR="0008700C" w:rsidRPr="00DA20F5" w:rsidTr="00A505E8">
        <w:trPr>
          <w:trHeight w:val="227"/>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Miera rizika príjmovej chudoby</w:t>
            </w:r>
            <w:r w:rsidR="00AC5AAB" w:rsidRPr="00DA20F5">
              <w:rPr>
                <w:sz w:val="20"/>
                <w:szCs w:val="20"/>
                <w:lang w:eastAsia="en-US"/>
              </w:rPr>
              <w:t xml:space="preserve"> </w:t>
            </w:r>
            <w:r w:rsidRPr="00DA20F5">
              <w:rPr>
                <w:sz w:val="20"/>
                <w:szCs w:val="20"/>
                <w:lang w:eastAsia="en-US"/>
              </w:rPr>
              <w:t>starších ( v %, 65 a viac ročných,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10,1</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18,1</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3,9</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12,9</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6,2</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5,2</w:t>
            </w:r>
          </w:p>
        </w:tc>
      </w:tr>
      <w:tr w:rsidR="0008700C" w:rsidRPr="00DA20F5" w:rsidTr="00A505E8">
        <w:trPr>
          <w:trHeight w:val="227"/>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Miera materiálnej deprivácie ( v %,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25,7</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18,1</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23,9</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16,9</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1,8</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1,2</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Miera rizika chudoby a sociálneho vylúčenia (v %,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21,6</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24,5</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19,6</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22,3</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2,2</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Miera rizika chudoby a sociálneho vylúčenia</w:t>
            </w:r>
            <w:r w:rsidR="00AC5AAB" w:rsidRPr="00DA20F5">
              <w:rPr>
                <w:sz w:val="20"/>
                <w:szCs w:val="20"/>
                <w:lang w:eastAsia="en-US"/>
              </w:rPr>
              <w:t xml:space="preserve"> </w:t>
            </w:r>
            <w:r w:rsidRPr="00DA20F5">
              <w:rPr>
                <w:sz w:val="20"/>
                <w:szCs w:val="20"/>
                <w:lang w:eastAsia="en-US"/>
              </w:rPr>
              <w:t xml:space="preserve">starších </w:t>
            </w:r>
            <w:r w:rsidRPr="00DA20F5">
              <w:rPr>
                <w:sz w:val="20"/>
                <w:szCs w:val="20"/>
                <w:lang w:eastAsia="en-US"/>
              </w:rPr>
              <w:br/>
              <w:t>(v %, 65+ ročných,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19,5</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22,6</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12,3</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16,2</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7</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6,4</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Stredná dĺžka života pri narodení ( v rokoch,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890F9B" w:rsidP="00D36FB8">
            <w:pPr>
              <w:suppressAutoHyphens/>
              <w:jc w:val="right"/>
              <w:rPr>
                <w:sz w:val="20"/>
                <w:szCs w:val="20"/>
                <w:lang w:eastAsia="en-US"/>
              </w:rPr>
            </w:pPr>
            <w:r w:rsidRPr="00DA20F5">
              <w:rPr>
                <w:sz w:val="20"/>
                <w:szCs w:val="20"/>
                <w:lang w:eastAsia="en-US"/>
              </w:rPr>
              <w:t>79,3</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890F9B" w:rsidP="00D36FB8">
            <w:pPr>
              <w:jc w:val="right"/>
              <w:rPr>
                <w:sz w:val="18"/>
                <w:szCs w:val="20"/>
                <w:lang w:eastAsia="en-US"/>
              </w:rPr>
            </w:pPr>
            <w:r w:rsidRPr="00DA20F5">
              <w:rPr>
                <w:sz w:val="18"/>
                <w:szCs w:val="20"/>
                <w:lang w:eastAsia="en-US"/>
              </w:rPr>
              <w:t>82,6</w:t>
            </w:r>
            <w:r w:rsidR="0008700C" w:rsidRPr="00DA20F5">
              <w:rPr>
                <w:sz w:val="18"/>
                <w:szCs w:val="20"/>
                <w:vertAlign w:val="superscript"/>
                <w:lang w:eastAsia="en-US"/>
              </w:rPr>
              <w:t>4</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890F9B" w:rsidP="00D36FB8">
            <w:pPr>
              <w:suppressAutoHyphens/>
              <w:jc w:val="right"/>
              <w:rPr>
                <w:sz w:val="20"/>
                <w:szCs w:val="20"/>
                <w:lang w:eastAsia="en-US"/>
              </w:rPr>
            </w:pPr>
            <w:r w:rsidRPr="00DA20F5">
              <w:rPr>
                <w:sz w:val="20"/>
                <w:szCs w:val="20"/>
                <w:lang w:eastAsia="en-US"/>
              </w:rPr>
              <w:t>71,7</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890F9B" w:rsidP="00D36FB8">
            <w:pPr>
              <w:jc w:val="right"/>
              <w:rPr>
                <w:sz w:val="18"/>
                <w:szCs w:val="20"/>
                <w:lang w:eastAsia="en-US"/>
              </w:rPr>
            </w:pPr>
            <w:r w:rsidRPr="00DA20F5">
              <w:rPr>
                <w:sz w:val="18"/>
                <w:szCs w:val="20"/>
                <w:lang w:eastAsia="en-US"/>
              </w:rPr>
              <w:t>76,7</w:t>
            </w:r>
            <w:r w:rsidR="00C101F6" w:rsidRPr="00DA20F5">
              <w:rPr>
                <w:sz w:val="18"/>
                <w:szCs w:val="20"/>
                <w:vertAlign w:val="superscript"/>
                <w:lang w:eastAsia="en-US"/>
              </w:rPr>
              <w:t>4</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890F9B">
            <w:pPr>
              <w:suppressAutoHyphens/>
              <w:jc w:val="right"/>
              <w:rPr>
                <w:sz w:val="20"/>
                <w:szCs w:val="20"/>
                <w:lang w:eastAsia="en-US"/>
              </w:rPr>
            </w:pPr>
            <w:r w:rsidRPr="00DA20F5">
              <w:rPr>
                <w:sz w:val="20"/>
                <w:szCs w:val="20"/>
                <w:lang w:eastAsia="en-US"/>
              </w:rPr>
              <w:t>7,</w:t>
            </w:r>
            <w:r w:rsidR="00890F9B" w:rsidRPr="00DA20F5">
              <w:rPr>
                <w:sz w:val="20"/>
                <w:szCs w:val="20"/>
                <w:lang w:eastAsia="en-US"/>
              </w:rPr>
              <w:t>6</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5,9</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 xml:space="preserve"> Politická participácia na</w:t>
            </w:r>
            <w:r w:rsidR="00AC5AAB" w:rsidRPr="00DA20F5">
              <w:rPr>
                <w:sz w:val="20"/>
                <w:szCs w:val="20"/>
                <w:lang w:eastAsia="en-US"/>
              </w:rPr>
              <w:t xml:space="preserve"> </w:t>
            </w:r>
            <w:r w:rsidRPr="00DA20F5">
              <w:rPr>
                <w:sz w:val="20"/>
                <w:szCs w:val="20"/>
                <w:lang w:eastAsia="en-US"/>
              </w:rPr>
              <w:t>európskej úrovni (v %, Európsky parlament, 2012)</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38</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34</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62</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66</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24</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32</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Politická participácia</w:t>
            </w:r>
            <w:r w:rsidR="00AC5AAB" w:rsidRPr="00DA20F5">
              <w:rPr>
                <w:sz w:val="20"/>
                <w:szCs w:val="20"/>
                <w:lang w:eastAsia="en-US"/>
              </w:rPr>
              <w:t xml:space="preserve"> </w:t>
            </w:r>
            <w:r w:rsidRPr="00DA20F5">
              <w:rPr>
                <w:sz w:val="20"/>
                <w:szCs w:val="20"/>
                <w:lang w:eastAsia="en-US"/>
              </w:rPr>
              <w:t>na národnej úrovni (v %,</w:t>
            </w:r>
            <w:r w:rsidR="00AC5AAB" w:rsidRPr="00DA20F5">
              <w:rPr>
                <w:sz w:val="20"/>
                <w:szCs w:val="20"/>
                <w:lang w:eastAsia="en-US"/>
              </w:rPr>
              <w:t xml:space="preserve"> </w:t>
            </w:r>
            <w:r w:rsidRPr="00DA20F5">
              <w:rPr>
                <w:sz w:val="20"/>
                <w:szCs w:val="20"/>
                <w:lang w:eastAsia="en-US"/>
              </w:rPr>
              <w:t>národné parlamenty, 2011)</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15,3</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25</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84,7</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75</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69,4</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50</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Politická participácia v národných vládach ( v %, 2011)</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14</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23</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86</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77</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63</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54</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Politická participácia vo vedení regionálnych zastupiteľstiev (v %,</w:t>
            </w:r>
            <w:r w:rsidR="00AC5AAB" w:rsidRPr="00DA20F5">
              <w:rPr>
                <w:sz w:val="20"/>
                <w:szCs w:val="20"/>
                <w:lang w:eastAsia="en-US"/>
              </w:rPr>
              <w:t xml:space="preserve"> </w:t>
            </w:r>
            <w:r w:rsidRPr="00DA20F5">
              <w:rPr>
                <w:sz w:val="20"/>
                <w:szCs w:val="20"/>
                <w:lang w:eastAsia="en-US"/>
              </w:rPr>
              <w:t>2011)</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0</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14</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100</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86</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100</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72</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 xml:space="preserve">Politická participácia na regionálnej úrovni </w:t>
            </w:r>
          </w:p>
          <w:p w:rsidR="0008700C" w:rsidRPr="00DA20F5" w:rsidRDefault="0008700C" w:rsidP="00D36FB8">
            <w:pPr>
              <w:jc w:val="left"/>
              <w:rPr>
                <w:sz w:val="20"/>
                <w:szCs w:val="20"/>
                <w:lang w:eastAsia="en-US"/>
              </w:rPr>
            </w:pPr>
            <w:r w:rsidRPr="00DA20F5">
              <w:rPr>
                <w:sz w:val="20"/>
                <w:szCs w:val="20"/>
                <w:lang w:eastAsia="en-US"/>
              </w:rPr>
              <w:t>(v %,</w:t>
            </w:r>
            <w:r w:rsidR="00AC5AAB" w:rsidRPr="00DA20F5">
              <w:rPr>
                <w:sz w:val="20"/>
                <w:szCs w:val="20"/>
                <w:lang w:eastAsia="en-US"/>
              </w:rPr>
              <w:t xml:space="preserve"> </w:t>
            </w:r>
            <w:r w:rsidRPr="00DA20F5">
              <w:rPr>
                <w:sz w:val="20"/>
                <w:szCs w:val="20"/>
                <w:lang w:eastAsia="en-US"/>
              </w:rPr>
              <w:t>reg. zastupiteľstvá,</w:t>
            </w:r>
            <w:r w:rsidR="00AC5AAB" w:rsidRPr="00DA20F5">
              <w:rPr>
                <w:sz w:val="20"/>
                <w:szCs w:val="20"/>
                <w:lang w:eastAsia="en-US"/>
              </w:rPr>
              <w:t xml:space="preserve"> </w:t>
            </w:r>
            <w:r w:rsidRPr="00DA20F5">
              <w:rPr>
                <w:sz w:val="20"/>
                <w:szCs w:val="20"/>
                <w:lang w:eastAsia="en-US"/>
              </w:rPr>
              <w:t>2011)</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15,4</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32</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84,6</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68</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69,2</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36</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 xml:space="preserve">Miera participácie na riadení </w:t>
            </w:r>
            <w:r w:rsidRPr="00DA20F5">
              <w:rPr>
                <w:sz w:val="20"/>
                <w:szCs w:val="20"/>
                <w:lang w:eastAsia="en-US"/>
              </w:rPr>
              <w:br/>
              <w:t>(vedúci pracovníci /manažérky, 2010)</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34,6</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33</w:t>
            </w:r>
            <w:r w:rsidRPr="00DA20F5">
              <w:rPr>
                <w:sz w:val="18"/>
                <w:szCs w:val="20"/>
                <w:vertAlign w:val="superscript"/>
                <w:lang w:eastAsia="en-US"/>
              </w:rPr>
              <w:t>5</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65,4</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67</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30,8</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34</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Rodová skladba najvyššieho súdu ( v %, 2011)</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52</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33</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48</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67</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4</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15</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Rodová skladba</w:t>
            </w:r>
            <w:r w:rsidR="00AC5AAB" w:rsidRPr="00DA20F5">
              <w:rPr>
                <w:sz w:val="20"/>
                <w:szCs w:val="20"/>
                <w:lang w:eastAsia="en-US"/>
              </w:rPr>
              <w:t xml:space="preserve"> </w:t>
            </w:r>
            <w:r w:rsidRPr="00DA20F5">
              <w:rPr>
                <w:sz w:val="20"/>
                <w:szCs w:val="20"/>
                <w:lang w:eastAsia="en-US"/>
              </w:rPr>
              <w:t>vedenia centrálnej banky ( v %,</w:t>
            </w:r>
            <w:r w:rsidR="00AC5AAB" w:rsidRPr="00DA20F5">
              <w:rPr>
                <w:sz w:val="20"/>
                <w:szCs w:val="20"/>
                <w:lang w:eastAsia="en-US"/>
              </w:rPr>
              <w:t xml:space="preserve"> </w:t>
            </w:r>
            <w:r w:rsidRPr="00DA20F5">
              <w:rPr>
                <w:sz w:val="20"/>
                <w:szCs w:val="20"/>
                <w:lang w:eastAsia="en-US"/>
              </w:rPr>
              <w:t>2011)</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20</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18</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80</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82</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60</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64</w:t>
            </w:r>
          </w:p>
        </w:tc>
      </w:tr>
      <w:tr w:rsidR="0008700C" w:rsidRPr="00DA20F5" w:rsidTr="00A505E8">
        <w:trPr>
          <w:trHeight w:val="283"/>
        </w:trPr>
        <w:tc>
          <w:tcPr>
            <w:tcW w:w="5405" w:type="dxa"/>
            <w:tcBorders>
              <w:top w:val="single" w:sz="6" w:space="0" w:color="4F81BD"/>
              <w:left w:val="single" w:sz="4" w:space="0" w:color="4F81BD"/>
              <w:bottom w:val="single" w:sz="6" w:space="0" w:color="4F81BD"/>
              <w:right w:val="single" w:sz="6" w:space="0" w:color="4F81BD"/>
            </w:tcBorders>
            <w:vAlign w:val="center"/>
            <w:hideMark/>
          </w:tcPr>
          <w:p w:rsidR="0008700C" w:rsidRPr="00DA20F5" w:rsidRDefault="0008700C" w:rsidP="00D36FB8">
            <w:pPr>
              <w:jc w:val="left"/>
              <w:rPr>
                <w:sz w:val="20"/>
                <w:szCs w:val="20"/>
                <w:lang w:eastAsia="en-US"/>
              </w:rPr>
            </w:pPr>
            <w:r w:rsidRPr="00DA20F5">
              <w:rPr>
                <w:sz w:val="20"/>
                <w:szCs w:val="20"/>
                <w:lang w:eastAsia="en-US"/>
              </w:rPr>
              <w:t>Rodová skladba vo vedení najväčších firiem ( v %, 2011)</w:t>
            </w:r>
          </w:p>
        </w:tc>
        <w:tc>
          <w:tcPr>
            <w:tcW w:w="696"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13</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14</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87</w:t>
            </w:r>
          </w:p>
        </w:tc>
        <w:tc>
          <w:tcPr>
            <w:tcW w:w="708"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86</w:t>
            </w:r>
          </w:p>
        </w:tc>
        <w:tc>
          <w:tcPr>
            <w:tcW w:w="709" w:type="dxa"/>
            <w:tcBorders>
              <w:top w:val="single" w:sz="6" w:space="0" w:color="4F81BD"/>
              <w:left w:val="single" w:sz="6" w:space="0" w:color="4F81BD"/>
              <w:bottom w:val="single" w:sz="6" w:space="0" w:color="4F81BD"/>
              <w:right w:val="single" w:sz="6" w:space="0" w:color="4F81BD"/>
            </w:tcBorders>
            <w:vAlign w:val="center"/>
            <w:hideMark/>
          </w:tcPr>
          <w:p w:rsidR="0008700C" w:rsidRPr="00DA20F5" w:rsidRDefault="0008700C" w:rsidP="00D36FB8">
            <w:pPr>
              <w:suppressAutoHyphens/>
              <w:jc w:val="right"/>
              <w:rPr>
                <w:sz w:val="20"/>
                <w:szCs w:val="20"/>
                <w:lang w:eastAsia="en-US"/>
              </w:rPr>
            </w:pPr>
            <w:r w:rsidRPr="00DA20F5">
              <w:rPr>
                <w:sz w:val="20"/>
                <w:szCs w:val="20"/>
                <w:lang w:eastAsia="en-US"/>
              </w:rPr>
              <w:t>74</w:t>
            </w:r>
          </w:p>
        </w:tc>
        <w:tc>
          <w:tcPr>
            <w:tcW w:w="709" w:type="dxa"/>
            <w:tcBorders>
              <w:top w:val="single" w:sz="6" w:space="0" w:color="4F81BD"/>
              <w:left w:val="single" w:sz="6" w:space="0" w:color="4F81BD"/>
              <w:bottom w:val="single" w:sz="6" w:space="0" w:color="4F81BD"/>
              <w:right w:val="single" w:sz="4" w:space="0" w:color="4F81BD"/>
            </w:tcBorders>
            <w:vAlign w:val="center"/>
            <w:hideMark/>
          </w:tcPr>
          <w:p w:rsidR="0008700C" w:rsidRPr="00DA20F5" w:rsidRDefault="0008700C" w:rsidP="00D36FB8">
            <w:pPr>
              <w:jc w:val="right"/>
              <w:rPr>
                <w:sz w:val="18"/>
                <w:szCs w:val="20"/>
                <w:lang w:eastAsia="en-US"/>
              </w:rPr>
            </w:pPr>
            <w:r w:rsidRPr="00DA20F5">
              <w:rPr>
                <w:sz w:val="18"/>
                <w:szCs w:val="20"/>
                <w:lang w:eastAsia="en-US"/>
              </w:rPr>
              <w:t>72</w:t>
            </w:r>
          </w:p>
        </w:tc>
      </w:tr>
      <w:tr w:rsidR="0008700C" w:rsidRPr="00DA20F5" w:rsidTr="00A505E8">
        <w:tc>
          <w:tcPr>
            <w:tcW w:w="9645" w:type="dxa"/>
            <w:gridSpan w:val="7"/>
            <w:tcBorders>
              <w:top w:val="single" w:sz="6" w:space="0" w:color="4F81BD"/>
              <w:left w:val="single" w:sz="4" w:space="0" w:color="4F81BD"/>
              <w:bottom w:val="single" w:sz="4" w:space="0" w:color="4F81BD"/>
              <w:right w:val="single" w:sz="4" w:space="0" w:color="4F81BD"/>
            </w:tcBorders>
            <w:vAlign w:val="center"/>
            <w:hideMark/>
          </w:tcPr>
          <w:p w:rsidR="0008700C" w:rsidRPr="00DA20F5" w:rsidRDefault="0008700C" w:rsidP="00D36FB8">
            <w:pPr>
              <w:suppressAutoHyphens/>
              <w:rPr>
                <w:bCs/>
                <w:sz w:val="20"/>
                <w:szCs w:val="20"/>
                <w:lang w:eastAsia="en-US"/>
              </w:rPr>
            </w:pPr>
            <w:r w:rsidRPr="00DA20F5">
              <w:rPr>
                <w:bCs/>
                <w:sz w:val="20"/>
                <w:szCs w:val="20"/>
                <w:lang w:eastAsia="en-US"/>
              </w:rPr>
              <w:t xml:space="preserve">Poznámky: </w:t>
            </w:r>
            <w:r w:rsidRPr="00DA20F5">
              <w:rPr>
                <w:bCs/>
                <w:sz w:val="20"/>
                <w:szCs w:val="20"/>
                <w:vertAlign w:val="superscript"/>
                <w:lang w:eastAsia="en-US"/>
              </w:rPr>
              <w:t xml:space="preserve">1 </w:t>
            </w:r>
            <w:r w:rsidRPr="00DA20F5">
              <w:rPr>
                <w:bCs/>
                <w:sz w:val="20"/>
                <w:szCs w:val="20"/>
                <w:lang w:eastAsia="en-US"/>
              </w:rPr>
              <w:t>Rodový rozdiel je uvádzaný v percentuálnych bodoch, ak nie je označené inak</w:t>
            </w:r>
          </w:p>
          <w:p w:rsidR="0008700C" w:rsidRPr="00DA20F5" w:rsidRDefault="0008700C" w:rsidP="00D36FB8">
            <w:pPr>
              <w:suppressAutoHyphens/>
              <w:ind w:left="993"/>
              <w:rPr>
                <w:bCs/>
                <w:sz w:val="20"/>
                <w:szCs w:val="20"/>
                <w:lang w:eastAsia="en-US"/>
              </w:rPr>
            </w:pPr>
            <w:r w:rsidRPr="00DA20F5">
              <w:rPr>
                <w:bCs/>
                <w:sz w:val="20"/>
                <w:szCs w:val="20"/>
                <w:vertAlign w:val="superscript"/>
                <w:lang w:eastAsia="en-US"/>
              </w:rPr>
              <w:t>2</w:t>
            </w:r>
            <w:r w:rsidRPr="00DA20F5">
              <w:rPr>
                <w:bCs/>
                <w:sz w:val="20"/>
                <w:szCs w:val="20"/>
                <w:lang w:eastAsia="en-US"/>
              </w:rPr>
              <w:t xml:space="preserve"> Sezónne neočistené údaje za 4. Štvrťrok 2011</w:t>
            </w:r>
          </w:p>
          <w:p w:rsidR="0008700C" w:rsidRPr="00DA20F5" w:rsidRDefault="0008700C" w:rsidP="00D36FB8">
            <w:pPr>
              <w:suppressAutoHyphens/>
              <w:ind w:left="993"/>
              <w:rPr>
                <w:bCs/>
                <w:sz w:val="20"/>
                <w:szCs w:val="20"/>
                <w:lang w:eastAsia="en-US"/>
              </w:rPr>
            </w:pPr>
            <w:r w:rsidRPr="00DA20F5">
              <w:rPr>
                <w:bCs/>
                <w:sz w:val="20"/>
                <w:szCs w:val="20"/>
                <w:vertAlign w:val="superscript"/>
                <w:lang w:eastAsia="en-US"/>
              </w:rPr>
              <w:t>3</w:t>
            </w:r>
            <w:r w:rsidRPr="00DA20F5">
              <w:rPr>
                <w:bCs/>
                <w:sz w:val="20"/>
                <w:szCs w:val="20"/>
                <w:lang w:eastAsia="en-US"/>
              </w:rPr>
              <w:t xml:space="preserve"> Predbežné údaje</w:t>
            </w:r>
          </w:p>
          <w:p w:rsidR="0008700C" w:rsidRPr="00DA20F5" w:rsidRDefault="0008700C" w:rsidP="00D36FB8">
            <w:pPr>
              <w:suppressAutoHyphens/>
              <w:ind w:left="993"/>
              <w:rPr>
                <w:bCs/>
                <w:sz w:val="20"/>
                <w:szCs w:val="20"/>
                <w:lang w:eastAsia="en-US"/>
              </w:rPr>
            </w:pPr>
            <w:r w:rsidRPr="00DA20F5">
              <w:rPr>
                <w:bCs/>
                <w:sz w:val="20"/>
                <w:szCs w:val="20"/>
                <w:vertAlign w:val="superscript"/>
                <w:lang w:eastAsia="en-US"/>
              </w:rPr>
              <w:t>4</w:t>
            </w:r>
            <w:r w:rsidRPr="00DA20F5">
              <w:rPr>
                <w:bCs/>
                <w:sz w:val="20"/>
                <w:szCs w:val="20"/>
                <w:lang w:eastAsia="en-US"/>
              </w:rPr>
              <w:t xml:space="preserve"> Rok 2009</w:t>
            </w:r>
          </w:p>
          <w:p w:rsidR="0008700C" w:rsidRPr="00DA20F5" w:rsidRDefault="0008700C" w:rsidP="00D36FB8">
            <w:pPr>
              <w:suppressAutoHyphens/>
              <w:ind w:left="993"/>
              <w:rPr>
                <w:bCs/>
                <w:sz w:val="20"/>
                <w:szCs w:val="20"/>
                <w:lang w:eastAsia="en-US"/>
              </w:rPr>
            </w:pPr>
            <w:r w:rsidRPr="00DA20F5">
              <w:rPr>
                <w:bCs/>
                <w:sz w:val="20"/>
                <w:szCs w:val="20"/>
                <w:vertAlign w:val="superscript"/>
                <w:lang w:eastAsia="en-US"/>
              </w:rPr>
              <w:t>5</w:t>
            </w:r>
            <w:r w:rsidRPr="00DA20F5">
              <w:rPr>
                <w:bCs/>
                <w:sz w:val="20"/>
                <w:szCs w:val="20"/>
                <w:lang w:eastAsia="en-US"/>
              </w:rPr>
              <w:t xml:space="preserve"> Kategórie 121 Directors and chief executives + 13 Managers of smaller enterprises (Database: women&amp;men in decisionmaking</w:t>
            </w:r>
            <w:r w:rsidR="00834BAC" w:rsidRPr="00DA20F5">
              <w:rPr>
                <w:bCs/>
                <w:sz w:val="20"/>
                <w:szCs w:val="20"/>
                <w:lang w:eastAsia="en-US"/>
              </w:rPr>
              <w:t>)</w:t>
            </w:r>
            <w:r w:rsidRPr="00DA20F5">
              <w:rPr>
                <w:bCs/>
                <w:sz w:val="20"/>
                <w:szCs w:val="20"/>
                <w:lang w:eastAsia="en-US"/>
              </w:rPr>
              <w:t>. Nie je úplne komparatívne s údajmi za SR</w:t>
            </w:r>
            <w:r w:rsidR="00834BAC" w:rsidRPr="00DA20F5">
              <w:rPr>
                <w:bCs/>
                <w:sz w:val="20"/>
                <w:szCs w:val="20"/>
                <w:lang w:eastAsia="en-US"/>
              </w:rPr>
              <w:t>.</w:t>
            </w:r>
          </w:p>
        </w:tc>
      </w:tr>
    </w:tbl>
    <w:p w:rsidR="0008700C" w:rsidRPr="00DA20F5" w:rsidRDefault="0008700C" w:rsidP="00C101F6">
      <w:pPr>
        <w:pStyle w:val="zdroj"/>
        <w:spacing w:before="0"/>
      </w:pPr>
      <w:r w:rsidRPr="00DA20F5">
        <w:t>Zdroj: ŠÚ SR, Trexima, Eurostat, Sociálna poisťovňa, ÚPSVR, Ministerstvo vnútra SR a iné</w:t>
      </w:r>
    </w:p>
    <w:p w:rsidR="002B5028" w:rsidRPr="00DA20F5" w:rsidRDefault="002B5028">
      <w:pPr>
        <w:jc w:val="left"/>
        <w:rPr>
          <w:szCs w:val="22"/>
        </w:rPr>
      </w:pPr>
      <w:r w:rsidRPr="00DA20F5">
        <w:rPr>
          <w:szCs w:val="22"/>
        </w:rPr>
        <w:br w:type="page"/>
      </w:r>
    </w:p>
    <w:p w:rsidR="008F43B9" w:rsidRPr="00DA20F5" w:rsidRDefault="008F43B9" w:rsidP="00C101F6">
      <w:pPr>
        <w:pStyle w:val="nadpis2"/>
      </w:pPr>
      <w:bookmarkStart w:id="1554" w:name="_Toc326217114"/>
      <w:r w:rsidRPr="00DA20F5">
        <w:lastRenderedPageBreak/>
        <w:t>Vybrané výsledky z výskumu životných podmienok rómskych komunít</w:t>
      </w:r>
      <w:r w:rsidRPr="00DA20F5">
        <w:rPr>
          <w:rStyle w:val="Odkaznapoznmkupodiarou"/>
          <w:rFonts w:ascii="Times New Roman" w:hAnsi="Times New Roman"/>
          <w:b w:val="0"/>
        </w:rPr>
        <w:footnoteReference w:id="52"/>
      </w:r>
      <w:bookmarkEnd w:id="1554"/>
    </w:p>
    <w:p w:rsidR="008F43B9" w:rsidRPr="00DA20F5" w:rsidRDefault="008F43B9" w:rsidP="008F43B9">
      <w:pPr>
        <w:ind w:firstLine="567"/>
      </w:pPr>
      <w:r w:rsidRPr="00DA20F5">
        <w:t>V roku 2010 sa v rámci projektu Rozvojového programu OSN (UNDP) a</w:t>
      </w:r>
      <w:r w:rsidR="00BA6A6F" w:rsidRPr="00DA20F5">
        <w:t> MPSVR SR</w:t>
      </w:r>
      <w:r w:rsidRPr="00DA20F5">
        <w:t xml:space="preserve"> realizoval empirický výskum mapujúci životné podmienky rómskych domácno</w:t>
      </w:r>
      <w:r w:rsidR="00277062" w:rsidRPr="00DA20F5">
        <w:t>stí na Slovensku. Venovala sa v </w:t>
      </w:r>
      <w:r w:rsidRPr="00DA20F5">
        <w:t>ňom pozornosť všetkým kľúčovým oblastiam inklúzie Rómov</w:t>
      </w:r>
      <w:r w:rsidR="00B63612" w:rsidRPr="00DA20F5">
        <w:t>,</w:t>
      </w:r>
      <w:r w:rsidRPr="00DA20F5">
        <w:t xml:space="preserve"> ako je bývanie, zdravie, vzdelávanie a trh práce, ale aj príjmovej situácii a materiálnej deprivácii. Dáta o životných podmienkach rómskych domácností napomáhajú k získaniu komplexného obrazu o vývoji životných podmienok sociálne vylúčených rómskych komunít a majú veľký význam pre potreby sociálnej politiky, najmä pre lepšie cielenie opatrení a kvantifikovanie ich dosahov na marginalizované skupiny obyvateľstva.</w:t>
      </w:r>
    </w:p>
    <w:p w:rsidR="008F43B9" w:rsidRPr="00DA20F5" w:rsidRDefault="008F43B9" w:rsidP="008F43B9">
      <w:r w:rsidRPr="00DA20F5">
        <w:t>Empirický výskum UNDP vychádzal z tzv. sociografickéh</w:t>
      </w:r>
      <w:r w:rsidR="00277062" w:rsidRPr="00DA20F5">
        <w:t>o mapovania rómskych komunít na </w:t>
      </w:r>
      <w:r w:rsidRPr="00DA20F5">
        <w:t>Slovensku (Atlas rómskych komunít na Slovensku 2004) a bol uskutočnený rovnakou metodológiou ako pilotný výskum z roku 2005 (Správa o životných podmienkach rómskych domácností na Slovensku, UNDP 2006). Terénny zber údajov prebieh</w:t>
      </w:r>
      <w:r w:rsidR="00277062" w:rsidRPr="00DA20F5">
        <w:t>al v novembri a decembri 2010 a </w:t>
      </w:r>
      <w:r w:rsidRPr="00DA20F5">
        <w:t>do analýzy a štatistického spracovania sa zaradilo 1 083 domácnos</w:t>
      </w:r>
      <w:r w:rsidR="00B63612" w:rsidRPr="00DA20F5">
        <w:t>tí, z toho 723 jednotiek tvorili</w:t>
      </w:r>
      <w:r w:rsidRPr="00DA20F5">
        <w:t xml:space="preserve"> rómske domácnosti a 360 domácnosti priestorovo blízkej všeobecnej populácie, ktoré tvorili kontrolnú skupinu na porovnávanie socio-ekonomických a iných premenných. Súbor rómskych domácností bol reprezentovaný približne rovnakým počtom domácností za skupinu žijúcich segregovane, separovane a rozptýlene medzi majoritou. </w:t>
      </w:r>
    </w:p>
    <w:p w:rsidR="008F43B9" w:rsidRPr="00DA20F5" w:rsidRDefault="008F43B9" w:rsidP="008F43B9">
      <w:pPr>
        <w:ind w:firstLine="567"/>
      </w:pPr>
      <w:r w:rsidRPr="00DA20F5">
        <w:t>Podľa záverov, podobne ako v roku 2005</w:t>
      </w:r>
      <w:r w:rsidR="00B63612" w:rsidRPr="00DA20F5">
        <w:t>,</w:t>
      </w:r>
      <w:r w:rsidRPr="00DA20F5">
        <w:t xml:space="preserve"> aj v roku 2010 pretrvávajú medzi rómskymi domácnosťami a domácnosťami všeobecnej populácie viaceré nerovnosti, napríklad vo vzdelávaní, dostupnosti zdravotnej starostlivosti alebo v prístupe k mnohým tovarom a službám vôbec. V tejto kapitole vyberáme zo Správy o životných podmienkach rómskych domácnosti na Slovensku 2010 (UNDP, 2012) niektoré významné zistenia v oblasti trhu práce, životnej úrovne a deprivácie. V </w:t>
      </w:r>
      <w:r w:rsidR="00B63612" w:rsidRPr="00DA20F5">
        <w:t>prílohe</w:t>
      </w:r>
      <w:r w:rsidRPr="00DA20F5">
        <w:t xml:space="preserve"> ku kapitole </w:t>
      </w:r>
      <w:r w:rsidR="00B63612" w:rsidRPr="00DA20F5">
        <w:t xml:space="preserve">4 </w:t>
      </w:r>
      <w:r w:rsidRPr="00DA20F5">
        <w:t>sa nachádzajú grafy a tabuľky s vybranými údajmi z tejto správy. Správa UNDP, okrem uvedených vybraných údajov, obsahuje ďalšie podrobné dáta, výskumné zistenia a odporúčania pre sociálnu politiku.</w:t>
      </w:r>
    </w:p>
    <w:p w:rsidR="008F43B9" w:rsidRPr="00DA20F5" w:rsidRDefault="008F43B9" w:rsidP="008F43B9">
      <w:pPr>
        <w:rPr>
          <w:b/>
        </w:rPr>
      </w:pPr>
    </w:p>
    <w:p w:rsidR="008F43B9" w:rsidRPr="00DA20F5" w:rsidRDefault="008F43B9" w:rsidP="008F43B9">
      <w:pPr>
        <w:rPr>
          <w:b/>
        </w:rPr>
      </w:pPr>
      <w:r w:rsidRPr="00DA20F5">
        <w:rPr>
          <w:b/>
        </w:rPr>
        <w:t>Trh práce</w:t>
      </w:r>
    </w:p>
    <w:p w:rsidR="008F43B9" w:rsidRPr="00DA20F5" w:rsidRDefault="008F43B9" w:rsidP="00277062">
      <w:pPr>
        <w:pStyle w:val="Odsekzoznamu"/>
        <w:numPr>
          <w:ilvl w:val="0"/>
          <w:numId w:val="44"/>
        </w:numPr>
        <w:spacing w:after="200"/>
        <w:contextualSpacing/>
      </w:pPr>
      <w:r w:rsidRPr="00DA20F5">
        <w:rPr>
          <w:b/>
        </w:rPr>
        <w:t>Miera zamestnanosti</w:t>
      </w:r>
      <w:r w:rsidRPr="00DA20F5">
        <w:t xml:space="preserve"> rátaná podľa metodiky VZPS za rómsku populáciu vo veku 15 a viac rokov dosiahla v priemere 15 %. Takýto výsledok za rómsky súbor sa vnútorne diferencoval podľa typu bývania (13,1 % segregovaní, 15,5 % separovaní a 16,4 % rozptýlení) a výrazne sa odlišoval od úrovne zamestnanosti všeobecnej populácie z geog</w:t>
      </w:r>
      <w:r w:rsidR="00277062" w:rsidRPr="00DA20F5">
        <w:t>raficky blízkeho prostredia, za </w:t>
      </w:r>
      <w:r w:rsidRPr="00DA20F5">
        <w:t xml:space="preserve">ktorú dosiahla hodnotu 45,9 %. </w:t>
      </w:r>
    </w:p>
    <w:p w:rsidR="008F43B9" w:rsidRPr="00DA20F5" w:rsidRDefault="008F43B9" w:rsidP="00277062">
      <w:pPr>
        <w:pStyle w:val="Odsekzoznamu"/>
        <w:numPr>
          <w:ilvl w:val="0"/>
          <w:numId w:val="44"/>
        </w:numPr>
        <w:contextualSpacing/>
      </w:pPr>
      <w:r w:rsidRPr="00DA20F5">
        <w:t>Vo vekovej skupine 15-24 rokov bola miera zamestnano</w:t>
      </w:r>
      <w:r w:rsidR="00277062" w:rsidRPr="00DA20F5">
        <w:t>sti v prípade Rómov 11,4 % a za </w:t>
      </w:r>
      <w:r w:rsidRPr="00DA20F5">
        <w:t>všeobecnú populáciu 20,5 %; spomedzi 55-64-ročných Rómov tvorili pracujúci le</w:t>
      </w:r>
      <w:r w:rsidR="00277062" w:rsidRPr="00DA20F5">
        <w:t>n 7,9 </w:t>
      </w:r>
      <w:r w:rsidRPr="00DA20F5">
        <w:t xml:space="preserve">%, kým z tej istej skupiny všeobecnej populácie to bolo ešte 35,5 %.  </w:t>
      </w:r>
    </w:p>
    <w:p w:rsidR="008F43B9" w:rsidRPr="00DA20F5" w:rsidRDefault="008F43B9" w:rsidP="00277062">
      <w:pPr>
        <w:pStyle w:val="Odsekzoznamu"/>
        <w:numPr>
          <w:ilvl w:val="0"/>
          <w:numId w:val="44"/>
        </w:numPr>
        <w:spacing w:after="200"/>
        <w:contextualSpacing/>
      </w:pPr>
      <w:r w:rsidRPr="00DA20F5">
        <w:t>Keďže deklarovaná zamestnanosť rómskej populácie bola nižšia ako miera zamestnanosti podľa metodiky VZPS, môže to signalizovať podstatne vyšší výskyt rôznych náhodných pracovných príležitostí so symptómami prekérnej či čiernej práce na strane rómskej populácie, keď sú z okolia prizývaní jednotlivcami alebo právnickými osobami k privyrobeniu si, ale trvalejšie pracovné miesto zostáva pre nich nedostupné. To znamená, že  sa v pomerne veľkom objeme odohráva mimo oficiálneho trhu práce. Zame</w:t>
      </w:r>
      <w:r w:rsidR="00277062" w:rsidRPr="00DA20F5">
        <w:t>stnanosť rómskej populácie aj v </w:t>
      </w:r>
      <w:r w:rsidRPr="00DA20F5">
        <w:t>rámci oficiálneho trhu práce zostáva z veľkej časti mimo štandardných foriem zamestnania (skrátené úväzky, sezónne alebo brigádnické práce, živnosť a podobne) a menej kvalifikované práce, u ktorých sa dá predpokladať, že aj s nižšou pracovnou odmenou.</w:t>
      </w:r>
    </w:p>
    <w:p w:rsidR="008F43B9" w:rsidRPr="00DA20F5" w:rsidRDefault="008F43B9" w:rsidP="00277062">
      <w:pPr>
        <w:pStyle w:val="Odsekzoznamu"/>
        <w:numPr>
          <w:ilvl w:val="0"/>
          <w:numId w:val="44"/>
        </w:numPr>
        <w:spacing w:after="200"/>
        <w:contextualSpacing/>
      </w:pPr>
      <w:r w:rsidRPr="00DA20F5">
        <w:rPr>
          <w:b/>
        </w:rPr>
        <w:t>Miera nezamestnanosti</w:t>
      </w:r>
      <w:r w:rsidRPr="00DA20F5">
        <w:t xml:space="preserve"> rátaná ako podiel nezamestnaných na celkovom počte ekonomicky aktívnych osôb (pracovnej sile) dosiahla za rómsku populáciu 15+ rokov v priemere 73,1 %. So zúžením vekového intervalu pre východiskovú skupinu na 15-64 alebo 15-55 rokov sa miera nezamestnanosti Rómov takmer vôbec nemenila. Naopak, vypočítaná miera </w:t>
      </w:r>
      <w:r w:rsidRPr="00DA20F5">
        <w:lastRenderedPageBreak/>
        <w:t xml:space="preserve">nezamestnanosti všeobecnej populácie vo veku 15+ rokov mala hodnotu 9,9 %, čo je viac ako </w:t>
      </w:r>
      <w:r w:rsidR="00B63612" w:rsidRPr="00DA20F5">
        <w:t xml:space="preserve">7 </w:t>
      </w:r>
      <w:r w:rsidRPr="00DA20F5">
        <w:t>krát menej než u rómskej.</w:t>
      </w:r>
    </w:p>
    <w:p w:rsidR="008F43B9" w:rsidRPr="00DA20F5" w:rsidRDefault="008F43B9" w:rsidP="00277062">
      <w:pPr>
        <w:pStyle w:val="Odsekzoznamu"/>
        <w:numPr>
          <w:ilvl w:val="0"/>
          <w:numId w:val="44"/>
        </w:numPr>
        <w:spacing w:after="200"/>
        <w:contextualSpacing/>
      </w:pPr>
      <w:r w:rsidRPr="00DA20F5">
        <w:t xml:space="preserve">Výskumné dáta potvrdili </w:t>
      </w:r>
      <w:r w:rsidRPr="00DA20F5">
        <w:rPr>
          <w:b/>
        </w:rPr>
        <w:t>vplyv vzdelania na rast ekonomickej aktivity a</w:t>
      </w:r>
      <w:r w:rsidR="00277062" w:rsidRPr="00DA20F5">
        <w:rPr>
          <w:b/>
        </w:rPr>
        <w:t> zamestnanosti na </w:t>
      </w:r>
      <w:r w:rsidR="00B63612" w:rsidRPr="00DA20F5">
        <w:rPr>
          <w:b/>
        </w:rPr>
        <w:t>jednej strane</w:t>
      </w:r>
      <w:r w:rsidRPr="00DA20F5">
        <w:rPr>
          <w:b/>
        </w:rPr>
        <w:t xml:space="preserve"> a zníženie nezamestnanosti na strane druhej</w:t>
      </w:r>
      <w:r w:rsidRPr="00DA20F5">
        <w:t>. Miera zamestnanosti rómskej populácie 15-64 rokov postupne narastala od 9,2 % v kategórii menej ako štandardná základná škola, cez 15,6 % u štandardného základného vzdelania a neukončenej strednej školy, na 29,9 % za vyučených, a napokon na 37,8 % za stredoškolákov s maturitou a vyšším vzdelaním. Miera zamestnanosti za všeobecnú populáciu sa zistila vo všetkých štyroch kategóriách vzdelania vyššia, okrem najnižšieho vzdelania dokonca podstatne vyššia. Úplne opačnú súvislosť prejavila vo vzťahu k vzdelaniu miera nezamestnanosti, s rastúcim vzdelaním sa znižovala. Kým pri vzdelaní nižšom ako štandardná základná škola prekročila miera nezamestnanosti za Rómov až 81 %, u učňovskej</w:t>
      </w:r>
      <w:r w:rsidR="00277062" w:rsidRPr="00DA20F5">
        <w:t xml:space="preserve"> školy sa dostala pod 60 % a za </w:t>
      </w:r>
      <w:r w:rsidRPr="00DA20F5">
        <w:t xml:space="preserve">stredoškolákov s maturitou klesla ďalej na necelých 42 %. V porovnaní s geograficky blízkou všeobecnou populáciou však bola aj zistená miera nezamestnanosti vo všetkých vzdelanostných kategóriách omnoho menšia, vrátane najvyššieho vzdelania. </w:t>
      </w:r>
    </w:p>
    <w:p w:rsidR="008F43B9" w:rsidRPr="00DA20F5" w:rsidRDefault="008F43B9" w:rsidP="00277062">
      <w:pPr>
        <w:pStyle w:val="Odsekzoznamu"/>
        <w:numPr>
          <w:ilvl w:val="0"/>
          <w:numId w:val="44"/>
        </w:numPr>
        <w:spacing w:after="200"/>
        <w:contextualSpacing/>
      </w:pPr>
      <w:r w:rsidRPr="00DA20F5">
        <w:t xml:space="preserve">Napriek tomu, že vzdelanie z analýzy vyšlo ako silný diferencujúci činiteľ, </w:t>
      </w:r>
      <w:r w:rsidRPr="00DA20F5">
        <w:rPr>
          <w:b/>
        </w:rPr>
        <w:t>prínos z vyššieho vzdelania, ktorý sa odráža na výslednom lepšom postavení na trhu práce, zohrával pri rómskej populácii menej výraznú úlohu ako pri nerómskej</w:t>
      </w:r>
      <w:r w:rsidRPr="00DA20F5">
        <w:t>. Rómovia pravdepodobne čelia významným ťažkostiam pri hľadaní kvalifikovanej práce aj pri dosiahnutí vyššieho vzdelania; nezamestnanosť Rómov je veľmi vysoká aj pri vyšších stupňoch vzdelania.</w:t>
      </w:r>
    </w:p>
    <w:p w:rsidR="008F43B9" w:rsidRPr="00DA20F5" w:rsidRDefault="008F43B9" w:rsidP="00277062">
      <w:pPr>
        <w:pStyle w:val="Odsekzoznamu"/>
        <w:numPr>
          <w:ilvl w:val="0"/>
          <w:numId w:val="44"/>
        </w:numPr>
        <w:contextualSpacing/>
        <w:rPr>
          <w:rFonts w:cstheme="minorBidi"/>
        </w:rPr>
      </w:pPr>
      <w:r w:rsidRPr="00DA20F5">
        <w:rPr>
          <w:b/>
        </w:rPr>
        <w:t>Zamestnanosť rómskych žien</w:t>
      </w:r>
      <w:r w:rsidRPr="00DA20F5">
        <w:t xml:space="preserve"> bola aj pri celkovej veľmi nízkej úrovni za súhrnnú rómsku populáciu vo všetkých vekových a generačných skupinách minimálne o polovicu nižšia oproti rómskym mužom (v priemere 20 % za rómskych mužov a 10 % za rómske ženy). Kým nezamestnanosť za rómske ženy vystúpila až na viac ako 75 %, za všeobecnú populáciu rovnakého vymedzenia mala za hodnotu vyše 9 %. Vyplýva z toho zároveň, že vyššiu úroveň v porovnaní s rómskymi mužmi vykázala miera nezamestnanosti rómskych žien. Vôbec najvyššiu nezamestnanosť dosiahli rómske ženy strednej generácie </w:t>
      </w:r>
      <w:r w:rsidR="00B63612" w:rsidRPr="00DA20F5">
        <w:t xml:space="preserve">- </w:t>
      </w:r>
      <w:r w:rsidRPr="00DA20F5">
        <w:t>75,7 %.</w:t>
      </w:r>
    </w:p>
    <w:p w:rsidR="008F43B9" w:rsidRPr="00DA20F5" w:rsidRDefault="008F43B9" w:rsidP="00277062">
      <w:pPr>
        <w:pStyle w:val="Odsekzoznamu"/>
        <w:numPr>
          <w:ilvl w:val="0"/>
          <w:numId w:val="44"/>
        </w:numPr>
        <w:spacing w:after="200"/>
        <w:contextualSpacing/>
      </w:pPr>
      <w:r w:rsidRPr="00DA20F5">
        <w:rPr>
          <w:b/>
        </w:rPr>
        <w:t>Nezamestnanosť</w:t>
      </w:r>
      <w:r w:rsidRPr="00DA20F5">
        <w:t xml:space="preserve"> </w:t>
      </w:r>
      <w:r w:rsidRPr="00DA20F5">
        <w:rPr>
          <w:b/>
        </w:rPr>
        <w:t>rómskych žien</w:t>
      </w:r>
      <w:r w:rsidRPr="00DA20F5">
        <w:t xml:space="preserve"> bola vyššia ako rómskych mužov, vo všeobecnej populácii to bolo naopak. Napriek vysokému podielu rómskych žien mimo trhu práce (a recipročne menšej miere ekonomickej aktivity), aj ako pracovná sila končia prevažne a častejšie</w:t>
      </w:r>
      <w:r w:rsidR="00B63612" w:rsidRPr="00DA20F5">
        <w:t xml:space="preserve"> </w:t>
      </w:r>
      <w:r w:rsidRPr="00DA20F5">
        <w:t>(v</w:t>
      </w:r>
      <w:r w:rsidR="00277062" w:rsidRPr="00DA20F5">
        <w:t> </w:t>
      </w:r>
      <w:r w:rsidRPr="00DA20F5">
        <w:t xml:space="preserve">porovnaní s rómskymi mužmi i všeobecnými ženami) v kategórii nezamestnaných. Opačne je to so zamestnanosťou – tá je za rómske aj nerómske ženy nižšia než za mužov, v prípade rómskych žien je ale zaostávanie za mužmi omnoho väčšie (až o polovicu). </w:t>
      </w:r>
    </w:p>
    <w:p w:rsidR="008F43B9" w:rsidRPr="00DA20F5" w:rsidRDefault="008F43B9" w:rsidP="00277062">
      <w:pPr>
        <w:pStyle w:val="Odsekzoznamu"/>
        <w:numPr>
          <w:ilvl w:val="0"/>
          <w:numId w:val="44"/>
        </w:numPr>
        <w:spacing w:after="200"/>
        <w:contextualSpacing/>
      </w:pPr>
      <w:r w:rsidRPr="00DA20F5">
        <w:t xml:space="preserve">Vo všeobecnosti sa dá povedať, že pri porovnaní podmienok na trhu práce medzi Rómami a všeobecnou populáciou žijúcou v blízkosti sa </w:t>
      </w:r>
      <w:r w:rsidRPr="00DA20F5">
        <w:rPr>
          <w:b/>
        </w:rPr>
        <w:t>a</w:t>
      </w:r>
      <w:r w:rsidR="00B63612" w:rsidRPr="00DA20F5">
        <w:rPr>
          <w:b/>
        </w:rPr>
        <w:t xml:space="preserve">ko silný diferencujúci činiteľ </w:t>
      </w:r>
      <w:r w:rsidRPr="00DA20F5">
        <w:rPr>
          <w:b/>
        </w:rPr>
        <w:t>totiž opakovane ukázala etnická príslušnosť</w:t>
      </w:r>
      <w:r w:rsidRPr="00DA20F5">
        <w:t xml:space="preserve"> – rozdiely v postavení Rómov oproti všeobecnej populácii boli v mnohých ukazovateľoch obrovské. Existujúce všeobecné znevýhodnenie rómskeho etnika vo vzťahu k trhu práce a zamestnanosti eskaluje za situácie separácie a najmä segregácie v geografickom priestore.</w:t>
      </w:r>
    </w:p>
    <w:p w:rsidR="008F43B9" w:rsidRPr="00DA20F5" w:rsidRDefault="008F43B9" w:rsidP="00277062">
      <w:pPr>
        <w:pStyle w:val="Odsekzoznamu"/>
        <w:numPr>
          <w:ilvl w:val="0"/>
          <w:numId w:val="44"/>
        </w:numPr>
        <w:spacing w:after="200"/>
        <w:contextualSpacing/>
      </w:pPr>
      <w:r w:rsidRPr="00DA20F5">
        <w:t xml:space="preserve">Porovnanie rómskych domácností s pracujúcim členom a bez takéhoto člena poukázalo na </w:t>
      </w:r>
      <w:r w:rsidRPr="00DA20F5">
        <w:rPr>
          <w:b/>
        </w:rPr>
        <w:t>priaznivejšiu situáciu tých domácností, z ktorých jeden alebo viacerí členovia pracovali</w:t>
      </w:r>
      <w:r w:rsidRPr="00DA20F5">
        <w:t>. Pritom takmer všetky sledované indikátory mali lepší v</w:t>
      </w:r>
      <w:r w:rsidR="00277062" w:rsidRPr="00DA20F5">
        <w:t>ýsledok za domácnosti s dvomi a </w:t>
      </w:r>
      <w:r w:rsidRPr="00DA20F5">
        <w:t>viacerými pracujúcimi členmi oproti tým, kde pracoval iba jeden člen. Výskumné údaje jednoznačne potvrdili, že vylúčenie z trhu práce zvyšuje pravdepodobnosť prepadu takýchto domácností do rizika chudoby, zvyšuje ohrozenie materiálnou depriváciou a znižuje kvalitu života ich členov. Na základe výsledkov výskumu sa dá sa tiež konštatovať, že zaznamenané rozdiely v celkovej ekonomickej aktivite rómskej populácie sú v porovnaní piatich rokov iba veľmi malé, napriek množstvu programov deklarovaných ako podpora rómskej zamestnanosti, čo by svedčilo o neefektivite existujúcich programov vo vzťahu k danému cieľu.</w:t>
      </w:r>
    </w:p>
    <w:p w:rsidR="008F43B9" w:rsidRPr="00DA20F5" w:rsidRDefault="008F43B9" w:rsidP="00277062">
      <w:pPr>
        <w:ind w:left="360"/>
        <w:rPr>
          <w:rFonts w:cstheme="minorBidi"/>
        </w:rPr>
      </w:pPr>
      <w:r w:rsidRPr="00DA20F5">
        <w:rPr>
          <w:b/>
        </w:rPr>
        <w:t>Životná úroveň a extrémna deprivácia</w:t>
      </w:r>
    </w:p>
    <w:p w:rsidR="008F43B9" w:rsidRPr="00DA20F5" w:rsidRDefault="008F43B9" w:rsidP="00277062">
      <w:pPr>
        <w:pStyle w:val="Odsekzoznamu"/>
        <w:numPr>
          <w:ilvl w:val="0"/>
          <w:numId w:val="44"/>
        </w:numPr>
        <w:spacing w:after="200"/>
        <w:contextualSpacing/>
      </w:pPr>
      <w:r w:rsidRPr="00DA20F5">
        <w:rPr>
          <w:b/>
        </w:rPr>
        <w:t>Príjmy zo zamestnania</w:t>
      </w:r>
      <w:r w:rsidRPr="00DA20F5">
        <w:t xml:space="preserve"> (išlo o sumu pracovných príjmov za posledný mesiac, ktorý predchádzal obdobiu zisťovania) vo výške do 350 </w:t>
      </w:r>
      <w:r w:rsidR="00BC5809" w:rsidRPr="00DA20F5">
        <w:t>€</w:t>
      </w:r>
      <w:r w:rsidRPr="00DA20F5">
        <w:t xml:space="preserve"> malo takmer 40 % rómskych domácností; v strednom príjmovom intervale od 351 do 700 </w:t>
      </w:r>
      <w:r w:rsidR="00BC5809" w:rsidRPr="00DA20F5">
        <w:t>€</w:t>
      </w:r>
      <w:r w:rsidRPr="00DA20F5">
        <w:t xml:space="preserve"> sa nachádzalo najviac rómskych domácností – vyše 46 %; celkový pracovný príjem nad 700 </w:t>
      </w:r>
      <w:r w:rsidR="00BC5809" w:rsidRPr="00DA20F5">
        <w:t xml:space="preserve">€ </w:t>
      </w:r>
      <w:r w:rsidRPr="00DA20F5">
        <w:t xml:space="preserve"> uviedlo 14,2 % z nich. </w:t>
      </w:r>
    </w:p>
    <w:p w:rsidR="008F43B9" w:rsidRPr="00DA20F5" w:rsidRDefault="008F43B9" w:rsidP="00277062">
      <w:pPr>
        <w:pStyle w:val="Odsekzoznamu"/>
        <w:numPr>
          <w:ilvl w:val="0"/>
          <w:numId w:val="45"/>
        </w:numPr>
        <w:spacing w:after="200"/>
        <w:contextualSpacing/>
      </w:pPr>
      <w:r w:rsidRPr="00DA20F5">
        <w:rPr>
          <w:b/>
        </w:rPr>
        <w:lastRenderedPageBreak/>
        <w:t>Celkové pracovné príjmy rómskych domácností boli na výrazne nižšej úrovni než príjmy geograficky blízkej všeobecnej populácie.</w:t>
      </w:r>
      <w:r w:rsidRPr="00DA20F5">
        <w:t xml:space="preserve"> Priemerná suma celkových pracovných príjmov v rómskych domácnostiach predstavovala 485 </w:t>
      </w:r>
      <w:r w:rsidR="00BC5809" w:rsidRPr="00DA20F5">
        <w:t>€</w:t>
      </w:r>
      <w:r w:rsidRPr="00DA20F5">
        <w:t xml:space="preserve">, mediánová suma mala hodnotu 400 </w:t>
      </w:r>
      <w:r w:rsidR="00BC5809" w:rsidRPr="00DA20F5">
        <w:t>€</w:t>
      </w:r>
      <w:r w:rsidRPr="00DA20F5">
        <w:t xml:space="preserve">. Najvyššie zastúpenie medzi všeobecnými domácnosťami mal najvyšší príjmový interval, kam spadala viac než polovica domácností (55 %). </w:t>
      </w:r>
    </w:p>
    <w:p w:rsidR="008F43B9" w:rsidRPr="00DA20F5" w:rsidRDefault="008F43B9" w:rsidP="00277062">
      <w:pPr>
        <w:pStyle w:val="Odsekzoznamu"/>
        <w:numPr>
          <w:ilvl w:val="0"/>
          <w:numId w:val="45"/>
        </w:numPr>
        <w:spacing w:after="200"/>
        <w:contextualSpacing/>
      </w:pPr>
      <w:r w:rsidRPr="00DA20F5">
        <w:t xml:space="preserve">Spomedzi sociálnych príjmov (definované ako všetky transfery od štátu domácnostiam alebo jej jednotlivým členom) hrá dôležitú úlohu </w:t>
      </w:r>
      <w:r w:rsidRPr="00DA20F5">
        <w:rPr>
          <w:b/>
        </w:rPr>
        <w:t>dávka v hmotnej núdzi</w:t>
      </w:r>
      <w:r w:rsidRPr="00DA20F5">
        <w:t xml:space="preserve">, ktorú poberá každá druhá rómska domácnosť (v súbore geograficky blízkej všeobecnej populácie to boli 4 % domácností). </w:t>
      </w:r>
      <w:r w:rsidRPr="00DA20F5">
        <w:rPr>
          <w:b/>
        </w:rPr>
        <w:t>Príspevok na bývanie</w:t>
      </w:r>
      <w:r w:rsidRPr="00DA20F5">
        <w:t xml:space="preserve"> poberalo 58 % domácností na dávke v hmotnej núdzi. Tento podiel silno varioval v jednotlivých typoch osídlenia – najvyšší bol v rozptýlených obydliach (77 %), najnižší v segregovaných osadách (48 %). </w:t>
      </w:r>
      <w:r w:rsidRPr="00DA20F5">
        <w:rPr>
          <w:b/>
        </w:rPr>
        <w:t>Aktivačný príspevok</w:t>
      </w:r>
      <w:r w:rsidRPr="00DA20F5">
        <w:t xml:space="preserve">, spomedzi Rómov v produktívnom veku 16-54 rokov, ktorí žili v domácnostiach s dávkou v hmotnej núdzi, získalo tento príspevok 30 %. Najviac ich bolo medzi Rómami zo segregovaných osád (37 %). </w:t>
      </w:r>
      <w:r w:rsidRPr="00DA20F5">
        <w:rPr>
          <w:b/>
        </w:rPr>
        <w:t>Ochranný príspevok</w:t>
      </w:r>
      <w:r w:rsidRPr="00DA20F5">
        <w:t xml:space="preserve"> poberali 3 % Rómov vo</w:t>
      </w:r>
      <w:r w:rsidR="00277062" w:rsidRPr="00DA20F5">
        <w:t xml:space="preserve"> veku 16-54 rokov, ktorí žili v </w:t>
      </w:r>
      <w:r w:rsidRPr="00DA20F5">
        <w:t>domácnostiach na dávke v hmotnej núdzi. Ukazuje sa, že možnosti doplniť minimálny sociálny príjem využíva len časť oprávnenej populác</w:t>
      </w:r>
      <w:r w:rsidR="00277062" w:rsidRPr="00DA20F5">
        <w:t>ie. Z rodinných dávok patrili k </w:t>
      </w:r>
      <w:r w:rsidRPr="00DA20F5">
        <w:t xml:space="preserve">najčastejšie využívaným </w:t>
      </w:r>
      <w:r w:rsidRPr="00DA20F5">
        <w:rPr>
          <w:b/>
        </w:rPr>
        <w:t>prídavok na dieťa</w:t>
      </w:r>
      <w:r w:rsidRPr="00DA20F5">
        <w:t xml:space="preserve"> (26 % R</w:t>
      </w:r>
      <w:r w:rsidR="00277062" w:rsidRPr="00DA20F5">
        <w:t>ómov vo veku 18 rokov a viac) a </w:t>
      </w:r>
      <w:r w:rsidRPr="00DA20F5">
        <w:rPr>
          <w:b/>
        </w:rPr>
        <w:t>rodičovský príspevok</w:t>
      </w:r>
      <w:r w:rsidRPr="00DA20F5">
        <w:t xml:space="preserve"> (12 % Rómov vo veku od 18 rokov).</w:t>
      </w:r>
    </w:p>
    <w:p w:rsidR="008F43B9" w:rsidRPr="00DA20F5" w:rsidRDefault="008F43B9" w:rsidP="00277062">
      <w:pPr>
        <w:pStyle w:val="Odsekzoznamu"/>
        <w:numPr>
          <w:ilvl w:val="0"/>
          <w:numId w:val="45"/>
        </w:numPr>
        <w:spacing w:after="200"/>
        <w:contextualSpacing/>
      </w:pPr>
      <w:r w:rsidRPr="00DA20F5">
        <w:rPr>
          <w:b/>
        </w:rPr>
        <w:t>Celkový príjem domácnosti</w:t>
      </w:r>
      <w:r w:rsidRPr="00DA20F5">
        <w:t xml:space="preserve"> sa rátal spočítaním príjmov pracovných a sociálnych. Najčastejšie zastúpeným príjmovým intervalom v súbore všetkých rómskych domácností bol interval od 151 do 300 </w:t>
      </w:r>
      <w:r w:rsidR="00BC5809" w:rsidRPr="00DA20F5">
        <w:t>€</w:t>
      </w:r>
      <w:r w:rsidRPr="00DA20F5">
        <w:t>, v ktorom sa so svojim čistým mesačným príjmom ocitlo viac než 31</w:t>
      </w:r>
      <w:r w:rsidR="00277062" w:rsidRPr="00DA20F5">
        <w:t> </w:t>
      </w:r>
      <w:r w:rsidRPr="00DA20F5">
        <w:t xml:space="preserve">% domácností. V najnižšom intervale s príjmami do 150 </w:t>
      </w:r>
      <w:r w:rsidR="00BC5809" w:rsidRPr="00DA20F5">
        <w:t>€</w:t>
      </w:r>
      <w:r w:rsidRPr="00DA20F5">
        <w:t xml:space="preserve"> sa nachádzalo 10,5 % rómskych domácností, v najvyššom príjmovom intervale 751 € a viac cez 9 % domácností.</w:t>
      </w:r>
    </w:p>
    <w:p w:rsidR="008F43B9" w:rsidRPr="00DA20F5" w:rsidRDefault="008F43B9" w:rsidP="00277062">
      <w:pPr>
        <w:pStyle w:val="Odsekzoznamu"/>
        <w:numPr>
          <w:ilvl w:val="0"/>
          <w:numId w:val="45"/>
        </w:numPr>
        <w:spacing w:after="200"/>
        <w:contextualSpacing/>
      </w:pPr>
      <w:r w:rsidRPr="00DA20F5">
        <w:t>Potvrdilo sa, že</w:t>
      </w:r>
      <w:r w:rsidRPr="00DA20F5">
        <w:rPr>
          <w:b/>
        </w:rPr>
        <w:t xml:space="preserve"> celkový príjem na osobu je v rómskych domácnostiach značne diferencovaný podľa počtu pracujúcich členov (vyšší počet pracujúcich ved</w:t>
      </w:r>
      <w:r w:rsidRPr="00DA20F5">
        <w:t>ie</w:t>
      </w:r>
      <w:r w:rsidRPr="00DA20F5">
        <w:rPr>
          <w:b/>
        </w:rPr>
        <w:t xml:space="preserve"> k vyššiemu príjmu). </w:t>
      </w:r>
      <w:r w:rsidRPr="00DA20F5">
        <w:t>Diferencujúcim faktorom je aj počet detí do 6 a do 18 rokov, kde s rastúcim počtom detí príjem na osobu klesal.</w:t>
      </w:r>
    </w:p>
    <w:p w:rsidR="008F43B9" w:rsidRPr="00DA20F5" w:rsidRDefault="008F43B9" w:rsidP="00277062">
      <w:pPr>
        <w:pStyle w:val="Odsekzoznamu"/>
        <w:numPr>
          <w:ilvl w:val="0"/>
          <w:numId w:val="45"/>
        </w:numPr>
        <w:spacing w:after="200"/>
        <w:contextualSpacing/>
      </w:pPr>
      <w:r w:rsidRPr="00DA20F5">
        <w:rPr>
          <w:b/>
        </w:rPr>
        <w:t>Značná časť rómskych domácností je vystavená riziku deprivácie v oblasti spotreby</w:t>
      </w:r>
      <w:r w:rsidRPr="00DA20F5">
        <w:t xml:space="preserve">. Jedlo z mäsa každý druhý deň si dokázala zabezpečiť len necelá pätina, nové sezónne oblečenie a obuv len necelá desatina. Možnosť naakumulovať úspory vo výške 300 </w:t>
      </w:r>
      <w:r w:rsidR="00BC5809" w:rsidRPr="00DA20F5">
        <w:t>€</w:t>
      </w:r>
      <w:r w:rsidR="00277062" w:rsidRPr="00DA20F5">
        <w:t xml:space="preserve"> sa v </w:t>
      </w:r>
      <w:r w:rsidRPr="00DA20F5">
        <w:t>rómskych domácnostiach vyskytovala veľmi zriedka (necelých 6 %). Veľkú zraniteľnosť naznačujú aj údaje o výskyte nedoplatkov za pravidelné nákupy či služby spojené s bývaním. Geograficky blízka všeobecná populácia vykázala v daných indikátoroch podstatne nižšie ohrozenie depriváciou i finančnými ťažkosťami.</w:t>
      </w:r>
    </w:p>
    <w:p w:rsidR="008F43B9" w:rsidRPr="00DA20F5" w:rsidRDefault="008F43B9" w:rsidP="00277062">
      <w:pPr>
        <w:pStyle w:val="Odsekzoznamu"/>
        <w:numPr>
          <w:ilvl w:val="0"/>
          <w:numId w:val="45"/>
        </w:numPr>
        <w:spacing w:after="200"/>
        <w:ind w:left="360"/>
        <w:contextualSpacing/>
      </w:pPr>
      <w:r w:rsidRPr="00DA20F5">
        <w:rPr>
          <w:b/>
        </w:rPr>
        <w:t>Extrémnu materiálnu depriváciu</w:t>
      </w:r>
      <w:r w:rsidRPr="00DA20F5">
        <w:t xml:space="preserve"> v podobe vyhranenej situácie, keď domácnosť skutočne nemala jedlo pre deti, z reality poznala viac ako 50 % </w:t>
      </w:r>
      <w:r w:rsidR="00277062" w:rsidRPr="00DA20F5">
        <w:t>z rómskych domácností, pričom v </w:t>
      </w:r>
      <w:r w:rsidRPr="00DA20F5">
        <w:t>absolútnej väčšine prípadov išlo o opakovaný výsk</w:t>
      </w:r>
      <w:r w:rsidR="00277062" w:rsidRPr="00DA20F5">
        <w:t>yt. Zo všeobecných domácností v </w:t>
      </w:r>
      <w:r w:rsidRPr="00DA20F5">
        <w:t xml:space="preserve">geografickej blízkosti sa tento typ deprivácie vyskytol niekedy u jednej desatiny a opakovane ju zažilo 7 %. </w:t>
      </w:r>
    </w:p>
    <w:p w:rsidR="008F43B9" w:rsidRPr="00DA20F5" w:rsidRDefault="008F43B9" w:rsidP="00277062">
      <w:pPr>
        <w:pStyle w:val="Odsekzoznamu"/>
        <w:numPr>
          <w:ilvl w:val="0"/>
          <w:numId w:val="45"/>
        </w:numPr>
        <w:spacing w:after="200"/>
        <w:contextualSpacing/>
      </w:pPr>
      <w:r w:rsidRPr="00DA20F5">
        <w:rPr>
          <w:b/>
        </w:rPr>
        <w:t>Extrémna materiálna deprivácia</w:t>
      </w:r>
      <w:r w:rsidRPr="00DA20F5">
        <w:t xml:space="preserve"> (chýbajúce jedlo pre deti, nemožnosť ohriať jedlo alebo kúriť v byte) </w:t>
      </w:r>
      <w:r w:rsidRPr="00DA20F5">
        <w:rPr>
          <w:b/>
        </w:rPr>
        <w:t>sa vyskytovala najčastejšie v domácnostiac</w:t>
      </w:r>
      <w:r w:rsidR="00277062" w:rsidRPr="00DA20F5">
        <w:rPr>
          <w:b/>
        </w:rPr>
        <w:t>h s príjmom nižším ako 100 € na </w:t>
      </w:r>
      <w:r w:rsidRPr="00DA20F5">
        <w:rPr>
          <w:b/>
        </w:rPr>
        <w:t>člena</w:t>
      </w:r>
      <w:r w:rsidRPr="00DA20F5">
        <w:t>. Podiel takých domácností, ktoré zažili opakovane všetky tri sledované nedostatkové situácie, bol v rámci skúmaných rómskych domácností podstatne vyšší než u všeobecných geograficky blízkych domácností (30 % rómskych domácností, v segregovaných osadách dokonca až k 40 %, zo všeobecných v geografickej blízkosti to bolo menej ako 5 %). Skúsenosti rómskych domácností s extrémnou depriváciou rástli spolu s  priestorovým vylúčením. Domácnosti, ktoré takúto situáciu zažívali</w:t>
      </w:r>
      <w:r w:rsidR="00277062" w:rsidRPr="00DA20F5">
        <w:t xml:space="preserve"> opakovane, patrili prevažne do </w:t>
      </w:r>
      <w:r w:rsidRPr="00DA20F5">
        <w:t>kategórie tých, čo nemali nijaký pracovný príjem alebo len veľmi nízky. Boli to teda domácnosti silne naviazané na sociálne dávky, čo v prípa</w:t>
      </w:r>
      <w:r w:rsidR="00277062" w:rsidRPr="00DA20F5">
        <w:t>de, ak tieto nie sú nastavené v </w:t>
      </w:r>
      <w:r w:rsidRPr="00DA20F5">
        <w:t xml:space="preserve">dostatočnej výške, zvyšuje ohrozenie detí hladom. </w:t>
      </w:r>
    </w:p>
    <w:p w:rsidR="008F43B9" w:rsidRPr="00DA20F5" w:rsidRDefault="008F43B9" w:rsidP="008F43B9">
      <w:pPr>
        <w:pStyle w:val="Odsekzoznamu"/>
      </w:pPr>
    </w:p>
    <w:p w:rsidR="008F43B9" w:rsidRPr="00DA20F5" w:rsidRDefault="008F43B9" w:rsidP="00D36FB8">
      <w:pPr>
        <w:rPr>
          <w:szCs w:val="22"/>
        </w:rPr>
        <w:sectPr w:rsidR="008F43B9" w:rsidRPr="00DA20F5" w:rsidSect="001D262C">
          <w:headerReference w:type="even" r:id="rId80"/>
          <w:headerReference w:type="default" r:id="rId81"/>
          <w:pgSz w:w="11906" w:h="16838"/>
          <w:pgMar w:top="1417" w:right="1417" w:bottom="1417" w:left="1417" w:header="708" w:footer="708" w:gutter="0"/>
          <w:cols w:space="708"/>
          <w:docGrid w:linePitch="360"/>
        </w:sectPr>
      </w:pPr>
    </w:p>
    <w:p w:rsidR="00C76C35" w:rsidRPr="00DA20F5" w:rsidRDefault="00AC4B2D" w:rsidP="00D36FB8">
      <w:pPr>
        <w:pStyle w:val="Nadpis1"/>
        <w:rPr>
          <w:rStyle w:val="Hypertextovprepojenie"/>
          <w:color w:val="244061"/>
          <w:u w:val="none"/>
        </w:rPr>
      </w:pPr>
      <w:bookmarkStart w:id="1555" w:name="_Toc325438304"/>
      <w:bookmarkStart w:id="1556" w:name="_Toc326217115"/>
      <w:r w:rsidRPr="00DA20F5">
        <w:rPr>
          <w:rStyle w:val="Hypertextovprepojenie"/>
          <w:color w:val="244061"/>
          <w:u w:val="none"/>
        </w:rPr>
        <w:lastRenderedPageBreak/>
        <w:t>POROVNANIE V</w:t>
      </w:r>
      <w:r w:rsidR="004F58C9" w:rsidRPr="00DA20F5">
        <w:rPr>
          <w:rStyle w:val="Hypertextovprepojenie"/>
          <w:color w:val="244061"/>
          <w:u w:val="none"/>
        </w:rPr>
        <w:t>Y</w:t>
      </w:r>
      <w:r w:rsidRPr="00DA20F5">
        <w:rPr>
          <w:rStyle w:val="Hypertextovprepojenie"/>
          <w:color w:val="244061"/>
          <w:u w:val="none"/>
        </w:rPr>
        <w:t>BRAN</w:t>
      </w:r>
      <w:r w:rsidR="004F58C9" w:rsidRPr="00DA20F5">
        <w:rPr>
          <w:rStyle w:val="Hypertextovprepojenie"/>
          <w:color w:val="244061"/>
          <w:u w:val="none"/>
        </w:rPr>
        <w:t>Ý</w:t>
      </w:r>
      <w:r w:rsidRPr="00DA20F5">
        <w:rPr>
          <w:rStyle w:val="Hypertextovprepojenie"/>
          <w:color w:val="244061"/>
          <w:u w:val="none"/>
        </w:rPr>
        <w:t>CH UKAZOVATEĽOV MEDZI KRAJINAMI EÚ V KONTEXTE STRATÉGIE EURÓPA</w:t>
      </w:r>
      <w:r w:rsidR="00C76C35" w:rsidRPr="00DA20F5">
        <w:rPr>
          <w:rStyle w:val="Hypertextovprepojenie"/>
          <w:color w:val="244061"/>
          <w:u w:val="none"/>
        </w:rPr>
        <w:t xml:space="preserve"> 2020</w:t>
      </w:r>
      <w:bookmarkEnd w:id="1555"/>
      <w:bookmarkEnd w:id="1556"/>
    </w:p>
    <w:p w:rsidR="000B641D" w:rsidRPr="00DA20F5" w:rsidRDefault="000B641D" w:rsidP="000B641D"/>
    <w:p w:rsidR="00C76C35" w:rsidRPr="00DA20F5" w:rsidRDefault="00C76C35" w:rsidP="00D36FB8">
      <w:pPr>
        <w:pStyle w:val="Normlnysozarkami1"/>
      </w:pPr>
      <w:r w:rsidRPr="00DA20F5">
        <w:t>Stratégia Európa 2020 je nová stratégia, ktorá má pomôcť vyjsť európskym krajinám zo súčasnej hospodárskej krízy a vytvoriť z EÚ inteligentné, udržateľné a inkluzívne hospodárstvo s vysokou mierou zamestnanosti, produktivity a sociálnej súdržnosti. Je nástupkyňou Lisabonskej stratégie, ktorá stanovila európske ciele do roku 2010. Hlavné ciele stratégie Európa 2020 sú merané 8 hlavnými indikátormi, z ktorých 4 sa priamo viažu na sociálnu oblasť. Tieto ciele boli prevedené do národných cieľov, ktoré zohľadňujú špecifickú situáciu jednotlivých krajín EÚ a zároveň ich maximálne angažujú k dosahovaniu európskych cieľov, a tak zabezpečujú príspevok každej krajiny EÚ k napĺňaniu stratégie.</w:t>
      </w:r>
    </w:p>
    <w:p w:rsidR="00C76C35" w:rsidRPr="00DA20F5" w:rsidRDefault="00C76C35" w:rsidP="00D36FB8">
      <w:pPr>
        <w:pStyle w:val="Normlnysozarkami1"/>
      </w:pPr>
      <w:r w:rsidRPr="00DA20F5">
        <w:t>Nasledovné údaje reflektujú sociálno-ekonomickú situáciu na Slovensku v porovnaní s ostatnými krajinami EÚ a v kontexte dosahovania cieľov stratégie Európa 2020. Indikátory sú počítané na</w:t>
      </w:r>
      <w:r w:rsidR="00277062" w:rsidRPr="00DA20F5">
        <w:t> </w:t>
      </w:r>
      <w:r w:rsidRPr="00DA20F5">
        <w:t>základe jednotnej metodiky, ich zdrojom je Eurostat, a preto sa m</w:t>
      </w:r>
      <w:r w:rsidR="00277062" w:rsidRPr="00DA20F5">
        <w:t>ôžu do istej miery odlišovať od </w:t>
      </w:r>
      <w:r w:rsidRPr="00DA20F5">
        <w:t>údajov národných štatistických úradov. V prílohe k tejto kapitole s</w:t>
      </w:r>
      <w:r w:rsidR="00277062" w:rsidRPr="00DA20F5">
        <w:t>a nachádzajú tabuľky s údajmi v </w:t>
      </w:r>
      <w:r w:rsidRPr="00DA20F5">
        <w:t>jednotlivých krajinách EÚ 27 v poslednom dostupnom roku.</w:t>
      </w:r>
    </w:p>
    <w:p w:rsidR="00C76C35" w:rsidRPr="00DA20F5" w:rsidRDefault="00C76C35" w:rsidP="00D36FB8"/>
    <w:p w:rsidR="00C76C35" w:rsidRPr="00DA20F5" w:rsidRDefault="00C76C35" w:rsidP="00D36FB8">
      <w:pPr>
        <w:pStyle w:val="Nadpis5"/>
        <w:rPr>
          <w:color w:val="auto"/>
          <w:sz w:val="22"/>
          <w:szCs w:val="22"/>
        </w:rPr>
      </w:pPr>
      <w:bookmarkStart w:id="1557" w:name="_Toc325438305"/>
      <w:bookmarkStart w:id="1558" w:name="_Toc326217116"/>
      <w:r w:rsidRPr="00DA20F5">
        <w:rPr>
          <w:bCs w:val="0"/>
          <w:color w:val="auto"/>
          <w:sz w:val="22"/>
          <w:szCs w:val="22"/>
        </w:rPr>
        <w:t>Makroekonomické prostredie</w:t>
      </w:r>
      <w:bookmarkEnd w:id="1557"/>
      <w:bookmarkEnd w:id="1558"/>
    </w:p>
    <w:p w:rsidR="00C76C35" w:rsidRPr="00DA20F5" w:rsidRDefault="00C76C35" w:rsidP="00D36FB8">
      <w:pPr>
        <w:pStyle w:val="Normlnysozarkami1"/>
      </w:pPr>
      <w:r w:rsidRPr="00DA20F5">
        <w:t xml:space="preserve">V roku 2011 sa oproti roku 2010 znížila </w:t>
      </w:r>
      <w:r w:rsidRPr="00DA20F5">
        <w:rPr>
          <w:b/>
          <w:i/>
        </w:rPr>
        <w:t>miera rastu HDP</w:t>
      </w:r>
      <w:r w:rsidRPr="00DA20F5">
        <w:t xml:space="preserve"> Slovenska z</w:t>
      </w:r>
      <w:r w:rsidR="00205E7D" w:rsidRPr="00DA20F5">
        <w:t>o</w:t>
      </w:r>
      <w:r w:rsidRPr="00DA20F5">
        <w:t> 4,2 % na 3,3 %. Rast HDP Slovenskej republiky bol však vyšší ako v priemere v EÚ 27 (1,5 %). Spomedzi krajín EÚ najviac rástol HDP v Estónsku (7,6 %), vysokú mieru rastu dosahoval aj v Litve (5,9 %), Lotyšsku (5,5 %), v Poľsku (4,3 %) a vo Švédsku (3,9 %).  HDP poklesol najvyššou mierou v Grécku (- 6,9 %), klesol ďalej aj v Portugalsku (-1,6 %) a v Slovinsku (-0,2 %). Podľa prognózy Eurostatu bude HDP Slovenska naďalej rásť</w:t>
      </w:r>
      <w:r w:rsidR="00205E7D" w:rsidRPr="00DA20F5">
        <w:t>,</w:t>
      </w:r>
      <w:r w:rsidRPr="00DA20F5">
        <w:t xml:space="preserve"> avšak s nižšou mierou rastu na úrovni 1,8 % v roku 2012 a 2,9 % v roku 2013. HDP v priemere v Európe bude s veľkou pravdepodobnosťou stagnovať, celkový rast v EÚ 27 v roku 2012 sa predpovedá na úrovni 0 %, v roku 2013 sa zvýši  na 1,3 %. </w:t>
      </w:r>
    </w:p>
    <w:p w:rsidR="00C76C35" w:rsidRPr="00DA20F5" w:rsidRDefault="00C76C35" w:rsidP="00D36FB8">
      <w:pPr>
        <w:pStyle w:val="Normlnysozarkami1"/>
      </w:pPr>
      <w:r w:rsidRPr="00DA20F5">
        <w:t xml:space="preserve">V roku 2010 dosiahlo </w:t>
      </w:r>
      <w:r w:rsidRPr="00DA20F5">
        <w:rPr>
          <w:b/>
          <w:i/>
        </w:rPr>
        <w:t>HDP na hlavu</w:t>
      </w:r>
      <w:r w:rsidRPr="00DA20F5">
        <w:t xml:space="preserve"> (v PPS) na Slovensku 74 % z priemeru EÚ 27, pričom dlhodobo rastie. Nižšie hodnoty HDP na hlavu ako Slovensko mali Bulharsko, Rumunsko, Litva, Lotyšsko, Estónsko, Poľsko a Maďarsko. </w:t>
      </w:r>
    </w:p>
    <w:p w:rsidR="00C76C35" w:rsidRPr="00DA20F5" w:rsidRDefault="00C76C35" w:rsidP="00D36FB8">
      <w:pPr>
        <w:pStyle w:val="Normlnysozarkami1"/>
      </w:pPr>
      <w:r w:rsidRPr="00DA20F5">
        <w:rPr>
          <w:b/>
          <w:i/>
        </w:rPr>
        <w:t>Harmonizovaná miera inflácie</w:t>
      </w:r>
      <w:r w:rsidRPr="00DA20F5">
        <w:t xml:space="preserve"> v roku 2011 medziročne vzrástla na 4,1 % a bola pod priemerom EÚ 27 (3,1 %). Vyššia inflácia bola v Rumunsku (5,8 %), Estónsku (5,1 %), Veľkej Británii (4,5 %) a v Lotyšsku (4,2 %). Podľa údajov Eurostatu založených na metodike ESNÚ 95 </w:t>
      </w:r>
      <w:r w:rsidRPr="00DA20F5">
        <w:rPr>
          <w:b/>
          <w:i/>
        </w:rPr>
        <w:t>zamestnanosť</w:t>
      </w:r>
      <w:r w:rsidRPr="00DA20F5">
        <w:t xml:space="preserve"> v roku 2011 medziročne vzrástla vo väčšine krajín EÚ 27, pokles zamestnanosti pokračoval v Grécku (-6,7 %), Bulharsku (-4,2 %), Írsku (-2,1 %), Španielsku (-2 %), Slovins</w:t>
      </w:r>
      <w:r w:rsidR="00277062" w:rsidRPr="00DA20F5">
        <w:t xml:space="preserve">ku (-1,7 %), Portugalsku </w:t>
      </w:r>
      <w:r w:rsidR="00277062" w:rsidRPr="00DA20F5">
        <w:br/>
        <w:t>(- 1,5 </w:t>
      </w:r>
      <w:r w:rsidRPr="00DA20F5">
        <w:t>%) a v Dánsku (-0,4 %). Na Slovensku zamestnanosť stúpla o 1,8 % (zamestnanosť mužov sa zvýšila viac, a síce o 2,3 % a zamestnanosť žien o 1,1 %),</w:t>
      </w:r>
      <w:r w:rsidRPr="00151265">
        <w:t xml:space="preserve"> </w:t>
      </w:r>
      <w:r w:rsidRPr="00DA20F5">
        <w:t>pričom</w:t>
      </w:r>
      <w:r w:rsidR="00277062" w:rsidRPr="00DA20F5">
        <w:t xml:space="preserve"> v priemere v EÚ 27 bol rast na </w:t>
      </w:r>
      <w:r w:rsidRPr="00DA20F5">
        <w:t>úrovni 0,3 %. Najvyšší rast zamestnanosti zaznamenali v Estónsku (7 %) a v Lotyšsku (3,4 %).</w:t>
      </w:r>
    </w:p>
    <w:p w:rsidR="00C76C35" w:rsidRPr="00DA20F5" w:rsidRDefault="00C76C35" w:rsidP="00D36FB8">
      <w:pPr>
        <w:pStyle w:val="Normlnysozarkami1"/>
      </w:pPr>
      <w:r w:rsidRPr="00DA20F5">
        <w:rPr>
          <w:b/>
          <w:i/>
        </w:rPr>
        <w:t>Deficit verejných financií</w:t>
      </w:r>
      <w:r w:rsidRPr="00DA20F5">
        <w:t xml:space="preserve"> podľa Eurostatu v roku 2011 klesol na 4,8 % HDP a bol vyšší ako deficit EÚ 27 (4,5 %). Najvyšší deficit v rámci EÚ 27 mali Írsko (13,1 %), Grécko (9,1 %) a Španielsko (8,5 %). </w:t>
      </w:r>
      <w:r w:rsidRPr="00DA20F5">
        <w:rPr>
          <w:b/>
          <w:i/>
        </w:rPr>
        <w:t>Konsolidovaný dlh verejných financií</w:t>
      </w:r>
      <w:r w:rsidRPr="00DA20F5">
        <w:t xml:space="preserve"> podľa Eurostatu (hrubý dlh verejnej správy) v roku 2011 predstavoval 43,3 % HDP (priemer v EÚ 82,5 % HDP), pričom dlhodobo spĺňa maastrichtské kritérium, ktorým je udržať verejný dlh pod 60 % HDP. Hodnotu nad 100 % HDP dosiahol verejný dlh v Grécku (165,3 %), v Taliansku (120,1 %), v Írsku (108,2 %) a v Portugalsku (107,8 %). Podľa prieskumu rastu EK je potrebné presadzovať diferencovanú fiškálnu konsolidáciu, ktorá bude podporovať rast. Úrovne štátneho dlhu v dôsledku krízy zna</w:t>
      </w:r>
      <w:r w:rsidR="00277062" w:rsidRPr="00DA20F5">
        <w:t>čne narástli, očakáva sa, že do </w:t>
      </w:r>
      <w:r w:rsidRPr="00DA20F5">
        <w:t xml:space="preserve">roku 2012 dosiahnu 85 % HDP v EÚ a 90 % v eurozóne. V súlade s odporúčaniami Európskej rady je potrebné zaviesť opatrenia trvalého charakteru s cieľom znížiť do roku 2013 deficit pod úroveň 3 % HDP. Celkový vplyv reforiem v tejto oblasti si však vyžaduje podrobnejšie monitorovanie s cieľom predísť riziku zanedbania určitých aspektov rastu a zhoršenia existujúcich sociálnych ťažkostí. </w:t>
      </w:r>
    </w:p>
    <w:p w:rsidR="00C76C35" w:rsidRPr="00DA20F5" w:rsidRDefault="00C76C35" w:rsidP="00D36FB8">
      <w:pPr>
        <w:rPr>
          <w:lang w:eastAsia="cs-CZ"/>
        </w:rPr>
      </w:pPr>
    </w:p>
    <w:p w:rsidR="00C76C35" w:rsidRPr="00DA20F5" w:rsidRDefault="00C76C35" w:rsidP="00D36FB8">
      <w:pPr>
        <w:rPr>
          <w:lang w:eastAsia="cs-CZ"/>
        </w:rPr>
      </w:pPr>
    </w:p>
    <w:p w:rsidR="000C5E15" w:rsidRPr="00DA20F5" w:rsidRDefault="000C5E15" w:rsidP="00D36FB8">
      <w:pPr>
        <w:jc w:val="left"/>
        <w:rPr>
          <w:b/>
          <w:lang w:eastAsia="cs-CZ"/>
        </w:rPr>
      </w:pPr>
      <w:r w:rsidRPr="00DA20F5">
        <w:rPr>
          <w:b/>
          <w:lang w:eastAsia="cs-CZ"/>
        </w:rPr>
        <w:br w:type="page"/>
      </w:r>
    </w:p>
    <w:p w:rsidR="00C76C35" w:rsidRPr="00DA20F5" w:rsidRDefault="00C76C35" w:rsidP="00D36FB8">
      <w:pPr>
        <w:pStyle w:val="Nadpis5"/>
        <w:rPr>
          <w:bCs w:val="0"/>
          <w:color w:val="auto"/>
          <w:sz w:val="22"/>
          <w:szCs w:val="22"/>
        </w:rPr>
      </w:pPr>
      <w:bookmarkStart w:id="1559" w:name="_Toc326217117"/>
      <w:r w:rsidRPr="00DA20F5">
        <w:rPr>
          <w:bCs w:val="0"/>
          <w:color w:val="auto"/>
          <w:sz w:val="22"/>
          <w:szCs w:val="22"/>
        </w:rPr>
        <w:lastRenderedPageBreak/>
        <w:t>Inteligentný a inkluzívny rast</w:t>
      </w:r>
      <w:bookmarkEnd w:id="1559"/>
    </w:p>
    <w:p w:rsidR="00C76C35" w:rsidRPr="00DA20F5" w:rsidRDefault="00C76C35" w:rsidP="00D36FB8">
      <w:pPr>
        <w:pStyle w:val="Normlnysozarkami1"/>
      </w:pPr>
      <w:r w:rsidRPr="00DA20F5">
        <w:t xml:space="preserve">Hlavným cieľom stratégie Európa 2020 je zvýšiť </w:t>
      </w:r>
      <w:r w:rsidRPr="00DA20F5">
        <w:rPr>
          <w:b/>
          <w:i/>
        </w:rPr>
        <w:t>mieru zamestnanosti</w:t>
      </w:r>
      <w:r w:rsidRPr="00DA20F5">
        <w:t xml:space="preserve"> mužov a žien vo veku od 20 do 64 rokov na 75 %. SR má k tomuto európskemu cieľu prispieť zvýšením miery zamestnanosti svojich obyvateľov v danej vekovej kategórii na 72 %. Vyššia miera zamestnanosti v Európe sa má dosiahnuť najmä prostredníctvom vyššej zamestnanosti mladých ľu</w:t>
      </w:r>
      <w:r w:rsidR="00277062" w:rsidRPr="00DA20F5">
        <w:t>dí, žien, starších osôb, ľudí s </w:t>
      </w:r>
      <w:r w:rsidRPr="00DA20F5">
        <w:t xml:space="preserve">nízkou kvalifikáciou a legálnych migrantov. V roku 2011 ostala miera zamestnanosti v EÚ 27 medziročne nezmenená na úrovni 68,6 % (u žien sa mierne zvýšila o 0,2 p. b. na 62,3 % a u mužov zase znížila o 0,1 p. b. na 75 %). V SR sa miera zamestnanosti mierne zvýšila na 65,1 % (viac u mužov ako u žien). Najvyššiu mieru zamestnanosti v rámci EÚ 27 malo v roku 2011 Švédsko, konkrétne na úrovni 80 %, čím zároveň naplnilo svoj národný cieľ v tejto oblasti. Vysokú mieru zamestnanosti nad 75 % dosahovali tiež krajiny ako Holandsko (77 %), Nemecko (76,3 %), Dánsko (75,7 %) a Rakúsko (75,2 %). Miera zamestnanosti bola najnižšia v Grécku, kde od roku 2009 (66,5 % v 2008) nepretržite klesá (59,9 % v 2011). </w:t>
      </w:r>
      <w:r w:rsidRPr="00DA20F5">
        <w:rPr>
          <w:b/>
          <w:i/>
        </w:rPr>
        <w:t>Miera zamestnanosti u žien</w:t>
      </w:r>
      <w:r w:rsidRPr="00DA20F5">
        <w:rPr>
          <w:b/>
        </w:rPr>
        <w:t xml:space="preserve"> </w:t>
      </w:r>
      <w:r w:rsidRPr="00DA20F5">
        <w:t>zaostáva za mierou zamestnanosti mužov v E</w:t>
      </w:r>
      <w:r w:rsidR="00AF20A2" w:rsidRPr="00DA20F5">
        <w:t>Ú</w:t>
      </w:r>
      <w:r w:rsidRPr="00DA20F5">
        <w:t xml:space="preserve"> 27 (62,3 % oproti 75 % u mužov)</w:t>
      </w:r>
      <w:r w:rsidR="00205E7D" w:rsidRPr="00DA20F5">
        <w:t>,</w:t>
      </w:r>
      <w:r w:rsidRPr="00DA20F5">
        <w:t xml:space="preserve"> ako aj v Slovenskej republik</w:t>
      </w:r>
      <w:r w:rsidR="00205E7D" w:rsidRPr="00DA20F5">
        <w:t>e</w:t>
      </w:r>
      <w:r w:rsidRPr="00DA20F5">
        <w:t xml:space="preserve"> (57,6 % oproti 72,7 % u mužov). V rámci EÚ vysoký rozdiel medzi zamestnanosťou žien a mužov a zároveň najnižšia miera zamestnanosti žien je na Malte (43,4 %), v Grécku (48,6 %) a v Taliansku (49,9 %). Vysokú mieru zamestnanosti žien nad 70 % dosahuje Švédsko (77,2 %), Dánsko (72,4 %), Fínsko (71,9 %) a Nemecko ( 71,1%), z toho Fínsko, Švédsko a Dánsko majú aj relatívne malé rozdiely v miere zamestnanosti medzi mužmi a ženami. Nízke rozdiely sú zaznamenané aj v Litve a Lotyšsku.</w:t>
      </w:r>
    </w:p>
    <w:p w:rsidR="00C76C35" w:rsidRPr="00DA20F5" w:rsidRDefault="00C76C35" w:rsidP="00D36FB8">
      <w:pPr>
        <w:pStyle w:val="Normlnysozarkami1"/>
      </w:pPr>
      <w:r w:rsidRPr="00DA20F5">
        <w:t>Dosiahnutie miery zamestnanosti na úrovni 75 % do roku 2020 do veľkej miery závisí od ďalšieho zvýšenia zamestnanosti u starších ľudí. Taktiež demografické výzvy, ktoré súvisia so starnutím populácie, vedú EÚ k potrebe spoločne zvýšiť participáci</w:t>
      </w:r>
      <w:r w:rsidR="00277062" w:rsidRPr="00DA20F5">
        <w:t>u starších ľudí na trhu práce a </w:t>
      </w:r>
      <w:r w:rsidRPr="00DA20F5">
        <w:t xml:space="preserve">podpore predlžovania pracovného života. Spoločným cieľom EÚ bolo do roku 2010 dosiahnuť 50 % mieru zamestnanosti starších pracujúcich. Napriek poklesu celkovej zamestnanosti v rokoch 2009 a 2010 </w:t>
      </w:r>
      <w:r w:rsidRPr="00DA20F5">
        <w:rPr>
          <w:b/>
          <w:i/>
        </w:rPr>
        <w:t>miera zamestnanosti</w:t>
      </w:r>
      <w:r w:rsidRPr="00DA20F5">
        <w:rPr>
          <w:b/>
        </w:rPr>
        <w:t xml:space="preserve"> </w:t>
      </w:r>
      <w:r w:rsidRPr="00DA20F5">
        <w:rPr>
          <w:b/>
          <w:i/>
        </w:rPr>
        <w:t>u starších ľudí</w:t>
      </w:r>
      <w:r w:rsidRPr="00DA20F5">
        <w:t xml:space="preserve"> (55 – 64 rokov) na Slovensku od roku 2001 nepretržite rastie, pričom v roku 2011 sa zvýšila na 41,4 %, čo je však stále pod priemernou úrovňou EÚ 27 (47,4 %). Nízka je najmä miera zamestnanosti starších žien (31,5 %), hoci sa za posledných 10 rokov takmer strojnásobila. Napriek neustálemu rastu je stále relatívne h</w:t>
      </w:r>
      <w:r w:rsidR="00277062" w:rsidRPr="00DA20F5">
        <w:t>lboko pod priemerom EÚ 27 (40,2 </w:t>
      </w:r>
      <w:r w:rsidRPr="00DA20F5">
        <w:t>%). Najvyššia miera zamestnanosti starších žien je dlhodobo vo Švédsku (68,9 %), vysokú úroveň dosahuje aj vo Fínsku (57,2 %), Dánsku (55,3 %), Estónsku (57,1 %) a v Nemecku (53 %).</w:t>
      </w:r>
    </w:p>
    <w:p w:rsidR="00C76C35" w:rsidRPr="00DA20F5" w:rsidRDefault="00C76C35" w:rsidP="00D36FB8">
      <w:pPr>
        <w:pStyle w:val="Normlnysozarkami1"/>
      </w:pPr>
      <w:r w:rsidRPr="00DA20F5">
        <w:t>Dlhší pracovný život a zvýšenie miery zamestnanosti by mali byť podporené aj prostredníctvom lepšieho prístupu k celoživotnému vzdelávaniu. Inkluzívny rast okre</w:t>
      </w:r>
      <w:r w:rsidR="00277062" w:rsidRPr="00DA20F5">
        <w:t>m iného znamená investovanie do </w:t>
      </w:r>
      <w:r w:rsidRPr="00DA20F5">
        <w:t>odbornej prípravy a zvyšovania kvalifikácie s cieľom pomôcť ľuďom všetkých vekových kategórií pripraviť sa na očakávané zmeny na pracovnom trhu. V tejto oblasti Slovens</w:t>
      </w:r>
      <w:r w:rsidR="00277062" w:rsidRPr="00DA20F5">
        <w:t>ko už dlhšie zaostáva, od </w:t>
      </w:r>
      <w:r w:rsidRPr="00DA20F5">
        <w:t xml:space="preserve">roku 2005 do roku 2009 sa dokonca </w:t>
      </w:r>
      <w:r w:rsidRPr="00DA20F5">
        <w:rPr>
          <w:b/>
          <w:i/>
        </w:rPr>
        <w:t>miera celoživotného vzdelávania</w:t>
      </w:r>
      <w:r w:rsidRPr="00DA20F5">
        <w:t xml:space="preserve"> postupne znižovala. V roku 2010 bolo do ďalšieho vzdelávania či tréningu zapojených iba 2,8 % ľudí vo veku 25 – 64 rokov (rovnako ako v roku 2009), oproti tomu priemer EÚ 27 predstavoval 9,1 %. Menší podiel dospelých zapojených do celoživotného vzdelávania bol v roku 2010 iba v Rumunsku a Bulharsku (menej ako 2 %) a rovnaký bol v Maďarsku (2,8 %). Najvyšší podiel dospelých zapojených do celoživotného vzdelávania bol v roku 2009 v Dánsku (32,8 %). Nízka miera celoživotného vzdelávania môže mať nepriaznivý vplyv na zamestnateľnosť najmä u nízko-kvalifikovaných pracovníkov, čím oslabuje úsilie znížiť súčasnú vysokú mieru nezamestnanosti.</w:t>
      </w:r>
    </w:p>
    <w:p w:rsidR="00C76C35" w:rsidRPr="00DA20F5" w:rsidRDefault="00C76C35" w:rsidP="00D36FB8">
      <w:pPr>
        <w:pStyle w:val="Normlnysozarkami1"/>
      </w:pPr>
      <w:r w:rsidRPr="00DA20F5">
        <w:rPr>
          <w:b/>
          <w:i/>
        </w:rPr>
        <w:t>Miera nezamestnanosti</w:t>
      </w:r>
      <w:r w:rsidRPr="00DA20F5">
        <w:t xml:space="preserve"> na Slovensku patrí dlhodobo k tým vyšším v rámci Európy a ekonomická kríza tento problém prehĺbila. Miera nezamestnanosti v roku 2011 v SR medziročne klesla, dosiahla úroveň 13,5 % (medziročný pokles o 0,9 p. b.). V rámci EÚ 27 ostala nezmenená na úrovni 9,6 %, pričom vyššia bola v Španielsku (21,7 %), v Grécku (17,7 %), v Lotyšsku (15,4 %), v Litve (15,4 %) a v Írsku (14,4 %). Najnižšia miera nezamestnanosti je v Rakúsku (4,2 %) a v Holandsku (4,4 %). Miera nezamestnanosti v roku 2011 v SR klesla viac u žien (o 1 p. b. n</w:t>
      </w:r>
      <w:r w:rsidR="00277062" w:rsidRPr="00DA20F5">
        <w:t>a 13,6 %) ako u mužov (o 0,7 p. </w:t>
      </w:r>
      <w:r w:rsidRPr="00DA20F5">
        <w:t xml:space="preserve">b. na 13,5 %). V ročnom prieskume rastu 2012 EK predpokladá, že </w:t>
      </w:r>
      <w:r w:rsidR="00277062" w:rsidRPr="00DA20F5">
        <w:t>miera nezamestnanosti v EÚ 27 v </w:t>
      </w:r>
      <w:r w:rsidRPr="00DA20F5">
        <w:t>roku 2012 a 2013 zostane vysoká, a to na úrovni približne 10 %, čo zhorší sociálny dopad krízy. EK je presvedčená, že jednou z priorít v roku 2012 na úrovni členských štátov, ako aj na úrovni EÚ by malo byť riešenie nezamestnanosti a sociálnych dôsledkov krízy.</w:t>
      </w:r>
    </w:p>
    <w:p w:rsidR="00C76C35" w:rsidRPr="00DA20F5" w:rsidRDefault="00C76C35" w:rsidP="00D36FB8">
      <w:pPr>
        <w:pStyle w:val="Normlnysozarkami1"/>
      </w:pPr>
      <w:r w:rsidRPr="00DA20F5">
        <w:t xml:space="preserve">Kľúčovými pre dosiahnutie ambicióznych cieľov inteligentného a udržateľného rastu pre všetkých sú mladí ľudia a predovšetkým ich úspešný prechod na trh práce. Mladí ľudia v súčasnosti stoja pred </w:t>
      </w:r>
      <w:r w:rsidRPr="00DA20F5">
        <w:lastRenderedPageBreak/>
        <w:t xml:space="preserve">výzvami v systémoch vzdelávania a odbornej prípravy, ako aj pri vstupe na trh práce, sťaženými hospodárskou krízou. </w:t>
      </w:r>
      <w:r w:rsidRPr="00DA20F5">
        <w:rPr>
          <w:b/>
          <w:i/>
        </w:rPr>
        <w:t>Miera nezamestnanosti mladých ľudí</w:t>
      </w:r>
      <w:r w:rsidRPr="00DA20F5">
        <w:t xml:space="preserve"> (do 24 rokov) dosahuje neprijateľne vysokú hodnotu, od roku 2008 (15,8 %) v rámci EÚ 27 výrazne narástla (v 2011 až 21,4 %). Táto skupina patrí medzi tie, ktoré boli krízou zasiahnuté najviac. V niektorých krajinách dosahuje viac ako 40 %, a to konkrétne v Španielsku (46,4 %) a v Grécku (44,4 %). SR má tretiu najvyššiu mieru nezamestnanosti mladých v rámci EÚ 27, v roku 2011 dosiahla až 33,2 %, pričom sa oproti predchádzajúcemu roku znížila o 0,4 p. b.. Na Slovensku vysoká miera nezamestnanosti mladých ľudí súvisí najmä s </w:t>
      </w:r>
      <w:r w:rsidRPr="00DA20F5">
        <w:rPr>
          <w:bCs/>
        </w:rPr>
        <w:t>nesúladom medzi ponúkanou a požadovano</w:t>
      </w:r>
      <w:r w:rsidR="00277062" w:rsidRPr="00DA20F5">
        <w:rPr>
          <w:bCs/>
        </w:rPr>
        <w:t xml:space="preserve">u kvalifikáciou na trhu práce, </w:t>
      </w:r>
      <w:r w:rsidRPr="00DA20F5">
        <w:rPr>
          <w:bCs/>
        </w:rPr>
        <w:t xml:space="preserve">nedostatočným dopytom po pracovnej sile v dôsledku ekonomickej krízy a so slabým rozvojom stratégií zamestnanosti pre mládež v minulosti. </w:t>
      </w:r>
      <w:r w:rsidRPr="00DA20F5">
        <w:t xml:space="preserve">Najnižšiu mieru nezamestnanosti mladých vykazuje Holandsko (7,6 %), Rakúsko (8,3 %) a Nemecko (8,6 %). </w:t>
      </w:r>
    </w:p>
    <w:p w:rsidR="00C76C35" w:rsidRPr="00DA20F5" w:rsidRDefault="00C76C35" w:rsidP="00D36FB8">
      <w:pPr>
        <w:pStyle w:val="Normlnysozarkami1"/>
      </w:pPr>
      <w:r w:rsidRPr="00DA20F5">
        <w:t>Ďalším hlavným cieľom EÚ v stratégii Európa 2020 je dosia</w:t>
      </w:r>
      <w:r w:rsidR="00277062" w:rsidRPr="00DA20F5">
        <w:t>hnuť, aby najmenej 40 % ľudí vo </w:t>
      </w:r>
      <w:r w:rsidRPr="00DA20F5">
        <w:t xml:space="preserve">veku 30 – 34 rokov malo ukončené vysokoškolské (terciárne) alebo ekvivalentné vzdelanie. Vysokokvalifikované obyvateľstvo je kľúčové pri riešení problémov súvisiacich s demografickými zmenami a sociálnou inklúziou v Európe. Podľa prognózy strediska CEDEFOP do roku 2020 si bude vyžadovať vysokú kvalifikáciu v kombinácii so schopnosťou prispôsobiť sa a inovovať 35 % všetkých pracovných miest v porovnaní s dnešnými 29 %. Podľa EK čoraz viac pracovných miest si vyžaduje elektronické zručnosti, pritom hospodárstvo EÚ trpí nedostatkom vysokokvalifikovaných pracovníkov </w:t>
      </w:r>
      <w:r w:rsidR="00F22F50" w:rsidRPr="00DA20F5">
        <w:t>v informačných a komunikačných technológiách</w:t>
      </w:r>
      <w:r w:rsidRPr="00DA20F5">
        <w:t xml:space="preserve">. V roku 2010 jeden z troch ľudí v EÚ 27 (33,6 %) dosiahol vysokoškolské vzdelanie v porovnaní s takmer 40 % v USA a vyše 50 % v Japonsku. V roku 2010 bola na Slovensku </w:t>
      </w:r>
      <w:r w:rsidRPr="00DA20F5">
        <w:rPr>
          <w:b/>
          <w:i/>
        </w:rPr>
        <w:t>miera vysokoškolsky vzdelanej populácie</w:t>
      </w:r>
      <w:r w:rsidRPr="00DA20F5">
        <w:t xml:space="preserve"> vo veku 30 – 34 rokov na úrovni 22,1 % (u žien 26,2 % a u mužov 18,2 %), a hoci medziročne nar</w:t>
      </w:r>
      <w:r w:rsidR="00277062" w:rsidRPr="00DA20F5">
        <w:t>ástla o 4,5 p. b., stále je pod </w:t>
      </w:r>
      <w:r w:rsidRPr="00DA20F5">
        <w:t>priemerom EÚ 27 (33,6 %) a relatívne ďaleko od ambiciózneho cieľa dosiahnuť 40 % do roku 2020.</w:t>
      </w:r>
    </w:p>
    <w:p w:rsidR="00C76C35" w:rsidRPr="00DA20F5" w:rsidRDefault="00C76C35" w:rsidP="00D36FB8">
      <w:pPr>
        <w:ind w:firstLine="357"/>
        <w:rPr>
          <w:lang w:eastAsia="cs-CZ"/>
        </w:rPr>
      </w:pPr>
      <w:r w:rsidRPr="00DA20F5">
        <w:rPr>
          <w:lang w:eastAsia="cs-CZ"/>
        </w:rPr>
        <w:t>Využitiu potenciálu mladých ľudí a ich úspešnému prechodu na trh práce bráni opustenie školskej dochádzky s nižším ako stredoškolským vzdelaním. V EÚ 27 odchádza zo škôl predčasne a ďalej sa nevzdeláva vysoký podiel mladých ľudí. V roku 2010 bolo až 14,4 % ľudí vo veku 18 – 24 rokov, ktorí predčasne ukončili vzdelávanie. Nedostatok kvalifikácie je hlavnou bariérou pre inklúziu, nakoľko od vzdelania závisí úspešnosť začlenenia sa na trh práce, kvalita práce, odmeňovanie ale aj úspešnosť ďalšej prípravy pre trh práce počas celého života. Pre dosiahnutie inteligentného a inkluzívneho rastu bol stanovený cieľ</w:t>
      </w:r>
      <w:r w:rsidRPr="00DA20F5">
        <w:t xml:space="preserve"> </w:t>
      </w:r>
      <w:r w:rsidRPr="00DA20F5">
        <w:rPr>
          <w:lang w:eastAsia="cs-CZ"/>
        </w:rPr>
        <w:t xml:space="preserve">udržať mladých ľudí vo vzdelávacom procese a znížiť </w:t>
      </w:r>
      <w:r w:rsidRPr="00DA20F5">
        <w:rPr>
          <w:b/>
          <w:i/>
          <w:lang w:eastAsia="cs-CZ"/>
        </w:rPr>
        <w:t>podiel predčasne ukončujúcich vzdelávanie</w:t>
      </w:r>
      <w:r w:rsidRPr="00DA20F5">
        <w:rPr>
          <w:lang w:eastAsia="cs-CZ"/>
        </w:rPr>
        <w:t xml:space="preserve"> aspoň na úroveň 10 %. SR dlhodobo patrí ku krajinám v rámci EÚ s relatívne nízkym podielom osôb, ktoré predčasne ukončujú školskú dochádzku. V roku 2010 sa tento podiel medziročne znížil o 0,2 p. b. na úroveň 4,7 %, pričom ci</w:t>
      </w:r>
      <w:r w:rsidR="00277062" w:rsidRPr="00DA20F5">
        <w:rPr>
          <w:lang w:eastAsia="cs-CZ"/>
        </w:rPr>
        <w:t>eľom je udržať tento podiel pod </w:t>
      </w:r>
      <w:r w:rsidRPr="00DA20F5">
        <w:rPr>
          <w:lang w:eastAsia="cs-CZ"/>
        </w:rPr>
        <w:t>6 % do roku 2020. Osôb, ktoré predčasne zanechali školskú dochádzku bolo viac medzi ženami (4,9 %) ako mužmi (4,6 %). Tretia najvyššia miera nezamestnanosti mladých ľudí do 24 rokov však svedčí o tom, že výzvou pre SR ostáva zosúladiť vzdelávanie</w:t>
      </w:r>
      <w:r w:rsidR="00277062" w:rsidRPr="00DA20F5">
        <w:rPr>
          <w:lang w:eastAsia="cs-CZ"/>
        </w:rPr>
        <w:t xml:space="preserve"> resp. zručnosti mladých ľudí s </w:t>
      </w:r>
      <w:r w:rsidRPr="00DA20F5">
        <w:rPr>
          <w:lang w:eastAsia="cs-CZ"/>
        </w:rPr>
        <w:t>požiadavkami trhu práce. Významnú pozornosť si vyžaduje aj predčasné ukončovanie školskej dochádzky v marginalizovaných rómskych komunitách.</w:t>
      </w:r>
    </w:p>
    <w:p w:rsidR="00C76C35" w:rsidRPr="00DA20F5" w:rsidRDefault="00C76C35" w:rsidP="00D36FB8">
      <w:pPr>
        <w:ind w:firstLine="357"/>
        <w:rPr>
          <w:lang w:eastAsia="cs-CZ"/>
        </w:rPr>
      </w:pPr>
      <w:r w:rsidRPr="00DA20F5">
        <w:rPr>
          <w:lang w:eastAsia="cs-CZ"/>
        </w:rPr>
        <w:t xml:space="preserve">Nízko-kvalifikovaní pracovníci majú na Slovensku obzvlášť ťažkú pozíciu na trhu práce, keď miera ich nezamestnanosti  je dlhodobo najvyššia a miera zamestnanosti dlhodobo najnižšia v celej Európe. </w:t>
      </w:r>
      <w:r w:rsidRPr="00DA20F5">
        <w:rPr>
          <w:b/>
          <w:i/>
          <w:lang w:eastAsia="cs-CZ"/>
        </w:rPr>
        <w:t>Miera nezamestnanosti ľudí</w:t>
      </w:r>
      <w:r w:rsidRPr="00DA20F5">
        <w:rPr>
          <w:lang w:eastAsia="cs-CZ"/>
        </w:rPr>
        <w:t xml:space="preserve"> vo veku 25 – 64 rokov s dosiahnutým vzdelaním </w:t>
      </w:r>
      <w:r w:rsidRPr="00DA20F5">
        <w:rPr>
          <w:b/>
          <w:i/>
          <w:lang w:eastAsia="cs-CZ"/>
        </w:rPr>
        <w:t>na úrovni ISCED 0-2</w:t>
      </w:r>
      <w:r w:rsidRPr="00DA20F5">
        <w:rPr>
          <w:lang w:eastAsia="cs-CZ"/>
        </w:rPr>
        <w:t xml:space="preserve"> (maximálne základné vzdelanie) bola v roku 2011 na úrovni 39,2 %, a síce sa medziročne mierne znížila (o 1,6 p. b.), bola viac ako 2,5 násobná oproti priemeru EÚ 27 (14,8 %). Najnižšia miera nezamestnanosti ľudí s nízkou kvalifikáciou je v Holandsku (5,4 %), v Rumunsku (6,9 %), Rakúsku (7,1 %), na Malte (7,4 %) a na Cypre (7,5 %). </w:t>
      </w:r>
      <w:r w:rsidRPr="00DA20F5">
        <w:rPr>
          <w:b/>
          <w:i/>
          <w:lang w:eastAsia="cs-CZ"/>
        </w:rPr>
        <w:t>Miera zamestnanosti nízko-kvalifikovaných ľudí</w:t>
      </w:r>
      <w:r w:rsidRPr="00DA20F5">
        <w:rPr>
          <w:lang w:eastAsia="cs-CZ"/>
        </w:rPr>
        <w:t xml:space="preserve"> (ISCED 0-2) v SR dosiahla 29,7 %, a hoci sa medziročne mierne zvýšila (o 0,9 p. b.), je najnižšou v Európe a hlboko pod priemerom EÚ 27 (53 %). Oproti SR viac ako dvojnásobná miera zamestnanosti nízko-kvalifikovaných ľudí je v Portugalsku (65,5 %), na Cypre (65,2 %), v Švédsku (64,4 %), Holandsku (62,5 %) a v Dánsku (62 %). </w:t>
      </w:r>
    </w:p>
    <w:p w:rsidR="00C76C35" w:rsidRPr="00DA20F5" w:rsidRDefault="00C76C35" w:rsidP="00D36FB8">
      <w:pPr>
        <w:ind w:firstLine="357"/>
        <w:rPr>
          <w:lang w:eastAsia="cs-CZ"/>
        </w:rPr>
      </w:pPr>
      <w:r w:rsidRPr="00DA20F5">
        <w:rPr>
          <w:lang w:eastAsia="cs-CZ"/>
        </w:rPr>
        <w:t xml:space="preserve">Vysoká miera nezamestnanosti sa na Slovensku premieta do vysokej </w:t>
      </w:r>
      <w:r w:rsidRPr="00DA20F5">
        <w:rPr>
          <w:b/>
          <w:i/>
          <w:lang w:eastAsia="cs-CZ"/>
        </w:rPr>
        <w:t xml:space="preserve">miery dlhodobej nezamestnanosti, </w:t>
      </w:r>
      <w:r w:rsidRPr="00DA20F5">
        <w:rPr>
          <w:lang w:eastAsia="cs-CZ"/>
        </w:rPr>
        <w:t>ktorá je dlhodobo najvyššou v Európe.</w:t>
      </w:r>
      <w:r w:rsidRPr="00DA20F5">
        <w:t xml:space="preserve"> </w:t>
      </w:r>
      <w:r w:rsidRPr="00DA20F5">
        <w:rPr>
          <w:lang w:eastAsia="cs-CZ"/>
        </w:rPr>
        <w:t>Mie</w:t>
      </w:r>
      <w:r w:rsidR="00277062" w:rsidRPr="00DA20F5">
        <w:rPr>
          <w:lang w:eastAsia="cs-CZ"/>
        </w:rPr>
        <w:t>ra dlhodobej nezamestnanosti na </w:t>
      </w:r>
      <w:r w:rsidRPr="00DA20F5">
        <w:rPr>
          <w:lang w:eastAsia="cs-CZ"/>
        </w:rPr>
        <w:t xml:space="preserve">Slovensku v roku 2011 ostala oproti predchádzajúcemu roku nezmenená na úrovni 9,2 %, vysoko nad priemerom EÚ 27 (4,1 %), ktorého hodnota sa medziročne zvýšila o 0,2 p. b. Dlhodobá nezamestnanosť je pretrvávajúcim vážnym problémom trhu práce na Slovensku, ktorý vyzýva </w:t>
      </w:r>
      <w:r w:rsidRPr="00DA20F5">
        <w:rPr>
          <w:lang w:eastAsia="cs-CZ"/>
        </w:rPr>
        <w:lastRenderedPageBreak/>
        <w:t>ku</w:t>
      </w:r>
      <w:r w:rsidR="00277062" w:rsidRPr="00DA20F5">
        <w:rPr>
          <w:lang w:eastAsia="cs-CZ"/>
        </w:rPr>
        <w:t> </w:t>
      </w:r>
      <w:r w:rsidRPr="00DA20F5">
        <w:rPr>
          <w:lang w:eastAsia="cs-CZ"/>
        </w:rPr>
        <w:t>komplexnému riešeniu, zameranému na najzraniteľnejšie skupiny obyvateľstva. Najnižšia miera dlhodobej nezamestnanosti je v Rakúsku (1,1 %), Holands</w:t>
      </w:r>
      <w:r w:rsidR="00277062" w:rsidRPr="00DA20F5">
        <w:rPr>
          <w:lang w:eastAsia="cs-CZ"/>
        </w:rPr>
        <w:t>ku (1,2 %), na Cypre (1,3 %), v </w:t>
      </w:r>
      <w:r w:rsidRPr="00DA20F5">
        <w:rPr>
          <w:lang w:eastAsia="cs-CZ"/>
        </w:rPr>
        <w:t>Luxembursku (1,3 %), v Dánsku (1,4 %) a v Švédsku (1,5 %).</w:t>
      </w:r>
    </w:p>
    <w:p w:rsidR="00C76C35" w:rsidRPr="00DA20F5" w:rsidRDefault="00C76C35" w:rsidP="00D36FB8">
      <w:pPr>
        <w:ind w:firstLine="357"/>
        <w:rPr>
          <w:lang w:eastAsia="cs-CZ"/>
        </w:rPr>
      </w:pPr>
      <w:r w:rsidRPr="00DA20F5">
        <w:rPr>
          <w:lang w:eastAsia="cs-CZ"/>
        </w:rPr>
        <w:t xml:space="preserve">V rámci stratégie Európa 2020 a podpory inkluzívneho rastu je stanovený ďalší hlavný cieľ, a to znížiť </w:t>
      </w:r>
      <w:r w:rsidRPr="00DA20F5">
        <w:rPr>
          <w:b/>
          <w:i/>
          <w:lang w:eastAsia="cs-CZ"/>
        </w:rPr>
        <w:t>počet osôb v riziku chudoby a sociálneho vylúčenia</w:t>
      </w:r>
      <w:r w:rsidRPr="00DA20F5">
        <w:rPr>
          <w:lang w:eastAsia="cs-CZ"/>
        </w:rPr>
        <w:t xml:space="preserve"> aspoň o 20 mil. (na 19,4 %). V roku 2010 v rámci EÚ 27 bolo 115,790 mil. ľudí (23,5 %) ohrozených chudobou a sociálnym vylúčením, pričom tento počet v dôsledku krízy medziročne narástol o 2,079 mil. osôb (0,4 p. b.). Cieľ je monitorovaný prostredníctvom indikátora zloženého z 3 subindikátorov t.</w:t>
      </w:r>
      <w:r w:rsidR="00277062" w:rsidRPr="00DA20F5">
        <w:rPr>
          <w:lang w:eastAsia="cs-CZ"/>
        </w:rPr>
        <w:t>j. títo ľudia boli buď žijúci v </w:t>
      </w:r>
      <w:r w:rsidRPr="00DA20F5">
        <w:rPr>
          <w:lang w:eastAsia="cs-CZ"/>
        </w:rPr>
        <w:t>domácnostiach s veľmi nízkou pracovnou intenzitou</w:t>
      </w:r>
      <w:r w:rsidRPr="00DA20F5">
        <w:rPr>
          <w:rStyle w:val="Odkaznapoznmkupodiarou"/>
          <w:bCs/>
          <w:szCs w:val="22"/>
        </w:rPr>
        <w:footnoteReference w:id="53"/>
      </w:r>
      <w:r w:rsidRPr="00DA20F5">
        <w:rPr>
          <w:lang w:eastAsia="cs-CZ"/>
        </w:rPr>
        <w:t>, a/alebo o</w:t>
      </w:r>
      <w:r w:rsidR="00277062" w:rsidRPr="00DA20F5">
        <w:rPr>
          <w:lang w:eastAsia="cs-CZ"/>
        </w:rPr>
        <w:t>soby žijúce v riziku chudoby po </w:t>
      </w:r>
      <w:r w:rsidRPr="00DA20F5">
        <w:rPr>
          <w:lang w:eastAsia="cs-CZ"/>
        </w:rPr>
        <w:t>sociálnych transferoch</w:t>
      </w:r>
      <w:r w:rsidRPr="00DA20F5">
        <w:rPr>
          <w:rStyle w:val="Odkaznapoznmkupodiarou"/>
          <w:bCs/>
          <w:szCs w:val="22"/>
        </w:rPr>
        <w:footnoteReference w:id="54"/>
      </w:r>
      <w:r w:rsidRPr="00DA20F5">
        <w:rPr>
          <w:lang w:eastAsia="cs-CZ"/>
        </w:rPr>
        <w:t xml:space="preserve"> a/alebo ťažko materiálne deprivované osoby</w:t>
      </w:r>
      <w:r w:rsidRPr="00DA20F5">
        <w:rPr>
          <w:rStyle w:val="Odkaznapoznmkupodiarou"/>
          <w:bCs/>
          <w:szCs w:val="22"/>
        </w:rPr>
        <w:footnoteReference w:id="55"/>
      </w:r>
      <w:r w:rsidRPr="00DA20F5">
        <w:rPr>
          <w:lang w:eastAsia="cs-CZ"/>
        </w:rPr>
        <w:t xml:space="preserve">. Ide o ľudí žijúcich v domácnostiach, kde nikto nepracuje alebo pracuje iba príležitostne a/alebo s nízkym príjmom, a/alebo si nemôžu dovoliť niektorú z nevyhnutných potrieb pre svoj život. Osoby sú počítané iba raz, hoci sa môžu nachádzať v niekoľkých subindikátoroch. Celkový počet ľudí v riziku chudoby a sociálneho vylúčenia je nižší ako suma počtov ľudí v každej z troch foriem chudoby a sociálneho vylúčenia, nakoľko niektoré osoby môžu trpieť súčasne viacerými formami. </w:t>
      </w:r>
    </w:p>
    <w:p w:rsidR="00C76C35" w:rsidRPr="00DA20F5" w:rsidRDefault="00C76C35" w:rsidP="00D36FB8">
      <w:pPr>
        <w:ind w:firstLine="357"/>
        <w:rPr>
          <w:lang w:eastAsia="cs-CZ"/>
        </w:rPr>
      </w:pPr>
      <w:r w:rsidRPr="00DA20F5">
        <w:rPr>
          <w:lang w:eastAsia="cs-CZ"/>
        </w:rPr>
        <w:t>SR si za cieľ vytýčila, že do roku 2020 zníži celkový počet týchto</w:t>
      </w:r>
      <w:r w:rsidR="00277062" w:rsidRPr="00DA20F5">
        <w:rPr>
          <w:lang w:eastAsia="cs-CZ"/>
        </w:rPr>
        <w:t xml:space="preserve"> osôb o 170 tis. (na 17,2 %). V </w:t>
      </w:r>
      <w:r w:rsidRPr="00DA20F5">
        <w:rPr>
          <w:lang w:eastAsia="cs-CZ"/>
        </w:rPr>
        <w:t xml:space="preserve">roku 2010 počet ľudí v riziku chudoby a sociálneho vylúčenia medziročne narástol o 57 tis. ľudí (1 p. b.) na 1 118 tis. (20,6 %), pričom počet ľudí narástol vo všetkých subindikátoroch. V roku 2010 bolo v SR 349 tis. osôb  </w:t>
      </w:r>
      <w:r w:rsidRPr="00DA20F5">
        <w:rPr>
          <w:b/>
          <w:i/>
          <w:lang w:eastAsia="cs-CZ"/>
        </w:rPr>
        <w:t>žijúcich v domácnostiach s veľmi nízkou intenzitou práce</w:t>
      </w:r>
      <w:r w:rsidRPr="00DA20F5">
        <w:rPr>
          <w:lang w:eastAsia="cs-CZ"/>
        </w:rPr>
        <w:t xml:space="preserve"> (7,9 % oproti 10 % v EÚ 27), 651 tis. </w:t>
      </w:r>
      <w:r w:rsidRPr="00DA20F5">
        <w:rPr>
          <w:b/>
          <w:i/>
          <w:lang w:eastAsia="cs-CZ"/>
        </w:rPr>
        <w:t>ľudí v riziku chudoby</w:t>
      </w:r>
      <w:r w:rsidRPr="00DA20F5">
        <w:rPr>
          <w:lang w:eastAsia="cs-CZ"/>
        </w:rPr>
        <w:t xml:space="preserve"> (12 % oproti 16,4 % v EÚ 27) a 621 tis. </w:t>
      </w:r>
      <w:r w:rsidRPr="00DA20F5">
        <w:rPr>
          <w:b/>
          <w:i/>
          <w:lang w:eastAsia="cs-CZ"/>
        </w:rPr>
        <w:t>ľudí ťažko materiálne deprivovaných</w:t>
      </w:r>
      <w:r w:rsidRPr="00DA20F5">
        <w:rPr>
          <w:lang w:eastAsia="cs-CZ"/>
        </w:rPr>
        <w:t xml:space="preserve"> (11,4 % oproti 8,1 % v EÚ 27). Najvýraznejšie narástol podiel ľudí žijúcich v domácnostiach s veľmi nízkou intenzitou práce (z 5,6 % v 2009 na 7,9 % v 2010), čo súvisí s ekonomickou krízou a nárastom nezamestnanosti (miera nezamestnanosti v roku 2010 dosiahla 14,4 %).</w:t>
      </w:r>
    </w:p>
    <w:p w:rsidR="00C76C35" w:rsidRPr="00DA20F5" w:rsidRDefault="00C76C35" w:rsidP="00D36FB8">
      <w:pPr>
        <w:ind w:firstLine="357"/>
        <w:rPr>
          <w:lang w:eastAsia="cs-CZ"/>
        </w:rPr>
      </w:pPr>
      <w:r w:rsidRPr="00DA20F5">
        <w:rPr>
          <w:lang w:eastAsia="cs-CZ"/>
        </w:rPr>
        <w:t xml:space="preserve">Najvyšší podiel osôb v riziku chudoby alebo sociálneho vylúčenia sa nachádzal v Bulharsku (41,6 %), Rumunsku (41,4 %), Lotyšsku (38,1 %), Litve (33,4 %) a Maďarsku (29,9 %) a najnižší v Českej republike (14,4 %), Švédsku (15 %), Holandsku (16,6 %), Rakúsku (16,6 %), Fínsku (16,9 %) a Luxembursku (17,1 %). </w:t>
      </w:r>
    </w:p>
    <w:p w:rsidR="00C76C35" w:rsidRPr="00DA20F5" w:rsidRDefault="00C76C35" w:rsidP="00D36FB8">
      <w:pPr>
        <w:ind w:firstLine="357"/>
        <w:rPr>
          <w:lang w:eastAsia="cs-CZ"/>
        </w:rPr>
      </w:pPr>
      <w:r w:rsidRPr="00DA20F5">
        <w:rPr>
          <w:lang w:eastAsia="cs-CZ"/>
        </w:rPr>
        <w:t>Z hľadiska veku vo vyššom riziku chudoby a sociálneho vylúče</w:t>
      </w:r>
      <w:r w:rsidR="00277062" w:rsidRPr="00DA20F5">
        <w:rPr>
          <w:lang w:eastAsia="cs-CZ"/>
        </w:rPr>
        <w:t>nia sa nachádzajú deti, a to vo </w:t>
      </w:r>
      <w:r w:rsidRPr="00DA20F5">
        <w:rPr>
          <w:lang w:eastAsia="cs-CZ"/>
        </w:rPr>
        <w:t>väčšine krajín EÚ 27 vrátane Slovenska. V roku 2010 v EÚ 27 trpelo aspoň jednou z troch foriem chudoby a sociálneho vylúčenia 27,1 % detí mladších ako 18 rokov</w:t>
      </w:r>
      <w:r w:rsidR="00277062" w:rsidRPr="00DA20F5">
        <w:rPr>
          <w:lang w:eastAsia="cs-CZ"/>
        </w:rPr>
        <w:t xml:space="preserve"> (22,6 % ľudí nad 18 rokov). Na </w:t>
      </w:r>
      <w:r w:rsidRPr="00DA20F5">
        <w:rPr>
          <w:lang w:eastAsia="cs-CZ"/>
        </w:rPr>
        <w:t>Slovensku to bolo 25,3 % detí do 18 rokov oproti 19,7 % ľudí nad 18 rokov.</w:t>
      </w:r>
    </w:p>
    <w:p w:rsidR="00C76C35" w:rsidRPr="00DA20F5" w:rsidRDefault="00C76C35" w:rsidP="00D36FB8">
      <w:pPr>
        <w:ind w:firstLine="357"/>
        <w:rPr>
          <w:lang w:eastAsia="cs-CZ"/>
        </w:rPr>
      </w:pPr>
      <w:r w:rsidRPr="00DA20F5">
        <w:rPr>
          <w:lang w:eastAsia="cs-CZ"/>
        </w:rPr>
        <w:t xml:space="preserve">Čo sa týka jednotlivých elementov, ktoré definujú riziko chudoby a sociálneho vylúčenia, najvyšší podiel ľudí s disponibilným príjmom pod hranicou rizika chudoby bol v roku 2010 v Lotyšsku (21,3 %), Rumunsku (21,1 %), Bulharsku (20,7 %), v Španielsku (20,7 %), Litve (20,2 %) a v Grécku (20,1 %)  a najnižší v Českej republike (9 %), v Holandsku (10,3 %), na Slovensku (12 %), Rakúsku (12,1 %) a v Maďarsku (12,3 %). Podiel ľudí v EÚ 27, ktorí sú ťažko materiálne deprivovaní, výrazne variuje od 0,5 % v Luxembursku až po 35 % v Bulharsku. Vysoký podiel ťažko materiálne deprivovaných ľudí je i v Rumunsku (31 %) a v Lotyšsku (27,4 %). Podiel ľudí žijúcich v domácnostiach s nízkou pracovnou intenzitou je najvyšší v Írsku (22 %), vysoký je i vo Veľkej Británii (13,1 %) a v Belgicku (12,6 %) a najnižší je na Cypre (4 %), nízky je v Luxembursku (5,5 %), Švédsku (5,9 %) a v Českej republike (6,4 %). </w:t>
      </w:r>
    </w:p>
    <w:p w:rsidR="00C76C35" w:rsidRPr="00DA20F5" w:rsidRDefault="00C76C35" w:rsidP="00D36FB8">
      <w:pPr>
        <w:pStyle w:val="Normlnysozarkami1"/>
        <w:ind w:firstLine="0"/>
      </w:pPr>
    </w:p>
    <w:p w:rsidR="00C76C35" w:rsidRPr="00DA20F5" w:rsidRDefault="00C76C35" w:rsidP="00D36FB8">
      <w:pPr>
        <w:pStyle w:val="Nadpis7"/>
      </w:pPr>
      <w:bookmarkStart w:id="1560" w:name="_Toc325438306"/>
      <w:bookmarkStart w:id="1561" w:name="_Toc325441043"/>
      <w:bookmarkStart w:id="1562" w:name="_Toc325626856"/>
      <w:bookmarkStart w:id="1563" w:name="_Toc326217118"/>
      <w:r w:rsidRPr="00DA20F5">
        <w:lastRenderedPageBreak/>
        <w:t>Tab. 5.1 Vývoj vybraných hlavných ukazovateľov stratégie Európa 2020</w:t>
      </w:r>
      <w:bookmarkEnd w:id="1560"/>
      <w:bookmarkEnd w:id="1561"/>
      <w:bookmarkEnd w:id="1562"/>
      <w:bookmarkEnd w:id="1563"/>
    </w:p>
    <w:p w:rsidR="00C76C35" w:rsidRPr="00DA20F5" w:rsidRDefault="007A29A1" w:rsidP="00D36FB8">
      <w:pPr>
        <w:ind w:left="-142"/>
        <w:rPr>
          <w:lang w:eastAsia="cs-CZ"/>
        </w:rPr>
      </w:pPr>
      <w:r w:rsidRPr="00DA20F5">
        <w:rPr>
          <w:noProof/>
        </w:rPr>
        <w:drawing>
          <wp:inline distT="0" distB="0" distL="0" distR="0" wp14:anchorId="7EDAF1D2" wp14:editId="307C0258">
            <wp:extent cx="6254115" cy="281241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254115" cy="2812415"/>
                    </a:xfrm>
                    <a:prstGeom prst="rect">
                      <a:avLst/>
                    </a:prstGeom>
                    <a:noFill/>
                    <a:ln>
                      <a:noFill/>
                    </a:ln>
                  </pic:spPr>
                </pic:pic>
              </a:graphicData>
            </a:graphic>
          </wp:inline>
        </w:drawing>
      </w:r>
    </w:p>
    <w:p w:rsidR="00C76C35" w:rsidRPr="00DA20F5" w:rsidRDefault="00C76C35" w:rsidP="00D36FB8">
      <w:pPr>
        <w:pStyle w:val="zdroj"/>
        <w:spacing w:after="0"/>
      </w:pPr>
      <w:r w:rsidRPr="00DA20F5">
        <w:t>Zdroj: EUROSTAT, údaje sú aktualizované k 11. 5. 2012</w:t>
      </w:r>
    </w:p>
    <w:p w:rsidR="00C76C35" w:rsidRPr="00DA20F5" w:rsidRDefault="00C76C35" w:rsidP="00D36FB8">
      <w:pPr>
        <w:pStyle w:val="zdroj"/>
        <w:spacing w:before="0" w:after="0"/>
        <w:ind w:left="567" w:firstLine="0"/>
      </w:pPr>
      <w:r w:rsidRPr="00DA20F5">
        <w:t>Poznámky: Údaje o chudobe sú počítané ŠÚ SR na základe EU SILC, referenčný rok pre zisťovanie príjmu je predchádzajúci rok</w:t>
      </w:r>
    </w:p>
    <w:p w:rsidR="00C76C35" w:rsidRPr="00DA20F5" w:rsidRDefault="00C76C35" w:rsidP="00D36FB8">
      <w:pPr>
        <w:pStyle w:val="zdroj"/>
        <w:spacing w:before="0"/>
      </w:pPr>
      <w:r w:rsidRPr="00DA20F5">
        <w:t>s - odhad Eurostatu</w:t>
      </w:r>
    </w:p>
    <w:p w:rsidR="00012D23" w:rsidRPr="00DA20F5" w:rsidRDefault="00012D23" w:rsidP="00D36FB8">
      <w:pPr>
        <w:pStyle w:val="zdroj"/>
        <w:spacing w:before="0"/>
        <w:ind w:left="567" w:firstLine="0"/>
        <w:sectPr w:rsidR="00012D23" w:rsidRPr="00DA20F5" w:rsidSect="001D262C">
          <w:headerReference w:type="even" r:id="rId83"/>
          <w:headerReference w:type="default" r:id="rId84"/>
          <w:pgSz w:w="11906" w:h="16838"/>
          <w:pgMar w:top="1417" w:right="1417" w:bottom="1417" w:left="1417" w:header="708" w:footer="708" w:gutter="0"/>
          <w:cols w:space="708"/>
          <w:docGrid w:linePitch="360"/>
        </w:sectPr>
      </w:pPr>
    </w:p>
    <w:p w:rsidR="006C1C9A" w:rsidRPr="00DA20F5" w:rsidRDefault="006A44E7" w:rsidP="00D36FB8">
      <w:pPr>
        <w:pStyle w:val="Nadpis1"/>
        <w:numPr>
          <w:ilvl w:val="0"/>
          <w:numId w:val="0"/>
        </w:numPr>
        <w:tabs>
          <w:tab w:val="clear" w:pos="567"/>
        </w:tabs>
      </w:pPr>
      <w:bookmarkStart w:id="1564" w:name="_Toc325438307"/>
      <w:bookmarkStart w:id="1565" w:name="_Toc326217119"/>
      <w:r w:rsidRPr="00DA20F5">
        <w:lastRenderedPageBreak/>
        <w:t>Zoznam príloh</w:t>
      </w:r>
      <w:bookmarkEnd w:id="1564"/>
      <w:bookmarkEnd w:id="1565"/>
    </w:p>
    <w:p w:rsidR="006F1EB4" w:rsidRPr="00DA20F5" w:rsidRDefault="006F1EB4" w:rsidP="00D36FB8">
      <w:pPr>
        <w:rPr>
          <w:color w:val="000000" w:themeColor="text1"/>
        </w:rPr>
      </w:pPr>
    </w:p>
    <w:p w:rsidR="00613D59" w:rsidRPr="00DA20F5" w:rsidRDefault="00613D59" w:rsidP="00D36FB8">
      <w:pPr>
        <w:pStyle w:val="nadpis2"/>
        <w:numPr>
          <w:ilvl w:val="0"/>
          <w:numId w:val="0"/>
        </w:numPr>
        <w:ind w:left="576" w:hanging="576"/>
        <w:rPr>
          <w:color w:val="auto"/>
          <w:sz w:val="24"/>
        </w:rPr>
      </w:pPr>
      <w:bookmarkStart w:id="1566" w:name="_Toc326217120"/>
      <w:r w:rsidRPr="00DA20F5">
        <w:rPr>
          <w:color w:val="auto"/>
          <w:sz w:val="24"/>
        </w:rPr>
        <w:t>Príloh</w:t>
      </w:r>
      <w:r w:rsidR="00C83676" w:rsidRPr="00DA20F5">
        <w:rPr>
          <w:color w:val="auto"/>
          <w:sz w:val="24"/>
        </w:rPr>
        <w:t>a</w:t>
      </w:r>
      <w:r w:rsidRPr="00DA20F5">
        <w:rPr>
          <w:color w:val="auto"/>
          <w:sz w:val="24"/>
        </w:rPr>
        <w:t xml:space="preserve"> ku kapitole 1</w:t>
      </w:r>
      <w:bookmarkEnd w:id="1566"/>
      <w:r w:rsidRPr="00DA20F5">
        <w:rPr>
          <w:color w:val="auto"/>
          <w:sz w:val="24"/>
        </w:rPr>
        <w:tab/>
      </w:r>
    </w:p>
    <w:p w:rsidR="00613D59" w:rsidRPr="00DA20F5" w:rsidRDefault="00613D59" w:rsidP="00D36FB8">
      <w:pPr>
        <w:tabs>
          <w:tab w:val="left" w:pos="851"/>
        </w:tabs>
        <w:rPr>
          <w:color w:val="000000" w:themeColor="text1"/>
        </w:rPr>
      </w:pPr>
      <w:r w:rsidRPr="00DA20F5">
        <w:rPr>
          <w:color w:val="000000" w:themeColor="text1"/>
        </w:rPr>
        <w:t>Tab. 1</w:t>
      </w:r>
      <w:r w:rsidRPr="00DA20F5">
        <w:rPr>
          <w:color w:val="000000" w:themeColor="text1"/>
        </w:rPr>
        <w:tab/>
        <w:t>Základné ukazovatele ekonomického vývoja SR</w:t>
      </w:r>
    </w:p>
    <w:p w:rsidR="00613D59" w:rsidRPr="00DA20F5" w:rsidRDefault="00613D59" w:rsidP="00D36FB8">
      <w:pPr>
        <w:tabs>
          <w:tab w:val="left" w:pos="851"/>
        </w:tabs>
        <w:rPr>
          <w:color w:val="000000" w:themeColor="text1"/>
        </w:rPr>
      </w:pPr>
      <w:r w:rsidRPr="00DA20F5">
        <w:rPr>
          <w:color w:val="000000" w:themeColor="text1"/>
        </w:rPr>
        <w:t>Tab. 2</w:t>
      </w:r>
      <w:r w:rsidRPr="00DA20F5">
        <w:rPr>
          <w:color w:val="000000" w:themeColor="text1"/>
        </w:rPr>
        <w:tab/>
        <w:t>Indexy spotrebiteľských cien</w:t>
      </w:r>
    </w:p>
    <w:p w:rsidR="00613D59" w:rsidRPr="00DA20F5" w:rsidRDefault="00613D59" w:rsidP="00D36FB8">
      <w:pPr>
        <w:tabs>
          <w:tab w:val="left" w:pos="851"/>
        </w:tabs>
        <w:rPr>
          <w:color w:val="000000" w:themeColor="text1"/>
        </w:rPr>
      </w:pPr>
      <w:r w:rsidRPr="00DA20F5">
        <w:rPr>
          <w:color w:val="000000" w:themeColor="text1"/>
        </w:rPr>
        <w:t>Tab. 3</w:t>
      </w:r>
      <w:r w:rsidRPr="00DA20F5">
        <w:rPr>
          <w:color w:val="000000" w:themeColor="text1"/>
        </w:rPr>
        <w:tab/>
        <w:t>Výstavba a úbytok bytov</w:t>
      </w:r>
    </w:p>
    <w:p w:rsidR="00613D59" w:rsidRPr="00DA20F5" w:rsidRDefault="00613D59" w:rsidP="00D36FB8">
      <w:pPr>
        <w:rPr>
          <w:color w:val="000000" w:themeColor="text1"/>
        </w:rPr>
      </w:pPr>
    </w:p>
    <w:p w:rsidR="00613D59" w:rsidRPr="00DA20F5" w:rsidRDefault="00613D59" w:rsidP="00D36FB8">
      <w:pPr>
        <w:pStyle w:val="nadpis2"/>
        <w:numPr>
          <w:ilvl w:val="0"/>
          <w:numId w:val="0"/>
        </w:numPr>
        <w:ind w:left="576" w:hanging="576"/>
        <w:rPr>
          <w:color w:val="auto"/>
          <w:sz w:val="24"/>
        </w:rPr>
      </w:pPr>
      <w:bookmarkStart w:id="1567" w:name="_Toc326217121"/>
      <w:r w:rsidRPr="00DA20F5">
        <w:rPr>
          <w:color w:val="auto"/>
          <w:sz w:val="24"/>
        </w:rPr>
        <w:t>Príloh</w:t>
      </w:r>
      <w:r w:rsidR="00C83676" w:rsidRPr="00DA20F5">
        <w:rPr>
          <w:color w:val="auto"/>
          <w:sz w:val="24"/>
        </w:rPr>
        <w:t>a</w:t>
      </w:r>
      <w:r w:rsidRPr="00DA20F5">
        <w:rPr>
          <w:color w:val="auto"/>
          <w:sz w:val="24"/>
        </w:rPr>
        <w:t xml:space="preserve"> ku kapitole 2</w:t>
      </w:r>
      <w:bookmarkEnd w:id="1567"/>
      <w:r w:rsidRPr="00DA20F5">
        <w:rPr>
          <w:color w:val="auto"/>
          <w:sz w:val="24"/>
        </w:rPr>
        <w:tab/>
      </w:r>
    </w:p>
    <w:p w:rsidR="00613D59" w:rsidRPr="00DA20F5" w:rsidRDefault="00613D59" w:rsidP="00D36FB8">
      <w:pPr>
        <w:tabs>
          <w:tab w:val="left" w:pos="851"/>
        </w:tabs>
        <w:rPr>
          <w:color w:val="000000" w:themeColor="text1"/>
        </w:rPr>
      </w:pPr>
      <w:r w:rsidRPr="00DA20F5">
        <w:rPr>
          <w:color w:val="000000" w:themeColor="text1"/>
        </w:rPr>
        <w:t>Tab. 1</w:t>
      </w:r>
      <w:r w:rsidRPr="00DA20F5">
        <w:rPr>
          <w:color w:val="000000" w:themeColor="text1"/>
        </w:rPr>
        <w:tab/>
        <w:t>Miera zamestnanosti podľa veku a vzdelania v roku 2011 (priemer za rok v %)</w:t>
      </w:r>
    </w:p>
    <w:p w:rsidR="00613D59" w:rsidRPr="00DA20F5" w:rsidRDefault="00613D59" w:rsidP="00D36FB8">
      <w:pPr>
        <w:tabs>
          <w:tab w:val="left" w:pos="851"/>
        </w:tabs>
        <w:rPr>
          <w:color w:val="000000" w:themeColor="text1"/>
        </w:rPr>
      </w:pPr>
      <w:r w:rsidRPr="00DA20F5">
        <w:rPr>
          <w:color w:val="000000" w:themeColor="text1"/>
        </w:rPr>
        <w:t>Tab. 2</w:t>
      </w:r>
      <w:r w:rsidRPr="00DA20F5">
        <w:rPr>
          <w:color w:val="000000" w:themeColor="text1"/>
        </w:rPr>
        <w:tab/>
        <w:t>Zamestnanosť podľa veľkosti podnikov v roku 2011 (priemer za rok)</w:t>
      </w:r>
    </w:p>
    <w:p w:rsidR="00613D59" w:rsidRPr="00DA20F5" w:rsidRDefault="00613D59" w:rsidP="00D36FB8">
      <w:pPr>
        <w:tabs>
          <w:tab w:val="left" w:pos="851"/>
        </w:tabs>
        <w:rPr>
          <w:color w:val="000000" w:themeColor="text1"/>
        </w:rPr>
      </w:pPr>
      <w:r w:rsidRPr="00DA20F5">
        <w:rPr>
          <w:color w:val="000000" w:themeColor="text1"/>
        </w:rPr>
        <w:t>Tab. 3</w:t>
      </w:r>
      <w:r w:rsidRPr="00DA20F5">
        <w:rPr>
          <w:color w:val="000000" w:themeColor="text1"/>
        </w:rPr>
        <w:tab/>
        <w:t>Miera nezamestnanosti podľa veku a vzdelania v roku 2011 (priemer za rok v %)</w:t>
      </w:r>
    </w:p>
    <w:p w:rsidR="00613D59" w:rsidRPr="00DA20F5" w:rsidRDefault="00613D59" w:rsidP="00D36FB8">
      <w:pPr>
        <w:tabs>
          <w:tab w:val="left" w:pos="851"/>
        </w:tabs>
        <w:ind w:left="851" w:hanging="851"/>
        <w:rPr>
          <w:color w:val="000000" w:themeColor="text1"/>
        </w:rPr>
      </w:pPr>
      <w:r w:rsidRPr="00DA20F5">
        <w:rPr>
          <w:color w:val="000000" w:themeColor="text1"/>
        </w:rPr>
        <w:t>Tab. 4</w:t>
      </w:r>
      <w:r w:rsidRPr="00DA20F5">
        <w:rPr>
          <w:color w:val="000000" w:themeColor="text1"/>
        </w:rPr>
        <w:tab/>
        <w:t>Počet uchádzačov o zamestnanie podľa štatistickej klasifikácie ekonomických činností (SK NACE Rev.2) ku koncu roka 2011</w:t>
      </w:r>
    </w:p>
    <w:p w:rsidR="00613D59" w:rsidRPr="00DA20F5" w:rsidRDefault="00613D59" w:rsidP="00D36FB8">
      <w:pPr>
        <w:tabs>
          <w:tab w:val="left" w:pos="851"/>
        </w:tabs>
        <w:rPr>
          <w:color w:val="000000" w:themeColor="text1"/>
        </w:rPr>
      </w:pPr>
      <w:r w:rsidRPr="00DA20F5">
        <w:rPr>
          <w:color w:val="000000" w:themeColor="text1"/>
        </w:rPr>
        <w:t>Tab. 5</w:t>
      </w:r>
      <w:r w:rsidRPr="00DA20F5">
        <w:rPr>
          <w:color w:val="000000" w:themeColor="text1"/>
        </w:rPr>
        <w:tab/>
        <w:t>Stav uchádzačov o zamestnanie  absolventov škôl ku koncu roka 2011</w:t>
      </w:r>
    </w:p>
    <w:p w:rsidR="00613D59" w:rsidRPr="00DA20F5" w:rsidRDefault="00613D59" w:rsidP="00D36FB8">
      <w:pPr>
        <w:tabs>
          <w:tab w:val="left" w:pos="851"/>
        </w:tabs>
        <w:ind w:left="709" w:hanging="709"/>
        <w:rPr>
          <w:color w:val="000000" w:themeColor="text1"/>
        </w:rPr>
      </w:pPr>
      <w:r w:rsidRPr="00DA20F5">
        <w:rPr>
          <w:color w:val="000000" w:themeColor="text1"/>
        </w:rPr>
        <w:t>Tab. 6</w:t>
      </w:r>
      <w:r w:rsidRPr="00DA20F5">
        <w:rPr>
          <w:color w:val="000000" w:themeColor="text1"/>
        </w:rPr>
        <w:tab/>
      </w:r>
      <w:r w:rsidRPr="00DA20F5">
        <w:rPr>
          <w:color w:val="000000" w:themeColor="text1"/>
        </w:rPr>
        <w:tab/>
        <w:t>Nástroje aktívnych opatrení trhu práce</w:t>
      </w:r>
    </w:p>
    <w:p w:rsidR="00613D59" w:rsidRPr="00DA20F5" w:rsidRDefault="00613D59" w:rsidP="00D36FB8">
      <w:pPr>
        <w:tabs>
          <w:tab w:val="left" w:pos="851"/>
        </w:tabs>
        <w:ind w:left="851" w:hanging="851"/>
        <w:rPr>
          <w:color w:val="000000" w:themeColor="text1"/>
        </w:rPr>
      </w:pPr>
      <w:r w:rsidRPr="00DA20F5">
        <w:rPr>
          <w:color w:val="000000" w:themeColor="text1"/>
        </w:rPr>
        <w:t>Tab. 7</w:t>
      </w:r>
      <w:r w:rsidRPr="00DA20F5">
        <w:rPr>
          <w:color w:val="000000" w:themeColor="text1"/>
        </w:rPr>
        <w:tab/>
        <w:t>Priemerná dohodnutá suma finančných prostriedkov na jedno vytvorené/obsadené pracovné miesto, resp. zaradenú osobu, resp. podporené pracovné miesto (v €)</w:t>
      </w:r>
    </w:p>
    <w:p w:rsidR="00613D59" w:rsidRPr="00DA20F5" w:rsidRDefault="00613D59" w:rsidP="00D36FB8">
      <w:pPr>
        <w:tabs>
          <w:tab w:val="left" w:pos="851"/>
        </w:tabs>
        <w:ind w:left="851" w:hanging="851"/>
        <w:rPr>
          <w:color w:val="000000" w:themeColor="text1"/>
        </w:rPr>
      </w:pPr>
      <w:r w:rsidRPr="00DA20F5">
        <w:rPr>
          <w:color w:val="000000" w:themeColor="text1"/>
        </w:rPr>
        <w:t>Tab. 8</w:t>
      </w:r>
      <w:r w:rsidRPr="00DA20F5">
        <w:rPr>
          <w:color w:val="000000" w:themeColor="text1"/>
        </w:rPr>
        <w:tab/>
        <w:t>Priemerná hrubá mesačná mzda v podnikateľskej a nepodnikateľskej sfére podľa stupňov vzdelania – rok 2011</w:t>
      </w:r>
    </w:p>
    <w:p w:rsidR="00613D59" w:rsidRPr="00DA20F5" w:rsidRDefault="00613D59" w:rsidP="00D36FB8">
      <w:pPr>
        <w:tabs>
          <w:tab w:val="left" w:pos="851"/>
        </w:tabs>
        <w:ind w:left="851" w:hanging="851"/>
        <w:rPr>
          <w:color w:val="000000" w:themeColor="text1"/>
        </w:rPr>
      </w:pPr>
      <w:r w:rsidRPr="00DA20F5">
        <w:rPr>
          <w:color w:val="000000" w:themeColor="text1"/>
        </w:rPr>
        <w:t>Tab. 9</w:t>
      </w:r>
      <w:r w:rsidRPr="00DA20F5">
        <w:rPr>
          <w:color w:val="000000" w:themeColor="text1"/>
        </w:rPr>
        <w:tab/>
        <w:t>Priemerná hrubá mesačná mzda v podnikateľskej a nepodnikateľskej sfére podľa hlavnej triedy KZAM a pohlavia – rok 2011</w:t>
      </w:r>
    </w:p>
    <w:p w:rsidR="00613D59" w:rsidRPr="00DA20F5" w:rsidRDefault="00613D59" w:rsidP="00D36FB8">
      <w:pPr>
        <w:tabs>
          <w:tab w:val="left" w:pos="851"/>
        </w:tabs>
        <w:ind w:left="851" w:hanging="851"/>
        <w:rPr>
          <w:color w:val="000000" w:themeColor="text1"/>
        </w:rPr>
      </w:pPr>
      <w:r w:rsidRPr="00DA20F5">
        <w:rPr>
          <w:color w:val="000000" w:themeColor="text1"/>
        </w:rPr>
        <w:t>Tab. 10</w:t>
      </w:r>
      <w:r w:rsidRPr="00DA20F5">
        <w:rPr>
          <w:color w:val="000000" w:themeColor="text1"/>
        </w:rPr>
        <w:tab/>
        <w:t>Priemerná hrubá mesačná mzda v podnikateľskej a nepodnikateľskej sfére podľa veku – rok 2011</w:t>
      </w:r>
    </w:p>
    <w:p w:rsidR="00613D59" w:rsidRPr="00DA20F5" w:rsidRDefault="00613D59" w:rsidP="00D36FB8">
      <w:pPr>
        <w:tabs>
          <w:tab w:val="left" w:pos="851"/>
        </w:tabs>
        <w:ind w:left="851" w:hanging="851"/>
        <w:rPr>
          <w:color w:val="000000" w:themeColor="text1"/>
        </w:rPr>
      </w:pPr>
      <w:r w:rsidRPr="00DA20F5">
        <w:rPr>
          <w:color w:val="000000" w:themeColor="text1"/>
        </w:rPr>
        <w:t>Tab. 11</w:t>
      </w:r>
      <w:r w:rsidRPr="00DA20F5">
        <w:rPr>
          <w:color w:val="000000" w:themeColor="text1"/>
        </w:rPr>
        <w:tab/>
        <w:t>Priemerná hrubá mesačná mzda v podnikateľskej a nepodnikateľskej sfére podľa regiónov - rok 2011</w:t>
      </w:r>
    </w:p>
    <w:p w:rsidR="00613D59" w:rsidRPr="00DA20F5" w:rsidRDefault="00613D59" w:rsidP="00D36FB8">
      <w:pPr>
        <w:tabs>
          <w:tab w:val="left" w:pos="851"/>
        </w:tabs>
        <w:ind w:left="851" w:hanging="851"/>
        <w:rPr>
          <w:color w:val="000000" w:themeColor="text1"/>
        </w:rPr>
      </w:pPr>
      <w:r w:rsidRPr="00DA20F5">
        <w:rPr>
          <w:color w:val="000000" w:themeColor="text1"/>
        </w:rPr>
        <w:t>Tab. 12</w:t>
      </w:r>
      <w:r w:rsidRPr="00DA20F5">
        <w:rPr>
          <w:color w:val="000000" w:themeColor="text1"/>
        </w:rPr>
        <w:tab/>
        <w:t>Priemerná hrubá mesačná mzda a vybrané zložky mzdy zamestnancov podľa pohlavia –  rok 2011</w:t>
      </w:r>
    </w:p>
    <w:p w:rsidR="00613D59" w:rsidRPr="00DA20F5" w:rsidRDefault="00613D59" w:rsidP="00D36FB8">
      <w:pPr>
        <w:ind w:left="851" w:hanging="851"/>
        <w:rPr>
          <w:color w:val="000000" w:themeColor="text1"/>
        </w:rPr>
      </w:pPr>
      <w:r w:rsidRPr="00DA20F5">
        <w:rPr>
          <w:color w:val="000000" w:themeColor="text1"/>
        </w:rPr>
        <w:t>Tab. 13</w:t>
      </w:r>
      <w:r w:rsidRPr="00DA20F5">
        <w:rPr>
          <w:color w:val="000000" w:themeColor="text1"/>
        </w:rPr>
        <w:tab/>
        <w:t>Podiely zamestnancov v pásmach priemernej hrubej mesačnej mzdy – rok 2011</w:t>
      </w:r>
    </w:p>
    <w:p w:rsidR="00613D59" w:rsidRPr="00DA20F5" w:rsidRDefault="00613D59" w:rsidP="00D36FB8">
      <w:pPr>
        <w:ind w:left="851" w:hanging="851"/>
        <w:rPr>
          <w:color w:val="000000" w:themeColor="text1"/>
        </w:rPr>
      </w:pPr>
      <w:r w:rsidRPr="00DA20F5">
        <w:rPr>
          <w:color w:val="000000" w:themeColor="text1"/>
        </w:rPr>
        <w:t>Tab. 14</w:t>
      </w:r>
      <w:r w:rsidRPr="00DA20F5">
        <w:rPr>
          <w:color w:val="000000" w:themeColor="text1"/>
        </w:rPr>
        <w:tab/>
        <w:t>Priemerný hodinový zárobok podľa krajov v podnikateľskej sfére – 4. štvrťrok 2011</w:t>
      </w:r>
    </w:p>
    <w:p w:rsidR="00613D59" w:rsidRPr="00DA20F5" w:rsidRDefault="00613D59" w:rsidP="00D36FB8">
      <w:pPr>
        <w:ind w:left="851" w:hanging="851"/>
        <w:rPr>
          <w:color w:val="000000" w:themeColor="text1"/>
        </w:rPr>
      </w:pPr>
      <w:r w:rsidRPr="00DA20F5">
        <w:rPr>
          <w:color w:val="000000" w:themeColor="text1"/>
        </w:rPr>
        <w:t>Tab. 15</w:t>
      </w:r>
      <w:r w:rsidRPr="00DA20F5">
        <w:rPr>
          <w:color w:val="000000" w:themeColor="text1"/>
        </w:rPr>
        <w:tab/>
        <w:t>Priemerný hodinový zárobok podľa odvetví v podnikateľskej sfére – 4. štvrťrok 2011</w:t>
      </w:r>
    </w:p>
    <w:p w:rsidR="00613D59" w:rsidRPr="00DA20F5" w:rsidRDefault="00613D59" w:rsidP="00D36FB8">
      <w:pPr>
        <w:ind w:left="851" w:hanging="851"/>
        <w:rPr>
          <w:color w:val="000000" w:themeColor="text1"/>
        </w:rPr>
      </w:pPr>
      <w:r w:rsidRPr="00DA20F5">
        <w:rPr>
          <w:color w:val="000000" w:themeColor="text1"/>
        </w:rPr>
        <w:t>Tab. 16</w:t>
      </w:r>
      <w:r w:rsidRPr="00DA20F5">
        <w:rPr>
          <w:color w:val="000000" w:themeColor="text1"/>
        </w:rPr>
        <w:tab/>
        <w:t xml:space="preserve">Priemerný hodinový zárobok podľa veľkosti organizácie v podnikateľskej sfére </w:t>
      </w:r>
      <w:r w:rsidR="005A099E" w:rsidRPr="00DA20F5">
        <w:rPr>
          <w:color w:val="000000" w:themeColor="text1"/>
        </w:rPr>
        <w:t>-</w:t>
      </w:r>
      <w:r w:rsidRPr="00DA20F5">
        <w:rPr>
          <w:color w:val="000000" w:themeColor="text1"/>
        </w:rPr>
        <w:t>4. štvrťrok 2011</w:t>
      </w:r>
    </w:p>
    <w:p w:rsidR="00613D59" w:rsidRPr="00DA20F5" w:rsidRDefault="00613D59" w:rsidP="00D36FB8">
      <w:pPr>
        <w:ind w:left="851" w:hanging="851"/>
        <w:rPr>
          <w:color w:val="000000" w:themeColor="text1"/>
        </w:rPr>
      </w:pPr>
      <w:r w:rsidRPr="00DA20F5">
        <w:rPr>
          <w:color w:val="000000" w:themeColor="text1"/>
        </w:rPr>
        <w:t>Tab. 17</w:t>
      </w:r>
      <w:r w:rsidRPr="00DA20F5">
        <w:rPr>
          <w:color w:val="000000" w:themeColor="text1"/>
        </w:rPr>
        <w:tab/>
        <w:t>Priemerný hodinový zárobok podľa veku v podnikateľskej sfére - 4. štvrťrok 2011</w:t>
      </w:r>
    </w:p>
    <w:p w:rsidR="00613D59" w:rsidRPr="00DA20F5" w:rsidRDefault="00613D59" w:rsidP="00D36FB8">
      <w:pPr>
        <w:ind w:left="851" w:hanging="851"/>
        <w:rPr>
          <w:color w:val="000000" w:themeColor="text1"/>
        </w:rPr>
      </w:pPr>
      <w:r w:rsidRPr="00DA20F5">
        <w:rPr>
          <w:color w:val="000000" w:themeColor="text1"/>
        </w:rPr>
        <w:t>Tab. 18</w:t>
      </w:r>
      <w:r w:rsidRPr="00DA20F5">
        <w:rPr>
          <w:color w:val="000000" w:themeColor="text1"/>
        </w:rPr>
        <w:tab/>
        <w:t>Priemerný hodinový zárobok podľa rodového členenia v podnikateľskej sfére - 4. štvrťrok 2011</w:t>
      </w:r>
    </w:p>
    <w:p w:rsidR="00613D59" w:rsidRPr="00DA20F5" w:rsidRDefault="00613D59" w:rsidP="00D36FB8">
      <w:pPr>
        <w:ind w:left="851" w:hanging="851"/>
        <w:rPr>
          <w:color w:val="000000" w:themeColor="text1"/>
        </w:rPr>
      </w:pPr>
      <w:r w:rsidRPr="00DA20F5">
        <w:rPr>
          <w:color w:val="000000" w:themeColor="text1"/>
        </w:rPr>
        <w:t>Tab. 19</w:t>
      </w:r>
      <w:r w:rsidRPr="00DA20F5">
        <w:rPr>
          <w:color w:val="000000" w:themeColor="text1"/>
        </w:rPr>
        <w:tab/>
        <w:t>Mesačné náklady práce na zamestnanca v SR za rok 2010 podľa odvetvia</w:t>
      </w:r>
    </w:p>
    <w:p w:rsidR="00613D59" w:rsidRPr="00DA20F5" w:rsidRDefault="00613D59" w:rsidP="00D36FB8">
      <w:pPr>
        <w:ind w:hanging="567"/>
        <w:rPr>
          <w:b/>
          <w:color w:val="000000" w:themeColor="text1"/>
        </w:rPr>
      </w:pPr>
    </w:p>
    <w:p w:rsidR="00613D59" w:rsidRPr="00DA20F5" w:rsidRDefault="00613D59" w:rsidP="00D36FB8">
      <w:pPr>
        <w:pStyle w:val="nadpis2"/>
        <w:numPr>
          <w:ilvl w:val="0"/>
          <w:numId w:val="0"/>
        </w:numPr>
        <w:ind w:left="576" w:hanging="576"/>
        <w:rPr>
          <w:color w:val="auto"/>
          <w:sz w:val="24"/>
        </w:rPr>
      </w:pPr>
      <w:bookmarkStart w:id="1568" w:name="_Toc326217122"/>
      <w:r w:rsidRPr="00DA20F5">
        <w:rPr>
          <w:color w:val="auto"/>
          <w:sz w:val="24"/>
        </w:rPr>
        <w:t>Príloh</w:t>
      </w:r>
      <w:r w:rsidR="00C83676" w:rsidRPr="00DA20F5">
        <w:rPr>
          <w:color w:val="auto"/>
          <w:sz w:val="24"/>
        </w:rPr>
        <w:t>a</w:t>
      </w:r>
      <w:r w:rsidRPr="00DA20F5">
        <w:rPr>
          <w:color w:val="auto"/>
          <w:sz w:val="24"/>
        </w:rPr>
        <w:t xml:space="preserve"> ku kapitole 3</w:t>
      </w:r>
      <w:bookmarkEnd w:id="1568"/>
      <w:r w:rsidRPr="00DA20F5">
        <w:rPr>
          <w:color w:val="auto"/>
          <w:sz w:val="24"/>
        </w:rPr>
        <w:tab/>
      </w:r>
    </w:p>
    <w:p w:rsidR="00613D59" w:rsidRPr="00DA20F5" w:rsidRDefault="00613D59" w:rsidP="00D36FB8">
      <w:pPr>
        <w:ind w:left="851" w:hanging="851"/>
        <w:rPr>
          <w:color w:val="000000" w:themeColor="text1"/>
        </w:rPr>
      </w:pPr>
      <w:r w:rsidRPr="00DA20F5">
        <w:rPr>
          <w:color w:val="000000" w:themeColor="text1"/>
        </w:rPr>
        <w:t xml:space="preserve">Tab. 1 </w:t>
      </w:r>
      <w:r w:rsidRPr="00DA20F5">
        <w:rPr>
          <w:color w:val="000000" w:themeColor="text1"/>
        </w:rPr>
        <w:tab/>
        <w:t>Výdavky základného fondu nemocenského poistenia (ZFNP) a nemocenské dávky v roku 2011</w:t>
      </w:r>
    </w:p>
    <w:p w:rsidR="00613D59" w:rsidRPr="00DA20F5" w:rsidRDefault="00613D59" w:rsidP="00D36FB8">
      <w:pPr>
        <w:ind w:left="851" w:hanging="851"/>
        <w:rPr>
          <w:color w:val="000000" w:themeColor="text1"/>
        </w:rPr>
      </w:pPr>
      <w:r w:rsidRPr="00DA20F5">
        <w:rPr>
          <w:color w:val="000000" w:themeColor="text1"/>
        </w:rPr>
        <w:t>Tab. 2</w:t>
      </w:r>
      <w:r w:rsidRPr="00DA20F5">
        <w:rPr>
          <w:color w:val="000000" w:themeColor="text1"/>
        </w:rPr>
        <w:tab/>
        <w:t>Počet poberateľov samostatne vyplácaných dôchodkov a v súbehu s vdovským, resp. vdoveckým dôchodkom k 31.12.2011</w:t>
      </w:r>
    </w:p>
    <w:p w:rsidR="00613D59" w:rsidRPr="00DA20F5" w:rsidRDefault="00613D59" w:rsidP="00D36FB8">
      <w:pPr>
        <w:ind w:left="851" w:hanging="851"/>
        <w:rPr>
          <w:color w:val="000000" w:themeColor="text1"/>
        </w:rPr>
      </w:pPr>
      <w:r w:rsidRPr="00DA20F5">
        <w:rPr>
          <w:color w:val="000000" w:themeColor="text1"/>
        </w:rPr>
        <w:t xml:space="preserve">Tab. 3 </w:t>
      </w:r>
      <w:r w:rsidRPr="00DA20F5">
        <w:rPr>
          <w:color w:val="000000" w:themeColor="text1"/>
        </w:rPr>
        <w:tab/>
        <w:t>Počet poberateľov dôchodku a výška sólo dôchodkovej dávky podľa pohlavia</w:t>
      </w:r>
    </w:p>
    <w:p w:rsidR="00613D59" w:rsidRPr="00DA20F5" w:rsidRDefault="00613D59" w:rsidP="00D36FB8">
      <w:pPr>
        <w:ind w:left="851" w:hanging="851"/>
        <w:rPr>
          <w:color w:val="000000" w:themeColor="text1"/>
        </w:rPr>
      </w:pPr>
      <w:r w:rsidRPr="00DA20F5">
        <w:rPr>
          <w:color w:val="000000" w:themeColor="text1"/>
        </w:rPr>
        <w:t xml:space="preserve">Tab. 4 </w:t>
      </w:r>
      <w:r w:rsidRPr="00DA20F5">
        <w:rPr>
          <w:color w:val="000000" w:themeColor="text1"/>
        </w:rPr>
        <w:tab/>
        <w:t>Rozdelenie poberateľov podľa výšky dôchodkových dávok</w:t>
      </w:r>
    </w:p>
    <w:p w:rsidR="00613D59" w:rsidRPr="00DA20F5" w:rsidRDefault="00613D59" w:rsidP="00D36FB8">
      <w:pPr>
        <w:ind w:left="851" w:hanging="851"/>
        <w:rPr>
          <w:color w:val="000000" w:themeColor="text1"/>
        </w:rPr>
      </w:pPr>
      <w:r w:rsidRPr="00DA20F5">
        <w:rPr>
          <w:color w:val="000000" w:themeColor="text1"/>
        </w:rPr>
        <w:t xml:space="preserve">Tab. 5 </w:t>
      </w:r>
      <w:r w:rsidRPr="00DA20F5">
        <w:rPr>
          <w:color w:val="000000" w:themeColor="text1"/>
        </w:rPr>
        <w:tab/>
        <w:t>Prehľad výdavkov na dôchodkové dávky k 31. 12. 2011</w:t>
      </w:r>
    </w:p>
    <w:p w:rsidR="00613D59" w:rsidRPr="00DA20F5" w:rsidRDefault="00613D59" w:rsidP="00D36FB8">
      <w:pPr>
        <w:ind w:left="851" w:hanging="851"/>
        <w:rPr>
          <w:color w:val="000000" w:themeColor="text1"/>
        </w:rPr>
      </w:pPr>
      <w:r w:rsidRPr="00DA20F5">
        <w:rPr>
          <w:color w:val="000000" w:themeColor="text1"/>
        </w:rPr>
        <w:t xml:space="preserve">Tab. 6 </w:t>
      </w:r>
      <w:r w:rsidRPr="00DA20F5">
        <w:rPr>
          <w:color w:val="000000" w:themeColor="text1"/>
        </w:rPr>
        <w:tab/>
        <w:t>Výdavky základného fondu úrazového poistenia (ZFÚP) v roku 2011</w:t>
      </w:r>
    </w:p>
    <w:p w:rsidR="00613D59" w:rsidRPr="00DA20F5" w:rsidRDefault="00613D59" w:rsidP="00D36FB8">
      <w:pPr>
        <w:ind w:left="851" w:hanging="851"/>
        <w:rPr>
          <w:color w:val="000000" w:themeColor="text1"/>
        </w:rPr>
      </w:pPr>
      <w:r w:rsidRPr="00DA20F5">
        <w:rPr>
          <w:color w:val="000000" w:themeColor="text1"/>
        </w:rPr>
        <w:t xml:space="preserve">Tab. 7 </w:t>
      </w:r>
      <w:r w:rsidRPr="00DA20F5">
        <w:rPr>
          <w:color w:val="000000" w:themeColor="text1"/>
        </w:rPr>
        <w:tab/>
        <w:t>Priemerná výška a počet vyplatených dávok úrazového poistenia v roku 2011</w:t>
      </w:r>
      <w:r w:rsidRPr="00DA20F5">
        <w:rPr>
          <w:color w:val="000000" w:themeColor="text1"/>
        </w:rPr>
        <w:tab/>
      </w:r>
    </w:p>
    <w:p w:rsidR="00613D59" w:rsidRPr="00DA20F5" w:rsidRDefault="00613D59" w:rsidP="00D36FB8">
      <w:pPr>
        <w:ind w:left="851" w:hanging="851"/>
        <w:rPr>
          <w:color w:val="000000" w:themeColor="text1"/>
        </w:rPr>
      </w:pPr>
      <w:r w:rsidRPr="00DA20F5">
        <w:rPr>
          <w:color w:val="000000" w:themeColor="text1"/>
        </w:rPr>
        <w:t xml:space="preserve">Tab. 8 </w:t>
      </w:r>
      <w:r w:rsidRPr="00DA20F5">
        <w:rPr>
          <w:color w:val="000000" w:themeColor="text1"/>
        </w:rPr>
        <w:tab/>
        <w:t>Štátne dávky týkajúce sa úrazového poistenia</w:t>
      </w:r>
    </w:p>
    <w:p w:rsidR="00613D59" w:rsidRPr="00DA20F5" w:rsidRDefault="00613D59" w:rsidP="00D36FB8">
      <w:pPr>
        <w:ind w:left="851" w:hanging="851"/>
        <w:rPr>
          <w:color w:val="000000" w:themeColor="text1"/>
        </w:rPr>
      </w:pPr>
      <w:r w:rsidRPr="00DA20F5">
        <w:rPr>
          <w:color w:val="000000" w:themeColor="text1"/>
        </w:rPr>
        <w:t xml:space="preserve">Tab. 9 </w:t>
      </w:r>
      <w:r w:rsidRPr="00DA20F5">
        <w:rPr>
          <w:color w:val="000000" w:themeColor="text1"/>
        </w:rPr>
        <w:tab/>
        <w:t>Výdavky základného fondu garančného poistenia (ZFGP) v roku 2011</w:t>
      </w:r>
      <w:r w:rsidRPr="00DA20F5">
        <w:rPr>
          <w:color w:val="000000" w:themeColor="text1"/>
        </w:rPr>
        <w:tab/>
      </w:r>
    </w:p>
    <w:p w:rsidR="00613D59" w:rsidRPr="00DA20F5" w:rsidRDefault="00613D59" w:rsidP="00D36FB8">
      <w:pPr>
        <w:ind w:left="851" w:hanging="851"/>
        <w:rPr>
          <w:color w:val="000000" w:themeColor="text1"/>
        </w:rPr>
      </w:pPr>
      <w:r w:rsidRPr="00DA20F5">
        <w:rPr>
          <w:color w:val="000000" w:themeColor="text1"/>
        </w:rPr>
        <w:t xml:space="preserve">Tab. 10 </w:t>
      </w:r>
      <w:r w:rsidRPr="00DA20F5">
        <w:rPr>
          <w:color w:val="000000" w:themeColor="text1"/>
        </w:rPr>
        <w:tab/>
        <w:t>Vyplatené dávky v nezamestnanosti, počet prípadov a priemerná výška dávky v roku 2011</w:t>
      </w:r>
    </w:p>
    <w:p w:rsidR="00613D59" w:rsidRPr="00DA20F5" w:rsidRDefault="00613D59" w:rsidP="00D36FB8">
      <w:pPr>
        <w:ind w:left="851" w:hanging="851"/>
        <w:rPr>
          <w:color w:val="000000" w:themeColor="text1"/>
        </w:rPr>
      </w:pPr>
      <w:r w:rsidRPr="00DA20F5">
        <w:rPr>
          <w:color w:val="000000" w:themeColor="text1"/>
        </w:rPr>
        <w:lastRenderedPageBreak/>
        <w:t xml:space="preserve">Tab. 11 </w:t>
      </w:r>
      <w:r w:rsidRPr="00DA20F5">
        <w:rPr>
          <w:color w:val="000000" w:themeColor="text1"/>
        </w:rPr>
        <w:tab/>
        <w:t>Počet poberateľov dávky v nezamestnanosti v členení podľa veku a pohlavia za rok 2011</w:t>
      </w:r>
    </w:p>
    <w:p w:rsidR="00BE7DC2" w:rsidRPr="00DA20F5" w:rsidRDefault="00BE7DC2" w:rsidP="00D36FB8">
      <w:pPr>
        <w:ind w:left="851" w:hanging="851"/>
        <w:rPr>
          <w:color w:val="000000" w:themeColor="text1"/>
        </w:rPr>
      </w:pPr>
      <w:r w:rsidRPr="00DA20F5">
        <w:rPr>
          <w:color w:val="000000" w:themeColor="text1"/>
        </w:rPr>
        <w:t xml:space="preserve">Graf 1 </w:t>
      </w:r>
      <w:r w:rsidRPr="00DA20F5">
        <w:rPr>
          <w:color w:val="000000" w:themeColor="text1"/>
        </w:rPr>
        <w:tab/>
        <w:t>Rozdelenie sporiteľov v II. pilieri podľa veku k 31. 12. 2011</w:t>
      </w:r>
    </w:p>
    <w:p w:rsidR="007A0E02" w:rsidRPr="00DA20F5" w:rsidRDefault="007A0E02" w:rsidP="00D36FB8">
      <w:pPr>
        <w:ind w:left="851" w:hanging="851"/>
      </w:pPr>
      <w:r w:rsidRPr="00DA20F5">
        <w:t xml:space="preserve">Graf 2 </w:t>
      </w:r>
      <w:r w:rsidRPr="00DA20F5">
        <w:tab/>
        <w:t>Veková štruktúra sporiteľov v II. pilieri k 31. 12. 2011</w:t>
      </w:r>
    </w:p>
    <w:p w:rsidR="007A0E02" w:rsidRPr="00DA20F5" w:rsidRDefault="007A0E02" w:rsidP="00D36FB8">
      <w:pPr>
        <w:ind w:left="851" w:hanging="851"/>
        <w:rPr>
          <w:color w:val="000000" w:themeColor="text1"/>
        </w:rPr>
      </w:pPr>
      <w:r w:rsidRPr="00DA20F5">
        <w:rPr>
          <w:color w:val="000000" w:themeColor="text1"/>
        </w:rPr>
        <w:t>Graf 3 Podiel akcií v portfóliách dôchodkových fondov</w:t>
      </w:r>
    </w:p>
    <w:p w:rsidR="007A0E02" w:rsidRPr="00DA20F5" w:rsidRDefault="007A0E02" w:rsidP="00D36FB8">
      <w:pPr>
        <w:ind w:left="851" w:hanging="851"/>
        <w:rPr>
          <w:color w:val="000000" w:themeColor="text1"/>
        </w:rPr>
      </w:pPr>
      <w:r w:rsidRPr="00DA20F5">
        <w:rPr>
          <w:color w:val="000000" w:themeColor="text1"/>
        </w:rPr>
        <w:t>Graf 4 Podiel dlhopisov v portfóliách dôchodkových fondov</w:t>
      </w:r>
    </w:p>
    <w:p w:rsidR="007A0E02" w:rsidRPr="00DA20F5" w:rsidRDefault="007A0E02" w:rsidP="00D36FB8">
      <w:pPr>
        <w:ind w:left="851" w:hanging="851"/>
        <w:rPr>
          <w:color w:val="000000" w:themeColor="text1"/>
        </w:rPr>
      </w:pPr>
      <w:r w:rsidRPr="00DA20F5">
        <w:rPr>
          <w:color w:val="000000" w:themeColor="text1"/>
        </w:rPr>
        <w:t>Graf 5 Podiel peňažných investícií v portfóliách dôchodkových fondov</w:t>
      </w:r>
    </w:p>
    <w:p w:rsidR="00613D59" w:rsidRPr="00DA20F5" w:rsidRDefault="00613D59" w:rsidP="00D36FB8">
      <w:pPr>
        <w:ind w:left="851" w:hanging="851"/>
        <w:rPr>
          <w:color w:val="000000" w:themeColor="text1"/>
        </w:rPr>
      </w:pPr>
      <w:r w:rsidRPr="00DA20F5">
        <w:rPr>
          <w:color w:val="000000" w:themeColor="text1"/>
        </w:rPr>
        <w:t xml:space="preserve">Tab. 12 </w:t>
      </w:r>
      <w:r w:rsidRPr="00DA20F5">
        <w:rPr>
          <w:color w:val="000000" w:themeColor="text1"/>
        </w:rPr>
        <w:tab/>
        <w:t xml:space="preserve">Údaje o výške majetku a ročného zhodnotenia doplnkových dôchodkových  fondov </w:t>
      </w:r>
    </w:p>
    <w:p w:rsidR="00613D59" w:rsidRPr="00DA20F5" w:rsidRDefault="00613D59" w:rsidP="00D36FB8">
      <w:pPr>
        <w:ind w:left="851" w:hanging="851"/>
        <w:rPr>
          <w:color w:val="000000" w:themeColor="text1"/>
        </w:rPr>
      </w:pPr>
      <w:r w:rsidRPr="00DA20F5">
        <w:rPr>
          <w:color w:val="000000" w:themeColor="text1"/>
        </w:rPr>
        <w:t xml:space="preserve">Tab. 13 </w:t>
      </w:r>
      <w:r w:rsidRPr="00DA20F5">
        <w:rPr>
          <w:color w:val="000000" w:themeColor="text1"/>
        </w:rPr>
        <w:tab/>
        <w:t>Vývoj počtu poberateľov resocializačného príspevku v roku 2010 a 2011</w:t>
      </w:r>
    </w:p>
    <w:p w:rsidR="00613D59" w:rsidRPr="00DA20F5" w:rsidRDefault="00613D59" w:rsidP="00D36FB8">
      <w:pPr>
        <w:ind w:left="851" w:hanging="851"/>
        <w:rPr>
          <w:color w:val="000000" w:themeColor="text1"/>
        </w:rPr>
      </w:pPr>
      <w:r w:rsidRPr="00DA20F5">
        <w:rPr>
          <w:color w:val="000000" w:themeColor="text1"/>
        </w:rPr>
        <w:t xml:space="preserve">Tab. 14 </w:t>
      </w:r>
      <w:r w:rsidRPr="00DA20F5">
        <w:rPr>
          <w:color w:val="000000" w:themeColor="text1"/>
        </w:rPr>
        <w:tab/>
        <w:t xml:space="preserve">Vývoj čerpania finančných prostriedkov na resocializačný príspevok za roky 2010 a 2011 </w:t>
      </w:r>
    </w:p>
    <w:p w:rsidR="00613D59" w:rsidRPr="00DA20F5" w:rsidRDefault="00613D59" w:rsidP="00D36FB8">
      <w:pPr>
        <w:ind w:left="851" w:hanging="851"/>
        <w:rPr>
          <w:color w:val="000000" w:themeColor="text1"/>
        </w:rPr>
      </w:pPr>
      <w:r w:rsidRPr="00DA20F5">
        <w:rPr>
          <w:color w:val="000000" w:themeColor="text1"/>
        </w:rPr>
        <w:t xml:space="preserve">Tab. 15 </w:t>
      </w:r>
      <w:r w:rsidRPr="00DA20F5">
        <w:rPr>
          <w:color w:val="000000" w:themeColor="text1"/>
        </w:rPr>
        <w:tab/>
        <w:t>Pomoc deťom týraným, sexuálne zneužívaným a šikanovaným v roku 2011</w:t>
      </w:r>
    </w:p>
    <w:p w:rsidR="00613D59" w:rsidRPr="00DA20F5" w:rsidRDefault="00613D59" w:rsidP="00D36FB8">
      <w:pPr>
        <w:ind w:left="851" w:hanging="851"/>
        <w:rPr>
          <w:color w:val="000000" w:themeColor="text1"/>
        </w:rPr>
      </w:pPr>
      <w:r w:rsidRPr="00DA20F5">
        <w:rPr>
          <w:color w:val="000000" w:themeColor="text1"/>
        </w:rPr>
        <w:t xml:space="preserve">Tab. 16 </w:t>
      </w:r>
      <w:r w:rsidRPr="00DA20F5">
        <w:rPr>
          <w:color w:val="000000" w:themeColor="text1"/>
        </w:rPr>
        <w:tab/>
        <w:t>Deti umiestnené na základe rozhodnutia súdu do zariadení na výkon rozhodnutia súdu/predbežné opatrenie, výchovné opatrenie, ústavná starostlivosť a ochranná výchova/</w:t>
      </w:r>
    </w:p>
    <w:p w:rsidR="00613D59" w:rsidRPr="00DA20F5" w:rsidRDefault="00613D59" w:rsidP="00D36FB8">
      <w:pPr>
        <w:ind w:left="851" w:hanging="851"/>
        <w:rPr>
          <w:color w:val="000000" w:themeColor="text1"/>
        </w:rPr>
      </w:pPr>
      <w:r w:rsidRPr="00DA20F5">
        <w:rPr>
          <w:color w:val="000000" w:themeColor="text1"/>
        </w:rPr>
        <w:t xml:space="preserve">Tab. 17 </w:t>
      </w:r>
      <w:r w:rsidRPr="00DA20F5">
        <w:rPr>
          <w:color w:val="000000" w:themeColor="text1"/>
        </w:rPr>
        <w:tab/>
        <w:t>Jednotlivé formy starostlivosti v detských domovoch</w:t>
      </w:r>
    </w:p>
    <w:p w:rsidR="00613D59" w:rsidRPr="00DA20F5" w:rsidRDefault="00613D59" w:rsidP="00D36FB8">
      <w:pPr>
        <w:ind w:left="851" w:hanging="851"/>
        <w:rPr>
          <w:color w:val="000000" w:themeColor="text1"/>
        </w:rPr>
      </w:pPr>
      <w:r w:rsidRPr="00DA20F5">
        <w:rPr>
          <w:color w:val="000000" w:themeColor="text1"/>
        </w:rPr>
        <w:t xml:space="preserve">Tab. 18 </w:t>
      </w:r>
      <w:r w:rsidRPr="00DA20F5">
        <w:rPr>
          <w:color w:val="000000" w:themeColor="text1"/>
        </w:rPr>
        <w:tab/>
        <w:t>Počty umiestnených detí a mladých dospelých v jednotlivých formách starostlivosti v detských domovoch k 31.12. za jednotlivé roky</w:t>
      </w:r>
    </w:p>
    <w:p w:rsidR="00613D59" w:rsidRPr="00DA20F5" w:rsidRDefault="00613D59" w:rsidP="00D36FB8">
      <w:pPr>
        <w:ind w:left="851" w:hanging="851"/>
        <w:rPr>
          <w:color w:val="000000" w:themeColor="text1"/>
        </w:rPr>
      </w:pPr>
      <w:r w:rsidRPr="00DA20F5">
        <w:rPr>
          <w:color w:val="000000" w:themeColor="text1"/>
        </w:rPr>
        <w:t xml:space="preserve">Tab. 19 </w:t>
      </w:r>
      <w:r w:rsidRPr="00DA20F5">
        <w:rPr>
          <w:color w:val="000000" w:themeColor="text1"/>
        </w:rPr>
        <w:tab/>
        <w:t>Celkový počet detí zverených do jednotlivých foriem náhradnej rodinnej starostlivosti v jednotlivých rokoch</w:t>
      </w:r>
    </w:p>
    <w:p w:rsidR="00613D59" w:rsidRPr="00DA20F5" w:rsidRDefault="00613D59" w:rsidP="00D36FB8">
      <w:pPr>
        <w:ind w:left="851" w:hanging="851"/>
        <w:rPr>
          <w:color w:val="000000" w:themeColor="text1"/>
        </w:rPr>
      </w:pPr>
      <w:r w:rsidRPr="00DA20F5">
        <w:rPr>
          <w:color w:val="000000" w:themeColor="text1"/>
        </w:rPr>
        <w:t xml:space="preserve">Tab. 20 </w:t>
      </w:r>
      <w:r w:rsidRPr="00DA20F5">
        <w:rPr>
          <w:color w:val="000000" w:themeColor="text1"/>
        </w:rPr>
        <w:tab/>
        <w:t>Základné štatistické údaje o činnosti RPPS za roky 2010 a 2011</w:t>
      </w:r>
    </w:p>
    <w:p w:rsidR="00613D59" w:rsidRPr="00DA20F5" w:rsidRDefault="00613D59" w:rsidP="00D36FB8">
      <w:pPr>
        <w:ind w:left="851" w:hanging="851"/>
        <w:rPr>
          <w:color w:val="000000" w:themeColor="text1"/>
        </w:rPr>
      </w:pPr>
      <w:r w:rsidRPr="00DA20F5">
        <w:rPr>
          <w:color w:val="000000" w:themeColor="text1"/>
        </w:rPr>
        <w:t xml:space="preserve">Tab. 21 </w:t>
      </w:r>
      <w:r w:rsidRPr="00DA20F5">
        <w:rPr>
          <w:color w:val="000000" w:themeColor="text1"/>
        </w:rPr>
        <w:tab/>
        <w:t>Činnosť referátov poradensko-psychologických služieb v roku 2010 a 2011</w:t>
      </w:r>
      <w:r w:rsidRPr="00DA20F5">
        <w:rPr>
          <w:color w:val="000000" w:themeColor="text1"/>
        </w:rPr>
        <w:tab/>
      </w:r>
    </w:p>
    <w:p w:rsidR="00613D59" w:rsidRPr="00DA20F5" w:rsidRDefault="00613D59" w:rsidP="00D36FB8">
      <w:pPr>
        <w:ind w:left="851" w:hanging="851"/>
        <w:rPr>
          <w:color w:val="000000" w:themeColor="text1"/>
        </w:rPr>
      </w:pPr>
      <w:r w:rsidRPr="00DA20F5">
        <w:rPr>
          <w:color w:val="000000" w:themeColor="text1"/>
        </w:rPr>
        <w:t>Tab.</w:t>
      </w:r>
      <w:r w:rsidR="00732584" w:rsidRPr="00DA20F5">
        <w:rPr>
          <w:color w:val="000000" w:themeColor="text1"/>
        </w:rPr>
        <w:t xml:space="preserve"> </w:t>
      </w:r>
      <w:r w:rsidRPr="00DA20F5">
        <w:rPr>
          <w:color w:val="000000" w:themeColor="text1"/>
        </w:rPr>
        <w:t xml:space="preserve">22 </w:t>
      </w:r>
      <w:r w:rsidRPr="00DA20F5">
        <w:rPr>
          <w:color w:val="000000" w:themeColor="text1"/>
        </w:rPr>
        <w:tab/>
        <w:t>Opatrovateľská služba poskytovaná obcami v roku 2009 a 2010</w:t>
      </w:r>
    </w:p>
    <w:p w:rsidR="00613D59" w:rsidRPr="00DA20F5" w:rsidRDefault="00613D59" w:rsidP="00D36FB8">
      <w:pPr>
        <w:ind w:left="851" w:hanging="851"/>
        <w:rPr>
          <w:color w:val="000000" w:themeColor="text1"/>
        </w:rPr>
      </w:pPr>
      <w:r w:rsidRPr="00DA20F5">
        <w:rPr>
          <w:color w:val="000000" w:themeColor="text1"/>
        </w:rPr>
        <w:t xml:space="preserve">Tab. 23 </w:t>
      </w:r>
      <w:r w:rsidRPr="00DA20F5">
        <w:rPr>
          <w:color w:val="000000" w:themeColor="text1"/>
        </w:rPr>
        <w:tab/>
        <w:t>Prepravná služba v roku 2009 a 2010</w:t>
      </w:r>
    </w:p>
    <w:p w:rsidR="00613D59" w:rsidRPr="00DA20F5" w:rsidRDefault="00613D59" w:rsidP="00D36FB8">
      <w:pPr>
        <w:ind w:left="851" w:hanging="851"/>
        <w:rPr>
          <w:color w:val="000000" w:themeColor="text1"/>
        </w:rPr>
      </w:pPr>
      <w:r w:rsidRPr="00DA20F5">
        <w:rPr>
          <w:color w:val="000000" w:themeColor="text1"/>
        </w:rPr>
        <w:t xml:space="preserve">Tab. 24 </w:t>
      </w:r>
      <w:r w:rsidRPr="00DA20F5">
        <w:rPr>
          <w:color w:val="000000" w:themeColor="text1"/>
        </w:rPr>
        <w:tab/>
        <w:t>Počet zariadení sociálnych služieb a ich kapacita za roky 2009 a 2010</w:t>
      </w:r>
    </w:p>
    <w:p w:rsidR="00613D59" w:rsidRPr="00DA20F5" w:rsidRDefault="00613D59" w:rsidP="00D36FB8">
      <w:pPr>
        <w:ind w:left="851" w:hanging="851"/>
        <w:rPr>
          <w:color w:val="000000" w:themeColor="text1"/>
        </w:rPr>
      </w:pPr>
      <w:r w:rsidRPr="00DA20F5">
        <w:rPr>
          <w:color w:val="000000" w:themeColor="text1"/>
        </w:rPr>
        <w:t xml:space="preserve">Tab. 25 </w:t>
      </w:r>
      <w:r w:rsidRPr="00DA20F5">
        <w:rPr>
          <w:color w:val="000000" w:themeColor="text1"/>
        </w:rPr>
        <w:tab/>
        <w:t>Obyvatelia zariadení sociálnych služieb za roky 2009  a 2010</w:t>
      </w:r>
    </w:p>
    <w:p w:rsidR="00613D59" w:rsidRPr="00DA20F5" w:rsidRDefault="00613D59" w:rsidP="00D36FB8">
      <w:pPr>
        <w:ind w:left="851" w:hanging="851"/>
        <w:rPr>
          <w:color w:val="000000" w:themeColor="text1"/>
        </w:rPr>
      </w:pPr>
      <w:r w:rsidRPr="00DA20F5">
        <w:rPr>
          <w:color w:val="000000" w:themeColor="text1"/>
        </w:rPr>
        <w:t xml:space="preserve">Tab. </w:t>
      </w:r>
      <w:r w:rsidR="00C27F45" w:rsidRPr="00DA20F5">
        <w:rPr>
          <w:color w:val="000000" w:themeColor="text1"/>
        </w:rPr>
        <w:t xml:space="preserve">26   </w:t>
      </w:r>
      <w:r w:rsidRPr="00DA20F5">
        <w:rPr>
          <w:color w:val="000000" w:themeColor="text1"/>
        </w:rPr>
        <w:t>Počet zariadení sociálnych služieb podľa zriaďovateľa za roky 2009 a 2010</w:t>
      </w:r>
    </w:p>
    <w:p w:rsidR="00613D59" w:rsidRPr="00DA20F5" w:rsidRDefault="00613D59" w:rsidP="00D36FB8">
      <w:pPr>
        <w:ind w:left="851" w:hanging="851"/>
        <w:rPr>
          <w:color w:val="000000" w:themeColor="text1"/>
        </w:rPr>
      </w:pPr>
      <w:r w:rsidRPr="00DA20F5">
        <w:rPr>
          <w:color w:val="000000" w:themeColor="text1"/>
        </w:rPr>
        <w:t xml:space="preserve">Tab. 27 </w:t>
      </w:r>
      <w:r w:rsidRPr="00DA20F5">
        <w:rPr>
          <w:color w:val="000000" w:themeColor="text1"/>
        </w:rPr>
        <w:tab/>
        <w:t>Výdavky zariadení sociálnych služieb za roky 2009 a 2010</w:t>
      </w:r>
    </w:p>
    <w:p w:rsidR="00613D59" w:rsidRPr="00DA20F5" w:rsidRDefault="00613D59" w:rsidP="00D36FB8">
      <w:pPr>
        <w:ind w:left="851" w:hanging="851"/>
        <w:rPr>
          <w:color w:val="000000" w:themeColor="text1"/>
        </w:rPr>
      </w:pPr>
      <w:r w:rsidRPr="00DA20F5">
        <w:rPr>
          <w:color w:val="000000" w:themeColor="text1"/>
        </w:rPr>
        <w:t xml:space="preserve">Tab. 28 </w:t>
      </w:r>
      <w:r w:rsidRPr="00DA20F5">
        <w:rPr>
          <w:color w:val="000000" w:themeColor="text1"/>
        </w:rPr>
        <w:tab/>
        <w:t>Zamestnanci zariadení sociálnych služieb (spolu) za roky 2009 a 2010</w:t>
      </w:r>
      <w:r w:rsidRPr="00DA20F5">
        <w:rPr>
          <w:color w:val="000000" w:themeColor="text1"/>
        </w:rPr>
        <w:tab/>
      </w:r>
    </w:p>
    <w:p w:rsidR="00613D59" w:rsidRPr="00DA20F5" w:rsidRDefault="00613D59" w:rsidP="00D36FB8">
      <w:pPr>
        <w:ind w:left="851" w:hanging="851"/>
        <w:rPr>
          <w:color w:val="000000" w:themeColor="text1"/>
        </w:rPr>
      </w:pPr>
      <w:r w:rsidRPr="00DA20F5">
        <w:rPr>
          <w:color w:val="000000" w:themeColor="text1"/>
        </w:rPr>
        <w:t xml:space="preserve">Tab. 29 </w:t>
      </w:r>
      <w:r w:rsidRPr="00DA20F5">
        <w:rPr>
          <w:color w:val="000000" w:themeColor="text1"/>
        </w:rPr>
        <w:tab/>
        <w:t>Vybrané zariadenia sociálnych služieb</w:t>
      </w:r>
    </w:p>
    <w:p w:rsidR="00613D59" w:rsidRPr="00DA20F5" w:rsidRDefault="00613D59" w:rsidP="00D36FB8">
      <w:pPr>
        <w:ind w:left="851" w:hanging="851"/>
        <w:rPr>
          <w:color w:val="000000" w:themeColor="text1"/>
        </w:rPr>
      </w:pPr>
      <w:r w:rsidRPr="00DA20F5">
        <w:rPr>
          <w:color w:val="000000" w:themeColor="text1"/>
        </w:rPr>
        <w:t xml:space="preserve">Tab. 30 </w:t>
      </w:r>
      <w:r w:rsidRPr="00DA20F5">
        <w:rPr>
          <w:color w:val="000000" w:themeColor="text1"/>
        </w:rPr>
        <w:tab/>
        <w:t>Počet občanov zaradených do poradovníka čakateľov na poskytovanie starostlivosti vo vybraných zariadeniach v roku 2009 a 2010</w:t>
      </w:r>
    </w:p>
    <w:p w:rsidR="00613D59" w:rsidRPr="00DA20F5" w:rsidRDefault="00613D59" w:rsidP="00D36FB8">
      <w:pPr>
        <w:ind w:left="851" w:hanging="851"/>
        <w:rPr>
          <w:color w:val="000000" w:themeColor="text1"/>
        </w:rPr>
      </w:pPr>
      <w:r w:rsidRPr="00DA20F5">
        <w:rPr>
          <w:color w:val="000000" w:themeColor="text1"/>
        </w:rPr>
        <w:t>Tab. 31</w:t>
      </w:r>
      <w:r w:rsidRPr="00DA20F5">
        <w:rPr>
          <w:color w:val="000000" w:themeColor="text1"/>
        </w:rPr>
        <w:tab/>
        <w:t>Počet zamestnancov, objemy platov a vybrané zložky platu v € za rok 2011 v zariadeniach sociálnych služieb podľa agregovaných zamestnaní.</w:t>
      </w:r>
    </w:p>
    <w:p w:rsidR="00613D59" w:rsidRPr="00DA20F5" w:rsidRDefault="00613D59" w:rsidP="00D36FB8">
      <w:pPr>
        <w:ind w:left="851" w:hanging="851"/>
        <w:rPr>
          <w:color w:val="000000" w:themeColor="text1"/>
        </w:rPr>
      </w:pPr>
      <w:r w:rsidRPr="00DA20F5">
        <w:rPr>
          <w:color w:val="000000" w:themeColor="text1"/>
        </w:rPr>
        <w:t xml:space="preserve">Tab. 32 </w:t>
      </w:r>
      <w:r w:rsidRPr="00DA20F5">
        <w:rPr>
          <w:color w:val="000000" w:themeColor="text1"/>
        </w:rPr>
        <w:tab/>
        <w:t>Európsky integrovaný systém štatistiky sociálnej ochrany (Metodika ESSPROS)</w:t>
      </w:r>
    </w:p>
    <w:p w:rsidR="00613D59" w:rsidRPr="00DA20F5" w:rsidRDefault="00613D59" w:rsidP="00D36FB8">
      <w:pPr>
        <w:ind w:left="851" w:hanging="851"/>
        <w:rPr>
          <w:color w:val="000000" w:themeColor="text1"/>
        </w:rPr>
      </w:pPr>
      <w:r w:rsidRPr="00DA20F5">
        <w:rPr>
          <w:color w:val="000000" w:themeColor="text1"/>
        </w:rPr>
        <w:t xml:space="preserve">Tab. 33 </w:t>
      </w:r>
      <w:r w:rsidRPr="00DA20F5">
        <w:rPr>
          <w:color w:val="000000" w:themeColor="text1"/>
        </w:rPr>
        <w:tab/>
        <w:t>Príjmy na sociálnu ochranu podľa typu ( % z celkových príjmov) v EÚ, 2009</w:t>
      </w:r>
    </w:p>
    <w:p w:rsidR="00613D59" w:rsidRPr="00DA20F5" w:rsidRDefault="00613D59" w:rsidP="00D36FB8">
      <w:pPr>
        <w:ind w:left="851" w:hanging="851"/>
        <w:rPr>
          <w:color w:val="000000" w:themeColor="text1"/>
        </w:rPr>
      </w:pPr>
      <w:r w:rsidRPr="00DA20F5">
        <w:rPr>
          <w:color w:val="000000" w:themeColor="text1"/>
        </w:rPr>
        <w:t xml:space="preserve">Tab. 34 </w:t>
      </w:r>
      <w:r w:rsidRPr="00DA20F5">
        <w:rPr>
          <w:color w:val="000000" w:themeColor="text1"/>
        </w:rPr>
        <w:tab/>
        <w:t>Výdavky na dôchodky a kategórie dôchodkov ( % z celkových výdavkov na dôchodky) v EÚ, 2009</w:t>
      </w:r>
    </w:p>
    <w:p w:rsidR="00613D59" w:rsidRPr="00DA20F5" w:rsidRDefault="00613D59" w:rsidP="00D36FB8">
      <w:pPr>
        <w:ind w:left="851" w:hanging="851"/>
        <w:rPr>
          <w:color w:val="000000" w:themeColor="text1"/>
        </w:rPr>
      </w:pPr>
      <w:r w:rsidRPr="00DA20F5">
        <w:rPr>
          <w:color w:val="000000" w:themeColor="text1"/>
        </w:rPr>
        <w:t xml:space="preserve">Tab. 35 </w:t>
      </w:r>
      <w:r w:rsidRPr="00DA20F5">
        <w:rPr>
          <w:color w:val="000000" w:themeColor="text1"/>
        </w:rPr>
        <w:tab/>
        <w:t>Prioritná os 2 - OP Zamestnanosť a sociálna inklúzia - plnenie fyzických ukazovateľov k 31.12.2011</w:t>
      </w:r>
    </w:p>
    <w:p w:rsidR="00613D59" w:rsidRPr="00DA20F5" w:rsidRDefault="00613D59" w:rsidP="00D36FB8">
      <w:pPr>
        <w:ind w:left="851" w:hanging="851"/>
        <w:jc w:val="left"/>
        <w:rPr>
          <w:color w:val="000000" w:themeColor="text1"/>
        </w:rPr>
      </w:pPr>
      <w:r w:rsidRPr="00DA20F5">
        <w:rPr>
          <w:color w:val="000000" w:themeColor="text1"/>
        </w:rPr>
        <w:t xml:space="preserve">Tab. 36 </w:t>
      </w:r>
      <w:r w:rsidR="0040201A" w:rsidRPr="00DA20F5">
        <w:rPr>
          <w:color w:val="000000" w:themeColor="text1"/>
        </w:rPr>
        <w:tab/>
      </w:r>
      <w:r w:rsidRPr="00DA20F5">
        <w:rPr>
          <w:color w:val="000000" w:themeColor="text1"/>
        </w:rPr>
        <w:t>Prioritná os 2 – OP Zamestnanosť a sociálna inklúzia - Problémy a prijaté opatrenia v rámci implementácie</w:t>
      </w:r>
    </w:p>
    <w:p w:rsidR="00613D59" w:rsidRPr="00DA20F5" w:rsidRDefault="00613D59" w:rsidP="00D36FB8">
      <w:pPr>
        <w:ind w:left="851" w:hanging="851"/>
        <w:jc w:val="left"/>
        <w:rPr>
          <w:color w:val="000000" w:themeColor="text1"/>
        </w:rPr>
      </w:pPr>
      <w:r w:rsidRPr="00DA20F5">
        <w:rPr>
          <w:color w:val="000000" w:themeColor="text1"/>
        </w:rPr>
        <w:t xml:space="preserve">Tab. 37 </w:t>
      </w:r>
      <w:r w:rsidR="0040201A" w:rsidRPr="00DA20F5">
        <w:rPr>
          <w:color w:val="000000" w:themeColor="text1"/>
        </w:rPr>
        <w:tab/>
      </w:r>
      <w:r w:rsidRPr="00DA20F5">
        <w:rPr>
          <w:color w:val="000000" w:themeColor="text1"/>
        </w:rPr>
        <w:t>Prioritná os 2 – OP Zamestnanosť a sociálna inklúzia – Iné realizované opatrenia</w:t>
      </w:r>
    </w:p>
    <w:p w:rsidR="00613D59" w:rsidRPr="00DA20F5" w:rsidRDefault="00613D59" w:rsidP="00D36FB8">
      <w:pPr>
        <w:ind w:left="851" w:hanging="851"/>
        <w:jc w:val="left"/>
        <w:rPr>
          <w:color w:val="000000" w:themeColor="text1"/>
        </w:rPr>
      </w:pPr>
      <w:r w:rsidRPr="00DA20F5">
        <w:rPr>
          <w:color w:val="000000" w:themeColor="text1"/>
        </w:rPr>
        <w:t xml:space="preserve">Tab. </w:t>
      </w:r>
      <w:r w:rsidR="00C27F45" w:rsidRPr="00DA20F5">
        <w:rPr>
          <w:color w:val="000000" w:themeColor="text1"/>
        </w:rPr>
        <w:t xml:space="preserve">38 </w:t>
      </w:r>
      <w:r w:rsidR="0040201A" w:rsidRPr="00DA20F5">
        <w:rPr>
          <w:color w:val="000000" w:themeColor="text1"/>
        </w:rPr>
        <w:tab/>
      </w:r>
      <w:r w:rsidRPr="00DA20F5">
        <w:rPr>
          <w:color w:val="000000" w:themeColor="text1"/>
        </w:rPr>
        <w:t>Prehľad DOP vyhlásených FSR</w:t>
      </w:r>
    </w:p>
    <w:p w:rsidR="00613D59" w:rsidRPr="00DA20F5" w:rsidRDefault="00613D59" w:rsidP="00D36FB8">
      <w:pPr>
        <w:ind w:left="851" w:hanging="851"/>
        <w:rPr>
          <w:color w:val="000000" w:themeColor="text1"/>
        </w:rPr>
      </w:pPr>
      <w:r w:rsidRPr="00DA20F5">
        <w:rPr>
          <w:color w:val="000000" w:themeColor="text1"/>
        </w:rPr>
        <w:t xml:space="preserve">Tab. 39 </w:t>
      </w:r>
      <w:r w:rsidRPr="00DA20F5">
        <w:rPr>
          <w:color w:val="000000" w:themeColor="text1"/>
        </w:rPr>
        <w:tab/>
        <w:t>Čerpanie výdavkov kapitoly 22 - MPSVR SR podľa programového rozpočtovania</w:t>
      </w:r>
    </w:p>
    <w:p w:rsidR="00613D59" w:rsidRPr="00DA20F5" w:rsidRDefault="00613D59" w:rsidP="00D36FB8">
      <w:pPr>
        <w:rPr>
          <w:b/>
          <w:color w:val="000000" w:themeColor="text1"/>
        </w:rPr>
      </w:pPr>
    </w:p>
    <w:p w:rsidR="00613D59" w:rsidRPr="00DA20F5" w:rsidRDefault="00613D59" w:rsidP="00D36FB8">
      <w:pPr>
        <w:pStyle w:val="nadpis2"/>
        <w:numPr>
          <w:ilvl w:val="0"/>
          <w:numId w:val="0"/>
        </w:numPr>
        <w:ind w:left="576" w:hanging="576"/>
        <w:rPr>
          <w:color w:val="auto"/>
          <w:sz w:val="24"/>
        </w:rPr>
      </w:pPr>
      <w:bookmarkStart w:id="1569" w:name="_Toc326217123"/>
      <w:r w:rsidRPr="00DA20F5">
        <w:rPr>
          <w:color w:val="auto"/>
          <w:sz w:val="24"/>
        </w:rPr>
        <w:t>Príloh</w:t>
      </w:r>
      <w:r w:rsidR="00C83676" w:rsidRPr="00DA20F5">
        <w:rPr>
          <w:color w:val="auto"/>
          <w:sz w:val="24"/>
        </w:rPr>
        <w:t>a</w:t>
      </w:r>
      <w:r w:rsidRPr="00DA20F5">
        <w:rPr>
          <w:color w:val="auto"/>
          <w:sz w:val="24"/>
        </w:rPr>
        <w:t xml:space="preserve"> ku kapitole 4</w:t>
      </w:r>
      <w:bookmarkEnd w:id="1569"/>
      <w:r w:rsidRPr="00DA20F5">
        <w:rPr>
          <w:color w:val="auto"/>
          <w:sz w:val="24"/>
        </w:rPr>
        <w:tab/>
      </w:r>
    </w:p>
    <w:p w:rsidR="00613D59" w:rsidRPr="00DA20F5" w:rsidRDefault="00613D59" w:rsidP="00D36FB8">
      <w:pPr>
        <w:ind w:left="851" w:hanging="851"/>
        <w:rPr>
          <w:color w:val="000000" w:themeColor="text1"/>
        </w:rPr>
      </w:pPr>
      <w:r w:rsidRPr="00DA20F5">
        <w:rPr>
          <w:color w:val="000000" w:themeColor="text1"/>
        </w:rPr>
        <w:t xml:space="preserve">Tab. 1 </w:t>
      </w:r>
      <w:r w:rsidRPr="00DA20F5">
        <w:rPr>
          <w:color w:val="000000" w:themeColor="text1"/>
        </w:rPr>
        <w:tab/>
        <w:t>Zoznam národných indikátorov chudoby a sociálneho vylúčenia 2009-2010</w:t>
      </w:r>
    </w:p>
    <w:p w:rsidR="00613D59" w:rsidRPr="00DA20F5" w:rsidRDefault="00613D59" w:rsidP="00D36FB8">
      <w:pPr>
        <w:ind w:left="851" w:hanging="851"/>
        <w:rPr>
          <w:color w:val="000000" w:themeColor="text1"/>
        </w:rPr>
      </w:pPr>
      <w:r w:rsidRPr="00DA20F5">
        <w:rPr>
          <w:color w:val="000000" w:themeColor="text1"/>
        </w:rPr>
        <w:t xml:space="preserve">Tab. 2 </w:t>
      </w:r>
      <w:r w:rsidRPr="00DA20F5">
        <w:rPr>
          <w:color w:val="000000" w:themeColor="text1"/>
        </w:rPr>
        <w:tab/>
        <w:t>Zoznam vybraných indikátorov sociálnej inklúzie OMK (2009-2010)</w:t>
      </w:r>
    </w:p>
    <w:p w:rsidR="00C101F6" w:rsidRPr="00DA20F5" w:rsidRDefault="00C101F6" w:rsidP="00D36FB8">
      <w:pPr>
        <w:ind w:left="851" w:hanging="851"/>
      </w:pPr>
      <w:r w:rsidRPr="00DA20F5">
        <w:t xml:space="preserve">Tab. 3 </w:t>
      </w:r>
      <w:r w:rsidR="0040201A" w:rsidRPr="00DA20F5">
        <w:tab/>
      </w:r>
      <w:r w:rsidRPr="00DA20F5">
        <w:t>Porovnanie mier zamestnanosti a nezamestnanosti v rómskej populácii s geograficky blízkou všeobecnou populáciou (v %)</w:t>
      </w:r>
    </w:p>
    <w:p w:rsidR="00C101F6" w:rsidRPr="00DA20F5" w:rsidRDefault="00C101F6" w:rsidP="00D36FB8">
      <w:pPr>
        <w:ind w:left="851" w:hanging="851"/>
        <w:rPr>
          <w:color w:val="000000" w:themeColor="text1"/>
        </w:rPr>
      </w:pPr>
      <w:r w:rsidRPr="00DA20F5">
        <w:rPr>
          <w:color w:val="000000" w:themeColor="text1"/>
        </w:rPr>
        <w:t xml:space="preserve">Tab. 4 </w:t>
      </w:r>
      <w:r w:rsidR="0040201A" w:rsidRPr="00DA20F5">
        <w:rPr>
          <w:color w:val="000000" w:themeColor="text1"/>
        </w:rPr>
        <w:tab/>
      </w:r>
      <w:r w:rsidRPr="00DA20F5">
        <w:rPr>
          <w:color w:val="000000" w:themeColor="text1"/>
        </w:rPr>
        <w:t>Prehľad základných mier vo vzťahu k trhu práce podľa pohlavia – porovnanie rómskej a geograficky blízkej všeobecnej populácie (v %)</w:t>
      </w:r>
    </w:p>
    <w:p w:rsidR="00C101F6" w:rsidRPr="00DA20F5" w:rsidRDefault="00C101F6" w:rsidP="00D36FB8">
      <w:pPr>
        <w:ind w:left="851" w:hanging="851"/>
      </w:pPr>
      <w:r w:rsidRPr="00DA20F5">
        <w:t>Tab. 5</w:t>
      </w:r>
      <w:r w:rsidR="0040201A" w:rsidRPr="00DA20F5">
        <w:tab/>
      </w:r>
      <w:r w:rsidRPr="00DA20F5">
        <w:t xml:space="preserve"> Vybrané ukazovatele pracovnej aktivity rómskej populácie 15+ rokov – porovnanie podsúborov a s geograficky blízkou všeobecnou populáciou (v %)</w:t>
      </w:r>
    </w:p>
    <w:p w:rsidR="00C101F6" w:rsidRPr="00DA20F5" w:rsidRDefault="00C101F6" w:rsidP="00D36FB8">
      <w:pPr>
        <w:ind w:left="851" w:hanging="851"/>
      </w:pPr>
      <w:r w:rsidRPr="00DA20F5">
        <w:lastRenderedPageBreak/>
        <w:t xml:space="preserve">Graf 1 </w:t>
      </w:r>
      <w:r w:rsidR="0040201A" w:rsidRPr="00DA20F5">
        <w:tab/>
      </w:r>
      <w:r w:rsidRPr="00DA20F5">
        <w:t>Miera zamestnanosti rómskej populácie vo veku 15-64 rokov podľa dosiahnutého vzdelania – porovnanie s geograficky blízkou všeobecnou populáciou (v %)</w:t>
      </w:r>
    </w:p>
    <w:p w:rsidR="00C101F6" w:rsidRPr="00DA20F5" w:rsidRDefault="00C101F6" w:rsidP="00D36FB8">
      <w:pPr>
        <w:ind w:left="851" w:hanging="851"/>
      </w:pPr>
      <w:r w:rsidRPr="00DA20F5">
        <w:t xml:space="preserve">Graf 2 </w:t>
      </w:r>
      <w:r w:rsidR="0040201A" w:rsidRPr="00DA20F5">
        <w:tab/>
      </w:r>
      <w:r w:rsidRPr="00DA20F5">
        <w:t>Miera nezamestnanosti rómskej populácie vo veku 15-64 rokov podľa dosiahnutého vzdelania – porovnanie s geograficky blízkou všeobecnou populáciou (v %)</w:t>
      </w:r>
    </w:p>
    <w:p w:rsidR="00C101F6" w:rsidRPr="00DA20F5" w:rsidRDefault="00C101F6" w:rsidP="00D36FB8">
      <w:pPr>
        <w:ind w:left="851" w:hanging="851"/>
        <w:rPr>
          <w:color w:val="000000" w:themeColor="text1"/>
        </w:rPr>
      </w:pPr>
      <w:r w:rsidRPr="00DA20F5">
        <w:rPr>
          <w:color w:val="000000" w:themeColor="text1"/>
        </w:rPr>
        <w:t xml:space="preserve">Tab. 6 </w:t>
      </w:r>
      <w:r w:rsidR="0040201A" w:rsidRPr="00DA20F5">
        <w:rPr>
          <w:color w:val="000000" w:themeColor="text1"/>
        </w:rPr>
        <w:tab/>
      </w:r>
      <w:r w:rsidRPr="00DA20F5">
        <w:rPr>
          <w:color w:val="000000" w:themeColor="text1"/>
        </w:rPr>
        <w:t>Priemerné pracovné príjmy v rómskych domácnostiach podľa typu bývania a v domácnostiach geograficky blízkej všeobecnej populácie (v euro)</w:t>
      </w:r>
    </w:p>
    <w:p w:rsidR="0040201A" w:rsidRPr="00DA20F5" w:rsidRDefault="0040201A" w:rsidP="00D36FB8">
      <w:pPr>
        <w:ind w:left="851" w:hanging="851"/>
      </w:pPr>
      <w:r w:rsidRPr="00DA20F5">
        <w:t xml:space="preserve">Tab. 7 </w:t>
      </w:r>
      <w:r w:rsidRPr="00DA20F5">
        <w:tab/>
        <w:t>Distribúcia celkovej mesačnej sumy pracovných príjmov v rómskych domácnostiach a v domácnostiach geograficky blízkej všeobecnej populácie (v %)</w:t>
      </w:r>
    </w:p>
    <w:p w:rsidR="0040201A" w:rsidRPr="00DA20F5" w:rsidRDefault="0040201A" w:rsidP="00D36FB8">
      <w:pPr>
        <w:ind w:left="851" w:hanging="851"/>
      </w:pPr>
      <w:r w:rsidRPr="00DA20F5">
        <w:t xml:space="preserve">Tab. 8 </w:t>
      </w:r>
      <w:r w:rsidRPr="00DA20F5">
        <w:tab/>
        <w:t>Priemerné sociálne príjmy v rómskych domácnostiach podľa typu bývania a v domácnostiach geograficky blízkej všeobecnej populácie (v euro)</w:t>
      </w:r>
    </w:p>
    <w:p w:rsidR="0040201A" w:rsidRPr="00DA20F5" w:rsidRDefault="0040201A" w:rsidP="00D36FB8">
      <w:pPr>
        <w:ind w:left="851" w:hanging="851"/>
      </w:pPr>
      <w:r w:rsidRPr="00DA20F5">
        <w:t xml:space="preserve">Tab. 9 </w:t>
      </w:r>
      <w:r w:rsidRPr="00DA20F5">
        <w:tab/>
        <w:t>Distribúcia celkovej mesačnej sumy sociálnych príjmov v rómskych domácnostiach podľa typu bývania a v domácnostiach geograficky blízkej všeobecnej populácie (v %)</w:t>
      </w:r>
    </w:p>
    <w:p w:rsidR="0040201A" w:rsidRPr="00DA20F5" w:rsidRDefault="0040201A" w:rsidP="00D36FB8">
      <w:pPr>
        <w:ind w:left="851" w:hanging="851"/>
      </w:pPr>
      <w:r w:rsidRPr="00DA20F5">
        <w:t xml:space="preserve">Tab. 10 </w:t>
      </w:r>
      <w:r w:rsidRPr="00DA20F5">
        <w:tab/>
        <w:t>Priemerné celkové čisté príjmy v rómskych domácnostiach podľa typu bývania a v domácnostiach geograficky blízkej všeobecnej populácie (v euro)</w:t>
      </w:r>
    </w:p>
    <w:p w:rsidR="0040201A" w:rsidRPr="00DA20F5" w:rsidRDefault="0040201A" w:rsidP="00D36FB8">
      <w:pPr>
        <w:ind w:left="851" w:hanging="851"/>
      </w:pPr>
      <w:r w:rsidRPr="00DA20F5">
        <w:t xml:space="preserve">Tab. 11 </w:t>
      </w:r>
      <w:r w:rsidRPr="00DA20F5">
        <w:tab/>
        <w:t>Distribúcia celkových čistých príjmov v rómskych domácnostiach podľa typu bývania a v domácnostiach geograficky blízkej všeobecnej populácie (v %)</w:t>
      </w:r>
    </w:p>
    <w:p w:rsidR="0040201A" w:rsidRPr="00DA20F5" w:rsidRDefault="0040201A" w:rsidP="00D36FB8">
      <w:pPr>
        <w:ind w:left="851" w:hanging="851"/>
      </w:pPr>
      <w:r w:rsidRPr="00DA20F5">
        <w:t xml:space="preserve">Tab. 12 </w:t>
      </w:r>
      <w:r w:rsidRPr="00DA20F5">
        <w:tab/>
        <w:t>Priemerné celkové príjmy „na osobu“ v rómskych domácnostiach podľa typu bývania a v domácnostiach geograficky blízkej všeobecnej populácie (v euro)</w:t>
      </w:r>
    </w:p>
    <w:p w:rsidR="0040201A" w:rsidRPr="00DA20F5" w:rsidRDefault="0040201A" w:rsidP="00D36FB8">
      <w:pPr>
        <w:ind w:left="851" w:hanging="851"/>
      </w:pPr>
      <w:r w:rsidRPr="00DA20F5">
        <w:t xml:space="preserve">Tab. 13 </w:t>
      </w:r>
      <w:r w:rsidRPr="00DA20F5">
        <w:tab/>
        <w:t>Priemerné celkové príjmy na osobu v rómskych domácnostiach podľa počtu pracujúcich v domácnosti (v euro)</w:t>
      </w:r>
    </w:p>
    <w:p w:rsidR="0040201A" w:rsidRPr="00DA20F5" w:rsidRDefault="0040201A" w:rsidP="00D36FB8">
      <w:pPr>
        <w:ind w:left="851" w:hanging="851"/>
      </w:pPr>
      <w:r w:rsidRPr="00DA20F5">
        <w:t xml:space="preserve">Graf 3 </w:t>
      </w:r>
      <w:r w:rsidRPr="00DA20F5">
        <w:tab/>
        <w:t>Schopnosť zabezpečiť vybrané položky v rómskych domácnostiach podľa typu bývania (v %)</w:t>
      </w:r>
    </w:p>
    <w:p w:rsidR="0040201A" w:rsidRPr="00DA20F5" w:rsidRDefault="0040201A" w:rsidP="00D36FB8">
      <w:pPr>
        <w:ind w:left="851" w:hanging="851"/>
      </w:pPr>
      <w:r w:rsidRPr="00DA20F5">
        <w:t xml:space="preserve">Tab. 14 </w:t>
      </w:r>
      <w:r w:rsidRPr="00DA20F5">
        <w:tab/>
        <w:t>Rómske domácnosti podľa výskytu situácie „nemali čo dať deťom jesť“ a typu bývania (v %)</w:t>
      </w:r>
    </w:p>
    <w:p w:rsidR="0040201A" w:rsidRPr="00DA20F5" w:rsidRDefault="0040201A" w:rsidP="00D36FB8">
      <w:pPr>
        <w:ind w:left="851" w:hanging="851"/>
      </w:pPr>
      <w:r w:rsidRPr="00DA20F5">
        <w:t xml:space="preserve">Graf 4 </w:t>
      </w:r>
      <w:r w:rsidRPr="00DA20F5">
        <w:tab/>
        <w:t>Rómske domácnosti podľa výskytu situácie „nemali čo dať deťom jesť“ – porovnanie s domácnosťami geograficky blízkej všeobecnej populácie (v %)</w:t>
      </w:r>
    </w:p>
    <w:p w:rsidR="0040201A" w:rsidRPr="00DA20F5" w:rsidRDefault="0040201A" w:rsidP="00D36FB8">
      <w:pPr>
        <w:ind w:left="851" w:hanging="851"/>
      </w:pPr>
      <w:r w:rsidRPr="00DA20F5">
        <w:t xml:space="preserve">Graf 5 </w:t>
      </w:r>
      <w:r w:rsidRPr="00DA20F5">
        <w:tab/>
        <w:t>Priemerný mesačný príjem na člena domácnosti podľa výskytu situácie „nemali čo dať deťom jesť“ – za jednotlivé typy rómskych domácností a v porovnaní s domácnosťami geograficky blízkej všeobecnej populácie (v euro)</w:t>
      </w:r>
    </w:p>
    <w:p w:rsidR="0040201A" w:rsidRPr="00DA20F5" w:rsidRDefault="0040201A" w:rsidP="00D36FB8">
      <w:pPr>
        <w:ind w:left="851" w:hanging="851"/>
      </w:pPr>
      <w:r w:rsidRPr="00DA20F5">
        <w:t xml:space="preserve">Graf 6 </w:t>
      </w:r>
      <w:r w:rsidRPr="00DA20F5">
        <w:tab/>
        <w:t>Rómske domácnosti podľa výskytu všetkých troch deprivačných situácií – za jednotlivé typy rómskych domácností a v porovnaní s domácnosťami geograficky blízkej všeobecnej populácie (v %)</w:t>
      </w:r>
    </w:p>
    <w:p w:rsidR="00613D59" w:rsidRPr="00DA20F5" w:rsidRDefault="00613D59" w:rsidP="00D36FB8">
      <w:pPr>
        <w:rPr>
          <w:b/>
          <w:color w:val="000000" w:themeColor="text1"/>
        </w:rPr>
      </w:pPr>
    </w:p>
    <w:p w:rsidR="00613D59" w:rsidRPr="00DA20F5" w:rsidRDefault="00613D59" w:rsidP="00D36FB8">
      <w:pPr>
        <w:pStyle w:val="nadpis2"/>
        <w:numPr>
          <w:ilvl w:val="0"/>
          <w:numId w:val="0"/>
        </w:numPr>
        <w:ind w:left="576" w:hanging="576"/>
        <w:rPr>
          <w:color w:val="auto"/>
          <w:sz w:val="24"/>
        </w:rPr>
      </w:pPr>
      <w:bookmarkStart w:id="1570" w:name="_Toc326217124"/>
      <w:r w:rsidRPr="00DA20F5">
        <w:rPr>
          <w:color w:val="auto"/>
          <w:sz w:val="24"/>
        </w:rPr>
        <w:t>Príloh</w:t>
      </w:r>
      <w:r w:rsidR="00C83676" w:rsidRPr="00DA20F5">
        <w:rPr>
          <w:color w:val="auto"/>
          <w:sz w:val="24"/>
        </w:rPr>
        <w:t>a</w:t>
      </w:r>
      <w:r w:rsidRPr="00DA20F5">
        <w:rPr>
          <w:color w:val="auto"/>
          <w:sz w:val="24"/>
        </w:rPr>
        <w:t xml:space="preserve"> ku kapitole 5</w:t>
      </w:r>
      <w:bookmarkEnd w:id="1570"/>
      <w:r w:rsidRPr="00DA20F5">
        <w:rPr>
          <w:color w:val="auto"/>
          <w:sz w:val="24"/>
        </w:rPr>
        <w:tab/>
      </w:r>
    </w:p>
    <w:p w:rsidR="00613D59" w:rsidRPr="00DA20F5" w:rsidRDefault="00613D59" w:rsidP="00D36FB8">
      <w:pPr>
        <w:ind w:left="851" w:hanging="851"/>
        <w:rPr>
          <w:color w:val="000000" w:themeColor="text1"/>
        </w:rPr>
      </w:pPr>
      <w:bookmarkStart w:id="1571" w:name="_Toc313879809"/>
      <w:r w:rsidRPr="00DA20F5">
        <w:rPr>
          <w:color w:val="000000" w:themeColor="text1"/>
        </w:rPr>
        <w:t>Tab. 1</w:t>
      </w:r>
      <w:r w:rsidR="0040201A" w:rsidRPr="00DA20F5">
        <w:rPr>
          <w:color w:val="000000" w:themeColor="text1"/>
        </w:rPr>
        <w:t xml:space="preserve"> </w:t>
      </w:r>
      <w:r w:rsidR="0040201A" w:rsidRPr="00DA20F5">
        <w:rPr>
          <w:color w:val="000000" w:themeColor="text1"/>
        </w:rPr>
        <w:tab/>
      </w:r>
      <w:r w:rsidRPr="00DA20F5">
        <w:rPr>
          <w:color w:val="000000" w:themeColor="text1"/>
        </w:rPr>
        <w:t>Porovnanie vybraných indikátorov v kontexte stratégie Európa 2020 medzi krajinami EÚ 27 v poslednom dostupnom roku</w:t>
      </w:r>
      <w:bookmarkEnd w:id="1571"/>
      <w:r w:rsidRPr="00DA20F5">
        <w:rPr>
          <w:color w:val="000000" w:themeColor="text1"/>
        </w:rPr>
        <w:t xml:space="preserve"> - makroekonomické prostredie</w:t>
      </w:r>
    </w:p>
    <w:p w:rsidR="00613D59" w:rsidRPr="00DA20F5" w:rsidRDefault="00613D59" w:rsidP="00D36FB8">
      <w:pPr>
        <w:ind w:left="851" w:hanging="851"/>
        <w:rPr>
          <w:color w:val="000000" w:themeColor="text1"/>
        </w:rPr>
      </w:pPr>
      <w:bookmarkStart w:id="1572" w:name="_Toc313879810"/>
      <w:r w:rsidRPr="00DA20F5">
        <w:rPr>
          <w:color w:val="000000" w:themeColor="text1"/>
        </w:rPr>
        <w:t xml:space="preserve">Tab. 2 </w:t>
      </w:r>
      <w:r w:rsidR="0040201A" w:rsidRPr="00DA20F5">
        <w:rPr>
          <w:color w:val="000000" w:themeColor="text1"/>
        </w:rPr>
        <w:tab/>
      </w:r>
      <w:r w:rsidRPr="00DA20F5">
        <w:rPr>
          <w:color w:val="000000" w:themeColor="text1"/>
        </w:rPr>
        <w:t>Porovnanie vybraných indikátorov v kontexte stratégie Európa 2020 medzi krajinami EÚ 27 v poslednom dostupnom roku</w:t>
      </w:r>
      <w:bookmarkEnd w:id="1572"/>
      <w:r w:rsidRPr="00DA20F5">
        <w:rPr>
          <w:color w:val="000000" w:themeColor="text1"/>
        </w:rPr>
        <w:t xml:space="preserve"> - inteligentný a inkluzívny rast</w:t>
      </w:r>
    </w:p>
    <w:p w:rsidR="00613D59" w:rsidRPr="00DA20F5" w:rsidRDefault="00613D59" w:rsidP="00D36FB8">
      <w:pPr>
        <w:ind w:left="851" w:hanging="851"/>
        <w:rPr>
          <w:color w:val="000000" w:themeColor="text1"/>
        </w:rPr>
      </w:pPr>
    </w:p>
    <w:p w:rsidR="00613D59" w:rsidRPr="00DA20F5" w:rsidRDefault="00613D59" w:rsidP="00D36FB8">
      <w:pPr>
        <w:rPr>
          <w:color w:val="000000" w:themeColor="text1"/>
        </w:rPr>
      </w:pPr>
    </w:p>
    <w:p w:rsidR="00613D59" w:rsidRPr="00DA20F5" w:rsidRDefault="00613D59" w:rsidP="00D36FB8">
      <w:pPr>
        <w:rPr>
          <w:color w:val="000000" w:themeColor="text1"/>
        </w:rPr>
      </w:pPr>
    </w:p>
    <w:sectPr w:rsidR="00613D59" w:rsidRPr="00DA20F5" w:rsidSect="001D262C">
      <w:headerReference w:type="even" r:id="rId85"/>
      <w:headerReference w:type="default" r:id="rI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EF" w:rsidRDefault="00F86FEF" w:rsidP="00146580">
      <w:r>
        <w:separator/>
      </w:r>
    </w:p>
  </w:endnote>
  <w:endnote w:type="continuationSeparator" w:id="0">
    <w:p w:rsidR="00F86FEF" w:rsidRDefault="00F86FEF" w:rsidP="0014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altName w:val="Times New Roman"/>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80000000" w:usb2="00000008"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altName w:val="Arial"/>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7E0F62">
    <w:pPr>
      <w:pStyle w:val="Pta"/>
      <w:jc w:val="center"/>
      <w:rPr>
        <w:rStyle w:val="slostrany"/>
      </w:rPr>
    </w:pPr>
    <w:r>
      <w:rPr>
        <w:rStyle w:val="slostrany"/>
      </w:rPr>
      <w:fldChar w:fldCharType="begin"/>
    </w:r>
    <w:r>
      <w:rPr>
        <w:rStyle w:val="slostrany"/>
      </w:rPr>
      <w:instrText xml:space="preserve">PAGE  </w:instrText>
    </w:r>
    <w:r>
      <w:rPr>
        <w:rStyle w:val="slostrany"/>
      </w:rPr>
      <w:fldChar w:fldCharType="separate"/>
    </w:r>
    <w:r w:rsidR="00166D73">
      <w:rPr>
        <w:rStyle w:val="slostrany"/>
        <w:noProof/>
      </w:rPr>
      <w:t>4</w:t>
    </w:r>
    <w:r>
      <w:rPr>
        <w:rStyle w:val="slostrany"/>
      </w:rPr>
      <w:fldChar w:fldCharType="end"/>
    </w:r>
  </w:p>
  <w:p w:rsidR="00743140" w:rsidRDefault="00743140" w:rsidP="0014658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C835A7">
    <w:pPr>
      <w:pStyle w:val="Pta"/>
      <w:jc w:val="center"/>
      <w:rPr>
        <w:rStyle w:val="slostrany"/>
      </w:rPr>
    </w:pPr>
    <w:r>
      <w:rPr>
        <w:rStyle w:val="slostrany"/>
      </w:rPr>
      <w:fldChar w:fldCharType="begin"/>
    </w:r>
    <w:r>
      <w:rPr>
        <w:rStyle w:val="slostrany"/>
      </w:rPr>
      <w:instrText xml:space="preserve">PAGE  </w:instrText>
    </w:r>
    <w:r>
      <w:rPr>
        <w:rStyle w:val="slostrany"/>
      </w:rPr>
      <w:fldChar w:fldCharType="separate"/>
    </w:r>
    <w:r w:rsidR="00166D73">
      <w:rPr>
        <w:rStyle w:val="slostrany"/>
        <w:noProof/>
      </w:rPr>
      <w:t>3</w:t>
    </w:r>
    <w:r>
      <w:rPr>
        <w:rStyle w:val="slostrany"/>
      </w:rPr>
      <w:fldChar w:fldCharType="end"/>
    </w:r>
  </w:p>
  <w:p w:rsidR="00743140" w:rsidRDefault="00743140" w:rsidP="0014658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570EC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66D73">
      <w:rPr>
        <w:rStyle w:val="slostrany"/>
        <w:noProof/>
      </w:rPr>
      <w:t>126</w:t>
    </w:r>
    <w:r>
      <w:rPr>
        <w:rStyle w:val="slostrany"/>
      </w:rPr>
      <w:fldChar w:fldCharType="end"/>
    </w:r>
  </w:p>
  <w:p w:rsidR="00743140" w:rsidRDefault="00743140" w:rsidP="00570ECB">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570EC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66D73">
      <w:rPr>
        <w:rStyle w:val="slostrany"/>
        <w:noProof/>
      </w:rPr>
      <w:t>127</w:t>
    </w:r>
    <w:r>
      <w:rPr>
        <w:rStyle w:val="slostrany"/>
      </w:rPr>
      <w:fldChar w:fldCharType="end"/>
    </w:r>
  </w:p>
  <w:p w:rsidR="00743140" w:rsidRDefault="00743140" w:rsidP="00975B41">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EF" w:rsidRDefault="00F86FEF" w:rsidP="00146580">
      <w:r>
        <w:separator/>
      </w:r>
    </w:p>
  </w:footnote>
  <w:footnote w:type="continuationSeparator" w:id="0">
    <w:p w:rsidR="00F86FEF" w:rsidRDefault="00F86FEF" w:rsidP="00146580">
      <w:r>
        <w:continuationSeparator/>
      </w:r>
    </w:p>
  </w:footnote>
  <w:footnote w:id="1">
    <w:p w:rsidR="00743140" w:rsidRPr="009A664A" w:rsidRDefault="00743140" w:rsidP="00146580">
      <w:pPr>
        <w:pStyle w:val="Textpoznmkypodiarou"/>
      </w:pPr>
      <w:r w:rsidRPr="00233C65">
        <w:rPr>
          <w:rStyle w:val="Odkaznapoznmkupodiarou"/>
          <w:szCs w:val="18"/>
        </w:rPr>
        <w:footnoteRef/>
      </w:r>
      <w:r w:rsidRPr="00233C65">
        <w:t xml:space="preserve"> </w:t>
      </w:r>
      <w:r w:rsidRPr="009A664A">
        <w:t>podľa: Štatistická správa o základných vývojových tendenciách v hospodárstve SR v roku 201</w:t>
      </w:r>
      <w:r>
        <w:t>1</w:t>
      </w:r>
      <w:r w:rsidRPr="009A664A">
        <w:t>, Štatistický úrad SR 201</w:t>
      </w:r>
      <w:r>
        <w:t>2</w:t>
      </w:r>
    </w:p>
  </w:footnote>
  <w:footnote w:id="2">
    <w:p w:rsidR="00743140" w:rsidRPr="009A664A" w:rsidRDefault="00743140" w:rsidP="00A350B1">
      <w:pPr>
        <w:pStyle w:val="Textpoznmkypodiarou"/>
      </w:pPr>
      <w:r w:rsidRPr="009A664A">
        <w:rPr>
          <w:rStyle w:val="Odkaznapoznmkupodiarou"/>
          <w:szCs w:val="18"/>
        </w:rPr>
        <w:footnoteRef/>
      </w:r>
      <w:r w:rsidRPr="009A664A">
        <w:t xml:space="preserve"> podľa metodiky národných účtov, ide o podiel HDP a počtu zamestnancov v ekonomi</w:t>
      </w:r>
      <w:r>
        <w:t>ke podľa domáceho konceptu ESNÚ </w:t>
      </w:r>
      <w:r w:rsidRPr="009A664A">
        <w:t>95</w:t>
      </w:r>
    </w:p>
  </w:footnote>
  <w:footnote w:id="3">
    <w:p w:rsidR="00743140" w:rsidRPr="009A664A" w:rsidRDefault="00743140" w:rsidP="00A350B1">
      <w:pPr>
        <w:pStyle w:val="Textpoznmkypodiarou"/>
      </w:pPr>
      <w:r w:rsidRPr="009A664A">
        <w:rPr>
          <w:rStyle w:val="Odkaznapoznmkupodiarou"/>
          <w:szCs w:val="18"/>
        </w:rPr>
        <w:footnoteRef/>
      </w:r>
      <w:r w:rsidRPr="009A664A">
        <w:t xml:space="preserve"> podľa Výberového zisťovania pracovných síl</w:t>
      </w:r>
    </w:p>
  </w:footnote>
  <w:footnote w:id="4">
    <w:p w:rsidR="00743140" w:rsidRPr="009A664A" w:rsidRDefault="00743140" w:rsidP="00A350B1">
      <w:pPr>
        <w:pStyle w:val="Textpoznmkypodiarou"/>
      </w:pPr>
      <w:r w:rsidRPr="009A664A">
        <w:rPr>
          <w:rStyle w:val="Odkaznapoznmkupodiarou"/>
          <w:szCs w:val="18"/>
        </w:rPr>
        <w:footnoteRef/>
      </w:r>
      <w:r w:rsidRPr="009A664A">
        <w:t xml:space="preserve"> podľa Výberového zisťovania pracovných síl, vo vekovej skupine 15 – 64 ročných</w:t>
      </w:r>
    </w:p>
  </w:footnote>
  <w:footnote w:id="5">
    <w:p w:rsidR="00743140" w:rsidRPr="009A664A" w:rsidRDefault="00743140" w:rsidP="00A350B1">
      <w:pPr>
        <w:pStyle w:val="Textpoznmkypodiarou"/>
      </w:pPr>
      <w:r w:rsidRPr="001D08D0">
        <w:rPr>
          <w:rStyle w:val="Odkaznapoznmkupodiarou"/>
          <w:szCs w:val="18"/>
        </w:rPr>
        <w:footnoteRef/>
      </w:r>
      <w:r w:rsidRPr="001D08D0">
        <w:t xml:space="preserve"> podľa štvrťročného štatistického výkazníctva</w:t>
      </w:r>
    </w:p>
  </w:footnote>
  <w:footnote w:id="6">
    <w:p w:rsidR="00743140" w:rsidRPr="009A664A" w:rsidRDefault="00743140" w:rsidP="00A350B1">
      <w:pPr>
        <w:pStyle w:val="Textpoznmkypodiarou"/>
      </w:pPr>
      <w:r w:rsidRPr="009A664A">
        <w:rPr>
          <w:rStyle w:val="Odkaznapoznmkupodiarou"/>
          <w:szCs w:val="18"/>
        </w:rPr>
        <w:footnoteRef/>
      </w:r>
      <w:r w:rsidRPr="009A664A">
        <w:t xml:space="preserve"> podľa metodiky ESNÚ 95, predbežné údaje</w:t>
      </w:r>
    </w:p>
  </w:footnote>
  <w:footnote w:id="7">
    <w:p w:rsidR="00743140" w:rsidRPr="009A664A" w:rsidRDefault="00743140" w:rsidP="00A350B1">
      <w:pPr>
        <w:pStyle w:val="Textpoznmkypodiarou"/>
      </w:pPr>
      <w:r w:rsidRPr="009A664A">
        <w:rPr>
          <w:rStyle w:val="Odkaznapoznmkupodiarou"/>
          <w:szCs w:val="18"/>
        </w:rPr>
        <w:footnoteRef/>
      </w:r>
      <w:r w:rsidRPr="009A664A">
        <w:t xml:space="preserve"> okrem naturálnych sociálnych transferov</w:t>
      </w:r>
    </w:p>
  </w:footnote>
  <w:footnote w:id="8">
    <w:p w:rsidR="00743140" w:rsidRPr="009A664A" w:rsidRDefault="00743140" w:rsidP="00A350B1">
      <w:pPr>
        <w:pStyle w:val="Textpoznmkypodiarou"/>
      </w:pPr>
      <w:r w:rsidRPr="009A664A">
        <w:rPr>
          <w:rStyle w:val="Odkaznapoznmkupodiarou"/>
          <w:szCs w:val="18"/>
        </w:rPr>
        <w:footnoteRef/>
      </w:r>
      <w:r w:rsidRPr="009A664A">
        <w:t xml:space="preserve"> podľa metodiky ESNÚ 95, predbežné údaje</w:t>
      </w:r>
    </w:p>
  </w:footnote>
  <w:footnote w:id="9">
    <w:p w:rsidR="00743140" w:rsidRPr="000108BB" w:rsidRDefault="00743140" w:rsidP="005D0C7B">
      <w:pPr>
        <w:pStyle w:val="Textpoznmkypodiarou"/>
        <w:ind w:left="142" w:hanging="142"/>
      </w:pPr>
      <w:r>
        <w:rPr>
          <w:rStyle w:val="Odkaznapoznmkupodiarou"/>
        </w:rPr>
        <w:footnoteRef/>
      </w:r>
      <w:r>
        <w:t xml:space="preserve">  KZAM 1</w:t>
      </w:r>
      <w:r>
        <w:tab/>
      </w:r>
      <w:r w:rsidRPr="000108BB">
        <w:t>zákonodarcovia, vedúci a riadiaci zamestnanci</w:t>
      </w:r>
    </w:p>
    <w:p w:rsidR="00743140" w:rsidRPr="000108BB" w:rsidRDefault="00743140" w:rsidP="00F10DB1">
      <w:pPr>
        <w:pStyle w:val="Textpoznmkypodiarou"/>
        <w:ind w:firstLine="142"/>
      </w:pPr>
      <w:r w:rsidRPr="000108BB">
        <w:t>KZAM 2</w:t>
      </w:r>
      <w:r w:rsidRPr="000108BB">
        <w:tab/>
        <w:t xml:space="preserve">vedeckí, odborní, duševní zamestnanci </w:t>
      </w:r>
    </w:p>
    <w:p w:rsidR="00743140" w:rsidRPr="000108BB" w:rsidRDefault="00743140" w:rsidP="00F10DB1">
      <w:pPr>
        <w:pStyle w:val="Textpoznmkypodiarou"/>
        <w:ind w:firstLine="142"/>
      </w:pPr>
      <w:r w:rsidRPr="000108BB">
        <w:t>KZAM 3</w:t>
      </w:r>
      <w:r w:rsidRPr="000108BB">
        <w:tab/>
        <w:t>technickí, zdravotnícki, pedagogickí zamestnanci a zamestnanci v príbuzných oboroch</w:t>
      </w:r>
    </w:p>
    <w:p w:rsidR="00743140" w:rsidRPr="000108BB" w:rsidRDefault="00743140" w:rsidP="00F10DB1">
      <w:pPr>
        <w:pStyle w:val="Textpoznmkypodiarou"/>
        <w:ind w:firstLine="142"/>
      </w:pPr>
      <w:r w:rsidRPr="000108BB">
        <w:t>KZAM 4</w:t>
      </w:r>
      <w:r w:rsidRPr="000108BB">
        <w:tab/>
        <w:t>administratívni zamestnanci</w:t>
      </w:r>
    </w:p>
    <w:p w:rsidR="00743140" w:rsidRPr="000108BB" w:rsidRDefault="00743140" w:rsidP="00F10DB1">
      <w:pPr>
        <w:pStyle w:val="Textpoznmkypodiarou"/>
        <w:ind w:firstLine="142"/>
      </w:pPr>
      <w:r w:rsidRPr="000108BB">
        <w:t>KZAM 5</w:t>
      </w:r>
      <w:r w:rsidRPr="000108BB">
        <w:tab/>
        <w:t>prevádzkoví zamestnanci v službách a obchode</w:t>
      </w:r>
    </w:p>
    <w:p w:rsidR="00743140" w:rsidRPr="000108BB" w:rsidRDefault="00743140" w:rsidP="00F10DB1">
      <w:pPr>
        <w:pStyle w:val="Textpoznmkypodiarou"/>
        <w:ind w:firstLine="142"/>
      </w:pPr>
      <w:r w:rsidRPr="000108BB">
        <w:t>KZAM 6</w:t>
      </w:r>
      <w:r w:rsidRPr="000108BB">
        <w:tab/>
        <w:t>kvalifikovaní robotníci v poľnohospodárstve, lesníctve a príbuzných odboroch</w:t>
      </w:r>
    </w:p>
    <w:p w:rsidR="00743140" w:rsidRPr="000108BB" w:rsidRDefault="00743140" w:rsidP="00F10DB1">
      <w:pPr>
        <w:pStyle w:val="Textpoznmkypodiarou"/>
        <w:ind w:firstLine="142"/>
      </w:pPr>
      <w:r w:rsidRPr="000108BB">
        <w:t>KZAM 7</w:t>
      </w:r>
      <w:r w:rsidRPr="000108BB">
        <w:tab/>
        <w:t>remeselníci a kvalifikovaní výrobcovia, spracovatelia, opravári</w:t>
      </w:r>
    </w:p>
    <w:p w:rsidR="00743140" w:rsidRPr="000108BB" w:rsidRDefault="00743140" w:rsidP="00F10DB1">
      <w:pPr>
        <w:pStyle w:val="Textpoznmkypodiarou"/>
        <w:ind w:firstLine="142"/>
      </w:pPr>
      <w:r w:rsidRPr="000108BB">
        <w:t>KZAM 8</w:t>
      </w:r>
      <w:r w:rsidRPr="000108BB">
        <w:tab/>
        <w:t>obsluha strojov a zariadení</w:t>
      </w:r>
    </w:p>
    <w:p w:rsidR="00743140" w:rsidRPr="000108BB" w:rsidRDefault="00743140" w:rsidP="00F10DB1">
      <w:pPr>
        <w:pStyle w:val="Textpoznmkypodiarou"/>
        <w:ind w:firstLine="142"/>
      </w:pPr>
      <w:r w:rsidRPr="000108BB">
        <w:t>KZAM 9</w:t>
      </w:r>
      <w:r w:rsidRPr="000108BB">
        <w:tab/>
        <w:t>pomocní a nekvalifikovaní zamestnanci</w:t>
      </w:r>
    </w:p>
    <w:p w:rsidR="00743140" w:rsidRPr="000108BB" w:rsidRDefault="00743140" w:rsidP="00F10DB1">
      <w:pPr>
        <w:pStyle w:val="Textpoznmkypodiarou"/>
        <w:ind w:firstLine="142"/>
      </w:pPr>
      <w:r w:rsidRPr="000108BB">
        <w:t>KZAM 0</w:t>
      </w:r>
      <w:r w:rsidRPr="000108BB">
        <w:tab/>
        <w:t>príslušníci armády (profesionálni vojaci)</w:t>
      </w:r>
    </w:p>
    <w:p w:rsidR="00743140" w:rsidRDefault="00743140" w:rsidP="00F10DB1">
      <w:pPr>
        <w:pStyle w:val="Textpoznmkypodiarou"/>
        <w:ind w:firstLine="142"/>
      </w:pPr>
      <w:r w:rsidRPr="000108BB">
        <w:t>KZAM A</w:t>
      </w:r>
      <w:r w:rsidRPr="000108BB">
        <w:tab/>
        <w:t>osoby bez pracovného zaradenia</w:t>
      </w:r>
    </w:p>
  </w:footnote>
  <w:footnote w:id="10">
    <w:p w:rsidR="00743140" w:rsidRDefault="00743140" w:rsidP="002511B1">
      <w:pPr>
        <w:pStyle w:val="Textpoznmkypodiarou"/>
        <w:tabs>
          <w:tab w:val="left" w:pos="1701"/>
        </w:tabs>
      </w:pPr>
      <w:r>
        <w:rPr>
          <w:rStyle w:val="Odkaznapoznmkupodiarou"/>
        </w:rPr>
        <w:footnoteRef/>
      </w:r>
      <w:r>
        <w:t>Stupeň vzdelania 0</w:t>
      </w:r>
      <w:r>
        <w:tab/>
        <w:t>u</w:t>
      </w:r>
      <w:r w:rsidRPr="0064056C">
        <w:t>končená povinná školská dochádzka v nižšom ako 8. (9.) ročníku</w:t>
      </w:r>
    </w:p>
    <w:p w:rsidR="00743140" w:rsidRDefault="00743140" w:rsidP="002511B1">
      <w:pPr>
        <w:pStyle w:val="Textpoznmkypodiarou"/>
        <w:tabs>
          <w:tab w:val="left" w:pos="1701"/>
        </w:tabs>
        <w:ind w:left="142"/>
      </w:pPr>
      <w:r>
        <w:t>Stupeň vzdelania 1</w:t>
      </w:r>
      <w:r>
        <w:tab/>
        <w:t>u</w:t>
      </w:r>
      <w:r w:rsidRPr="0064056C">
        <w:t>končené základné alebo stredné vzdelanie (okrem stredn. vzdelania uvedeného pod kódom 2 a 3)</w:t>
      </w:r>
    </w:p>
    <w:p w:rsidR="00743140" w:rsidRDefault="00743140" w:rsidP="002511B1">
      <w:pPr>
        <w:pStyle w:val="Textpoznmkypodiarou"/>
        <w:tabs>
          <w:tab w:val="left" w:pos="1701"/>
        </w:tabs>
        <w:ind w:left="142"/>
      </w:pPr>
      <w:r>
        <w:t>Stupeň vzdelania 2</w:t>
      </w:r>
      <w:r>
        <w:tab/>
        <w:t>s</w:t>
      </w:r>
      <w:r w:rsidRPr="0064056C">
        <w:t>tredné odborné vzdelanie získané na stred. odborných učilištiach - SOU (str. vzdelanie, vyučenie)</w:t>
      </w:r>
    </w:p>
    <w:p w:rsidR="00743140" w:rsidRDefault="00743140" w:rsidP="002511B1">
      <w:pPr>
        <w:pStyle w:val="Textpoznmkypodiarou"/>
        <w:tabs>
          <w:tab w:val="left" w:pos="1701"/>
        </w:tabs>
        <w:ind w:firstLine="142"/>
      </w:pPr>
      <w:r>
        <w:t>Stupeň vzdelania 3</w:t>
      </w:r>
      <w:r>
        <w:tab/>
        <w:t>s</w:t>
      </w:r>
      <w:r w:rsidRPr="0064056C">
        <w:t>tredné vzdelanie (štúdium kratšie ako štvorročné - bez maturity)</w:t>
      </w:r>
    </w:p>
    <w:p w:rsidR="00743140" w:rsidRDefault="00743140" w:rsidP="002511B1">
      <w:pPr>
        <w:pStyle w:val="Textpoznmkypodiarou"/>
        <w:tabs>
          <w:tab w:val="left" w:pos="1701"/>
        </w:tabs>
        <w:ind w:left="142"/>
      </w:pPr>
      <w:r>
        <w:t>Stupeň vzdelania 4</w:t>
      </w:r>
      <w:r>
        <w:tab/>
        <w:t>ú</w:t>
      </w:r>
      <w:r w:rsidRPr="0064056C">
        <w:t>plné stredné odborné vzdelanie (úplné stredné vzdelanie, štúdium na SOU ukončené maturitou)</w:t>
      </w:r>
    </w:p>
    <w:p w:rsidR="00743140" w:rsidRDefault="00743140" w:rsidP="002511B1">
      <w:pPr>
        <w:pStyle w:val="Textpoznmkypodiarou"/>
        <w:tabs>
          <w:tab w:val="left" w:pos="1701"/>
        </w:tabs>
        <w:ind w:left="142"/>
      </w:pPr>
      <w:r>
        <w:t>Stupeň vzdelania 5</w:t>
      </w:r>
      <w:r>
        <w:tab/>
        <w:t>ú</w:t>
      </w:r>
      <w:r w:rsidRPr="0064056C">
        <w:t>plné stredné všeobecné vzdelanie na gymnáziu (úplné stredné vzdelanie, ukončené maturitou)</w:t>
      </w:r>
    </w:p>
    <w:p w:rsidR="00743140" w:rsidRDefault="00743140" w:rsidP="005D0C7B">
      <w:pPr>
        <w:pStyle w:val="Textpoznmkypodiarou"/>
        <w:ind w:left="1701" w:hanging="1559"/>
        <w:jc w:val="left"/>
      </w:pPr>
      <w:r>
        <w:t>Stupeň vzdelania 6</w:t>
      </w:r>
      <w:r>
        <w:tab/>
        <w:t>ú</w:t>
      </w:r>
      <w:r w:rsidRPr="0064056C">
        <w:t>plné stredné odborné vzdelanie na strednej odbornej škole a konzervatóriu (úplné stredné vzdelanie,</w:t>
      </w:r>
      <w:r>
        <w:t xml:space="preserve"> </w:t>
      </w:r>
      <w:r w:rsidRPr="0064056C">
        <w:t>ukončené maturitou)</w:t>
      </w:r>
    </w:p>
    <w:p w:rsidR="00743140" w:rsidRDefault="00743140" w:rsidP="005D0C7B">
      <w:pPr>
        <w:pStyle w:val="Textpoznmkypodiarou"/>
        <w:ind w:left="1800" w:hanging="1658"/>
      </w:pPr>
      <w:r>
        <w:t>Stupeň vzdelania 7</w:t>
      </w:r>
      <w:r>
        <w:tab/>
        <w:t>v</w:t>
      </w:r>
      <w:r w:rsidRPr="0064056C">
        <w:t>yššie odborné vzdelanie (vyššie vzdelanie ukončené absolutóriom alebo bakalárskym stupňom</w:t>
      </w:r>
      <w:r>
        <w:t xml:space="preserve"> </w:t>
      </w:r>
      <w:r w:rsidRPr="0064056C">
        <w:t>vysokoškolského štúdia)</w:t>
      </w:r>
    </w:p>
    <w:p w:rsidR="00743140" w:rsidRDefault="00743140" w:rsidP="002511B1">
      <w:pPr>
        <w:pStyle w:val="Textpoznmkypodiarou"/>
        <w:tabs>
          <w:tab w:val="left" w:pos="1701"/>
        </w:tabs>
        <w:ind w:firstLine="142"/>
      </w:pPr>
      <w:r>
        <w:t>Stupeň vzdelania 8</w:t>
      </w:r>
      <w:r>
        <w:tab/>
        <w:t>vysokoškolské vzdelanie</w:t>
      </w:r>
    </w:p>
    <w:p w:rsidR="00743140" w:rsidRDefault="00743140" w:rsidP="002511B1">
      <w:pPr>
        <w:pStyle w:val="Textpoznmkypodiarou"/>
        <w:tabs>
          <w:tab w:val="left" w:pos="1701"/>
        </w:tabs>
        <w:ind w:firstLine="142"/>
      </w:pPr>
      <w:r>
        <w:t>Stupeň vzdelania 9</w:t>
      </w:r>
      <w:r>
        <w:tab/>
        <w:t>vedecká výchova (kvalifikácia)</w:t>
      </w:r>
    </w:p>
  </w:footnote>
  <w:footnote w:id="11">
    <w:p w:rsidR="00743140" w:rsidRDefault="00743140" w:rsidP="00826B8F">
      <w:pPr>
        <w:pStyle w:val="Textpoznmkypodiarou"/>
      </w:pPr>
      <w:r>
        <w:rPr>
          <w:rStyle w:val="Odkaznapoznmkupodiarou"/>
        </w:rPr>
        <w:footnoteRef/>
      </w:r>
      <w:r>
        <w:t xml:space="preserve"> </w:t>
      </w:r>
      <w:r w:rsidRPr="00AE57DC">
        <w:t>Prehľad</w:t>
      </w:r>
      <w:r>
        <w:t xml:space="preserve"> </w:t>
      </w:r>
      <w:r w:rsidRPr="00AE57DC">
        <w:t>výdavkov základného fondu nemo</w:t>
      </w:r>
      <w:r>
        <w:t>cenského poistenia (ZFNP) a nemocenských dávok v roku 2011</w:t>
      </w:r>
      <w:r w:rsidRPr="00AE57DC">
        <w:t xml:space="preserve"> je uvedený v</w:t>
      </w:r>
      <w:r>
        <w:t> p</w:t>
      </w:r>
      <w:r w:rsidRPr="00AE57DC">
        <w:t>ríloh</w:t>
      </w:r>
      <w:r>
        <w:t>e</w:t>
      </w:r>
      <w:r w:rsidRPr="00AE57DC">
        <w:t xml:space="preserve"> ku kapitole 3.</w:t>
      </w:r>
    </w:p>
  </w:footnote>
  <w:footnote w:id="12">
    <w:p w:rsidR="00743140" w:rsidRDefault="00743140" w:rsidP="00826B8F">
      <w:pPr>
        <w:pStyle w:val="Textpoznmkypodiarou"/>
      </w:pPr>
      <w:r w:rsidRPr="00AE57DC">
        <w:rPr>
          <w:rStyle w:val="Odkaznapoznmkupodiarou"/>
          <w:szCs w:val="18"/>
        </w:rPr>
        <w:footnoteRef/>
      </w:r>
      <w:r w:rsidRPr="00945039">
        <w:t xml:space="preserve"> Podrobnejšie štatistické údaje o počte poberateľov a výške jednotlivých dôchodko</w:t>
      </w:r>
      <w:r>
        <w:t xml:space="preserve">vých dávok sú uvedené v prílohe </w:t>
      </w:r>
      <w:r w:rsidRPr="00AE57DC">
        <w:t>ku kapitole 3</w:t>
      </w:r>
      <w:r w:rsidRPr="00945039">
        <w:t xml:space="preserve"> </w:t>
      </w:r>
    </w:p>
  </w:footnote>
  <w:footnote w:id="13">
    <w:p w:rsidR="00743140" w:rsidRPr="004C32DA" w:rsidRDefault="00743140" w:rsidP="00826B8F">
      <w:pPr>
        <w:pStyle w:val="Textpoznmkypodiarou"/>
      </w:pPr>
      <w:r w:rsidRPr="004C32DA">
        <w:rPr>
          <w:rStyle w:val="Odkaznapoznmkupodiarou"/>
          <w:szCs w:val="18"/>
        </w:rPr>
        <w:footnoteRef/>
      </w:r>
      <w:r w:rsidRPr="004C32DA">
        <w:t xml:space="preserve"> </w:t>
      </w:r>
      <w:r w:rsidRPr="001237BA">
        <w:t>Prehľad výdavkov na</w:t>
      </w:r>
      <w:r>
        <w:t xml:space="preserve"> dôchodkové dávky k 31. 12. 2011 je uvedený v prílohe</w:t>
      </w:r>
      <w:r w:rsidRPr="001237BA">
        <w:t xml:space="preserve"> ku kapitole 3</w:t>
      </w:r>
      <w:r>
        <w:t>(tab. 2 až 5)</w:t>
      </w:r>
      <w:r w:rsidRPr="001237BA">
        <w:t>.</w:t>
      </w:r>
    </w:p>
  </w:footnote>
  <w:footnote w:id="14">
    <w:p w:rsidR="00743140" w:rsidRPr="003E544C" w:rsidRDefault="00743140" w:rsidP="00826B8F">
      <w:pPr>
        <w:pStyle w:val="Textpoznmkypodiarou"/>
        <w:rPr>
          <w:rStyle w:val="Odkaznapoznmkupodiarou"/>
          <w:szCs w:val="18"/>
        </w:rPr>
      </w:pPr>
      <w:r w:rsidRPr="004C32DA">
        <w:rPr>
          <w:rStyle w:val="Odkaznapoznmkupodiarou"/>
          <w:szCs w:val="18"/>
        </w:rPr>
        <w:footnoteRef/>
      </w:r>
      <w:r w:rsidRPr="003E544C">
        <w:rPr>
          <w:rStyle w:val="Odkaznapoznmkupodiarou"/>
          <w:szCs w:val="18"/>
        </w:rPr>
        <w:t xml:space="preserve"> </w:t>
      </w:r>
      <w:r w:rsidRPr="003E544C">
        <w:rPr>
          <w:rStyle w:val="Odkaznapoznmkupodiarou"/>
          <w:szCs w:val="18"/>
          <w:vertAlign w:val="baseline"/>
        </w:rPr>
        <w:t xml:space="preserve">Prehľad výdavkov základného fondu úrazového poistenia v </w:t>
      </w:r>
      <w:r>
        <w:rPr>
          <w:rStyle w:val="Odkaznapoznmkupodiarou"/>
          <w:szCs w:val="18"/>
          <w:vertAlign w:val="baseline"/>
        </w:rPr>
        <w:t xml:space="preserve">roku 2011 je uvedený v </w:t>
      </w:r>
      <w:r>
        <w:rPr>
          <w:szCs w:val="18"/>
        </w:rPr>
        <w:t>p</w:t>
      </w:r>
      <w:r>
        <w:rPr>
          <w:rStyle w:val="Odkaznapoznmkupodiarou"/>
          <w:szCs w:val="18"/>
          <w:vertAlign w:val="baseline"/>
        </w:rPr>
        <w:t>rílohe</w:t>
      </w:r>
      <w:r w:rsidRPr="003E544C">
        <w:rPr>
          <w:rStyle w:val="Odkaznapoznmkupodiarou"/>
          <w:szCs w:val="18"/>
          <w:vertAlign w:val="baseline"/>
        </w:rPr>
        <w:t xml:space="preserve"> ku kapitole 3</w:t>
      </w:r>
      <w:r>
        <w:rPr>
          <w:szCs w:val="18"/>
        </w:rPr>
        <w:t xml:space="preserve"> (tab. 6)</w:t>
      </w:r>
      <w:r w:rsidRPr="003E544C">
        <w:rPr>
          <w:rStyle w:val="Odkaznapoznmkupodiarou"/>
          <w:szCs w:val="18"/>
          <w:vertAlign w:val="baseline"/>
        </w:rPr>
        <w:t>.</w:t>
      </w:r>
    </w:p>
  </w:footnote>
  <w:footnote w:id="15">
    <w:p w:rsidR="00743140" w:rsidRDefault="00743140" w:rsidP="00826B8F">
      <w:pPr>
        <w:pStyle w:val="Textpoznmkypodiarou"/>
        <w:rPr>
          <w:szCs w:val="18"/>
        </w:rPr>
      </w:pPr>
      <w:r w:rsidRPr="003E544C">
        <w:rPr>
          <w:rStyle w:val="Odkaznapoznmkupodiarou"/>
          <w:szCs w:val="18"/>
        </w:rPr>
        <w:footnoteRef/>
      </w:r>
      <w:r w:rsidRPr="003E544C">
        <w:rPr>
          <w:rStyle w:val="Odkaznapoznmkupodiarou"/>
          <w:szCs w:val="18"/>
        </w:rPr>
        <w:t xml:space="preserve"> </w:t>
      </w:r>
      <w:r w:rsidRPr="003E544C">
        <w:rPr>
          <w:rStyle w:val="Odkaznapoznmkupodiarou"/>
          <w:szCs w:val="18"/>
          <w:vertAlign w:val="baseline"/>
        </w:rPr>
        <w:t>Priemerná výška a počet vyplatených dávok úrazového poistenia v </w:t>
      </w:r>
      <w:r>
        <w:rPr>
          <w:rStyle w:val="Odkaznapoznmkupodiarou"/>
          <w:szCs w:val="18"/>
          <w:vertAlign w:val="baseline"/>
        </w:rPr>
        <w:t>roku 2011 sú uvedené v </w:t>
      </w:r>
      <w:r>
        <w:rPr>
          <w:szCs w:val="18"/>
        </w:rPr>
        <w:t>p</w:t>
      </w:r>
      <w:r>
        <w:rPr>
          <w:rStyle w:val="Odkaznapoznmkupodiarou"/>
          <w:szCs w:val="18"/>
          <w:vertAlign w:val="baseline"/>
        </w:rPr>
        <w:t xml:space="preserve">rílohe </w:t>
      </w:r>
      <w:r w:rsidRPr="003E544C">
        <w:rPr>
          <w:rStyle w:val="Odkaznapoznmkupodiarou"/>
          <w:szCs w:val="18"/>
          <w:vertAlign w:val="baseline"/>
        </w:rPr>
        <w:t>ku kapitole 3</w:t>
      </w:r>
    </w:p>
    <w:p w:rsidR="00743140" w:rsidRPr="001237BA" w:rsidRDefault="00743140" w:rsidP="00826B8F">
      <w:pPr>
        <w:pStyle w:val="Textpoznmkypodiarou"/>
      </w:pPr>
      <w:r>
        <w:rPr>
          <w:szCs w:val="18"/>
        </w:rPr>
        <w:t xml:space="preserve">    (tab.7 a 8)</w:t>
      </w:r>
      <w:r w:rsidRPr="003E544C">
        <w:rPr>
          <w:rStyle w:val="Odkaznapoznmkupodiarou"/>
          <w:szCs w:val="18"/>
          <w:vertAlign w:val="baseline"/>
        </w:rPr>
        <w:t>.</w:t>
      </w:r>
    </w:p>
  </w:footnote>
  <w:footnote w:id="16">
    <w:p w:rsidR="00743140" w:rsidRDefault="00743140">
      <w:pPr>
        <w:pStyle w:val="Textpoznmkypodiarou"/>
      </w:pPr>
      <w:r>
        <w:rPr>
          <w:rStyle w:val="Odkaznapoznmkupodiarou"/>
        </w:rPr>
        <w:footnoteRef/>
      </w:r>
      <w:r>
        <w:t xml:space="preserve"> Výdavky základného fondu garančného poistenia sú </w:t>
      </w:r>
      <w:r w:rsidRPr="003E544C">
        <w:rPr>
          <w:rStyle w:val="Odkaznapoznmkupodiarou"/>
          <w:szCs w:val="18"/>
          <w:vertAlign w:val="baseline"/>
        </w:rPr>
        <w:t>uveden</w:t>
      </w:r>
      <w:r>
        <w:rPr>
          <w:szCs w:val="18"/>
        </w:rPr>
        <w:t>é</w:t>
      </w:r>
      <w:r>
        <w:rPr>
          <w:rStyle w:val="Odkaznapoznmkupodiarou"/>
          <w:szCs w:val="18"/>
          <w:vertAlign w:val="baseline"/>
        </w:rPr>
        <w:t xml:space="preserve"> v </w:t>
      </w:r>
      <w:r>
        <w:rPr>
          <w:szCs w:val="18"/>
        </w:rPr>
        <w:t>p</w:t>
      </w:r>
      <w:r>
        <w:rPr>
          <w:rStyle w:val="Odkaznapoznmkupodiarou"/>
          <w:szCs w:val="18"/>
          <w:vertAlign w:val="baseline"/>
        </w:rPr>
        <w:t>rílohe</w:t>
      </w:r>
      <w:r w:rsidRPr="003E544C">
        <w:rPr>
          <w:rStyle w:val="Odkaznapoznmkupodiarou"/>
          <w:szCs w:val="18"/>
          <w:vertAlign w:val="baseline"/>
        </w:rPr>
        <w:t xml:space="preserve"> ku kapitole 3</w:t>
      </w:r>
      <w:r>
        <w:rPr>
          <w:szCs w:val="18"/>
        </w:rPr>
        <w:t xml:space="preserve"> (tab. 9)</w:t>
      </w:r>
      <w:r w:rsidRPr="003E544C">
        <w:rPr>
          <w:rStyle w:val="Odkaznapoznmkupodiarou"/>
          <w:szCs w:val="18"/>
          <w:vertAlign w:val="baseline"/>
        </w:rPr>
        <w:t>.</w:t>
      </w:r>
    </w:p>
  </w:footnote>
  <w:footnote w:id="17">
    <w:p w:rsidR="00743140" w:rsidRPr="001237BA" w:rsidRDefault="00743140" w:rsidP="00826B8F">
      <w:pPr>
        <w:pStyle w:val="Textpoznmkypodiarou"/>
      </w:pPr>
      <w:r w:rsidRPr="008C6DEF">
        <w:rPr>
          <w:rStyle w:val="Odkaznapoznmkupodiarou"/>
          <w:szCs w:val="18"/>
        </w:rPr>
        <w:footnoteRef/>
      </w:r>
      <w:r w:rsidRPr="008C6DEF">
        <w:t xml:space="preserve"> </w:t>
      </w:r>
      <w:r w:rsidRPr="001237BA">
        <w:t>Podrobnejšie štatistiky o vyplatených dávkach v nezamestna</w:t>
      </w:r>
      <w:r>
        <w:t xml:space="preserve">nosti a poberateľoch v roku 2011 sú uvedené v prílohe </w:t>
      </w:r>
      <w:r w:rsidRPr="001237BA">
        <w:t>ku</w:t>
      </w:r>
      <w:r>
        <w:t> </w:t>
      </w:r>
      <w:r w:rsidRPr="001237BA">
        <w:t>kapitole 3</w:t>
      </w:r>
      <w:r>
        <w:t xml:space="preserve"> (tab.10 a 11).</w:t>
      </w:r>
    </w:p>
  </w:footnote>
  <w:footnote w:id="18">
    <w:p w:rsidR="00743140" w:rsidRPr="00C645F6" w:rsidRDefault="00743140" w:rsidP="00826B8F">
      <w:pPr>
        <w:pStyle w:val="Textpoznmkypodiarou"/>
      </w:pPr>
      <w:r w:rsidRPr="00CF0D7C">
        <w:rPr>
          <w:rStyle w:val="Odkaznapoznmkupodiarou"/>
          <w:szCs w:val="18"/>
        </w:rPr>
        <w:footnoteRef/>
      </w:r>
      <w:r w:rsidRPr="00CF0D7C">
        <w:t>Graf vekovej štruktúry sporiteľov a rozdelenie sporiteľov podľa veku je uvedený v prílohe ku kapitole 3</w:t>
      </w:r>
    </w:p>
  </w:footnote>
  <w:footnote w:id="19">
    <w:p w:rsidR="00743140" w:rsidRDefault="00743140" w:rsidP="00177D15">
      <w:r w:rsidRPr="00177D15">
        <w:rPr>
          <w:rStyle w:val="Odkaznapoznmkupodiarou"/>
        </w:rPr>
        <w:footnoteRef/>
      </w:r>
      <w:r w:rsidRPr="00177D15">
        <w:t xml:space="preserve"> </w:t>
      </w:r>
      <w:r w:rsidRPr="00177D15">
        <w:rPr>
          <w:sz w:val="18"/>
          <w:szCs w:val="18"/>
        </w:rPr>
        <w:t>V čase spracovania publikácie sú štatistické údaje o sociálnych službách dostupné len k 31. 12. 2010 (uvádzajú ich tabuľky v prílohe 3).</w:t>
      </w:r>
    </w:p>
  </w:footnote>
  <w:footnote w:id="20">
    <w:p w:rsidR="00743140" w:rsidRDefault="00743140" w:rsidP="00177D15">
      <w:pPr>
        <w:pStyle w:val="Zarkazkladnhotextu2"/>
        <w:spacing w:after="0"/>
        <w:ind w:left="0"/>
      </w:pPr>
      <w:r w:rsidRPr="00177D15">
        <w:rPr>
          <w:rStyle w:val="Odkaznapoznmkupodiarou"/>
          <w:color w:val="auto"/>
        </w:rPr>
        <w:footnoteRef/>
      </w:r>
      <w:r w:rsidRPr="00177D15">
        <w:rPr>
          <w:color w:val="auto"/>
        </w:rPr>
        <w:t xml:space="preserve"> </w:t>
      </w:r>
      <w:r w:rsidRPr="00177D15">
        <w:rPr>
          <w:iCs w:val="0"/>
          <w:color w:val="auto"/>
          <w:sz w:val="18"/>
          <w:szCs w:val="18"/>
          <w:lang w:val="sk-SK"/>
        </w:rPr>
        <w:t xml:space="preserve">Pozn.: V štatistických údajoch sú zaradené aj zariadenia sociálnych služieb, ktorých názov bol zmenený v súlade so zákonom o sociálnych službách a od 1. 1. 2009 sa už nepovažujú za zariadenia sociálnych služieb, resp. sa zmenil ich názov (napr. domov dôchodcov a domov-penzión pre dôchodcov sa od 1. 1. 2009 považujú za zariadenia pre seniorov). </w:t>
      </w:r>
      <w:r>
        <w:rPr>
          <w:iCs w:val="0"/>
          <w:color w:val="auto"/>
          <w:sz w:val="18"/>
          <w:szCs w:val="18"/>
          <w:lang w:val="sk-SK"/>
        </w:rPr>
        <w:t>Vo </w:t>
      </w:r>
      <w:r w:rsidRPr="00211B44">
        <w:rPr>
          <w:iCs w:val="0"/>
          <w:color w:val="auto"/>
          <w:sz w:val="18"/>
          <w:szCs w:val="18"/>
          <w:lang w:val="sk-SK"/>
        </w:rPr>
        <w:t>vybraných údajoch nie sú započítané údaje o detských domovoch, krízových strediskách a resoc</w:t>
      </w:r>
      <w:r>
        <w:rPr>
          <w:iCs w:val="0"/>
          <w:color w:val="auto"/>
          <w:sz w:val="18"/>
          <w:szCs w:val="18"/>
          <w:lang w:val="sk-SK"/>
        </w:rPr>
        <w:t>ializačných strediskách, ktoré s</w:t>
      </w:r>
      <w:r w:rsidRPr="00211B44">
        <w:rPr>
          <w:iCs w:val="0"/>
          <w:color w:val="auto"/>
          <w:sz w:val="18"/>
          <w:szCs w:val="18"/>
          <w:lang w:val="sk-SK"/>
        </w:rPr>
        <w:t>a podľa zákona č. 448/2008 Z. z. o sociálnych službách nepovažujú za zariadenia sociálnych služieb.</w:t>
      </w:r>
    </w:p>
  </w:footnote>
  <w:footnote w:id="21">
    <w:p w:rsidR="00743140" w:rsidRPr="00197752" w:rsidRDefault="00743140" w:rsidP="00B07B4A">
      <w:pPr>
        <w:contextualSpacing/>
        <w:rPr>
          <w:sz w:val="12"/>
          <w:szCs w:val="12"/>
        </w:rPr>
      </w:pPr>
      <w:r w:rsidRPr="00197752">
        <w:rPr>
          <w:rStyle w:val="Odkaznapoznmkupodiarou"/>
          <w:sz w:val="18"/>
          <w:szCs w:val="18"/>
        </w:rPr>
        <w:footnoteRef/>
      </w:r>
      <w:r w:rsidRPr="00197752">
        <w:rPr>
          <w:sz w:val="18"/>
          <w:szCs w:val="18"/>
        </w:rPr>
        <w:t xml:space="preserve"> </w:t>
      </w:r>
      <w:hyperlink r:id="rId1" w:history="1">
        <w:r w:rsidRPr="00197752">
          <w:rPr>
            <w:rStyle w:val="Hypertextovprepojenie"/>
            <w:sz w:val="18"/>
            <w:szCs w:val="18"/>
          </w:rPr>
          <w:t>http://epp.eurostat.ec.europa.eu/cache/ITY_OFFPUB/KS-RA-11-014/EN/KS-RA-11-014-EN.PDF</w:t>
        </w:r>
      </w:hyperlink>
    </w:p>
  </w:footnote>
  <w:footnote w:id="22">
    <w:p w:rsidR="00743140" w:rsidRPr="00197752" w:rsidRDefault="00743140" w:rsidP="00B07B4A">
      <w:pPr>
        <w:pStyle w:val="Textpoznmkypodiarou"/>
        <w:contextualSpacing/>
        <w:rPr>
          <w:sz w:val="12"/>
          <w:szCs w:val="12"/>
        </w:rPr>
      </w:pPr>
      <w:r w:rsidRPr="00197752">
        <w:rPr>
          <w:rStyle w:val="Odkaznapoznmkupodiarou"/>
          <w:szCs w:val="18"/>
        </w:rPr>
        <w:footnoteRef/>
      </w:r>
      <w:r w:rsidRPr="00197752">
        <w:rPr>
          <w:szCs w:val="18"/>
        </w:rPr>
        <w:t xml:space="preserve"> </w:t>
      </w:r>
      <w:hyperlink r:id="rId2" w:history="1">
        <w:r w:rsidRPr="00197752">
          <w:rPr>
            <w:rStyle w:val="Hypertextovprepojenie"/>
            <w:szCs w:val="18"/>
          </w:rPr>
          <w:t>http://eur-lex.europa.eu/LexUriServ/LexUriServ.do?uri=OJ:L:2007:113:0003:0008:SK:PDF</w:t>
        </w:r>
      </w:hyperlink>
    </w:p>
  </w:footnote>
  <w:footnote w:id="23">
    <w:p w:rsidR="00743140" w:rsidRPr="00197752" w:rsidRDefault="00743140" w:rsidP="00B07B4A">
      <w:pPr>
        <w:contextualSpacing/>
        <w:rPr>
          <w:rStyle w:val="Hypertextovprepojenie"/>
          <w:sz w:val="18"/>
          <w:szCs w:val="18"/>
        </w:rPr>
      </w:pPr>
      <w:r w:rsidRPr="00197752">
        <w:rPr>
          <w:rStyle w:val="Odkaznapoznmkupodiarou"/>
          <w:sz w:val="18"/>
          <w:szCs w:val="18"/>
        </w:rPr>
        <w:footnoteRef/>
      </w:r>
      <w:r w:rsidRPr="00197752">
        <w:rPr>
          <w:sz w:val="18"/>
          <w:szCs w:val="18"/>
        </w:rPr>
        <w:t xml:space="preserve"> </w:t>
      </w:r>
      <w:hyperlink r:id="rId3" w:history="1">
        <w:r w:rsidRPr="00197752">
          <w:rPr>
            <w:rStyle w:val="Hypertextovprepojenie"/>
            <w:sz w:val="18"/>
            <w:szCs w:val="18"/>
          </w:rPr>
          <w:t>http://eur-lex.europa.eu/LexUriServ/LexUriServ.do?uri=OJ:L:2007:294:0005:01:SK:HTML</w:t>
        </w:r>
      </w:hyperlink>
    </w:p>
  </w:footnote>
  <w:footnote w:id="24">
    <w:p w:rsidR="00743140" w:rsidRPr="00197752" w:rsidRDefault="00743140" w:rsidP="00B07B4A">
      <w:pPr>
        <w:contextualSpacing/>
        <w:rPr>
          <w:sz w:val="12"/>
          <w:szCs w:val="12"/>
        </w:rPr>
      </w:pPr>
      <w:r w:rsidRPr="00197752">
        <w:rPr>
          <w:rStyle w:val="Odkaznapoznmkupodiarou"/>
          <w:sz w:val="18"/>
          <w:szCs w:val="18"/>
        </w:rPr>
        <w:footnoteRef/>
      </w:r>
      <w:r w:rsidRPr="00197752">
        <w:rPr>
          <w:sz w:val="18"/>
          <w:szCs w:val="18"/>
        </w:rPr>
        <w:t xml:space="preserve"> </w:t>
      </w:r>
      <w:hyperlink r:id="rId4" w:history="1">
        <w:r w:rsidRPr="00197752">
          <w:rPr>
            <w:rStyle w:val="Hypertextovprepojenie"/>
            <w:sz w:val="18"/>
            <w:szCs w:val="18"/>
          </w:rPr>
          <w:t>http://eur-lex.europa.eu/LexUriServ/LexUriServ.do?uri=OJ:L:2008:005:0003:01:SK:HTML</w:t>
        </w:r>
      </w:hyperlink>
      <w:r w:rsidRPr="00197752">
        <w:rPr>
          <w:rStyle w:val="Hypertextovprepojenie"/>
        </w:rPr>
        <w:t xml:space="preserve"> </w:t>
      </w:r>
    </w:p>
  </w:footnote>
  <w:footnote w:id="25">
    <w:p w:rsidR="00743140" w:rsidRPr="00197752" w:rsidRDefault="00743140" w:rsidP="00B07B4A">
      <w:pPr>
        <w:pStyle w:val="Textpoznmkypodiarou"/>
        <w:contextualSpacing/>
        <w:rPr>
          <w:sz w:val="12"/>
          <w:szCs w:val="12"/>
        </w:rPr>
      </w:pPr>
      <w:r w:rsidRPr="00197752">
        <w:rPr>
          <w:rStyle w:val="Odkaznapoznmkupodiarou"/>
        </w:rPr>
        <w:footnoteRef/>
      </w:r>
      <w:r w:rsidRPr="00197752">
        <w:t xml:space="preserve"> </w:t>
      </w:r>
      <w:hyperlink r:id="rId5" w:history="1">
        <w:r w:rsidRPr="00197752">
          <w:rPr>
            <w:rStyle w:val="Hypertextovprepojenie"/>
            <w:szCs w:val="18"/>
          </w:rPr>
          <w:t>http://eur-lex.europa.eu/LexUriServ/LexUriServ.do?uri=OJ:L:2011:034:0029:0032:SK:PDF</w:t>
        </w:r>
      </w:hyperlink>
    </w:p>
  </w:footnote>
  <w:footnote w:id="26">
    <w:p w:rsidR="00743140" w:rsidRPr="00197752" w:rsidRDefault="00743140">
      <w:pPr>
        <w:pStyle w:val="Textpoznmkypodiarou"/>
        <w:contextualSpacing/>
        <w:rPr>
          <w:szCs w:val="18"/>
        </w:rPr>
      </w:pPr>
      <w:r w:rsidRPr="00197752">
        <w:rPr>
          <w:rStyle w:val="Odkaznapoznmkupodiarou"/>
          <w:szCs w:val="18"/>
        </w:rPr>
        <w:footnoteRef/>
      </w:r>
      <w:r w:rsidRPr="00197752">
        <w:rPr>
          <w:szCs w:val="18"/>
        </w:rPr>
        <w:t xml:space="preserve"> </w:t>
      </w:r>
      <w:hyperlink r:id="rId6" w:history="1">
        <w:r w:rsidRPr="00197752">
          <w:rPr>
            <w:rStyle w:val="Hypertextovprepojenie"/>
            <w:szCs w:val="18"/>
          </w:rPr>
          <w:t>http://eur-lex.europa.eu/LexUriServ/LexUriServ.do?uri=OJ:L:2011:071:0004:0008:SK:PDF</w:t>
        </w:r>
      </w:hyperlink>
    </w:p>
  </w:footnote>
  <w:footnote w:id="27">
    <w:p w:rsidR="00743140" w:rsidRPr="00273525" w:rsidRDefault="00743140" w:rsidP="00D35623">
      <w:pPr>
        <w:rPr>
          <w:rStyle w:val="Hypertextovprepojenie"/>
        </w:rPr>
      </w:pPr>
      <w:r w:rsidRPr="00197752">
        <w:rPr>
          <w:rStyle w:val="Odkaznapoznmkupodiarou"/>
          <w:sz w:val="18"/>
          <w:szCs w:val="18"/>
        </w:rPr>
        <w:footnoteRef/>
      </w:r>
      <w:r w:rsidRPr="00197752">
        <w:rPr>
          <w:sz w:val="18"/>
          <w:szCs w:val="18"/>
        </w:rPr>
        <w:t xml:space="preserve"> </w:t>
      </w:r>
      <w:hyperlink r:id="rId7" w:history="1">
        <w:r w:rsidRPr="00197752">
          <w:rPr>
            <w:rStyle w:val="Hypertextovprepojenie"/>
            <w:sz w:val="18"/>
            <w:szCs w:val="18"/>
          </w:rPr>
          <w:t>http://epp.eurostat.ec.europa.eu/portal/page/portal/social_protection/data/database</w:t>
        </w:r>
      </w:hyperlink>
    </w:p>
  </w:footnote>
  <w:footnote w:id="28">
    <w:p w:rsidR="00743140" w:rsidRPr="00D35623" w:rsidRDefault="00743140" w:rsidP="00D35623">
      <w:pPr>
        <w:pStyle w:val="Textpoznmkypodiarou"/>
        <w:rPr>
          <w:szCs w:val="18"/>
        </w:rPr>
      </w:pPr>
      <w:r w:rsidRPr="00D35623">
        <w:rPr>
          <w:rStyle w:val="Odkaznapoznmkupodiarou"/>
          <w:szCs w:val="18"/>
        </w:rPr>
        <w:footnoteRef/>
      </w:r>
      <w:r w:rsidRPr="00D35623">
        <w:rPr>
          <w:szCs w:val="18"/>
        </w:rPr>
        <w:t xml:space="preserve"> </w:t>
      </w:r>
      <w:hyperlink r:id="rId8" w:history="1">
        <w:r w:rsidRPr="00D35623">
          <w:rPr>
            <w:rStyle w:val="Hypertextovprepojenie"/>
            <w:szCs w:val="18"/>
          </w:rPr>
          <w:t>http://epp.eurostat.ec.europa.eu/cache/ITY_OFFPUB/KS-SF-09-102/EN/KS-SF-09-102-EN.PDF</w:t>
        </w:r>
      </w:hyperlink>
    </w:p>
  </w:footnote>
  <w:footnote w:id="29">
    <w:p w:rsidR="00743140" w:rsidRPr="00273525" w:rsidRDefault="00743140" w:rsidP="00B07B4A">
      <w:pPr>
        <w:pStyle w:val="Zkladntext"/>
        <w:spacing w:after="40"/>
        <w:rPr>
          <w:sz w:val="18"/>
          <w:szCs w:val="20"/>
        </w:rPr>
      </w:pPr>
      <w:r w:rsidRPr="00197752">
        <w:rPr>
          <w:rStyle w:val="Odkaznapoznmkupodiarou"/>
          <w:sz w:val="20"/>
        </w:rPr>
        <w:footnoteRef/>
      </w:r>
      <w:r>
        <w:t xml:space="preserve"> </w:t>
      </w:r>
      <w:r>
        <w:rPr>
          <w:sz w:val="18"/>
        </w:rPr>
        <w:t>EÚ</w:t>
      </w:r>
      <w:r w:rsidRPr="00273525">
        <w:rPr>
          <w:sz w:val="18"/>
          <w:szCs w:val="20"/>
        </w:rPr>
        <w:t xml:space="preserve">15: Belgicko (BE), Dánsko (DK), Nemecko (DE), Grécko (GR), Španielsko (ES), Francúzsko (FR), Írsko (IE), Taliansko (IT), Luxembursko (LU), Holandsko (NL), Rakúsko (AT), Portugalsko (PT), Fínsko (FI), Švédsko (SE) a Spojené kráľovstvo (UK). </w:t>
      </w:r>
    </w:p>
    <w:p w:rsidR="00743140" w:rsidRPr="00273525" w:rsidRDefault="00743140" w:rsidP="00B07B4A">
      <w:pPr>
        <w:pStyle w:val="Zkladntext"/>
        <w:spacing w:after="40"/>
        <w:rPr>
          <w:sz w:val="18"/>
          <w:szCs w:val="20"/>
        </w:rPr>
      </w:pPr>
      <w:r w:rsidRPr="00F63DC9">
        <w:rPr>
          <w:b/>
          <w:bCs/>
          <w:sz w:val="18"/>
          <w:szCs w:val="18"/>
        </w:rPr>
        <w:t>E</w:t>
      </w:r>
      <w:r>
        <w:rPr>
          <w:b/>
          <w:bCs/>
          <w:sz w:val="18"/>
          <w:szCs w:val="18"/>
        </w:rPr>
        <w:t>Ú</w:t>
      </w:r>
      <w:r w:rsidRPr="00F63DC9">
        <w:rPr>
          <w:b/>
          <w:bCs/>
          <w:sz w:val="18"/>
          <w:szCs w:val="18"/>
        </w:rPr>
        <w:t>27</w:t>
      </w:r>
      <w:r w:rsidRPr="00F63DC9">
        <w:rPr>
          <w:bCs/>
          <w:sz w:val="18"/>
          <w:szCs w:val="18"/>
        </w:rPr>
        <w:t xml:space="preserve">: </w:t>
      </w:r>
      <w:r w:rsidRPr="00273525">
        <w:rPr>
          <w:sz w:val="18"/>
          <w:szCs w:val="20"/>
        </w:rPr>
        <w:t>E</w:t>
      </w:r>
      <w:r>
        <w:rPr>
          <w:sz w:val="18"/>
          <w:szCs w:val="20"/>
        </w:rPr>
        <w:t>Ú</w:t>
      </w:r>
      <w:r w:rsidRPr="00273525">
        <w:rPr>
          <w:sz w:val="18"/>
          <w:szCs w:val="20"/>
        </w:rPr>
        <w:t xml:space="preserve">15 rozšírené o Bulharsko (BG), Českú republiku (CZ), Estónsko (EE), Cyprus (CY), Lotyšsko (LV), Litvu (LT), Maďarsko (HU), Maltu (MT), Poľsko (PL), Rumunsko (RO), Slovinsko (SI) a Slovensko (SK). </w:t>
      </w:r>
    </w:p>
    <w:p w:rsidR="00743140" w:rsidRPr="00273525" w:rsidRDefault="00743140" w:rsidP="00B07B4A">
      <w:pPr>
        <w:spacing w:after="40"/>
        <w:rPr>
          <w:sz w:val="18"/>
          <w:szCs w:val="20"/>
        </w:rPr>
      </w:pPr>
      <w:r w:rsidRPr="00F63DC9">
        <w:rPr>
          <w:b/>
          <w:bCs/>
          <w:sz w:val="18"/>
          <w:szCs w:val="18"/>
        </w:rPr>
        <w:t>EA1</w:t>
      </w:r>
      <w:r>
        <w:rPr>
          <w:b/>
          <w:bCs/>
          <w:sz w:val="18"/>
          <w:szCs w:val="18"/>
        </w:rPr>
        <w:t>7</w:t>
      </w:r>
      <w:r w:rsidRPr="00F63DC9">
        <w:rPr>
          <w:bCs/>
          <w:sz w:val="18"/>
          <w:szCs w:val="18"/>
        </w:rPr>
        <w:t xml:space="preserve"> </w:t>
      </w:r>
      <w:r w:rsidRPr="00273525">
        <w:rPr>
          <w:sz w:val="18"/>
          <w:szCs w:val="20"/>
        </w:rPr>
        <w:t>zahŕňa: BE, DE,EE, EL, ES, FR, IE, IT, LU, NL, AT, PT, FI, CY, MT, SI a SK.</w:t>
      </w:r>
    </w:p>
  </w:footnote>
  <w:footnote w:id="30">
    <w:p w:rsidR="00743140" w:rsidRPr="00D7087F" w:rsidRDefault="00743140" w:rsidP="00B07B4A">
      <w:pPr>
        <w:pStyle w:val="Textpoznmkypodiarou"/>
        <w:rPr>
          <w:szCs w:val="18"/>
        </w:rPr>
      </w:pPr>
      <w:r w:rsidRPr="00D7087F">
        <w:rPr>
          <w:rStyle w:val="Odkaznapoznmkupodiarou"/>
          <w:szCs w:val="18"/>
        </w:rPr>
        <w:footnoteRef/>
      </w:r>
      <w:r w:rsidRPr="00D7087F">
        <w:rPr>
          <w:szCs w:val="18"/>
        </w:rPr>
        <w:t xml:space="preserve"> PPS - Purchasing Power Standard, Štandard kúpnej sily:</w:t>
      </w:r>
      <w:r>
        <w:rPr>
          <w:szCs w:val="18"/>
        </w:rPr>
        <w:t xml:space="preserve"> </w:t>
      </w:r>
      <w:r w:rsidRPr="00D7087F">
        <w:rPr>
          <w:szCs w:val="18"/>
        </w:rPr>
        <w:t>Je umelý výmenný kurz peňažných mien jednotlivých krajín, zohľadňujúci cenové hladiny nakupovaných tovarov a služieb v týchto krajinách. Je možné ho chápať aj ako cenový index porovnávajúci ceny tovarov a služieb v daných krajinách. Slúži na reálnejšie vyjadrenie rôznych ekonomických súvislosti, než aké poskytujú oficiálne výmenné kurzy peňažných mien daných krajín.</w:t>
      </w:r>
    </w:p>
  </w:footnote>
  <w:footnote w:id="31">
    <w:p w:rsidR="00743140" w:rsidRPr="00177D15" w:rsidRDefault="00743140" w:rsidP="007261B3">
      <w:pPr>
        <w:rPr>
          <w:sz w:val="18"/>
          <w:szCs w:val="18"/>
        </w:rPr>
      </w:pPr>
      <w:r w:rsidRPr="00197752">
        <w:rPr>
          <w:rStyle w:val="Odkaznapoznmkupodiarou"/>
          <w:sz w:val="20"/>
        </w:rPr>
        <w:footnoteRef/>
      </w:r>
      <w:r w:rsidRPr="00177D15">
        <w:t xml:space="preserve"> </w:t>
      </w:r>
      <w:r w:rsidRPr="00177D15">
        <w:rPr>
          <w:sz w:val="18"/>
          <w:szCs w:val="18"/>
        </w:rPr>
        <w:t>Podrobnejšie údaje sú dostupné v publikácii „ESSPROS –výdavky a príjmy na sociálnu ochranu 2008-2009“ na webovej stránke ŠÚ SR:</w:t>
      </w:r>
      <w:hyperlink r:id="rId9" w:history="1">
        <w:r w:rsidRPr="00177D15">
          <w:rPr>
            <w:rStyle w:val="Hypertextovprepojenie"/>
            <w:color w:val="auto"/>
            <w:sz w:val="18"/>
            <w:szCs w:val="18"/>
          </w:rPr>
          <w:t>http://portal.statistics.sk/showdoc.do?docid=42594</w:t>
        </w:r>
      </w:hyperlink>
      <w:r w:rsidRPr="00177D15">
        <w:rPr>
          <w:sz w:val="18"/>
          <w:szCs w:val="18"/>
        </w:rPr>
        <w:t xml:space="preserve"> a v publikácii Eurostat-u:</w:t>
      </w:r>
    </w:p>
    <w:p w:rsidR="00743140" w:rsidRPr="00177D15" w:rsidRDefault="00F86FEF" w:rsidP="007261B3">
      <w:pPr>
        <w:pStyle w:val="Textpoznmkypodiarou"/>
        <w:rPr>
          <w:szCs w:val="18"/>
        </w:rPr>
      </w:pPr>
      <w:hyperlink r:id="rId10" w:history="1">
        <w:r w:rsidR="00743140" w:rsidRPr="00177D15">
          <w:rPr>
            <w:rStyle w:val="Hypertextovprepojenie"/>
            <w:color w:val="auto"/>
            <w:szCs w:val="18"/>
          </w:rPr>
          <w:t>http://epp.Eurostat.ec.Európa.eu/portal/page/portal/product_details/publication?p_product_code=KS-SF-12-014</w:t>
        </w:r>
      </w:hyperlink>
    </w:p>
  </w:footnote>
  <w:footnote w:id="32">
    <w:p w:rsidR="00743140" w:rsidRPr="005A099E" w:rsidRDefault="00743140" w:rsidP="003F1809">
      <w:pPr>
        <w:rPr>
          <w:color w:val="548DD4" w:themeColor="text2" w:themeTint="99"/>
        </w:rPr>
      </w:pPr>
      <w:r w:rsidRPr="00726076">
        <w:rPr>
          <w:rStyle w:val="Odkaznapoznmkupodiarou"/>
          <w:sz w:val="18"/>
          <w:szCs w:val="18"/>
        </w:rPr>
        <w:footnoteRef/>
      </w:r>
      <w:r w:rsidRPr="00726076">
        <w:rPr>
          <w:sz w:val="18"/>
          <w:szCs w:val="18"/>
        </w:rPr>
        <w:t xml:space="preserve"> tabuľky k OP ZaSI (tab. 35 až 38) sa nachádzajú v prílohe ku kapitole 3). </w:t>
      </w:r>
    </w:p>
  </w:footnote>
  <w:footnote w:id="33">
    <w:p w:rsidR="00743140" w:rsidRDefault="00743140" w:rsidP="00C13E71">
      <w:pPr>
        <w:pStyle w:val="Textpoznmkypodiarou"/>
      </w:pPr>
      <w:r w:rsidRPr="003120FD">
        <w:rPr>
          <w:rStyle w:val="Odkaznapoznmkupodiarou"/>
          <w:szCs w:val="18"/>
        </w:rPr>
        <w:footnoteRef/>
      </w:r>
      <w:r w:rsidRPr="003120FD">
        <w:rPr>
          <w:szCs w:val="18"/>
        </w:rPr>
        <w:t xml:space="preserve"> </w:t>
      </w:r>
      <w:r w:rsidRPr="00177D15">
        <w:rPr>
          <w:rStyle w:val="odkaznapoznmkupodiarou0"/>
          <w:vertAlign w:val="baseline"/>
        </w:rPr>
        <w:t>Vymaniť najmenej 20 miliónov ľudí z rizika chudoby alebo vylúčenia do roku 2020</w:t>
      </w:r>
      <w:r w:rsidRPr="00834BAC">
        <w:rPr>
          <w:rStyle w:val="odkaznapoznmkupodiarou0"/>
          <w:sz w:val="20"/>
        </w:rPr>
        <w:t>.</w:t>
      </w:r>
    </w:p>
  </w:footnote>
  <w:footnote w:id="34">
    <w:p w:rsidR="00743140" w:rsidRDefault="00743140" w:rsidP="00C13E71">
      <w:pPr>
        <w:pStyle w:val="Textpoznmkypodiarou"/>
      </w:pPr>
      <w:r w:rsidRPr="00834BAC">
        <w:rPr>
          <w:rStyle w:val="Odkaznapoznmkupodiarou"/>
          <w:sz w:val="20"/>
        </w:rPr>
        <w:footnoteRef/>
      </w:r>
      <w:r w:rsidRPr="00834BAC">
        <w:rPr>
          <w:sz w:val="20"/>
        </w:rPr>
        <w:t xml:space="preserve"> </w:t>
      </w:r>
      <w:r w:rsidRPr="00177D15">
        <w:rPr>
          <w:rStyle w:val="odkaznapoznmkupodiarou0"/>
          <w:vertAlign w:val="baseline"/>
        </w:rPr>
        <w:t>Prvé štatistické zisťovanie sa na Slovensku zrealizovalo v roku 2005 a v súčasnosti sú prístupné výsledky už zo šiesteho zisťovania z roku 2010</w:t>
      </w:r>
    </w:p>
  </w:footnote>
  <w:footnote w:id="35">
    <w:p w:rsidR="00743140" w:rsidRDefault="00743140" w:rsidP="00C13E71">
      <w:pPr>
        <w:pStyle w:val="Textpoznmkypodiarou"/>
      </w:pPr>
      <w:r w:rsidRPr="00834BAC">
        <w:rPr>
          <w:rStyle w:val="Odkaznapoznmkupodiarou"/>
          <w:sz w:val="20"/>
        </w:rPr>
        <w:footnoteRef/>
      </w:r>
      <w:r w:rsidRPr="00834BAC">
        <w:rPr>
          <w:sz w:val="20"/>
        </w:rPr>
        <w:t xml:space="preserve"> </w:t>
      </w:r>
      <w:r w:rsidRPr="00177D15">
        <w:rPr>
          <w:rStyle w:val="odkaznapoznmkupodiarou0"/>
          <w:vertAlign w:val="baseline"/>
        </w:rPr>
        <w:t>Vyjadruje podiel ľudí žijúcich pod hranicou chudoby, t.j. pod 60% mediánu ekvivalentného disponibilného (po sociálnych transferoch) príjmu všetkých obyvateľov</w:t>
      </w:r>
    </w:p>
  </w:footnote>
  <w:footnote w:id="36">
    <w:p w:rsidR="00743140" w:rsidRDefault="00743140" w:rsidP="00C13E71">
      <w:pPr>
        <w:pStyle w:val="Textpoznmkypodiarou"/>
      </w:pPr>
      <w:r w:rsidRPr="00834BAC">
        <w:rPr>
          <w:rStyle w:val="Odkaznapoznmkupodiarou"/>
          <w:sz w:val="20"/>
        </w:rPr>
        <w:footnoteRef/>
      </w:r>
      <w:r w:rsidRPr="00834BAC">
        <w:rPr>
          <w:sz w:val="20"/>
        </w:rPr>
        <w:t xml:space="preserve"> </w:t>
      </w:r>
      <w:r w:rsidRPr="00177D15">
        <w:rPr>
          <w:rStyle w:val="odkaznapoznmkupodiarou0"/>
          <w:vertAlign w:val="baseline"/>
        </w:rPr>
        <w:t>Vyjadruje podiel ľudí, ktorí si nemôžu dovoliť 4 z 9-tich položiek charakterizujúcich ekonomickú záťaž a predmety dlhodobej spotreby, a to: nedoplatky v súvislosti s položkami: nájomné a hypotéka, energie, kúpa na splátky a iné pôžičky, schopnosť udržiavať doma adekvátne teplo, schopnosť domácnosti čeliť neočakávaným výdavkom, schopnosť dovoliť si zaplatenie raz ročne jedného týždňa dovolenky mimo domu, schopnosť dovoliť si jedlo s mäsom, kuraťom, rybou alebo vegetariánskym ekvivalentom každý druhý deň alebo vybavenie domácnosti farebným televízorom, práčkou, autom alebo telefónom</w:t>
      </w:r>
      <w:r w:rsidRPr="00834BAC">
        <w:rPr>
          <w:rStyle w:val="odkaznapoznmkupodiarou0"/>
          <w:sz w:val="20"/>
        </w:rPr>
        <w:t>.</w:t>
      </w:r>
    </w:p>
  </w:footnote>
  <w:footnote w:id="37">
    <w:p w:rsidR="00743140" w:rsidRDefault="00743140" w:rsidP="00C13E71">
      <w:pPr>
        <w:pStyle w:val="Textpoznmkypodiarou"/>
      </w:pPr>
      <w:r w:rsidRPr="00834BAC">
        <w:rPr>
          <w:rStyle w:val="Odkaznapoznmkupodiarou"/>
          <w:sz w:val="20"/>
        </w:rPr>
        <w:footnoteRef/>
      </w:r>
      <w:r w:rsidRPr="00834BAC">
        <w:rPr>
          <w:sz w:val="20"/>
        </w:rPr>
        <w:t xml:space="preserve"> </w:t>
      </w:r>
      <w:r w:rsidRPr="00177D15">
        <w:rPr>
          <w:rStyle w:val="odkaznapoznmkupodiarou0"/>
          <w:vertAlign w:val="baseline"/>
        </w:rPr>
        <w:t>Vyjadruje podiel ľudí vo veku 0-59 rokov žijúcich v domácnostiach, kde dospelí pracujú menej ako 20% z celkového času počas predchádzajúceho roka.</w:t>
      </w:r>
    </w:p>
  </w:footnote>
  <w:footnote w:id="38">
    <w:p w:rsidR="00743140" w:rsidRPr="005C3A6A" w:rsidRDefault="00743140" w:rsidP="00C13E71">
      <w:pPr>
        <w:pStyle w:val="textpoznmkypodiarou0"/>
        <w:rPr>
          <w:rFonts w:ascii="Times New Roman" w:hAnsi="Times New Roman" w:cs="Times New Roman"/>
        </w:rPr>
      </w:pPr>
      <w:r>
        <w:rPr>
          <w:rStyle w:val="Odkaznapoznmkupodiarou"/>
          <w:rFonts w:ascii="Times New Roman" w:hAnsi="Times New Roman"/>
          <w:szCs w:val="20"/>
        </w:rPr>
        <w:footnoteRef/>
      </w:r>
      <w:r>
        <w:rPr>
          <w:rStyle w:val="odkaznapoznmkupodiarou0"/>
        </w:rPr>
        <w:t xml:space="preserve"> </w:t>
      </w:r>
      <w:r w:rsidRPr="005C3A6A">
        <w:rPr>
          <w:rFonts w:ascii="Times New Roman" w:hAnsi="Times New Roman" w:cs="Times New Roman"/>
        </w:rPr>
        <w:t>Hranica chudob</w:t>
      </w:r>
      <w:r>
        <w:rPr>
          <w:rFonts w:ascii="Times New Roman" w:hAnsi="Times New Roman" w:cs="Times New Roman"/>
        </w:rPr>
        <w:t xml:space="preserve">y je vyjadrená ako 60% mediánu </w:t>
      </w:r>
      <w:r w:rsidRPr="005C3A6A">
        <w:rPr>
          <w:rFonts w:ascii="Times New Roman" w:hAnsi="Times New Roman" w:cs="Times New Roman"/>
        </w:rPr>
        <w:t>ekvivalentného disponibilného príjmu (po sociálnych transferoch)</w:t>
      </w:r>
    </w:p>
  </w:footnote>
  <w:footnote w:id="39">
    <w:p w:rsidR="00743140" w:rsidRDefault="00743140" w:rsidP="00C13E71">
      <w:pPr>
        <w:pStyle w:val="textpoznmkypodiarou0"/>
      </w:pPr>
      <w:r>
        <w:rPr>
          <w:rStyle w:val="Odkaznapoznmkupodiarou"/>
          <w:rFonts w:ascii="Times New Roman" w:hAnsi="Times New Roman"/>
          <w:szCs w:val="20"/>
        </w:rPr>
        <w:footnoteRef/>
      </w:r>
      <w:r>
        <w:t xml:space="preserve"> </w:t>
      </w:r>
      <w:r w:rsidRPr="007A6AB0">
        <w:rPr>
          <w:rFonts w:ascii="Times New Roman" w:hAnsi="Times New Roman" w:cs="Times New Roman"/>
        </w:rPr>
        <w:t xml:space="preserve">Miera rizika chudoby zakotvená v čase je definovaná ako percento ľudí žijúcich pod hranicou chudoby vypočítanou v roku 2005, ktorá sa upravuje o infláciu. </w:t>
      </w:r>
    </w:p>
  </w:footnote>
  <w:footnote w:id="40">
    <w:p w:rsidR="00743140" w:rsidRDefault="00743140" w:rsidP="00C13E71">
      <w:pPr>
        <w:pStyle w:val="textpoznmkypodiarou0"/>
      </w:pPr>
      <w:r>
        <w:rPr>
          <w:rStyle w:val="Odkaznapoznmkupodiarou"/>
          <w:rFonts w:ascii="Times New Roman" w:hAnsi="Times New Roman"/>
          <w:szCs w:val="20"/>
        </w:rPr>
        <w:footnoteRef/>
      </w:r>
      <w:r>
        <w:rPr>
          <w:vertAlign w:val="superscript"/>
        </w:rPr>
        <w:t xml:space="preserve"> </w:t>
      </w:r>
      <w:r w:rsidRPr="007A6AB0">
        <w:rPr>
          <w:rFonts w:ascii="Times New Roman" w:hAnsi="Times New Roman" w:cs="Times New Roman"/>
        </w:rPr>
        <w:t>t.j. súčet mesiacov, počas ktorých členovia domácnosti v ekonomicky aktívnom veku pracovali a vyjadruje sa ako podiel z celkového súčtu všetkých mesiacov, počas ktorých mohli členovia domácnosti v ekonomicky aktívnom veku pracovať teoreticky</w:t>
      </w:r>
    </w:p>
  </w:footnote>
  <w:footnote w:id="41">
    <w:p w:rsidR="00743140" w:rsidRDefault="00743140" w:rsidP="00C13E71">
      <w:pPr>
        <w:pStyle w:val="textpoznmkypodiarou0"/>
      </w:pPr>
      <w:r>
        <w:rPr>
          <w:rStyle w:val="Odkaznapoznmkupodiarou"/>
          <w:rFonts w:ascii="Times New Roman" w:hAnsi="Times New Roman"/>
          <w:szCs w:val="20"/>
        </w:rPr>
        <w:footnoteRef/>
      </w:r>
      <w:r>
        <w:t xml:space="preserve"> </w:t>
      </w:r>
      <w:r w:rsidRPr="007A6AB0">
        <w:rPr>
          <w:rFonts w:ascii="Times New Roman" w:hAnsi="Times New Roman" w:cs="Times New Roman"/>
        </w:rPr>
        <w:t xml:space="preserve">Vyjadrená ako miera pretrvávajúceho rizika chudoby je v rámci OMK zadefinovaná ako percentuálny podiel populácie, ktorej ekvivalentný disponibilný príjem bol pod hranicou miery rizika chudoby v danom roku a aspoň dva z troch predchádzajúcich rokov. </w:t>
      </w:r>
    </w:p>
  </w:footnote>
  <w:footnote w:id="42">
    <w:p w:rsidR="00743140" w:rsidRDefault="00743140" w:rsidP="00C13E71">
      <w:pPr>
        <w:pStyle w:val="textpoznmkypodiarou0"/>
      </w:pPr>
      <w:r>
        <w:rPr>
          <w:rStyle w:val="Odkaznapoznmkupodiarou"/>
          <w:rFonts w:ascii="Times New Roman" w:hAnsi="Times New Roman"/>
          <w:szCs w:val="20"/>
        </w:rPr>
        <w:footnoteRef/>
      </w:r>
      <w:r>
        <w:t xml:space="preserve"> </w:t>
      </w:r>
      <w:r w:rsidRPr="007A6AB0">
        <w:rPr>
          <w:rFonts w:ascii="Times New Roman" w:hAnsi="Times New Roman" w:cs="Times New Roman"/>
        </w:rPr>
        <w:t>Vymaniť najmenej 170 tis. ľudí z rizika chudoby alebo sociálneho vylúčenia do roku 2020.</w:t>
      </w:r>
    </w:p>
  </w:footnote>
  <w:footnote w:id="43">
    <w:p w:rsidR="00743140" w:rsidRDefault="00743140" w:rsidP="00C13E71">
      <w:pPr>
        <w:pStyle w:val="textpoznmkypodiarou0"/>
      </w:pPr>
      <w:r>
        <w:rPr>
          <w:rStyle w:val="Odkaznapoznmkupodiarou"/>
          <w:rFonts w:ascii="Times New Roman" w:hAnsi="Times New Roman"/>
          <w:szCs w:val="20"/>
        </w:rPr>
        <w:footnoteRef/>
      </w:r>
      <w:r>
        <w:rPr>
          <w:vertAlign w:val="superscript"/>
        </w:rPr>
        <w:t xml:space="preserve"> </w:t>
      </w:r>
      <w:r w:rsidRPr="007A6AB0">
        <w:rPr>
          <w:rFonts w:ascii="Times New Roman" w:hAnsi="Times New Roman" w:cs="Times New Roman"/>
        </w:rPr>
        <w:t>Miera extrémnej chudoby detí pokrýva špecifickejšie prípady nedostatku a vzťahuje sa len k užšie definovanej skupine detí vo veku 0-15 rokov. Je definovaná ako podiel detí nachádzajúcich sa pod hranicou chudoby a vystavených materiálnej deprivácii na celkovom počte chudobných detí. V tomto prípade materiálna deprivácia nastáva vtedy ak domácnosť musí čeliť minimálne trom z piatich nepriaznivých podmienok bývania alebo nevlastní tri zo štyroch predmetov dlhodobej spotreby.</w:t>
      </w:r>
      <w:r>
        <w:rPr>
          <w:rFonts w:ascii="Times New Roman" w:hAnsi="Times New Roman" w:cs="Times New Roman"/>
        </w:rPr>
        <w:t xml:space="preserve"> </w:t>
      </w:r>
    </w:p>
  </w:footnote>
  <w:footnote w:id="44">
    <w:p w:rsidR="00743140" w:rsidRDefault="00743140" w:rsidP="00C13E71">
      <w:pPr>
        <w:pStyle w:val="textpoznmkypodiarou0"/>
      </w:pPr>
      <w:r>
        <w:rPr>
          <w:rStyle w:val="Odkaznapoznmkupodiarou"/>
          <w:rFonts w:ascii="Times New Roman" w:hAnsi="Times New Roman"/>
          <w:szCs w:val="20"/>
        </w:rPr>
        <w:footnoteRef/>
      </w:r>
      <w:r>
        <w:t xml:space="preserve"> </w:t>
      </w:r>
      <w:r w:rsidRPr="007A6AB0">
        <w:rPr>
          <w:rFonts w:ascii="Times New Roman" w:hAnsi="Times New Roman" w:cs="Times New Roman"/>
        </w:rPr>
        <w:t>Podiel detí v materských školách vo veku 3-5 na celkovom počte detí v danom veku</w:t>
      </w:r>
    </w:p>
  </w:footnote>
  <w:footnote w:id="45">
    <w:p w:rsidR="00743140" w:rsidRDefault="00743140" w:rsidP="00C13E71">
      <w:pPr>
        <w:pStyle w:val="textpoznmkypodiarou0"/>
      </w:pPr>
      <w:r w:rsidRPr="007A6AB0">
        <w:rPr>
          <w:rStyle w:val="Odkaznapoznmkupodiarou"/>
          <w:rFonts w:ascii="Times New Roman" w:hAnsi="Times New Roman"/>
          <w:szCs w:val="20"/>
        </w:rPr>
        <w:footnoteRef/>
      </w:r>
      <w:r w:rsidRPr="007A6AB0">
        <w:rPr>
          <w:rFonts w:ascii="Times New Roman" w:hAnsi="Times New Roman" w:cs="Times New Roman"/>
        </w:rPr>
        <w:t xml:space="preserve"> Indikátor patrí medzi spoločné indikátory sociálnej inklúzie a bol už spomenutý aj v rámci celkového hodnotenia populácie 0-17 na úrovni EÚ.</w:t>
      </w:r>
    </w:p>
  </w:footnote>
  <w:footnote w:id="46">
    <w:p w:rsidR="00743140" w:rsidRDefault="00743140" w:rsidP="00C13E71">
      <w:pPr>
        <w:pStyle w:val="textpoznmkypodiarou0"/>
      </w:pPr>
      <w:r>
        <w:rPr>
          <w:rStyle w:val="Odkaznapoznmkupodiarou"/>
          <w:rFonts w:ascii="Times New Roman" w:hAnsi="Times New Roman"/>
          <w:szCs w:val="20"/>
        </w:rPr>
        <w:footnoteRef/>
      </w:r>
      <w:r>
        <w:t xml:space="preserve"> </w:t>
      </w:r>
      <w:r w:rsidRPr="007A6AB0">
        <w:rPr>
          <w:rFonts w:ascii="Times New Roman" w:hAnsi="Times New Roman" w:cs="Times New Roman"/>
        </w:rPr>
        <w:t>Ak trvá evidencia v nezamestnanosti viac ako 24 mesiacov</w:t>
      </w:r>
    </w:p>
  </w:footnote>
  <w:footnote w:id="47">
    <w:p w:rsidR="00743140" w:rsidRDefault="00743140" w:rsidP="00C13E71">
      <w:pPr>
        <w:pStyle w:val="textpoznmkypodiarou0"/>
      </w:pPr>
      <w:r>
        <w:rPr>
          <w:rStyle w:val="Odkaznapoznmkupodiarou"/>
          <w:rFonts w:ascii="Times New Roman" w:hAnsi="Times New Roman"/>
          <w:szCs w:val="20"/>
        </w:rPr>
        <w:footnoteRef/>
      </w:r>
      <w:r>
        <w:t xml:space="preserve"> </w:t>
      </w:r>
      <w:r w:rsidRPr="00F6349F">
        <w:rPr>
          <w:rFonts w:ascii="Times New Roman" w:hAnsi="Times New Roman" w:cs="Times New Roman"/>
        </w:rPr>
        <w:t>Indikátor patrí medzi spoločné indikátory sociálnej inklúzie a bol spomenutý v časti monitorovania rizika chudoby v prípade pracujúcich</w:t>
      </w:r>
    </w:p>
  </w:footnote>
  <w:footnote w:id="48">
    <w:p w:rsidR="00743140" w:rsidRDefault="00743140" w:rsidP="00C13E71">
      <w:pPr>
        <w:pStyle w:val="textpoznmkypodiarou0"/>
      </w:pPr>
      <w:r>
        <w:rPr>
          <w:rStyle w:val="Odkaznapoznmkupodiarou"/>
          <w:rFonts w:ascii="Times New Roman" w:hAnsi="Times New Roman"/>
          <w:szCs w:val="20"/>
        </w:rPr>
        <w:footnoteRef/>
      </w:r>
      <w:r>
        <w:t xml:space="preserve"> </w:t>
      </w:r>
      <w:r w:rsidRPr="00F6349F">
        <w:rPr>
          <w:rFonts w:ascii="Times New Roman" w:hAnsi="Times New Roman" w:cs="Times New Roman"/>
        </w:rPr>
        <w:t>Na rozdiel od ukazovateľa „Extrémna chudoba detí“, ktorý kombinoval príjmovú chudobu s materiálnou depriváciou, tento indikátor sleduje podiel ľudí s ekvivalentným disponibilným príjmom pod výrazne zníženou úrovňou štandardnej miery rizika chudoby – 30% mediánu ekvivalentného príjmu v krajine.</w:t>
      </w:r>
    </w:p>
  </w:footnote>
  <w:footnote w:id="49">
    <w:p w:rsidR="00743140" w:rsidRDefault="00743140" w:rsidP="00C13E71">
      <w:pPr>
        <w:pStyle w:val="textpoznmkypodiarou0"/>
      </w:pPr>
      <w:r>
        <w:rPr>
          <w:rStyle w:val="Odkaznapoznmkupodiarou"/>
          <w:rFonts w:ascii="Times New Roman" w:hAnsi="Times New Roman"/>
          <w:szCs w:val="20"/>
        </w:rPr>
        <w:footnoteRef/>
      </w:r>
      <w:r>
        <w:t xml:space="preserve"> </w:t>
      </w:r>
      <w:r w:rsidRPr="00F6349F">
        <w:rPr>
          <w:rFonts w:ascii="Times New Roman" w:hAnsi="Times New Roman" w:cs="Times New Roman"/>
        </w:rPr>
        <w:t xml:space="preserve">Ide o indikátor zo súboru spoločných indikátorov sociálnej inklúzie OMK a bol analyzovaný v kontexte monitorovania príjmovej chudoby a jej intenzity. </w:t>
      </w:r>
    </w:p>
  </w:footnote>
  <w:footnote w:id="50">
    <w:p w:rsidR="00743140" w:rsidRPr="00C6395C" w:rsidRDefault="00743140" w:rsidP="0008700C">
      <w:pPr>
        <w:pStyle w:val="Textpoznmkypodiarou"/>
        <w:rPr>
          <w:szCs w:val="18"/>
        </w:rPr>
      </w:pPr>
      <w:r w:rsidRPr="00C6395C">
        <w:rPr>
          <w:rStyle w:val="Odkaznapoznmkupodiarou"/>
          <w:szCs w:val="18"/>
        </w:rPr>
        <w:footnoteRef/>
      </w:r>
      <w:r w:rsidRPr="00C6395C">
        <w:rPr>
          <w:szCs w:val="18"/>
        </w:rPr>
        <w:t xml:space="preserve">Rodová rovnosť 2011, Štatistický úrad SR: </w:t>
      </w:r>
      <w:hyperlink r:id="rId11" w:history="1">
        <w:r w:rsidRPr="00C6395C">
          <w:rPr>
            <w:rStyle w:val="Hypertextovprepojenie"/>
            <w:szCs w:val="18"/>
          </w:rPr>
          <w:t>http://portal.statistics.sk/showdoc.do?docid=27711</w:t>
        </w:r>
      </w:hyperlink>
    </w:p>
  </w:footnote>
  <w:footnote w:id="51">
    <w:p w:rsidR="00743140" w:rsidRPr="00696CBD" w:rsidRDefault="00743140" w:rsidP="0008700C">
      <w:pPr>
        <w:pStyle w:val="Textpoznmkypodiarou"/>
        <w:spacing w:before="60"/>
        <w:rPr>
          <w:szCs w:val="18"/>
        </w:rPr>
      </w:pPr>
      <w:r w:rsidRPr="00682127">
        <w:rPr>
          <w:rStyle w:val="Odkaznapoznmkupodiarou"/>
          <w:szCs w:val="18"/>
        </w:rPr>
        <w:footnoteRef/>
      </w:r>
      <w:r w:rsidRPr="00682127">
        <w:rPr>
          <w:szCs w:val="18"/>
        </w:rPr>
        <w:t xml:space="preserve"> </w:t>
      </w:r>
      <w:r w:rsidRPr="00696CBD">
        <w:rPr>
          <w:szCs w:val="18"/>
        </w:rPr>
        <w:t>Štatistický úrad Slovenskej republiky: Výberové zisťovanie pracovných síl</w:t>
      </w:r>
    </w:p>
  </w:footnote>
  <w:footnote w:id="52">
    <w:p w:rsidR="00743140" w:rsidRDefault="00743140" w:rsidP="008F43B9">
      <w:pPr>
        <w:rPr>
          <w:sz w:val="18"/>
          <w:szCs w:val="18"/>
        </w:rPr>
      </w:pPr>
      <w:r>
        <w:rPr>
          <w:rStyle w:val="Odkaznapoznmkupodiarou"/>
          <w:sz w:val="18"/>
          <w:szCs w:val="18"/>
        </w:rPr>
        <w:footnoteRef/>
      </w:r>
      <w:r>
        <w:rPr>
          <w:sz w:val="18"/>
          <w:szCs w:val="18"/>
        </w:rPr>
        <w:t xml:space="preserve"> podľa: Správa o životných podmienkach rómskych domácnosti na Slovensku 2010, UNDP, Bratislava 2012</w:t>
      </w:r>
    </w:p>
    <w:p w:rsidR="00743140" w:rsidRDefault="00743140" w:rsidP="008F43B9">
      <w:pPr>
        <w:pStyle w:val="Textpoznmkypodiarou"/>
        <w:rPr>
          <w:rFonts w:asciiTheme="minorHAnsi" w:hAnsiTheme="minorHAnsi" w:cstheme="minorBidi"/>
          <w:sz w:val="20"/>
        </w:rPr>
      </w:pPr>
    </w:p>
  </w:footnote>
  <w:footnote w:id="53">
    <w:p w:rsidR="00743140" w:rsidRDefault="00743140" w:rsidP="00C76C35">
      <w:pPr>
        <w:pStyle w:val="Textpoznmkypodiarou"/>
        <w:rPr>
          <w:szCs w:val="18"/>
        </w:rPr>
      </w:pPr>
      <w:r>
        <w:rPr>
          <w:rStyle w:val="Odkaznapoznmkupodiarou"/>
          <w:szCs w:val="18"/>
        </w:rPr>
        <w:footnoteRef/>
      </w:r>
      <w:r>
        <w:rPr>
          <w:szCs w:val="18"/>
        </w:rPr>
        <w:t xml:space="preserve"> Ľudia žijúci v domácnostiach s veľmi nízkou intenzitou práce sú ľudia vo veku 0 – 59 žijúci v domácnostiach, kde dospelí pracujú menej ako 20 % z toho, koľko mohli potenciálne odrobiť v minulom roku (študenti sú vylúčení).</w:t>
      </w:r>
    </w:p>
  </w:footnote>
  <w:footnote w:id="54">
    <w:p w:rsidR="00743140" w:rsidRDefault="00743140" w:rsidP="00C76C35">
      <w:pPr>
        <w:pStyle w:val="Textpoznmkypodiarou"/>
        <w:rPr>
          <w:szCs w:val="18"/>
        </w:rPr>
      </w:pPr>
      <w:r>
        <w:rPr>
          <w:rStyle w:val="Odkaznapoznmkupodiarou"/>
          <w:szCs w:val="18"/>
        </w:rPr>
        <w:footnoteRef/>
      </w:r>
      <w:r>
        <w:rPr>
          <w:szCs w:val="18"/>
        </w:rPr>
        <w:t xml:space="preserve"> Ide o osoby s ekvivalentným disponibilným príjmom pod hranicou rizika chudoby, ktorou je 60 % národného mediánu ekvivalentného príjmu (po všetkých sociálnych transferoch, ktoré sa počítajú ako súčasť príjmu).</w:t>
      </w:r>
      <w:r>
        <w:t xml:space="preserve"> Ekvivalentný príjem je počítaný pre každého jednotlivca ako disponibilný príjem do domácnosti delený veľkosťou domácnosti, ktorá zohľadňuje nasledovné váhy pre jednotlivých členov domácnosti: 1,0 pre prvého dospelého, 0,5 pre každého ďalšieho člena staršieho ako 14 rokov a 0,3 pre dieťa mladšie ako 14 rokov.</w:t>
      </w:r>
    </w:p>
  </w:footnote>
  <w:footnote w:id="55">
    <w:p w:rsidR="00743140" w:rsidRDefault="00743140" w:rsidP="00C76C35">
      <w:pPr>
        <w:pStyle w:val="Textpoznmkypodiarou"/>
        <w:rPr>
          <w:szCs w:val="18"/>
        </w:rPr>
      </w:pPr>
      <w:r>
        <w:rPr>
          <w:rStyle w:val="Odkaznapoznmkupodiarou"/>
          <w:szCs w:val="18"/>
        </w:rPr>
        <w:footnoteRef/>
      </w:r>
      <w:r>
        <w:rPr>
          <w:szCs w:val="18"/>
        </w:rPr>
        <w:t xml:space="preserve"> Materiálna deprivácia zahŕňa indikátory vzťahujúce sa k ekonomickej záťaži, predmetom dlhodobej spotreby, bývaniu a prostrediu obydlia. Ťažko materiálne deprivovaní ľudia majú veľmi obmedzené životné podmienky nedostatkom zdrojov a zažívajú minimálne 4 z nasledovných 9 položiek deprivácie: nemôžu si dovoliť: a) platiť načas nájom/hypotéku a účty spojené s bývaním, b) udržať doma adekvátne teplo, c) čeliť neočakávaným výdavkom, d) jesť mäso, rybu alebo ekvivalentné jedlo každý druhý deň, e) týždennú dovolenku mimo domu, f) auto, g) práčku, h) farebný televízor, i) telefón (vrátane mobilného telefónu).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Pr="005167F5" w:rsidRDefault="00743140" w:rsidP="005167F5">
    <w:pPr>
      <w:pStyle w:val="Hlavika"/>
      <w:jc w:val="left"/>
      <w:rPr>
        <w:i/>
      </w:rPr>
    </w:pPr>
    <w:r w:rsidRPr="005167F5">
      <w:rPr>
        <w:i/>
      </w:rPr>
      <w:t>Správa o sociálnej situácii obyvateľstva SR za rok 2010</w:t>
    </w:r>
  </w:p>
  <w:p w:rsidR="00743140" w:rsidRDefault="00743140">
    <w:pPr>
      <w:pStyle w:val="Hlavik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Pr="00DF1615" w:rsidRDefault="00743140" w:rsidP="00DF1615">
    <w:pPr>
      <w:pStyle w:val="Hlavika"/>
      <w:jc w:val="left"/>
      <w:rPr>
        <w:i/>
      </w:rPr>
    </w:pPr>
    <w:r w:rsidRPr="004C34A9">
      <w:rPr>
        <w:i/>
      </w:rPr>
      <w:t>Správa o sociálnej situácii obyvateľstva SR za rok 201</w:t>
    </w:r>
    <w:r>
      <w:rPr>
        <w:i/>
      </w:rPr>
      <w:t>1</w:t>
    </w:r>
  </w:p>
  <w:p w:rsidR="00743140" w:rsidRPr="00DF1615" w:rsidRDefault="00743140" w:rsidP="00DF1615">
    <w:pPr>
      <w:pStyle w:val="Hlavika"/>
      <w:rPr>
        <w:i/>
      </w:rPr>
    </w:pPr>
    <w:r w:rsidRPr="00DF1615">
      <w:rPr>
        <w:i/>
      </w:rPr>
      <w:t xml:space="preserve">Kapitola </w:t>
    </w:r>
    <w:r>
      <w:rPr>
        <w:i/>
      </w:rPr>
      <w:t>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671272">
    <w:pPr>
      <w:pStyle w:val="Hlavika"/>
      <w:jc w:val="right"/>
      <w:rPr>
        <w:i/>
      </w:rPr>
    </w:pPr>
    <w:r w:rsidRPr="004C34A9">
      <w:rPr>
        <w:i/>
      </w:rPr>
      <w:t>Správa o sociálnej situácii obyvateľstva SR za rok 201</w:t>
    </w:r>
    <w:r>
      <w:rPr>
        <w:i/>
      </w:rPr>
      <w:t>1</w:t>
    </w:r>
  </w:p>
  <w:p w:rsidR="00743140" w:rsidRPr="00DF1615" w:rsidRDefault="00743140" w:rsidP="00671272">
    <w:pPr>
      <w:pStyle w:val="Hlavika"/>
      <w:jc w:val="right"/>
      <w:rPr>
        <w:i/>
      </w:rPr>
    </w:pPr>
    <w:r>
      <w:rPr>
        <w:i/>
      </w:rPr>
      <w:t>Kapitola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Pr="004C34A9" w:rsidRDefault="00743140" w:rsidP="004C34A9">
    <w:pPr>
      <w:pStyle w:val="Hlavika"/>
      <w:jc w:val="left"/>
      <w:rPr>
        <w:i/>
      </w:rPr>
    </w:pPr>
    <w:r w:rsidRPr="004C34A9">
      <w:rPr>
        <w:i/>
      </w:rPr>
      <w:t>Správa o sociálnej situ</w:t>
    </w:r>
    <w:r>
      <w:rPr>
        <w:i/>
      </w:rPr>
      <w:t>ácii obyvateľstva SR za rok 2011</w:t>
    </w:r>
  </w:p>
  <w:p w:rsidR="00743140" w:rsidRPr="004C34A9" w:rsidRDefault="00743140" w:rsidP="004C34A9">
    <w:pPr>
      <w:pStyle w:val="Hlavika"/>
      <w:jc w:val="left"/>
      <w:rPr>
        <w:i/>
      </w:rPr>
    </w:pPr>
    <w:r>
      <w:rPr>
        <w:i/>
      </w:rPr>
      <w:t>Kapitola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671272">
    <w:pPr>
      <w:pStyle w:val="Hlavika"/>
      <w:jc w:val="right"/>
      <w:rPr>
        <w:i/>
      </w:rPr>
    </w:pPr>
    <w:r w:rsidRPr="004C34A9">
      <w:rPr>
        <w:i/>
      </w:rPr>
      <w:t>Správa o sociálnej situácii obyvateľstva SR za rok 201</w:t>
    </w:r>
    <w:r>
      <w:rPr>
        <w:i/>
      </w:rPr>
      <w:t>1</w:t>
    </w:r>
  </w:p>
  <w:p w:rsidR="00743140" w:rsidRPr="00DF1615" w:rsidRDefault="00743140" w:rsidP="00671272">
    <w:pPr>
      <w:pStyle w:val="Hlavika"/>
      <w:jc w:val="right"/>
      <w:rPr>
        <w:i/>
      </w:rPr>
    </w:pPr>
    <w:r>
      <w:rPr>
        <w:i/>
      </w:rPr>
      <w:t>Kapitola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Pr="004C34A9" w:rsidRDefault="00743140" w:rsidP="004C34A9">
    <w:pPr>
      <w:pStyle w:val="Hlavika"/>
      <w:jc w:val="left"/>
      <w:rPr>
        <w:i/>
      </w:rPr>
    </w:pPr>
    <w:r w:rsidRPr="004C34A9">
      <w:rPr>
        <w:i/>
      </w:rPr>
      <w:t>Správa o sociálnej situ</w:t>
    </w:r>
    <w:r>
      <w:rPr>
        <w:i/>
      </w:rPr>
      <w:t>ácii obyvateľstva SR za rok 2011</w:t>
    </w:r>
  </w:p>
  <w:p w:rsidR="00743140" w:rsidRPr="004C34A9" w:rsidRDefault="00743140" w:rsidP="004C34A9">
    <w:pPr>
      <w:pStyle w:val="Hlavika"/>
      <w:jc w:val="left"/>
      <w:rPr>
        <w:i/>
      </w:rPr>
    </w:pPr>
    <w:r>
      <w:rPr>
        <w:i/>
      </w:rPr>
      <w:t>Kapitola 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671272">
    <w:pPr>
      <w:pStyle w:val="Hlavika"/>
      <w:jc w:val="right"/>
      <w:rPr>
        <w:i/>
      </w:rPr>
    </w:pPr>
    <w:r w:rsidRPr="004C34A9">
      <w:rPr>
        <w:i/>
      </w:rPr>
      <w:t>Správa o sociálnej situácii obyvateľstva SR za rok 201</w:t>
    </w:r>
    <w:r>
      <w:rPr>
        <w:i/>
      </w:rPr>
      <w:t>1</w:t>
    </w:r>
  </w:p>
  <w:p w:rsidR="00743140" w:rsidRPr="00DF1615" w:rsidRDefault="00743140" w:rsidP="00671272">
    <w:pPr>
      <w:pStyle w:val="Hlavika"/>
      <w:jc w:val="right"/>
      <w:rPr>
        <w:i/>
      </w:rPr>
    </w:pPr>
    <w:r>
      <w:rPr>
        <w:i/>
      </w:rPr>
      <w:t>Kapitola 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Pr="004C34A9" w:rsidRDefault="00743140" w:rsidP="000530AE">
    <w:pPr>
      <w:pStyle w:val="Hlavika"/>
      <w:jc w:val="left"/>
      <w:rPr>
        <w:i/>
      </w:rPr>
    </w:pPr>
    <w:r w:rsidRPr="004C34A9">
      <w:rPr>
        <w:i/>
      </w:rPr>
      <w:t>Správa o sociálnej situ</w:t>
    </w:r>
    <w:r>
      <w:rPr>
        <w:i/>
      </w:rPr>
      <w:t>ácii obyvateľstva SR za rok 2011</w:t>
    </w:r>
  </w:p>
  <w:p w:rsidR="00743140" w:rsidRPr="00B11E56" w:rsidRDefault="00743140" w:rsidP="000530AE">
    <w:pPr>
      <w:pStyle w:val="Hlavika"/>
      <w:jc w:val="left"/>
    </w:pPr>
    <w:r>
      <w:rPr>
        <w:i/>
      </w:rPr>
      <w:t>Zoznam príloh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Pr="004C34A9" w:rsidRDefault="00743140" w:rsidP="000530AE">
    <w:pPr>
      <w:pStyle w:val="Hlavika"/>
      <w:jc w:val="right"/>
      <w:rPr>
        <w:i/>
      </w:rPr>
    </w:pPr>
    <w:r w:rsidRPr="004C34A9">
      <w:rPr>
        <w:i/>
      </w:rPr>
      <w:t>Správa o sociálnej situ</w:t>
    </w:r>
    <w:r>
      <w:rPr>
        <w:i/>
      </w:rPr>
      <w:t>ácii obyvateľstva SR za rok 2011</w:t>
    </w:r>
  </w:p>
  <w:p w:rsidR="00743140" w:rsidRPr="00B11E56" w:rsidRDefault="00743140" w:rsidP="000530AE">
    <w:pPr>
      <w:pStyle w:val="Hlavika"/>
      <w:jc w:val="right"/>
    </w:pPr>
    <w:r>
      <w:rPr>
        <w:i/>
      </w:rPr>
      <w:t>Zoznam príloh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671272">
    <w:pPr>
      <w:pStyle w:val="Hlavika"/>
      <w:jc w:val="right"/>
    </w:pPr>
    <w:r w:rsidRPr="004C34A9">
      <w:rPr>
        <w:i/>
      </w:rPr>
      <w:t>Správa o sociálnej situácii obyvateľstva SR za rok 201</w:t>
    </w:r>
    <w:r>
      <w:rPr>
        <w:i/>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DF1615">
    <w:pPr>
      <w:pStyle w:val="Hlavika"/>
      <w:jc w:val="left"/>
      <w:rPr>
        <w:i/>
      </w:rPr>
    </w:pPr>
    <w:r w:rsidRPr="004C34A9">
      <w:rPr>
        <w:i/>
      </w:rPr>
      <w:t>Správa o sociálnej situácii obyvateľstva SR za rok 201</w:t>
    </w:r>
    <w:r>
      <w:rPr>
        <w:i/>
      </w:rPr>
      <w:t>1</w:t>
    </w:r>
  </w:p>
  <w:p w:rsidR="00743140" w:rsidRPr="00DF1615" w:rsidRDefault="00743140" w:rsidP="00DF1615">
    <w:pPr>
      <w:pStyle w:val="Hlavika"/>
      <w:jc w:val="left"/>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975B41">
    <w:pPr>
      <w:pStyle w:val="Hlavika"/>
      <w:jc w:val="right"/>
    </w:pPr>
    <w:r w:rsidRPr="004C34A9">
      <w:rPr>
        <w:i/>
      </w:rPr>
      <w:t>Správa o sociálnej situácii obyvateľstva SR za rok 201</w:t>
    </w:r>
    <w:r>
      <w:rPr>
        <w:i/>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671272">
    <w:pPr>
      <w:pStyle w:val="Hlavika"/>
      <w:jc w:val="right"/>
    </w:pPr>
    <w:r w:rsidRPr="004C34A9">
      <w:rPr>
        <w:i/>
      </w:rPr>
      <w:t>Správa o sociálnej situácii obyvateľstva SR za rok 201</w:t>
    </w:r>
    <w:r>
      <w:rPr>
        <w:i/>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Pr="00DF1615" w:rsidRDefault="00743140" w:rsidP="00DF1615">
    <w:pPr>
      <w:pStyle w:val="Hlavika"/>
      <w:jc w:val="left"/>
      <w:rPr>
        <w:i/>
      </w:rPr>
    </w:pPr>
    <w:r w:rsidRPr="004C34A9">
      <w:rPr>
        <w:i/>
      </w:rPr>
      <w:t>Správa o sociálnej situácii obyvateľstva SR za rok 201</w:t>
    </w:r>
    <w:r>
      <w:rPr>
        <w:i/>
      </w:rPr>
      <w:t>1</w:t>
    </w:r>
  </w:p>
  <w:p w:rsidR="00743140" w:rsidRPr="00DF1615" w:rsidRDefault="00743140" w:rsidP="00DF1615">
    <w:pPr>
      <w:pStyle w:val="Hlavika"/>
      <w:rPr>
        <w:i/>
      </w:rPr>
    </w:pPr>
    <w:r w:rsidRPr="00DF1615">
      <w:rPr>
        <w:i/>
      </w:rPr>
      <w:t>Kapitola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671272">
    <w:pPr>
      <w:pStyle w:val="Hlavika"/>
      <w:jc w:val="right"/>
      <w:rPr>
        <w:i/>
      </w:rPr>
    </w:pPr>
    <w:r w:rsidRPr="004C34A9">
      <w:rPr>
        <w:i/>
      </w:rPr>
      <w:t>Správa o sociálnej situácii obyvateľstva SR za rok 201</w:t>
    </w:r>
    <w:r>
      <w:rPr>
        <w:i/>
      </w:rPr>
      <w:t>1</w:t>
    </w:r>
  </w:p>
  <w:p w:rsidR="00743140" w:rsidRPr="00DF1615" w:rsidRDefault="00743140" w:rsidP="00671272">
    <w:pPr>
      <w:pStyle w:val="Hlavika"/>
      <w:jc w:val="right"/>
      <w:rPr>
        <w:i/>
      </w:rPr>
    </w:pPr>
    <w:r>
      <w:rPr>
        <w:i/>
      </w:rPr>
      <w:t>Kapitola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Pr="00DF1615" w:rsidRDefault="00743140" w:rsidP="00DF1615">
    <w:pPr>
      <w:pStyle w:val="Hlavika"/>
      <w:jc w:val="left"/>
      <w:rPr>
        <w:i/>
      </w:rPr>
    </w:pPr>
    <w:r w:rsidRPr="004C34A9">
      <w:rPr>
        <w:i/>
      </w:rPr>
      <w:t>Správa o sociálnej situácii obyvateľstva SR za rok 201</w:t>
    </w:r>
    <w:r>
      <w:rPr>
        <w:i/>
      </w:rPr>
      <w:t>1</w:t>
    </w:r>
  </w:p>
  <w:p w:rsidR="00743140" w:rsidRPr="00DF1615" w:rsidRDefault="00743140" w:rsidP="00DF1615">
    <w:pPr>
      <w:pStyle w:val="Hlavika"/>
      <w:rPr>
        <w:i/>
      </w:rPr>
    </w:pPr>
    <w:r w:rsidRPr="00DF1615">
      <w:rPr>
        <w:i/>
      </w:rPr>
      <w:t xml:space="preserve">Kapitola </w:t>
    </w:r>
    <w:r>
      <w:rPr>
        <w:i/>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40" w:rsidRDefault="00743140" w:rsidP="00671272">
    <w:pPr>
      <w:pStyle w:val="Hlavika"/>
      <w:jc w:val="right"/>
      <w:rPr>
        <w:i/>
      </w:rPr>
    </w:pPr>
    <w:r w:rsidRPr="004C34A9">
      <w:rPr>
        <w:i/>
      </w:rPr>
      <w:t>Správa o sociálnej situácii obyvateľstva SR za rok 201</w:t>
    </w:r>
    <w:r>
      <w:rPr>
        <w:i/>
      </w:rPr>
      <w:t>1</w:t>
    </w:r>
  </w:p>
  <w:p w:rsidR="00743140" w:rsidRPr="00DF1615" w:rsidRDefault="00743140" w:rsidP="00671272">
    <w:pPr>
      <w:pStyle w:val="Hlavika"/>
      <w:jc w:val="right"/>
      <w:rPr>
        <w:i/>
      </w:rPr>
    </w:pPr>
    <w:r>
      <w:rPr>
        <w:i/>
      </w:rPr>
      <w:t>Kapitola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30"/>
    <w:lvl w:ilvl="0">
      <w:start w:val="1"/>
      <w:numFmt w:val="bullet"/>
      <w:lvlText w:val=""/>
      <w:lvlJc w:val="left"/>
      <w:pPr>
        <w:tabs>
          <w:tab w:val="num" w:pos="-76"/>
        </w:tabs>
        <w:ind w:left="644" w:hanging="360"/>
      </w:pPr>
      <w:rPr>
        <w:rFonts w:ascii="Symbol" w:hAnsi="Symbol" w:cs="Times New Roman"/>
      </w:rPr>
    </w:lvl>
  </w:abstractNum>
  <w:abstractNum w:abstractNumId="1">
    <w:nsid w:val="00974DA2"/>
    <w:multiLevelType w:val="hybridMultilevel"/>
    <w:tmpl w:val="BC5833E6"/>
    <w:lvl w:ilvl="0" w:tplc="5F2A4220">
      <w:start w:val="1"/>
      <w:numFmt w:val="bullet"/>
      <w:lvlText w:val=""/>
      <w:lvlJc w:val="left"/>
      <w:pPr>
        <w:tabs>
          <w:tab w:val="num" w:pos="720"/>
        </w:tabs>
        <w:ind w:left="720" w:hanging="360"/>
      </w:pPr>
      <w:rPr>
        <w:rFonts w:ascii="Wingdings 2" w:hAnsi="Wingdings 2" w:hint="default"/>
        <w:color w:val="4F81BD" w:themeColor="accent1"/>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39F29C3"/>
    <w:multiLevelType w:val="hybridMultilevel"/>
    <w:tmpl w:val="31364512"/>
    <w:lvl w:ilvl="0" w:tplc="5F2A4220">
      <w:start w:val="1"/>
      <w:numFmt w:val="bullet"/>
      <w:lvlText w:val=""/>
      <w:lvlJc w:val="left"/>
      <w:pPr>
        <w:ind w:left="720" w:hanging="360"/>
      </w:pPr>
      <w:rPr>
        <w:rFonts w:ascii="Wingdings 2" w:hAnsi="Wingdings 2" w:hint="default"/>
        <w:color w:val="4F81B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B26B74"/>
    <w:multiLevelType w:val="hybridMultilevel"/>
    <w:tmpl w:val="2C46C4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09C17162"/>
    <w:multiLevelType w:val="hybridMultilevel"/>
    <w:tmpl w:val="AAB45C0C"/>
    <w:lvl w:ilvl="0" w:tplc="5F2A4220">
      <w:start w:val="1"/>
      <w:numFmt w:val="bullet"/>
      <w:lvlText w:val=""/>
      <w:lvlJc w:val="left"/>
      <w:pPr>
        <w:tabs>
          <w:tab w:val="num" w:pos="720"/>
        </w:tabs>
        <w:ind w:left="720" w:hanging="360"/>
      </w:pPr>
      <w:rPr>
        <w:rFonts w:ascii="Wingdings 2" w:hAnsi="Wingdings 2" w:hint="default"/>
        <w:color w:val="4F81BD"/>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0A436F07"/>
    <w:multiLevelType w:val="hybridMultilevel"/>
    <w:tmpl w:val="D85A8C74"/>
    <w:lvl w:ilvl="0" w:tplc="0E10E50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0CE60A00"/>
    <w:multiLevelType w:val="hybridMultilevel"/>
    <w:tmpl w:val="6B9241FA"/>
    <w:lvl w:ilvl="0" w:tplc="5F2A4220">
      <w:start w:val="1"/>
      <w:numFmt w:val="bullet"/>
      <w:lvlText w:val=""/>
      <w:lvlJc w:val="left"/>
      <w:pPr>
        <w:ind w:left="360" w:hanging="360"/>
      </w:pPr>
      <w:rPr>
        <w:rFonts w:ascii="Wingdings 2" w:hAnsi="Wingdings 2" w:hint="default"/>
        <w:color w:val="4F81BD" w:themeColor="accent1"/>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DF51DE4"/>
    <w:multiLevelType w:val="hybridMultilevel"/>
    <w:tmpl w:val="EA184F1A"/>
    <w:lvl w:ilvl="0" w:tplc="F6ACBF76">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0E0D342E"/>
    <w:multiLevelType w:val="hybridMultilevel"/>
    <w:tmpl w:val="CE5A0132"/>
    <w:lvl w:ilvl="0" w:tplc="5F2A4220">
      <w:start w:val="1"/>
      <w:numFmt w:val="bullet"/>
      <w:lvlText w:val=""/>
      <w:lvlJc w:val="left"/>
      <w:pPr>
        <w:ind w:left="720" w:hanging="360"/>
      </w:pPr>
      <w:rPr>
        <w:rFonts w:ascii="Wingdings 2" w:hAnsi="Wingdings 2" w:hint="default"/>
        <w:color w:val="4F81BD" w:themeColor="accen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cs="Wingdings" w:hint="default"/>
      </w:rPr>
    </w:lvl>
  </w:abstractNum>
  <w:abstractNum w:abstractNumId="10">
    <w:nsid w:val="12B3211C"/>
    <w:multiLevelType w:val="hybridMultilevel"/>
    <w:tmpl w:val="5C14C7DE"/>
    <w:lvl w:ilvl="0" w:tplc="5F2A4220">
      <w:start w:val="1"/>
      <w:numFmt w:val="bullet"/>
      <w:lvlText w:val=""/>
      <w:lvlJc w:val="left"/>
      <w:pPr>
        <w:ind w:left="720" w:hanging="360"/>
      </w:pPr>
      <w:rPr>
        <w:rFonts w:ascii="Wingdings 2" w:hAnsi="Wingdings 2" w:hint="default"/>
        <w:color w:val="4F81BD" w:themeColor="accen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2D52D2A"/>
    <w:multiLevelType w:val="hybridMultilevel"/>
    <w:tmpl w:val="CAA836BA"/>
    <w:lvl w:ilvl="0" w:tplc="BDEE0324">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8E549BF"/>
    <w:multiLevelType w:val="hybridMultilevel"/>
    <w:tmpl w:val="BB1CC88E"/>
    <w:lvl w:ilvl="0" w:tplc="041B0001">
      <w:start w:val="1"/>
      <w:numFmt w:val="bullet"/>
      <w:lvlText w:val=""/>
      <w:lvlJc w:val="left"/>
      <w:pPr>
        <w:ind w:left="720" w:hanging="360"/>
      </w:pPr>
      <w:rPr>
        <w:rFonts w:ascii="Symbol" w:hAnsi="Symbol" w:hint="default"/>
      </w:rPr>
    </w:lvl>
    <w:lvl w:ilvl="1" w:tplc="8E585A48">
      <w:numFmt w:val="bullet"/>
      <w:lvlText w:val="-"/>
      <w:lvlJc w:val="left"/>
      <w:pPr>
        <w:ind w:left="1440" w:hanging="360"/>
      </w:pPr>
      <w:rPr>
        <w:rFonts w:ascii="Times New Roman" w:eastAsia="Times New Roman" w:hAnsi="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A403161"/>
    <w:multiLevelType w:val="hybridMultilevel"/>
    <w:tmpl w:val="51AED34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4">
    <w:nsid w:val="1BBB0DFF"/>
    <w:multiLevelType w:val="hybridMultilevel"/>
    <w:tmpl w:val="5360E7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1D266256"/>
    <w:multiLevelType w:val="multilevel"/>
    <w:tmpl w:val="FC8C462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6"/>
      <w:lvlText w:val="%1.%2.%3"/>
      <w:lvlJc w:val="left"/>
      <w:pPr>
        <w:ind w:left="720" w:hanging="720"/>
      </w:pPr>
      <w:rPr>
        <w:rFonts w:hint="default"/>
      </w:rPr>
    </w:lvl>
    <w:lvl w:ilvl="3">
      <w:start w:val="1"/>
      <w:numFmt w:val="decimal"/>
      <w:pStyle w:val="Nadpis41"/>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0201829"/>
    <w:multiLevelType w:val="hybridMultilevel"/>
    <w:tmpl w:val="2000042C"/>
    <w:lvl w:ilvl="0" w:tplc="BDEE0324">
      <w:start w:val="2"/>
      <w:numFmt w:val="bullet"/>
      <w:lvlText w:val="-"/>
      <w:lvlJc w:val="left"/>
      <w:pPr>
        <w:tabs>
          <w:tab w:val="num" w:pos="360"/>
        </w:tabs>
        <w:ind w:left="360" w:hanging="360"/>
      </w:pPr>
      <w:rPr>
        <w:rFonts w:ascii="Times New Roman" w:eastAsia="Times New Roman" w:hAnsi="Times New Roman"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7">
    <w:nsid w:val="2459165A"/>
    <w:multiLevelType w:val="multilevel"/>
    <w:tmpl w:val="FD985B04"/>
    <w:lvl w:ilvl="0">
      <w:start w:val="1"/>
      <w:numFmt w:val="bullet"/>
      <w:pStyle w:val="bullet1"/>
      <w:lvlText w:val="-"/>
      <w:lvlJc w:val="left"/>
      <w:pPr>
        <w:ind w:left="360" w:hanging="360"/>
      </w:pPr>
      <w:rPr>
        <w:rFonts w:ascii="Times New Roman" w:eastAsia="Times New Roman" w:hAnsi="Times New Roman" w:cs="Times New Roman"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272D339C"/>
    <w:multiLevelType w:val="hybridMultilevel"/>
    <w:tmpl w:val="CBEA7CBE"/>
    <w:lvl w:ilvl="0" w:tplc="5F2A4220">
      <w:start w:val="1"/>
      <w:numFmt w:val="bullet"/>
      <w:lvlText w:val=""/>
      <w:lvlJc w:val="left"/>
      <w:pPr>
        <w:ind w:left="720" w:hanging="360"/>
      </w:pPr>
      <w:rPr>
        <w:rFonts w:ascii="Wingdings 2" w:hAnsi="Wingdings 2" w:hint="default"/>
        <w:color w:val="4F81BD" w:themeColor="accen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C8355F9"/>
    <w:multiLevelType w:val="hybridMultilevel"/>
    <w:tmpl w:val="D3A2938A"/>
    <w:lvl w:ilvl="0" w:tplc="5F2A4220">
      <w:start w:val="1"/>
      <w:numFmt w:val="bullet"/>
      <w:lvlText w:val=""/>
      <w:lvlJc w:val="left"/>
      <w:pPr>
        <w:ind w:left="360" w:hanging="360"/>
      </w:pPr>
      <w:rPr>
        <w:rFonts w:ascii="Wingdings 2" w:hAnsi="Wingdings 2" w:hint="default"/>
        <w:color w:val="4F81BD"/>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3ACF510F"/>
    <w:multiLevelType w:val="multilevel"/>
    <w:tmpl w:val="2926FD34"/>
    <w:lvl w:ilvl="0">
      <w:start w:val="3"/>
      <w:numFmt w:val="decimal"/>
      <w:pStyle w:val="Sprva-Nadpis1"/>
      <w:lvlText w:val="%1"/>
      <w:lvlJc w:val="left"/>
      <w:pPr>
        <w:ind w:left="709" w:hanging="709"/>
      </w:pPr>
      <w:rPr>
        <w:rFonts w:cs="Times New Roman" w:hint="default"/>
      </w:rPr>
    </w:lvl>
    <w:lvl w:ilvl="1">
      <w:start w:val="1"/>
      <w:numFmt w:val="decimal"/>
      <w:pStyle w:val="Sprva-Nadpis2"/>
      <w:lvlText w:val="%1.%2"/>
      <w:lvlJc w:val="left"/>
      <w:pPr>
        <w:ind w:left="1342" w:hanging="349"/>
      </w:pPr>
      <w:rPr>
        <w:rFonts w:cs="Times New Roman" w:hint="default"/>
      </w:rPr>
    </w:lvl>
    <w:lvl w:ilvl="2">
      <w:start w:val="1"/>
      <w:numFmt w:val="decimal"/>
      <w:pStyle w:val="Sprva-Nadpis3"/>
      <w:lvlText w:val="%1.%2.%3"/>
      <w:lvlJc w:val="left"/>
      <w:pPr>
        <w:ind w:left="1124" w:firstLine="1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D8251F6"/>
    <w:multiLevelType w:val="hybridMultilevel"/>
    <w:tmpl w:val="BB380860"/>
    <w:lvl w:ilvl="0" w:tplc="8F44A7B4">
      <w:start w:val="1"/>
      <w:numFmt w:val="lowerLetter"/>
      <w:lvlText w:val="%1)"/>
      <w:lvlJc w:val="left"/>
      <w:pPr>
        <w:tabs>
          <w:tab w:val="num" w:pos="1068"/>
        </w:tabs>
        <w:ind w:left="1068" w:hanging="360"/>
      </w:pPr>
      <w:rPr>
        <w:rFonts w:cs="Times New Roman" w:hint="default"/>
      </w:rPr>
    </w:lvl>
    <w:lvl w:ilvl="1" w:tplc="041B0003">
      <w:start w:val="1"/>
      <w:numFmt w:val="bullet"/>
      <w:lvlText w:val="o"/>
      <w:lvlJc w:val="left"/>
      <w:pPr>
        <w:tabs>
          <w:tab w:val="num" w:pos="1788"/>
        </w:tabs>
        <w:ind w:left="1788" w:hanging="360"/>
      </w:pPr>
      <w:rPr>
        <w:rFonts w:ascii="Courier New" w:hAnsi="Courier New" w:hint="default"/>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2">
    <w:nsid w:val="3F85115D"/>
    <w:multiLevelType w:val="multilevel"/>
    <w:tmpl w:val="9AC2A79E"/>
    <w:lvl w:ilvl="0">
      <w:start w:val="1"/>
      <w:numFmt w:val="decimal"/>
      <w:pStyle w:val="AAAAchapter"/>
      <w:lvlText w:val="%1"/>
      <w:lvlJc w:val="left"/>
      <w:pPr>
        <w:tabs>
          <w:tab w:val="num" w:pos="432"/>
        </w:tabs>
        <w:ind w:left="432" w:hanging="432"/>
      </w:pPr>
      <w:rPr>
        <w:rFonts w:cs="Times New Roman" w:hint="default"/>
      </w:rPr>
    </w:lvl>
    <w:lvl w:ilvl="1">
      <w:start w:val="1"/>
      <w:numFmt w:val="decimal"/>
      <w:pStyle w:val="AAAAsubsection"/>
      <w:lvlText w:val="%1.%2"/>
      <w:lvlJc w:val="left"/>
      <w:pPr>
        <w:tabs>
          <w:tab w:val="num" w:pos="576"/>
        </w:tabs>
        <w:ind w:left="576" w:hanging="576"/>
      </w:pPr>
      <w:rPr>
        <w:rFonts w:cs="Times New Roman" w:hint="default"/>
      </w:rPr>
    </w:lvl>
    <w:lvl w:ilvl="2">
      <w:start w:val="1"/>
      <w:numFmt w:val="decimal"/>
      <w:pStyle w:val="AAAAsubsub"/>
      <w:lvlText w:val="%1.%2.%3"/>
      <w:lvlJc w:val="left"/>
      <w:pPr>
        <w:tabs>
          <w:tab w:val="num" w:pos="720"/>
        </w:tabs>
        <w:ind w:left="720" w:hanging="720"/>
      </w:pPr>
      <w:rPr>
        <w:rFonts w:cs="Times New Roman" w:hint="default"/>
      </w:rPr>
    </w:lvl>
    <w:lvl w:ilvl="3">
      <w:start w:val="1"/>
      <w:numFmt w:val="decimal"/>
      <w:lvlText w:val="%1.%2.%3.%4"/>
      <w:lvlJc w:val="left"/>
      <w:pPr>
        <w:tabs>
          <w:tab w:val="num" w:pos="1044"/>
        </w:tabs>
        <w:ind w:left="104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44582571"/>
    <w:multiLevelType w:val="multilevel"/>
    <w:tmpl w:val="6092326E"/>
    <w:lvl w:ilvl="0">
      <w:start w:val="1"/>
      <w:numFmt w:val="lowerLetter"/>
      <w:pStyle w:val="zlozenyzoznam"/>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44C2196B"/>
    <w:multiLevelType w:val="hybridMultilevel"/>
    <w:tmpl w:val="7D5EF946"/>
    <w:lvl w:ilvl="0" w:tplc="5F2A4220">
      <w:start w:val="1"/>
      <w:numFmt w:val="bullet"/>
      <w:lvlText w:val=""/>
      <w:lvlJc w:val="left"/>
      <w:pPr>
        <w:ind w:left="720" w:hanging="360"/>
      </w:pPr>
      <w:rPr>
        <w:rFonts w:ascii="Wingdings 2" w:hAnsi="Wingdings 2" w:hint="default"/>
        <w:color w:val="4F81BD" w:themeColor="accen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89666DE"/>
    <w:multiLevelType w:val="hybridMultilevel"/>
    <w:tmpl w:val="BF4C7446"/>
    <w:lvl w:ilvl="0" w:tplc="5F2A4220">
      <w:start w:val="1"/>
      <w:numFmt w:val="bullet"/>
      <w:lvlText w:val=""/>
      <w:lvlJc w:val="left"/>
      <w:pPr>
        <w:ind w:left="720" w:hanging="360"/>
      </w:pPr>
      <w:rPr>
        <w:rFonts w:ascii="Wingdings 2" w:hAnsi="Wingdings 2" w:hint="default"/>
        <w:color w:val="4F81BD" w:themeColor="accen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96902A5"/>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9AF703E"/>
    <w:multiLevelType w:val="hybridMultilevel"/>
    <w:tmpl w:val="988E01B4"/>
    <w:lvl w:ilvl="0" w:tplc="5F2A4220">
      <w:start w:val="1"/>
      <w:numFmt w:val="bullet"/>
      <w:lvlText w:val=""/>
      <w:lvlJc w:val="left"/>
      <w:pPr>
        <w:ind w:left="720" w:hanging="360"/>
      </w:pPr>
      <w:rPr>
        <w:rFonts w:ascii="Wingdings 2" w:hAnsi="Wingdings 2" w:hint="default"/>
        <w:color w:val="4F81BD" w:themeColor="accen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84514FF"/>
    <w:multiLevelType w:val="hybridMultilevel"/>
    <w:tmpl w:val="2E20CBAE"/>
    <w:lvl w:ilvl="0" w:tplc="5F2A4220">
      <w:start w:val="1"/>
      <w:numFmt w:val="bullet"/>
      <w:lvlText w:val=""/>
      <w:lvlJc w:val="left"/>
      <w:pPr>
        <w:tabs>
          <w:tab w:val="num" w:pos="720"/>
        </w:tabs>
        <w:ind w:left="720" w:hanging="360"/>
      </w:pPr>
      <w:rPr>
        <w:rFonts w:ascii="Wingdings 2" w:hAnsi="Wingdings 2" w:hint="default"/>
        <w:color w:val="4F81BD"/>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584755C4"/>
    <w:multiLevelType w:val="hybridMultilevel"/>
    <w:tmpl w:val="4F2221A8"/>
    <w:lvl w:ilvl="0" w:tplc="5F2A4220">
      <w:start w:val="1"/>
      <w:numFmt w:val="bullet"/>
      <w:lvlText w:val=""/>
      <w:lvlJc w:val="left"/>
      <w:pPr>
        <w:tabs>
          <w:tab w:val="num" w:pos="600"/>
        </w:tabs>
        <w:ind w:left="600" w:hanging="360"/>
      </w:pPr>
      <w:rPr>
        <w:rFonts w:ascii="Wingdings 2" w:hAnsi="Wingdings 2" w:hint="default"/>
        <w:color w:val="4F81BD" w:themeColor="accent1"/>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587E24FB"/>
    <w:multiLevelType w:val="hybridMultilevel"/>
    <w:tmpl w:val="D05285BC"/>
    <w:lvl w:ilvl="0" w:tplc="8E585A48">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D56037A"/>
    <w:multiLevelType w:val="hybridMultilevel"/>
    <w:tmpl w:val="CEA299A0"/>
    <w:lvl w:ilvl="0" w:tplc="5F2A4220">
      <w:start w:val="1"/>
      <w:numFmt w:val="bullet"/>
      <w:lvlText w:val=""/>
      <w:lvlJc w:val="left"/>
      <w:pPr>
        <w:tabs>
          <w:tab w:val="num" w:pos="720"/>
        </w:tabs>
        <w:ind w:left="720" w:hanging="360"/>
      </w:pPr>
      <w:rPr>
        <w:rFonts w:ascii="Wingdings 2" w:hAnsi="Wingdings 2" w:hint="default"/>
        <w:color w:val="4F81BD"/>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DFA7E3F"/>
    <w:multiLevelType w:val="multilevel"/>
    <w:tmpl w:val="74B232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9B081D"/>
    <w:multiLevelType w:val="hybridMultilevel"/>
    <w:tmpl w:val="A1663030"/>
    <w:lvl w:ilvl="0" w:tplc="5F2A4220">
      <w:start w:val="1"/>
      <w:numFmt w:val="bullet"/>
      <w:lvlText w:val=""/>
      <w:lvlJc w:val="left"/>
      <w:pPr>
        <w:ind w:left="720" w:hanging="360"/>
      </w:pPr>
      <w:rPr>
        <w:rFonts w:ascii="Wingdings 2" w:hAnsi="Wingdings 2" w:hint="default"/>
        <w:color w:val="4F81B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13167EC"/>
    <w:multiLevelType w:val="hybridMultilevel"/>
    <w:tmpl w:val="C490740A"/>
    <w:lvl w:ilvl="0" w:tplc="041B0003">
      <w:start w:val="1"/>
      <w:numFmt w:val="lowerLetter"/>
      <w:pStyle w:val="06roz"/>
      <w:lvlText w:val="%1)"/>
      <w:lvlJc w:val="left"/>
      <w:pPr>
        <w:tabs>
          <w:tab w:val="num" w:pos="720"/>
        </w:tabs>
        <w:ind w:left="720" w:hanging="363"/>
      </w:pPr>
      <w:rPr>
        <w:rFonts w:hint="default"/>
        <w:i w:val="0"/>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5">
    <w:nsid w:val="62A94076"/>
    <w:multiLevelType w:val="hybridMultilevel"/>
    <w:tmpl w:val="21BCA90A"/>
    <w:lvl w:ilvl="0" w:tplc="966AEAE4">
      <w:start w:val="1"/>
      <w:numFmt w:val="bullet"/>
      <w:pStyle w:val="bullet2"/>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6">
    <w:nsid w:val="678C237C"/>
    <w:multiLevelType w:val="hybridMultilevel"/>
    <w:tmpl w:val="E53A73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nsid w:val="6B3A5649"/>
    <w:multiLevelType w:val="hybridMultilevel"/>
    <w:tmpl w:val="0B66A85E"/>
    <w:lvl w:ilvl="0" w:tplc="5F2A4220">
      <w:start w:val="1"/>
      <w:numFmt w:val="bullet"/>
      <w:lvlText w:val=""/>
      <w:lvlJc w:val="left"/>
      <w:pPr>
        <w:tabs>
          <w:tab w:val="num" w:pos="643"/>
        </w:tabs>
        <w:ind w:left="643" w:hanging="360"/>
      </w:pPr>
      <w:rPr>
        <w:rFonts w:ascii="Wingdings 2" w:hAnsi="Wingdings 2" w:hint="default"/>
        <w:color w:val="4F81BD" w:themeColor="accent1"/>
      </w:rPr>
    </w:lvl>
    <w:lvl w:ilvl="1" w:tplc="041B0003" w:tentative="1">
      <w:start w:val="1"/>
      <w:numFmt w:val="bullet"/>
      <w:lvlText w:val="o"/>
      <w:lvlJc w:val="left"/>
      <w:pPr>
        <w:tabs>
          <w:tab w:val="num" w:pos="1723"/>
        </w:tabs>
        <w:ind w:left="1723" w:hanging="360"/>
      </w:pPr>
      <w:rPr>
        <w:rFonts w:ascii="Courier New" w:hAnsi="Courier New" w:cs="Courier New" w:hint="default"/>
      </w:rPr>
    </w:lvl>
    <w:lvl w:ilvl="2" w:tplc="041B0005" w:tentative="1">
      <w:start w:val="1"/>
      <w:numFmt w:val="bullet"/>
      <w:lvlText w:val=""/>
      <w:lvlJc w:val="left"/>
      <w:pPr>
        <w:tabs>
          <w:tab w:val="num" w:pos="2443"/>
        </w:tabs>
        <w:ind w:left="2443" w:hanging="360"/>
      </w:pPr>
      <w:rPr>
        <w:rFonts w:ascii="Wingdings" w:hAnsi="Wingdings"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cs="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cs="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38">
    <w:nsid w:val="6B7E02B0"/>
    <w:multiLevelType w:val="hybridMultilevel"/>
    <w:tmpl w:val="6FF6AD7C"/>
    <w:lvl w:ilvl="0" w:tplc="BDEE0324">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000791C"/>
    <w:multiLevelType w:val="multilevel"/>
    <w:tmpl w:val="D9D6A63A"/>
    <w:lvl w:ilvl="0">
      <w:numFmt w:val="bullet"/>
      <w:lvlText w:val="-"/>
      <w:lvlJc w:val="left"/>
      <w:pPr>
        <w:tabs>
          <w:tab w:val="num" w:pos="720"/>
        </w:tabs>
        <w:ind w:left="720" w:hanging="360"/>
      </w:pPr>
      <w:rPr>
        <w:rFonts w:ascii="Times New Roman" w:eastAsia="Times New Roman" w:hAnsi="Times New Roman" w:hint="default"/>
        <w:b/>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FA30F3"/>
    <w:multiLevelType w:val="hybridMultilevel"/>
    <w:tmpl w:val="AEF6924C"/>
    <w:lvl w:ilvl="0" w:tplc="5F2A4220">
      <w:start w:val="1"/>
      <w:numFmt w:val="bullet"/>
      <w:lvlText w:val=""/>
      <w:lvlJc w:val="left"/>
      <w:pPr>
        <w:ind w:left="720" w:hanging="360"/>
      </w:pPr>
      <w:rPr>
        <w:rFonts w:ascii="Wingdings 2" w:hAnsi="Wingdings 2" w:hint="default"/>
        <w:color w:val="4F81BD" w:themeColor="accen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3EA3159"/>
    <w:multiLevelType w:val="hybridMultilevel"/>
    <w:tmpl w:val="A19AFBDA"/>
    <w:lvl w:ilvl="0" w:tplc="041B0001">
      <w:start w:val="1"/>
      <w:numFmt w:val="bullet"/>
      <w:lvlText w:val=""/>
      <w:lvlJc w:val="left"/>
      <w:pPr>
        <w:ind w:left="720" w:hanging="360"/>
      </w:pPr>
      <w:rPr>
        <w:rFonts w:ascii="Symbol" w:hAnsi="Symbol" w:hint="default"/>
      </w:rPr>
    </w:lvl>
    <w:lvl w:ilvl="1" w:tplc="8E585A48">
      <w:numFmt w:val="bullet"/>
      <w:lvlText w:val="-"/>
      <w:lvlJc w:val="left"/>
      <w:pPr>
        <w:ind w:left="1440" w:hanging="360"/>
      </w:pPr>
      <w:rPr>
        <w:rFonts w:ascii="Times New Roman" w:eastAsia="Times New Roman" w:hAnsi="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0"/>
      <w:lvlText w:val="%1.%2."/>
      <w:lvlJc w:val="left"/>
      <w:pPr>
        <w:ind w:left="792" w:hanging="432"/>
      </w:pPr>
      <w:rPr>
        <w:rFonts w:cs="Times New Roman"/>
      </w:rPr>
    </w:lvl>
    <w:lvl w:ilvl="2">
      <w:start w:val="1"/>
      <w:numFmt w:val="decimal"/>
      <w:pStyle w:val="Nadpis20"/>
      <w:lvlText w:val="%1.%2.%3."/>
      <w:lvlJc w:val="left"/>
      <w:pPr>
        <w:ind w:left="50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4EF5768"/>
    <w:multiLevelType w:val="hybridMultilevel"/>
    <w:tmpl w:val="D660DF3A"/>
    <w:lvl w:ilvl="0" w:tplc="041B000B">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pStyle w:val="Nadpis3"/>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7E3E7305"/>
    <w:multiLevelType w:val="hybridMultilevel"/>
    <w:tmpl w:val="35A2123E"/>
    <w:lvl w:ilvl="0" w:tplc="336401C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F8438A4"/>
    <w:multiLevelType w:val="hybridMultilevel"/>
    <w:tmpl w:val="E4985640"/>
    <w:lvl w:ilvl="0" w:tplc="5F2A4220">
      <w:start w:val="1"/>
      <w:numFmt w:val="bullet"/>
      <w:lvlText w:val=""/>
      <w:lvlJc w:val="left"/>
      <w:pPr>
        <w:ind w:left="1428" w:hanging="360"/>
      </w:pPr>
      <w:rPr>
        <w:rFonts w:ascii="Wingdings 2" w:hAnsi="Wingdings 2" w:hint="default"/>
        <w:color w:val="4F81BD" w:themeColor="accent1"/>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2"/>
  </w:num>
  <w:num w:numId="2">
    <w:abstractNumId w:val="34"/>
  </w:num>
  <w:num w:numId="3">
    <w:abstractNumId w:val="9"/>
  </w:num>
  <w:num w:numId="4">
    <w:abstractNumId w:val="26"/>
  </w:num>
  <w:num w:numId="5">
    <w:abstractNumId w:val="20"/>
  </w:num>
  <w:num w:numId="6">
    <w:abstractNumId w:val="3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3"/>
  </w:num>
  <w:num w:numId="10">
    <w:abstractNumId w:val="16"/>
  </w:num>
  <w:num w:numId="11">
    <w:abstractNumId w:val="21"/>
  </w:num>
  <w:num w:numId="12">
    <w:abstractNumId w:val="19"/>
  </w:num>
  <w:num w:numId="13">
    <w:abstractNumId w:val="33"/>
  </w:num>
  <w:num w:numId="14">
    <w:abstractNumId w:val="42"/>
  </w:num>
  <w:num w:numId="15">
    <w:abstractNumId w:val="6"/>
  </w:num>
  <w:num w:numId="16">
    <w:abstractNumId w:val="44"/>
  </w:num>
  <w:num w:numId="17">
    <w:abstractNumId w:val="1"/>
  </w:num>
  <w:num w:numId="18">
    <w:abstractNumId w:val="7"/>
  </w:num>
  <w:num w:numId="19">
    <w:abstractNumId w:val="2"/>
  </w:num>
  <w:num w:numId="20">
    <w:abstractNumId w:val="25"/>
  </w:num>
  <w:num w:numId="21">
    <w:abstractNumId w:val="5"/>
  </w:num>
  <w:num w:numId="22">
    <w:abstractNumId w:val="45"/>
  </w:num>
  <w:num w:numId="23">
    <w:abstractNumId w:val="18"/>
  </w:num>
  <w:num w:numId="24">
    <w:abstractNumId w:val="24"/>
  </w:num>
  <w:num w:numId="25">
    <w:abstractNumId w:val="38"/>
  </w:num>
  <w:num w:numId="26">
    <w:abstractNumId w:val="11"/>
  </w:num>
  <w:num w:numId="27">
    <w:abstractNumId w:val="37"/>
  </w:num>
  <w:num w:numId="28">
    <w:abstractNumId w:val="29"/>
  </w:num>
  <w:num w:numId="29">
    <w:abstractNumId w:val="40"/>
  </w:num>
  <w:num w:numId="30">
    <w:abstractNumId w:val="27"/>
  </w:num>
  <w:num w:numId="31">
    <w:abstractNumId w:val="8"/>
  </w:num>
  <w:num w:numId="32">
    <w:abstractNumId w:val="12"/>
  </w:num>
  <w:num w:numId="33">
    <w:abstractNumId w:val="41"/>
  </w:num>
  <w:num w:numId="34">
    <w:abstractNumId w:val="30"/>
  </w:num>
  <w:num w:numId="35">
    <w:abstractNumId w:val="10"/>
  </w:num>
  <w:num w:numId="36">
    <w:abstractNumId w:val="39"/>
  </w:num>
  <w:num w:numId="37">
    <w:abstractNumId w:val="28"/>
  </w:num>
  <w:num w:numId="38">
    <w:abstractNumId w:val="31"/>
  </w:num>
  <w:num w:numId="39">
    <w:abstractNumId w:val="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4"/>
  </w:num>
  <w:num w:numId="43">
    <w:abstractNumId w:val="13"/>
  </w:num>
  <w:num w:numId="44">
    <w:abstractNumId w:val="36"/>
  </w:num>
  <w:num w:numId="45">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1758"/>
    <w:rsid w:val="0000300D"/>
    <w:rsid w:val="000033B4"/>
    <w:rsid w:val="0000437D"/>
    <w:rsid w:val="000054BF"/>
    <w:rsid w:val="0000644D"/>
    <w:rsid w:val="00007323"/>
    <w:rsid w:val="00007827"/>
    <w:rsid w:val="000108BB"/>
    <w:rsid w:val="00010BEA"/>
    <w:rsid w:val="000114DD"/>
    <w:rsid w:val="000128B4"/>
    <w:rsid w:val="00012D23"/>
    <w:rsid w:val="0001311C"/>
    <w:rsid w:val="00013231"/>
    <w:rsid w:val="000146D6"/>
    <w:rsid w:val="000146F1"/>
    <w:rsid w:val="0001551D"/>
    <w:rsid w:val="000163BC"/>
    <w:rsid w:val="00016464"/>
    <w:rsid w:val="00017834"/>
    <w:rsid w:val="00017D5E"/>
    <w:rsid w:val="00021426"/>
    <w:rsid w:val="00021A3C"/>
    <w:rsid w:val="00021CB4"/>
    <w:rsid w:val="00023835"/>
    <w:rsid w:val="00024B43"/>
    <w:rsid w:val="00026024"/>
    <w:rsid w:val="00026A73"/>
    <w:rsid w:val="000274F0"/>
    <w:rsid w:val="00030FC3"/>
    <w:rsid w:val="0003275B"/>
    <w:rsid w:val="0003339A"/>
    <w:rsid w:val="0003460D"/>
    <w:rsid w:val="000360FA"/>
    <w:rsid w:val="00040B43"/>
    <w:rsid w:val="00041244"/>
    <w:rsid w:val="000414A7"/>
    <w:rsid w:val="00041989"/>
    <w:rsid w:val="00041B72"/>
    <w:rsid w:val="00043839"/>
    <w:rsid w:val="00044B6E"/>
    <w:rsid w:val="00044E79"/>
    <w:rsid w:val="00045675"/>
    <w:rsid w:val="000458D8"/>
    <w:rsid w:val="00046B5D"/>
    <w:rsid w:val="00051A06"/>
    <w:rsid w:val="000520E5"/>
    <w:rsid w:val="000530AE"/>
    <w:rsid w:val="00053448"/>
    <w:rsid w:val="00053530"/>
    <w:rsid w:val="00053DC9"/>
    <w:rsid w:val="000543B1"/>
    <w:rsid w:val="00054E60"/>
    <w:rsid w:val="000550A4"/>
    <w:rsid w:val="00055580"/>
    <w:rsid w:val="00055B95"/>
    <w:rsid w:val="00056165"/>
    <w:rsid w:val="0005627F"/>
    <w:rsid w:val="00056A68"/>
    <w:rsid w:val="00057136"/>
    <w:rsid w:val="0005732A"/>
    <w:rsid w:val="00060065"/>
    <w:rsid w:val="00060403"/>
    <w:rsid w:val="000612CA"/>
    <w:rsid w:val="000616EB"/>
    <w:rsid w:val="00062044"/>
    <w:rsid w:val="00062AB1"/>
    <w:rsid w:val="00063840"/>
    <w:rsid w:val="00064567"/>
    <w:rsid w:val="0006511F"/>
    <w:rsid w:val="0006536D"/>
    <w:rsid w:val="00065468"/>
    <w:rsid w:val="00065B6C"/>
    <w:rsid w:val="0006626C"/>
    <w:rsid w:val="00071245"/>
    <w:rsid w:val="00072FAE"/>
    <w:rsid w:val="000731E2"/>
    <w:rsid w:val="00074CC4"/>
    <w:rsid w:val="000755D0"/>
    <w:rsid w:val="00075DB4"/>
    <w:rsid w:val="000770E3"/>
    <w:rsid w:val="000806B3"/>
    <w:rsid w:val="00081080"/>
    <w:rsid w:val="00081085"/>
    <w:rsid w:val="00081F9E"/>
    <w:rsid w:val="000830D8"/>
    <w:rsid w:val="00083954"/>
    <w:rsid w:val="00084030"/>
    <w:rsid w:val="00085131"/>
    <w:rsid w:val="000856B7"/>
    <w:rsid w:val="00086A7B"/>
    <w:rsid w:val="0008700C"/>
    <w:rsid w:val="000877FF"/>
    <w:rsid w:val="00091228"/>
    <w:rsid w:val="00092450"/>
    <w:rsid w:val="00093CCA"/>
    <w:rsid w:val="00094228"/>
    <w:rsid w:val="000953DC"/>
    <w:rsid w:val="00096565"/>
    <w:rsid w:val="00097339"/>
    <w:rsid w:val="000977B1"/>
    <w:rsid w:val="000A4198"/>
    <w:rsid w:val="000A4EBE"/>
    <w:rsid w:val="000A5206"/>
    <w:rsid w:val="000A5D03"/>
    <w:rsid w:val="000A5E86"/>
    <w:rsid w:val="000A6C9E"/>
    <w:rsid w:val="000A6E02"/>
    <w:rsid w:val="000A7003"/>
    <w:rsid w:val="000A788F"/>
    <w:rsid w:val="000A7E09"/>
    <w:rsid w:val="000B22BD"/>
    <w:rsid w:val="000B2649"/>
    <w:rsid w:val="000B3663"/>
    <w:rsid w:val="000B4550"/>
    <w:rsid w:val="000B5105"/>
    <w:rsid w:val="000B641D"/>
    <w:rsid w:val="000B6DBC"/>
    <w:rsid w:val="000B7095"/>
    <w:rsid w:val="000B7B41"/>
    <w:rsid w:val="000B7C3E"/>
    <w:rsid w:val="000C0787"/>
    <w:rsid w:val="000C1396"/>
    <w:rsid w:val="000C3DE6"/>
    <w:rsid w:val="000C5E15"/>
    <w:rsid w:val="000C6485"/>
    <w:rsid w:val="000C70A3"/>
    <w:rsid w:val="000C72C2"/>
    <w:rsid w:val="000D02DA"/>
    <w:rsid w:val="000D038C"/>
    <w:rsid w:val="000D1469"/>
    <w:rsid w:val="000D14ED"/>
    <w:rsid w:val="000D567F"/>
    <w:rsid w:val="000D5ABC"/>
    <w:rsid w:val="000D650E"/>
    <w:rsid w:val="000D6753"/>
    <w:rsid w:val="000D6C62"/>
    <w:rsid w:val="000D72BF"/>
    <w:rsid w:val="000D7E20"/>
    <w:rsid w:val="000E0EC0"/>
    <w:rsid w:val="000E39A5"/>
    <w:rsid w:val="000E527E"/>
    <w:rsid w:val="000E6277"/>
    <w:rsid w:val="000E6D5C"/>
    <w:rsid w:val="000E7902"/>
    <w:rsid w:val="000E7A62"/>
    <w:rsid w:val="000E7F5E"/>
    <w:rsid w:val="000F04E4"/>
    <w:rsid w:val="000F05FF"/>
    <w:rsid w:val="000F0CB1"/>
    <w:rsid w:val="000F0FB2"/>
    <w:rsid w:val="000F0FBD"/>
    <w:rsid w:val="000F2F4D"/>
    <w:rsid w:val="000F35AB"/>
    <w:rsid w:val="000F4F21"/>
    <w:rsid w:val="000F65C5"/>
    <w:rsid w:val="000F7743"/>
    <w:rsid w:val="000F7952"/>
    <w:rsid w:val="00100201"/>
    <w:rsid w:val="001013D4"/>
    <w:rsid w:val="00102275"/>
    <w:rsid w:val="00102A5C"/>
    <w:rsid w:val="00103242"/>
    <w:rsid w:val="00103AF5"/>
    <w:rsid w:val="00105473"/>
    <w:rsid w:val="0010555C"/>
    <w:rsid w:val="001057F3"/>
    <w:rsid w:val="00105A91"/>
    <w:rsid w:val="00107781"/>
    <w:rsid w:val="00107A0C"/>
    <w:rsid w:val="00107B05"/>
    <w:rsid w:val="001103DE"/>
    <w:rsid w:val="00110639"/>
    <w:rsid w:val="00112120"/>
    <w:rsid w:val="0011473D"/>
    <w:rsid w:val="00114C48"/>
    <w:rsid w:val="00115090"/>
    <w:rsid w:val="00115625"/>
    <w:rsid w:val="001166F1"/>
    <w:rsid w:val="00117F54"/>
    <w:rsid w:val="0012071A"/>
    <w:rsid w:val="00121035"/>
    <w:rsid w:val="00121142"/>
    <w:rsid w:val="00122C07"/>
    <w:rsid w:val="001237BA"/>
    <w:rsid w:val="0012421D"/>
    <w:rsid w:val="00124628"/>
    <w:rsid w:val="0012489D"/>
    <w:rsid w:val="001249F1"/>
    <w:rsid w:val="001257E9"/>
    <w:rsid w:val="00125B53"/>
    <w:rsid w:val="00126014"/>
    <w:rsid w:val="0012729C"/>
    <w:rsid w:val="0013181C"/>
    <w:rsid w:val="0013185A"/>
    <w:rsid w:val="00132BE2"/>
    <w:rsid w:val="001333FE"/>
    <w:rsid w:val="00133B74"/>
    <w:rsid w:val="00133CA8"/>
    <w:rsid w:val="00133E0E"/>
    <w:rsid w:val="0013494F"/>
    <w:rsid w:val="001360B8"/>
    <w:rsid w:val="00136675"/>
    <w:rsid w:val="00136D69"/>
    <w:rsid w:val="00142125"/>
    <w:rsid w:val="00142D12"/>
    <w:rsid w:val="00145EBB"/>
    <w:rsid w:val="00145FB0"/>
    <w:rsid w:val="00146580"/>
    <w:rsid w:val="001467EB"/>
    <w:rsid w:val="001508A3"/>
    <w:rsid w:val="00150A6A"/>
    <w:rsid w:val="00151089"/>
    <w:rsid w:val="00151265"/>
    <w:rsid w:val="00151918"/>
    <w:rsid w:val="00152081"/>
    <w:rsid w:val="00152713"/>
    <w:rsid w:val="0015329D"/>
    <w:rsid w:val="00155861"/>
    <w:rsid w:val="001559C8"/>
    <w:rsid w:val="00155B16"/>
    <w:rsid w:val="001565CC"/>
    <w:rsid w:val="00156E62"/>
    <w:rsid w:val="00161E87"/>
    <w:rsid w:val="00163642"/>
    <w:rsid w:val="00163657"/>
    <w:rsid w:val="00163EFE"/>
    <w:rsid w:val="001645C5"/>
    <w:rsid w:val="00164E2E"/>
    <w:rsid w:val="00165B3B"/>
    <w:rsid w:val="001665F9"/>
    <w:rsid w:val="001666D0"/>
    <w:rsid w:val="00166D73"/>
    <w:rsid w:val="0016708A"/>
    <w:rsid w:val="0016780A"/>
    <w:rsid w:val="00170A67"/>
    <w:rsid w:val="0017133B"/>
    <w:rsid w:val="00172908"/>
    <w:rsid w:val="00174FB9"/>
    <w:rsid w:val="00175601"/>
    <w:rsid w:val="0017570A"/>
    <w:rsid w:val="001767F7"/>
    <w:rsid w:val="00177C89"/>
    <w:rsid w:val="00177D15"/>
    <w:rsid w:val="001804E2"/>
    <w:rsid w:val="00181534"/>
    <w:rsid w:val="00182116"/>
    <w:rsid w:val="001841F1"/>
    <w:rsid w:val="00184541"/>
    <w:rsid w:val="001847E9"/>
    <w:rsid w:val="00186204"/>
    <w:rsid w:val="001863EB"/>
    <w:rsid w:val="00186F8E"/>
    <w:rsid w:val="001874BF"/>
    <w:rsid w:val="001876AD"/>
    <w:rsid w:val="00187C1F"/>
    <w:rsid w:val="001905A4"/>
    <w:rsid w:val="001905B2"/>
    <w:rsid w:val="0019062D"/>
    <w:rsid w:val="00191046"/>
    <w:rsid w:val="00191895"/>
    <w:rsid w:val="001919FE"/>
    <w:rsid w:val="00192C71"/>
    <w:rsid w:val="00193F03"/>
    <w:rsid w:val="00194C22"/>
    <w:rsid w:val="00195A3F"/>
    <w:rsid w:val="00197725"/>
    <w:rsid w:val="00197752"/>
    <w:rsid w:val="00197E6A"/>
    <w:rsid w:val="001A0387"/>
    <w:rsid w:val="001A11B0"/>
    <w:rsid w:val="001A1BA2"/>
    <w:rsid w:val="001A339B"/>
    <w:rsid w:val="001A4381"/>
    <w:rsid w:val="001A4B06"/>
    <w:rsid w:val="001A4FC0"/>
    <w:rsid w:val="001A5139"/>
    <w:rsid w:val="001A5AE9"/>
    <w:rsid w:val="001A6672"/>
    <w:rsid w:val="001A7930"/>
    <w:rsid w:val="001B0504"/>
    <w:rsid w:val="001B144B"/>
    <w:rsid w:val="001B1756"/>
    <w:rsid w:val="001B274A"/>
    <w:rsid w:val="001B27DB"/>
    <w:rsid w:val="001B32E2"/>
    <w:rsid w:val="001B4379"/>
    <w:rsid w:val="001B6522"/>
    <w:rsid w:val="001B6532"/>
    <w:rsid w:val="001B7765"/>
    <w:rsid w:val="001C0656"/>
    <w:rsid w:val="001C1839"/>
    <w:rsid w:val="001C20E1"/>
    <w:rsid w:val="001C2144"/>
    <w:rsid w:val="001C2474"/>
    <w:rsid w:val="001C33AF"/>
    <w:rsid w:val="001C430B"/>
    <w:rsid w:val="001C49E0"/>
    <w:rsid w:val="001C4E3B"/>
    <w:rsid w:val="001C57E1"/>
    <w:rsid w:val="001C6E78"/>
    <w:rsid w:val="001D035E"/>
    <w:rsid w:val="001D08D0"/>
    <w:rsid w:val="001D0A22"/>
    <w:rsid w:val="001D0AB7"/>
    <w:rsid w:val="001D0CCD"/>
    <w:rsid w:val="001D1078"/>
    <w:rsid w:val="001D1BAE"/>
    <w:rsid w:val="001D262C"/>
    <w:rsid w:val="001D321D"/>
    <w:rsid w:val="001D40DB"/>
    <w:rsid w:val="001D4904"/>
    <w:rsid w:val="001D5AA1"/>
    <w:rsid w:val="001E1464"/>
    <w:rsid w:val="001E1511"/>
    <w:rsid w:val="001E1997"/>
    <w:rsid w:val="001E1D3A"/>
    <w:rsid w:val="001E5314"/>
    <w:rsid w:val="001E6183"/>
    <w:rsid w:val="001E6BB3"/>
    <w:rsid w:val="001E7C8D"/>
    <w:rsid w:val="001F00C5"/>
    <w:rsid w:val="001F00CC"/>
    <w:rsid w:val="001F07D8"/>
    <w:rsid w:val="001F0A46"/>
    <w:rsid w:val="001F14DC"/>
    <w:rsid w:val="001F163C"/>
    <w:rsid w:val="001F1D8E"/>
    <w:rsid w:val="001F2E01"/>
    <w:rsid w:val="001F386C"/>
    <w:rsid w:val="001F4AEC"/>
    <w:rsid w:val="001F556B"/>
    <w:rsid w:val="001F5B98"/>
    <w:rsid w:val="001F7786"/>
    <w:rsid w:val="002006E0"/>
    <w:rsid w:val="00202947"/>
    <w:rsid w:val="00204E4E"/>
    <w:rsid w:val="00205E7D"/>
    <w:rsid w:val="00207670"/>
    <w:rsid w:val="00207ADD"/>
    <w:rsid w:val="00210016"/>
    <w:rsid w:val="00211763"/>
    <w:rsid w:val="00211B44"/>
    <w:rsid w:val="00211EE7"/>
    <w:rsid w:val="00211F48"/>
    <w:rsid w:val="002124B2"/>
    <w:rsid w:val="00212C3F"/>
    <w:rsid w:val="00212D06"/>
    <w:rsid w:val="0021344C"/>
    <w:rsid w:val="00213708"/>
    <w:rsid w:val="002137C7"/>
    <w:rsid w:val="00214C45"/>
    <w:rsid w:val="00214E5D"/>
    <w:rsid w:val="00216D09"/>
    <w:rsid w:val="00217733"/>
    <w:rsid w:val="00221612"/>
    <w:rsid w:val="00221A28"/>
    <w:rsid w:val="00221B32"/>
    <w:rsid w:val="00221C08"/>
    <w:rsid w:val="00222805"/>
    <w:rsid w:val="00222A3A"/>
    <w:rsid w:val="00222D0B"/>
    <w:rsid w:val="00223D5D"/>
    <w:rsid w:val="00224A37"/>
    <w:rsid w:val="002256A0"/>
    <w:rsid w:val="00225C4C"/>
    <w:rsid w:val="00225D79"/>
    <w:rsid w:val="00226D77"/>
    <w:rsid w:val="002271D4"/>
    <w:rsid w:val="00227469"/>
    <w:rsid w:val="002275F2"/>
    <w:rsid w:val="002278E3"/>
    <w:rsid w:val="002300E0"/>
    <w:rsid w:val="0023120E"/>
    <w:rsid w:val="002313BD"/>
    <w:rsid w:val="002315F2"/>
    <w:rsid w:val="00233C65"/>
    <w:rsid w:val="002354E5"/>
    <w:rsid w:val="00235DAD"/>
    <w:rsid w:val="00235E7C"/>
    <w:rsid w:val="00237200"/>
    <w:rsid w:val="00237FFD"/>
    <w:rsid w:val="00240544"/>
    <w:rsid w:val="00240ABD"/>
    <w:rsid w:val="00240AC1"/>
    <w:rsid w:val="00243FD2"/>
    <w:rsid w:val="00245AAC"/>
    <w:rsid w:val="002511B1"/>
    <w:rsid w:val="002517A1"/>
    <w:rsid w:val="00251A7E"/>
    <w:rsid w:val="00253046"/>
    <w:rsid w:val="00253250"/>
    <w:rsid w:val="00253BFA"/>
    <w:rsid w:val="00255EEB"/>
    <w:rsid w:val="00257DFC"/>
    <w:rsid w:val="002602DF"/>
    <w:rsid w:val="00261D01"/>
    <w:rsid w:val="00262324"/>
    <w:rsid w:val="002625E8"/>
    <w:rsid w:val="00262D3E"/>
    <w:rsid w:val="00262F51"/>
    <w:rsid w:val="002634D2"/>
    <w:rsid w:val="0026383C"/>
    <w:rsid w:val="00266182"/>
    <w:rsid w:val="0026768A"/>
    <w:rsid w:val="00271101"/>
    <w:rsid w:val="00271D60"/>
    <w:rsid w:val="00272999"/>
    <w:rsid w:val="00273525"/>
    <w:rsid w:val="00274B3E"/>
    <w:rsid w:val="00274C09"/>
    <w:rsid w:val="00275B0E"/>
    <w:rsid w:val="00275F19"/>
    <w:rsid w:val="0027686C"/>
    <w:rsid w:val="00276BC2"/>
    <w:rsid w:val="00277062"/>
    <w:rsid w:val="0027708D"/>
    <w:rsid w:val="00277B34"/>
    <w:rsid w:val="0028173B"/>
    <w:rsid w:val="00281F47"/>
    <w:rsid w:val="0028243B"/>
    <w:rsid w:val="002857D0"/>
    <w:rsid w:val="00285ACE"/>
    <w:rsid w:val="00285E1A"/>
    <w:rsid w:val="0028665F"/>
    <w:rsid w:val="00292E74"/>
    <w:rsid w:val="0029361E"/>
    <w:rsid w:val="002937BF"/>
    <w:rsid w:val="00294584"/>
    <w:rsid w:val="00294F08"/>
    <w:rsid w:val="00295CF5"/>
    <w:rsid w:val="00296414"/>
    <w:rsid w:val="002966C0"/>
    <w:rsid w:val="00296888"/>
    <w:rsid w:val="002968B7"/>
    <w:rsid w:val="0029767A"/>
    <w:rsid w:val="00297947"/>
    <w:rsid w:val="002A07D2"/>
    <w:rsid w:val="002A1CD0"/>
    <w:rsid w:val="002A32B0"/>
    <w:rsid w:val="002A36C0"/>
    <w:rsid w:val="002A4023"/>
    <w:rsid w:val="002A59D3"/>
    <w:rsid w:val="002A6690"/>
    <w:rsid w:val="002A7B5E"/>
    <w:rsid w:val="002B1933"/>
    <w:rsid w:val="002B229B"/>
    <w:rsid w:val="002B5028"/>
    <w:rsid w:val="002B7608"/>
    <w:rsid w:val="002B77E4"/>
    <w:rsid w:val="002B7F70"/>
    <w:rsid w:val="002C022A"/>
    <w:rsid w:val="002C16CE"/>
    <w:rsid w:val="002C1E7D"/>
    <w:rsid w:val="002C272E"/>
    <w:rsid w:val="002C317A"/>
    <w:rsid w:val="002C3B3E"/>
    <w:rsid w:val="002C4BD4"/>
    <w:rsid w:val="002C4D7D"/>
    <w:rsid w:val="002C52C6"/>
    <w:rsid w:val="002C5F65"/>
    <w:rsid w:val="002C6103"/>
    <w:rsid w:val="002C656F"/>
    <w:rsid w:val="002C7BB4"/>
    <w:rsid w:val="002C7E13"/>
    <w:rsid w:val="002D0BAE"/>
    <w:rsid w:val="002D3EFC"/>
    <w:rsid w:val="002E04F9"/>
    <w:rsid w:val="002E0641"/>
    <w:rsid w:val="002E07EC"/>
    <w:rsid w:val="002E1A5D"/>
    <w:rsid w:val="002E3094"/>
    <w:rsid w:val="002E42C3"/>
    <w:rsid w:val="002E4C43"/>
    <w:rsid w:val="002E5145"/>
    <w:rsid w:val="002E665A"/>
    <w:rsid w:val="002E7B47"/>
    <w:rsid w:val="002F1BC5"/>
    <w:rsid w:val="002F20CB"/>
    <w:rsid w:val="002F3602"/>
    <w:rsid w:val="002F36D9"/>
    <w:rsid w:val="002F3E5E"/>
    <w:rsid w:val="002F3E80"/>
    <w:rsid w:val="002F40EF"/>
    <w:rsid w:val="002F4A5E"/>
    <w:rsid w:val="002F50A7"/>
    <w:rsid w:val="002F53A1"/>
    <w:rsid w:val="002F549E"/>
    <w:rsid w:val="002F5E10"/>
    <w:rsid w:val="002F6F9C"/>
    <w:rsid w:val="002F75E8"/>
    <w:rsid w:val="002F7C3E"/>
    <w:rsid w:val="0030038C"/>
    <w:rsid w:val="00302702"/>
    <w:rsid w:val="003030DB"/>
    <w:rsid w:val="00303F05"/>
    <w:rsid w:val="003043DB"/>
    <w:rsid w:val="003048E4"/>
    <w:rsid w:val="003057F7"/>
    <w:rsid w:val="00306F73"/>
    <w:rsid w:val="00307230"/>
    <w:rsid w:val="00307A8E"/>
    <w:rsid w:val="0031064A"/>
    <w:rsid w:val="00311A40"/>
    <w:rsid w:val="003120FD"/>
    <w:rsid w:val="003134C4"/>
    <w:rsid w:val="00314FD6"/>
    <w:rsid w:val="00315703"/>
    <w:rsid w:val="003170D0"/>
    <w:rsid w:val="00317911"/>
    <w:rsid w:val="00320A23"/>
    <w:rsid w:val="003221F9"/>
    <w:rsid w:val="00322FAC"/>
    <w:rsid w:val="00324D9E"/>
    <w:rsid w:val="00324E2B"/>
    <w:rsid w:val="00325470"/>
    <w:rsid w:val="003255F1"/>
    <w:rsid w:val="003257DA"/>
    <w:rsid w:val="003261A9"/>
    <w:rsid w:val="003267E7"/>
    <w:rsid w:val="0032724A"/>
    <w:rsid w:val="003273AE"/>
    <w:rsid w:val="003279CC"/>
    <w:rsid w:val="00327B69"/>
    <w:rsid w:val="003303CC"/>
    <w:rsid w:val="00331260"/>
    <w:rsid w:val="003312A6"/>
    <w:rsid w:val="00331536"/>
    <w:rsid w:val="00331F6A"/>
    <w:rsid w:val="003327EC"/>
    <w:rsid w:val="00333995"/>
    <w:rsid w:val="0033512D"/>
    <w:rsid w:val="00335FA2"/>
    <w:rsid w:val="003376FF"/>
    <w:rsid w:val="00343D68"/>
    <w:rsid w:val="003443EB"/>
    <w:rsid w:val="0034452B"/>
    <w:rsid w:val="003476A9"/>
    <w:rsid w:val="0035118A"/>
    <w:rsid w:val="00351FBF"/>
    <w:rsid w:val="00352225"/>
    <w:rsid w:val="003529AA"/>
    <w:rsid w:val="00354A0F"/>
    <w:rsid w:val="00356016"/>
    <w:rsid w:val="00356EE3"/>
    <w:rsid w:val="00360E0F"/>
    <w:rsid w:val="00363505"/>
    <w:rsid w:val="00364105"/>
    <w:rsid w:val="00364826"/>
    <w:rsid w:val="0036488C"/>
    <w:rsid w:val="0036562F"/>
    <w:rsid w:val="003664E3"/>
    <w:rsid w:val="0036687E"/>
    <w:rsid w:val="003730A7"/>
    <w:rsid w:val="003752FF"/>
    <w:rsid w:val="00377471"/>
    <w:rsid w:val="00380665"/>
    <w:rsid w:val="00380E70"/>
    <w:rsid w:val="00382523"/>
    <w:rsid w:val="00383D43"/>
    <w:rsid w:val="00384209"/>
    <w:rsid w:val="0038489B"/>
    <w:rsid w:val="00384DCB"/>
    <w:rsid w:val="00384E41"/>
    <w:rsid w:val="003851C0"/>
    <w:rsid w:val="00386B8F"/>
    <w:rsid w:val="00387249"/>
    <w:rsid w:val="00391099"/>
    <w:rsid w:val="00391842"/>
    <w:rsid w:val="00393FE0"/>
    <w:rsid w:val="00394407"/>
    <w:rsid w:val="0039508E"/>
    <w:rsid w:val="00395586"/>
    <w:rsid w:val="00395F41"/>
    <w:rsid w:val="003A163B"/>
    <w:rsid w:val="003A224F"/>
    <w:rsid w:val="003A3015"/>
    <w:rsid w:val="003A3BA5"/>
    <w:rsid w:val="003A3E0D"/>
    <w:rsid w:val="003A449A"/>
    <w:rsid w:val="003A4C37"/>
    <w:rsid w:val="003A5503"/>
    <w:rsid w:val="003A5F78"/>
    <w:rsid w:val="003A69C4"/>
    <w:rsid w:val="003A7337"/>
    <w:rsid w:val="003B0E41"/>
    <w:rsid w:val="003B1AE3"/>
    <w:rsid w:val="003B2294"/>
    <w:rsid w:val="003B3B8A"/>
    <w:rsid w:val="003B3EB5"/>
    <w:rsid w:val="003B6F57"/>
    <w:rsid w:val="003B7607"/>
    <w:rsid w:val="003C0537"/>
    <w:rsid w:val="003C1A97"/>
    <w:rsid w:val="003C6704"/>
    <w:rsid w:val="003C6975"/>
    <w:rsid w:val="003C7C44"/>
    <w:rsid w:val="003D39E3"/>
    <w:rsid w:val="003D42C7"/>
    <w:rsid w:val="003D4F15"/>
    <w:rsid w:val="003E0183"/>
    <w:rsid w:val="003E0588"/>
    <w:rsid w:val="003E07F0"/>
    <w:rsid w:val="003E08EC"/>
    <w:rsid w:val="003E0EE9"/>
    <w:rsid w:val="003E1E61"/>
    <w:rsid w:val="003E295C"/>
    <w:rsid w:val="003E35B9"/>
    <w:rsid w:val="003E46FA"/>
    <w:rsid w:val="003E5847"/>
    <w:rsid w:val="003E58A7"/>
    <w:rsid w:val="003E5A34"/>
    <w:rsid w:val="003E684D"/>
    <w:rsid w:val="003E71C5"/>
    <w:rsid w:val="003E7F8E"/>
    <w:rsid w:val="003F0BAD"/>
    <w:rsid w:val="003F133A"/>
    <w:rsid w:val="003F1809"/>
    <w:rsid w:val="003F1A9D"/>
    <w:rsid w:val="003F1DA2"/>
    <w:rsid w:val="003F2722"/>
    <w:rsid w:val="003F2F16"/>
    <w:rsid w:val="003F35FB"/>
    <w:rsid w:val="003F3624"/>
    <w:rsid w:val="003F5400"/>
    <w:rsid w:val="003F5500"/>
    <w:rsid w:val="003F5BEB"/>
    <w:rsid w:val="003F64C9"/>
    <w:rsid w:val="003F7563"/>
    <w:rsid w:val="003F7827"/>
    <w:rsid w:val="003F7E22"/>
    <w:rsid w:val="0040081D"/>
    <w:rsid w:val="004008A3"/>
    <w:rsid w:val="00400A49"/>
    <w:rsid w:val="00401B91"/>
    <w:rsid w:val="0040201A"/>
    <w:rsid w:val="0040207E"/>
    <w:rsid w:val="00403678"/>
    <w:rsid w:val="004059BD"/>
    <w:rsid w:val="0040697B"/>
    <w:rsid w:val="0040720B"/>
    <w:rsid w:val="004079F4"/>
    <w:rsid w:val="00410124"/>
    <w:rsid w:val="00410517"/>
    <w:rsid w:val="00410C83"/>
    <w:rsid w:val="004128ED"/>
    <w:rsid w:val="00414127"/>
    <w:rsid w:val="00414642"/>
    <w:rsid w:val="004148CD"/>
    <w:rsid w:val="00415172"/>
    <w:rsid w:val="00415E64"/>
    <w:rsid w:val="0041652C"/>
    <w:rsid w:val="0041662A"/>
    <w:rsid w:val="00417948"/>
    <w:rsid w:val="004223CF"/>
    <w:rsid w:val="00422A1A"/>
    <w:rsid w:val="004231F7"/>
    <w:rsid w:val="0042383A"/>
    <w:rsid w:val="004252D8"/>
    <w:rsid w:val="0042688F"/>
    <w:rsid w:val="00426CD5"/>
    <w:rsid w:val="00426D86"/>
    <w:rsid w:val="00427A0C"/>
    <w:rsid w:val="00427F5D"/>
    <w:rsid w:val="00430974"/>
    <w:rsid w:val="004316D5"/>
    <w:rsid w:val="00431CE7"/>
    <w:rsid w:val="0043499C"/>
    <w:rsid w:val="00434FD2"/>
    <w:rsid w:val="0043540C"/>
    <w:rsid w:val="004354E2"/>
    <w:rsid w:val="00437A24"/>
    <w:rsid w:val="00437D25"/>
    <w:rsid w:val="00441D9D"/>
    <w:rsid w:val="0044217B"/>
    <w:rsid w:val="00442DDB"/>
    <w:rsid w:val="004434ED"/>
    <w:rsid w:val="00443515"/>
    <w:rsid w:val="004443AF"/>
    <w:rsid w:val="00444C82"/>
    <w:rsid w:val="00444DFF"/>
    <w:rsid w:val="004455CC"/>
    <w:rsid w:val="00445B7C"/>
    <w:rsid w:val="00446045"/>
    <w:rsid w:val="00446386"/>
    <w:rsid w:val="00447285"/>
    <w:rsid w:val="00447577"/>
    <w:rsid w:val="004476B0"/>
    <w:rsid w:val="00447E38"/>
    <w:rsid w:val="0045010C"/>
    <w:rsid w:val="0045017B"/>
    <w:rsid w:val="00450934"/>
    <w:rsid w:val="00451548"/>
    <w:rsid w:val="00451CF5"/>
    <w:rsid w:val="00452496"/>
    <w:rsid w:val="00452B9C"/>
    <w:rsid w:val="00453E78"/>
    <w:rsid w:val="00453FD6"/>
    <w:rsid w:val="00455F4A"/>
    <w:rsid w:val="00456B02"/>
    <w:rsid w:val="00457391"/>
    <w:rsid w:val="004615FD"/>
    <w:rsid w:val="004625B0"/>
    <w:rsid w:val="00462AA0"/>
    <w:rsid w:val="00462CF3"/>
    <w:rsid w:val="00462D39"/>
    <w:rsid w:val="00464224"/>
    <w:rsid w:val="00465009"/>
    <w:rsid w:val="0046593F"/>
    <w:rsid w:val="00470110"/>
    <w:rsid w:val="0047050F"/>
    <w:rsid w:val="00471605"/>
    <w:rsid w:val="00471701"/>
    <w:rsid w:val="00471FF8"/>
    <w:rsid w:val="004722DC"/>
    <w:rsid w:val="004748A5"/>
    <w:rsid w:val="00476314"/>
    <w:rsid w:val="004767B3"/>
    <w:rsid w:val="00476F0F"/>
    <w:rsid w:val="00477962"/>
    <w:rsid w:val="00477B0A"/>
    <w:rsid w:val="004800DE"/>
    <w:rsid w:val="00480166"/>
    <w:rsid w:val="00480AF0"/>
    <w:rsid w:val="00481696"/>
    <w:rsid w:val="0048285C"/>
    <w:rsid w:val="0048658C"/>
    <w:rsid w:val="004913D3"/>
    <w:rsid w:val="0049346D"/>
    <w:rsid w:val="00493DC0"/>
    <w:rsid w:val="0049416F"/>
    <w:rsid w:val="004943BD"/>
    <w:rsid w:val="004957AB"/>
    <w:rsid w:val="004966DF"/>
    <w:rsid w:val="004968D7"/>
    <w:rsid w:val="00496B7E"/>
    <w:rsid w:val="004A02F7"/>
    <w:rsid w:val="004A124E"/>
    <w:rsid w:val="004A2678"/>
    <w:rsid w:val="004A397D"/>
    <w:rsid w:val="004A513E"/>
    <w:rsid w:val="004A5C4D"/>
    <w:rsid w:val="004A625C"/>
    <w:rsid w:val="004A71D9"/>
    <w:rsid w:val="004A793F"/>
    <w:rsid w:val="004B1484"/>
    <w:rsid w:val="004B1E82"/>
    <w:rsid w:val="004B3B87"/>
    <w:rsid w:val="004B4B3E"/>
    <w:rsid w:val="004B5003"/>
    <w:rsid w:val="004B6293"/>
    <w:rsid w:val="004C0F64"/>
    <w:rsid w:val="004C1114"/>
    <w:rsid w:val="004C11F8"/>
    <w:rsid w:val="004C262A"/>
    <w:rsid w:val="004C2EA6"/>
    <w:rsid w:val="004C2EEB"/>
    <w:rsid w:val="004C34A9"/>
    <w:rsid w:val="004C469D"/>
    <w:rsid w:val="004C537B"/>
    <w:rsid w:val="004C56A3"/>
    <w:rsid w:val="004C6309"/>
    <w:rsid w:val="004C6A57"/>
    <w:rsid w:val="004D1150"/>
    <w:rsid w:val="004D224F"/>
    <w:rsid w:val="004D2CAB"/>
    <w:rsid w:val="004D350C"/>
    <w:rsid w:val="004D38C9"/>
    <w:rsid w:val="004D3F99"/>
    <w:rsid w:val="004D3FF6"/>
    <w:rsid w:val="004D4EC7"/>
    <w:rsid w:val="004D50B2"/>
    <w:rsid w:val="004D533C"/>
    <w:rsid w:val="004D5E20"/>
    <w:rsid w:val="004D7D46"/>
    <w:rsid w:val="004E0772"/>
    <w:rsid w:val="004E0833"/>
    <w:rsid w:val="004E1A7F"/>
    <w:rsid w:val="004E53DA"/>
    <w:rsid w:val="004E5CFE"/>
    <w:rsid w:val="004E61CD"/>
    <w:rsid w:val="004E637E"/>
    <w:rsid w:val="004E6B58"/>
    <w:rsid w:val="004E7907"/>
    <w:rsid w:val="004F052C"/>
    <w:rsid w:val="004F170C"/>
    <w:rsid w:val="004F1DAB"/>
    <w:rsid w:val="004F3B06"/>
    <w:rsid w:val="004F3EF0"/>
    <w:rsid w:val="004F4324"/>
    <w:rsid w:val="004F4ABA"/>
    <w:rsid w:val="004F58C9"/>
    <w:rsid w:val="004F5C4F"/>
    <w:rsid w:val="004F6703"/>
    <w:rsid w:val="004F6C75"/>
    <w:rsid w:val="004F74AB"/>
    <w:rsid w:val="004F7A1B"/>
    <w:rsid w:val="005005CD"/>
    <w:rsid w:val="005007C6"/>
    <w:rsid w:val="005017FB"/>
    <w:rsid w:val="00501E3D"/>
    <w:rsid w:val="00502BD4"/>
    <w:rsid w:val="0050353A"/>
    <w:rsid w:val="00504321"/>
    <w:rsid w:val="00505352"/>
    <w:rsid w:val="005053AE"/>
    <w:rsid w:val="00505CDE"/>
    <w:rsid w:val="005072F4"/>
    <w:rsid w:val="00507497"/>
    <w:rsid w:val="00510689"/>
    <w:rsid w:val="00510C6E"/>
    <w:rsid w:val="00510DAC"/>
    <w:rsid w:val="0051351A"/>
    <w:rsid w:val="005140C3"/>
    <w:rsid w:val="00514727"/>
    <w:rsid w:val="00516519"/>
    <w:rsid w:val="00516536"/>
    <w:rsid w:val="005167F5"/>
    <w:rsid w:val="00516E54"/>
    <w:rsid w:val="005173C7"/>
    <w:rsid w:val="005206BB"/>
    <w:rsid w:val="00521277"/>
    <w:rsid w:val="00521601"/>
    <w:rsid w:val="005224D7"/>
    <w:rsid w:val="00522BAE"/>
    <w:rsid w:val="00523C30"/>
    <w:rsid w:val="00523D65"/>
    <w:rsid w:val="00524394"/>
    <w:rsid w:val="005247A8"/>
    <w:rsid w:val="00526682"/>
    <w:rsid w:val="005266B6"/>
    <w:rsid w:val="00526970"/>
    <w:rsid w:val="00526BE2"/>
    <w:rsid w:val="00527130"/>
    <w:rsid w:val="00530FC7"/>
    <w:rsid w:val="00531441"/>
    <w:rsid w:val="005316B5"/>
    <w:rsid w:val="0053186C"/>
    <w:rsid w:val="00531A70"/>
    <w:rsid w:val="00531B40"/>
    <w:rsid w:val="00532681"/>
    <w:rsid w:val="00533212"/>
    <w:rsid w:val="005341FF"/>
    <w:rsid w:val="00535553"/>
    <w:rsid w:val="0053629A"/>
    <w:rsid w:val="00536478"/>
    <w:rsid w:val="005365A6"/>
    <w:rsid w:val="005378C5"/>
    <w:rsid w:val="0054050D"/>
    <w:rsid w:val="005407C3"/>
    <w:rsid w:val="00541D2F"/>
    <w:rsid w:val="005422C9"/>
    <w:rsid w:val="005426DD"/>
    <w:rsid w:val="005429DE"/>
    <w:rsid w:val="00544CC8"/>
    <w:rsid w:val="00545270"/>
    <w:rsid w:val="00547203"/>
    <w:rsid w:val="00552881"/>
    <w:rsid w:val="00552AB0"/>
    <w:rsid w:val="00553DC4"/>
    <w:rsid w:val="00553F8F"/>
    <w:rsid w:val="005555BF"/>
    <w:rsid w:val="00555618"/>
    <w:rsid w:val="00555F39"/>
    <w:rsid w:val="00557043"/>
    <w:rsid w:val="0056050E"/>
    <w:rsid w:val="0056267A"/>
    <w:rsid w:val="00563604"/>
    <w:rsid w:val="00563680"/>
    <w:rsid w:val="00563E24"/>
    <w:rsid w:val="00565C13"/>
    <w:rsid w:val="00565FA3"/>
    <w:rsid w:val="00567BEE"/>
    <w:rsid w:val="00570ECB"/>
    <w:rsid w:val="00572231"/>
    <w:rsid w:val="0057343D"/>
    <w:rsid w:val="00573C56"/>
    <w:rsid w:val="00574F57"/>
    <w:rsid w:val="005751F8"/>
    <w:rsid w:val="00577C40"/>
    <w:rsid w:val="00581871"/>
    <w:rsid w:val="00581BBA"/>
    <w:rsid w:val="00584750"/>
    <w:rsid w:val="005858F6"/>
    <w:rsid w:val="00593202"/>
    <w:rsid w:val="005949F0"/>
    <w:rsid w:val="00594D58"/>
    <w:rsid w:val="0059590A"/>
    <w:rsid w:val="00595D37"/>
    <w:rsid w:val="00596794"/>
    <w:rsid w:val="0059729B"/>
    <w:rsid w:val="00597418"/>
    <w:rsid w:val="005A0357"/>
    <w:rsid w:val="005A041D"/>
    <w:rsid w:val="005A0620"/>
    <w:rsid w:val="005A0680"/>
    <w:rsid w:val="005A099E"/>
    <w:rsid w:val="005A0B51"/>
    <w:rsid w:val="005A16E6"/>
    <w:rsid w:val="005A1F04"/>
    <w:rsid w:val="005A2024"/>
    <w:rsid w:val="005A25A5"/>
    <w:rsid w:val="005A3154"/>
    <w:rsid w:val="005A32CB"/>
    <w:rsid w:val="005A393C"/>
    <w:rsid w:val="005A3BD2"/>
    <w:rsid w:val="005A4D89"/>
    <w:rsid w:val="005A5B6B"/>
    <w:rsid w:val="005A6ED1"/>
    <w:rsid w:val="005A71AF"/>
    <w:rsid w:val="005A7CB9"/>
    <w:rsid w:val="005B1149"/>
    <w:rsid w:val="005B23E5"/>
    <w:rsid w:val="005B40B9"/>
    <w:rsid w:val="005B43BA"/>
    <w:rsid w:val="005B4845"/>
    <w:rsid w:val="005B5F98"/>
    <w:rsid w:val="005B7C5B"/>
    <w:rsid w:val="005B7DA7"/>
    <w:rsid w:val="005C0FAA"/>
    <w:rsid w:val="005C1864"/>
    <w:rsid w:val="005C3A6A"/>
    <w:rsid w:val="005C5DC2"/>
    <w:rsid w:val="005C5ECF"/>
    <w:rsid w:val="005C66A1"/>
    <w:rsid w:val="005D0C7B"/>
    <w:rsid w:val="005D1A7A"/>
    <w:rsid w:val="005D1D07"/>
    <w:rsid w:val="005D253D"/>
    <w:rsid w:val="005D3168"/>
    <w:rsid w:val="005D380C"/>
    <w:rsid w:val="005D575D"/>
    <w:rsid w:val="005D6372"/>
    <w:rsid w:val="005D7B89"/>
    <w:rsid w:val="005D7B8C"/>
    <w:rsid w:val="005E17F8"/>
    <w:rsid w:val="005E1E94"/>
    <w:rsid w:val="005E2DDD"/>
    <w:rsid w:val="005E4457"/>
    <w:rsid w:val="005E532F"/>
    <w:rsid w:val="005E5CAA"/>
    <w:rsid w:val="005E5F93"/>
    <w:rsid w:val="005F06FD"/>
    <w:rsid w:val="005F0DC4"/>
    <w:rsid w:val="005F1702"/>
    <w:rsid w:val="005F35AE"/>
    <w:rsid w:val="005F38BB"/>
    <w:rsid w:val="005F5100"/>
    <w:rsid w:val="005F7877"/>
    <w:rsid w:val="006016C4"/>
    <w:rsid w:val="00601C9C"/>
    <w:rsid w:val="00604B4C"/>
    <w:rsid w:val="00604DA1"/>
    <w:rsid w:val="00605699"/>
    <w:rsid w:val="0060591A"/>
    <w:rsid w:val="0060765A"/>
    <w:rsid w:val="00613021"/>
    <w:rsid w:val="0061311D"/>
    <w:rsid w:val="0061367D"/>
    <w:rsid w:val="00613697"/>
    <w:rsid w:val="006138FA"/>
    <w:rsid w:val="00613D59"/>
    <w:rsid w:val="00614643"/>
    <w:rsid w:val="006147C3"/>
    <w:rsid w:val="00615C05"/>
    <w:rsid w:val="00616E28"/>
    <w:rsid w:val="006170A2"/>
    <w:rsid w:val="00617CE3"/>
    <w:rsid w:val="00620861"/>
    <w:rsid w:val="006210FC"/>
    <w:rsid w:val="00623619"/>
    <w:rsid w:val="006240B9"/>
    <w:rsid w:val="00625967"/>
    <w:rsid w:val="00626DFD"/>
    <w:rsid w:val="00626F75"/>
    <w:rsid w:val="006301B9"/>
    <w:rsid w:val="006314B2"/>
    <w:rsid w:val="00631AE2"/>
    <w:rsid w:val="0063309D"/>
    <w:rsid w:val="006354AC"/>
    <w:rsid w:val="00636547"/>
    <w:rsid w:val="006403A1"/>
    <w:rsid w:val="00640420"/>
    <w:rsid w:val="0064056C"/>
    <w:rsid w:val="006424EB"/>
    <w:rsid w:val="00642F1F"/>
    <w:rsid w:val="006432F0"/>
    <w:rsid w:val="0064545B"/>
    <w:rsid w:val="006464B7"/>
    <w:rsid w:val="006478C9"/>
    <w:rsid w:val="00647F99"/>
    <w:rsid w:val="00650245"/>
    <w:rsid w:val="00650C63"/>
    <w:rsid w:val="00650C9C"/>
    <w:rsid w:val="00650D1A"/>
    <w:rsid w:val="0065142D"/>
    <w:rsid w:val="006515FE"/>
    <w:rsid w:val="006518DD"/>
    <w:rsid w:val="0065224C"/>
    <w:rsid w:val="00652584"/>
    <w:rsid w:val="00652F7F"/>
    <w:rsid w:val="00653136"/>
    <w:rsid w:val="006534C7"/>
    <w:rsid w:val="00653A32"/>
    <w:rsid w:val="00653ACC"/>
    <w:rsid w:val="00653D76"/>
    <w:rsid w:val="00655048"/>
    <w:rsid w:val="0065649F"/>
    <w:rsid w:val="006565C5"/>
    <w:rsid w:val="00661EDB"/>
    <w:rsid w:val="00662787"/>
    <w:rsid w:val="00665CD2"/>
    <w:rsid w:val="00667586"/>
    <w:rsid w:val="00667DF1"/>
    <w:rsid w:val="0067099E"/>
    <w:rsid w:val="00671272"/>
    <w:rsid w:val="00671F7D"/>
    <w:rsid w:val="00674132"/>
    <w:rsid w:val="006743D9"/>
    <w:rsid w:val="00674CEF"/>
    <w:rsid w:val="0067624F"/>
    <w:rsid w:val="00680814"/>
    <w:rsid w:val="00680FEF"/>
    <w:rsid w:val="006821E4"/>
    <w:rsid w:val="006829EC"/>
    <w:rsid w:val="00685A6B"/>
    <w:rsid w:val="006879C9"/>
    <w:rsid w:val="00687CE6"/>
    <w:rsid w:val="0069063D"/>
    <w:rsid w:val="00691358"/>
    <w:rsid w:val="00693CCC"/>
    <w:rsid w:val="0069433F"/>
    <w:rsid w:val="00695084"/>
    <w:rsid w:val="00697C7A"/>
    <w:rsid w:val="006A0D83"/>
    <w:rsid w:val="006A1957"/>
    <w:rsid w:val="006A44E7"/>
    <w:rsid w:val="006A48F4"/>
    <w:rsid w:val="006A5D53"/>
    <w:rsid w:val="006A6DA4"/>
    <w:rsid w:val="006A6ED3"/>
    <w:rsid w:val="006A6FB2"/>
    <w:rsid w:val="006A740B"/>
    <w:rsid w:val="006B0C16"/>
    <w:rsid w:val="006B105E"/>
    <w:rsid w:val="006B1AF6"/>
    <w:rsid w:val="006B21EE"/>
    <w:rsid w:val="006B299C"/>
    <w:rsid w:val="006B2DA6"/>
    <w:rsid w:val="006B4606"/>
    <w:rsid w:val="006B4E43"/>
    <w:rsid w:val="006B4E67"/>
    <w:rsid w:val="006B60EF"/>
    <w:rsid w:val="006B64F4"/>
    <w:rsid w:val="006B6C5F"/>
    <w:rsid w:val="006B6CBF"/>
    <w:rsid w:val="006B71FA"/>
    <w:rsid w:val="006B7CF8"/>
    <w:rsid w:val="006C0813"/>
    <w:rsid w:val="006C0D0A"/>
    <w:rsid w:val="006C145B"/>
    <w:rsid w:val="006C1C9A"/>
    <w:rsid w:val="006C27B5"/>
    <w:rsid w:val="006C28A4"/>
    <w:rsid w:val="006C2BCF"/>
    <w:rsid w:val="006C38D8"/>
    <w:rsid w:val="006C4C3C"/>
    <w:rsid w:val="006C5614"/>
    <w:rsid w:val="006C6006"/>
    <w:rsid w:val="006C7F91"/>
    <w:rsid w:val="006D06CD"/>
    <w:rsid w:val="006D07E4"/>
    <w:rsid w:val="006D158E"/>
    <w:rsid w:val="006D1EE3"/>
    <w:rsid w:val="006D297B"/>
    <w:rsid w:val="006D2A57"/>
    <w:rsid w:val="006D2AA7"/>
    <w:rsid w:val="006D3048"/>
    <w:rsid w:val="006E0097"/>
    <w:rsid w:val="006E05C4"/>
    <w:rsid w:val="006E0627"/>
    <w:rsid w:val="006E08BF"/>
    <w:rsid w:val="006E1A22"/>
    <w:rsid w:val="006E1A96"/>
    <w:rsid w:val="006E2674"/>
    <w:rsid w:val="006E338D"/>
    <w:rsid w:val="006E57AF"/>
    <w:rsid w:val="006E616B"/>
    <w:rsid w:val="006E63EB"/>
    <w:rsid w:val="006E6CDD"/>
    <w:rsid w:val="006E72DD"/>
    <w:rsid w:val="006E7B05"/>
    <w:rsid w:val="006F018E"/>
    <w:rsid w:val="006F0553"/>
    <w:rsid w:val="006F123D"/>
    <w:rsid w:val="006F12C0"/>
    <w:rsid w:val="006F1EB4"/>
    <w:rsid w:val="006F285F"/>
    <w:rsid w:val="006F2AC6"/>
    <w:rsid w:val="006F2D93"/>
    <w:rsid w:val="006F3C5F"/>
    <w:rsid w:val="006F40D2"/>
    <w:rsid w:val="006F49AD"/>
    <w:rsid w:val="006F4C4F"/>
    <w:rsid w:val="006F5093"/>
    <w:rsid w:val="006F57A7"/>
    <w:rsid w:val="006F598D"/>
    <w:rsid w:val="006F79CB"/>
    <w:rsid w:val="006F7CC2"/>
    <w:rsid w:val="007013BA"/>
    <w:rsid w:val="007019A8"/>
    <w:rsid w:val="00701DF0"/>
    <w:rsid w:val="00701F89"/>
    <w:rsid w:val="00702A07"/>
    <w:rsid w:val="00702AA7"/>
    <w:rsid w:val="007035AE"/>
    <w:rsid w:val="00703EF4"/>
    <w:rsid w:val="00705255"/>
    <w:rsid w:val="00705406"/>
    <w:rsid w:val="00707560"/>
    <w:rsid w:val="007106C9"/>
    <w:rsid w:val="00710BB0"/>
    <w:rsid w:val="00710C9A"/>
    <w:rsid w:val="00712B7C"/>
    <w:rsid w:val="00713562"/>
    <w:rsid w:val="00714037"/>
    <w:rsid w:val="00715E48"/>
    <w:rsid w:val="0071661A"/>
    <w:rsid w:val="00720374"/>
    <w:rsid w:val="007203D2"/>
    <w:rsid w:val="00721F10"/>
    <w:rsid w:val="00724BBF"/>
    <w:rsid w:val="00725281"/>
    <w:rsid w:val="00725610"/>
    <w:rsid w:val="00726076"/>
    <w:rsid w:val="007261B3"/>
    <w:rsid w:val="00726F5F"/>
    <w:rsid w:val="00727107"/>
    <w:rsid w:val="00730250"/>
    <w:rsid w:val="007313F9"/>
    <w:rsid w:val="00732468"/>
    <w:rsid w:val="00732584"/>
    <w:rsid w:val="00732EDD"/>
    <w:rsid w:val="00733501"/>
    <w:rsid w:val="00733F86"/>
    <w:rsid w:val="007344C0"/>
    <w:rsid w:val="00736902"/>
    <w:rsid w:val="00736EB4"/>
    <w:rsid w:val="00737125"/>
    <w:rsid w:val="007375A9"/>
    <w:rsid w:val="007375DD"/>
    <w:rsid w:val="007376F5"/>
    <w:rsid w:val="00740D82"/>
    <w:rsid w:val="00740E25"/>
    <w:rsid w:val="00740F8A"/>
    <w:rsid w:val="00743140"/>
    <w:rsid w:val="00744EF1"/>
    <w:rsid w:val="00746317"/>
    <w:rsid w:val="00750EC3"/>
    <w:rsid w:val="007513AD"/>
    <w:rsid w:val="0075187A"/>
    <w:rsid w:val="007518CF"/>
    <w:rsid w:val="00753DF8"/>
    <w:rsid w:val="00754586"/>
    <w:rsid w:val="007555D0"/>
    <w:rsid w:val="00757FDD"/>
    <w:rsid w:val="00761617"/>
    <w:rsid w:val="0076167B"/>
    <w:rsid w:val="007640EE"/>
    <w:rsid w:val="007655FE"/>
    <w:rsid w:val="00770A0F"/>
    <w:rsid w:val="007710BF"/>
    <w:rsid w:val="0077175E"/>
    <w:rsid w:val="00771799"/>
    <w:rsid w:val="007722AB"/>
    <w:rsid w:val="007742C4"/>
    <w:rsid w:val="007743A9"/>
    <w:rsid w:val="00774B7E"/>
    <w:rsid w:val="00774E31"/>
    <w:rsid w:val="00774F3D"/>
    <w:rsid w:val="0077520B"/>
    <w:rsid w:val="00776DC8"/>
    <w:rsid w:val="007802FD"/>
    <w:rsid w:val="0078064A"/>
    <w:rsid w:val="00780BE2"/>
    <w:rsid w:val="007811BB"/>
    <w:rsid w:val="00781A10"/>
    <w:rsid w:val="00782AD6"/>
    <w:rsid w:val="00783AD8"/>
    <w:rsid w:val="00786B42"/>
    <w:rsid w:val="00786B7D"/>
    <w:rsid w:val="00787281"/>
    <w:rsid w:val="0079064A"/>
    <w:rsid w:val="007915B2"/>
    <w:rsid w:val="00791A7E"/>
    <w:rsid w:val="00795761"/>
    <w:rsid w:val="00796414"/>
    <w:rsid w:val="007A055B"/>
    <w:rsid w:val="007A076C"/>
    <w:rsid w:val="007A0E02"/>
    <w:rsid w:val="007A1088"/>
    <w:rsid w:val="007A1CEF"/>
    <w:rsid w:val="007A29A1"/>
    <w:rsid w:val="007A2BEE"/>
    <w:rsid w:val="007A3249"/>
    <w:rsid w:val="007A33B0"/>
    <w:rsid w:val="007A357F"/>
    <w:rsid w:val="007A5376"/>
    <w:rsid w:val="007A5C1E"/>
    <w:rsid w:val="007A5DEE"/>
    <w:rsid w:val="007A6AB0"/>
    <w:rsid w:val="007A70E9"/>
    <w:rsid w:val="007B1C6E"/>
    <w:rsid w:val="007B2281"/>
    <w:rsid w:val="007B311D"/>
    <w:rsid w:val="007B33C0"/>
    <w:rsid w:val="007B3C86"/>
    <w:rsid w:val="007B5C4A"/>
    <w:rsid w:val="007B5F1E"/>
    <w:rsid w:val="007B624E"/>
    <w:rsid w:val="007B6EA5"/>
    <w:rsid w:val="007B7230"/>
    <w:rsid w:val="007B7522"/>
    <w:rsid w:val="007B762C"/>
    <w:rsid w:val="007B7632"/>
    <w:rsid w:val="007C0A5D"/>
    <w:rsid w:val="007C0D64"/>
    <w:rsid w:val="007C0D9A"/>
    <w:rsid w:val="007C1614"/>
    <w:rsid w:val="007C25D9"/>
    <w:rsid w:val="007C2626"/>
    <w:rsid w:val="007C305F"/>
    <w:rsid w:val="007C338F"/>
    <w:rsid w:val="007C4200"/>
    <w:rsid w:val="007C6881"/>
    <w:rsid w:val="007C7ACF"/>
    <w:rsid w:val="007D005B"/>
    <w:rsid w:val="007D038B"/>
    <w:rsid w:val="007D042C"/>
    <w:rsid w:val="007D0513"/>
    <w:rsid w:val="007D3CC9"/>
    <w:rsid w:val="007D485A"/>
    <w:rsid w:val="007D70D2"/>
    <w:rsid w:val="007E0F62"/>
    <w:rsid w:val="007E1720"/>
    <w:rsid w:val="007E234A"/>
    <w:rsid w:val="007E3C3D"/>
    <w:rsid w:val="007E4BFE"/>
    <w:rsid w:val="007E4EB4"/>
    <w:rsid w:val="007E6AF6"/>
    <w:rsid w:val="007E6BBA"/>
    <w:rsid w:val="007E7499"/>
    <w:rsid w:val="007E76AE"/>
    <w:rsid w:val="007E7996"/>
    <w:rsid w:val="007F1CAC"/>
    <w:rsid w:val="007F2742"/>
    <w:rsid w:val="007F4F5A"/>
    <w:rsid w:val="007F5214"/>
    <w:rsid w:val="007F6CC0"/>
    <w:rsid w:val="007F72A6"/>
    <w:rsid w:val="007F78BB"/>
    <w:rsid w:val="008003E4"/>
    <w:rsid w:val="00801C00"/>
    <w:rsid w:val="008024AE"/>
    <w:rsid w:val="008036D7"/>
    <w:rsid w:val="00805AA7"/>
    <w:rsid w:val="00806E3E"/>
    <w:rsid w:val="00806EED"/>
    <w:rsid w:val="008101E6"/>
    <w:rsid w:val="0081033F"/>
    <w:rsid w:val="00810F9D"/>
    <w:rsid w:val="00811A19"/>
    <w:rsid w:val="00812556"/>
    <w:rsid w:val="008133A3"/>
    <w:rsid w:val="008148A9"/>
    <w:rsid w:val="00815643"/>
    <w:rsid w:val="008158E4"/>
    <w:rsid w:val="00816652"/>
    <w:rsid w:val="0081678D"/>
    <w:rsid w:val="008213A7"/>
    <w:rsid w:val="008214B1"/>
    <w:rsid w:val="00823A07"/>
    <w:rsid w:val="00823E4F"/>
    <w:rsid w:val="008248F2"/>
    <w:rsid w:val="00826B8F"/>
    <w:rsid w:val="00827900"/>
    <w:rsid w:val="00831140"/>
    <w:rsid w:val="008314C7"/>
    <w:rsid w:val="0083158F"/>
    <w:rsid w:val="00832196"/>
    <w:rsid w:val="00832B9B"/>
    <w:rsid w:val="00834BAC"/>
    <w:rsid w:val="008359CA"/>
    <w:rsid w:val="00835AA5"/>
    <w:rsid w:val="00836609"/>
    <w:rsid w:val="00836AEF"/>
    <w:rsid w:val="00837F2A"/>
    <w:rsid w:val="00840797"/>
    <w:rsid w:val="00840DEA"/>
    <w:rsid w:val="0084267E"/>
    <w:rsid w:val="00842E70"/>
    <w:rsid w:val="00843051"/>
    <w:rsid w:val="008437C6"/>
    <w:rsid w:val="008441BE"/>
    <w:rsid w:val="0084450F"/>
    <w:rsid w:val="00844935"/>
    <w:rsid w:val="008471A5"/>
    <w:rsid w:val="00847F45"/>
    <w:rsid w:val="00851804"/>
    <w:rsid w:val="0085181B"/>
    <w:rsid w:val="0085244D"/>
    <w:rsid w:val="00852830"/>
    <w:rsid w:val="00852B5B"/>
    <w:rsid w:val="00853872"/>
    <w:rsid w:val="00853D86"/>
    <w:rsid w:val="008541A3"/>
    <w:rsid w:val="00854ADD"/>
    <w:rsid w:val="00855577"/>
    <w:rsid w:val="00855661"/>
    <w:rsid w:val="00860022"/>
    <w:rsid w:val="008610C9"/>
    <w:rsid w:val="00862D51"/>
    <w:rsid w:val="00862FC2"/>
    <w:rsid w:val="008637E1"/>
    <w:rsid w:val="00863E59"/>
    <w:rsid w:val="00866A27"/>
    <w:rsid w:val="0086730A"/>
    <w:rsid w:val="00867C54"/>
    <w:rsid w:val="00867FB0"/>
    <w:rsid w:val="00870225"/>
    <w:rsid w:val="00870C9C"/>
    <w:rsid w:val="008713E3"/>
    <w:rsid w:val="0087148A"/>
    <w:rsid w:val="00872540"/>
    <w:rsid w:val="00872CBA"/>
    <w:rsid w:val="008730B9"/>
    <w:rsid w:val="00873B30"/>
    <w:rsid w:val="00873FDB"/>
    <w:rsid w:val="00874206"/>
    <w:rsid w:val="0087589D"/>
    <w:rsid w:val="00875CBF"/>
    <w:rsid w:val="00875FB5"/>
    <w:rsid w:val="00876A70"/>
    <w:rsid w:val="00876D27"/>
    <w:rsid w:val="00877013"/>
    <w:rsid w:val="0087765B"/>
    <w:rsid w:val="00880EF9"/>
    <w:rsid w:val="00881E75"/>
    <w:rsid w:val="00882D38"/>
    <w:rsid w:val="00883C81"/>
    <w:rsid w:val="00884667"/>
    <w:rsid w:val="008855B2"/>
    <w:rsid w:val="008863A1"/>
    <w:rsid w:val="00886B69"/>
    <w:rsid w:val="0089089A"/>
    <w:rsid w:val="00890F9B"/>
    <w:rsid w:val="0089129E"/>
    <w:rsid w:val="008915DA"/>
    <w:rsid w:val="008917FA"/>
    <w:rsid w:val="00891D56"/>
    <w:rsid w:val="00892065"/>
    <w:rsid w:val="008923F6"/>
    <w:rsid w:val="00892F37"/>
    <w:rsid w:val="00893EAE"/>
    <w:rsid w:val="00894911"/>
    <w:rsid w:val="008962EA"/>
    <w:rsid w:val="00896991"/>
    <w:rsid w:val="00896B2A"/>
    <w:rsid w:val="00896B8F"/>
    <w:rsid w:val="0089747B"/>
    <w:rsid w:val="008A1EEC"/>
    <w:rsid w:val="008A2C08"/>
    <w:rsid w:val="008A4278"/>
    <w:rsid w:val="008A7102"/>
    <w:rsid w:val="008A7B57"/>
    <w:rsid w:val="008B0A08"/>
    <w:rsid w:val="008B0A3F"/>
    <w:rsid w:val="008B0BD0"/>
    <w:rsid w:val="008B1AA4"/>
    <w:rsid w:val="008B2C9E"/>
    <w:rsid w:val="008B354F"/>
    <w:rsid w:val="008B362E"/>
    <w:rsid w:val="008B44BB"/>
    <w:rsid w:val="008B5422"/>
    <w:rsid w:val="008B55C0"/>
    <w:rsid w:val="008B5DA0"/>
    <w:rsid w:val="008B665E"/>
    <w:rsid w:val="008B7B5D"/>
    <w:rsid w:val="008C2E63"/>
    <w:rsid w:val="008C3054"/>
    <w:rsid w:val="008C4050"/>
    <w:rsid w:val="008C40F4"/>
    <w:rsid w:val="008C6B05"/>
    <w:rsid w:val="008D0E8A"/>
    <w:rsid w:val="008D25A5"/>
    <w:rsid w:val="008D2E05"/>
    <w:rsid w:val="008D336B"/>
    <w:rsid w:val="008D37B4"/>
    <w:rsid w:val="008D4EE7"/>
    <w:rsid w:val="008D6D33"/>
    <w:rsid w:val="008D6E75"/>
    <w:rsid w:val="008D6E92"/>
    <w:rsid w:val="008E08AB"/>
    <w:rsid w:val="008E13BB"/>
    <w:rsid w:val="008E276A"/>
    <w:rsid w:val="008E2F3E"/>
    <w:rsid w:val="008E315E"/>
    <w:rsid w:val="008E3385"/>
    <w:rsid w:val="008E3AEB"/>
    <w:rsid w:val="008E4BDA"/>
    <w:rsid w:val="008E6AC9"/>
    <w:rsid w:val="008E6F21"/>
    <w:rsid w:val="008E79D0"/>
    <w:rsid w:val="008F1D38"/>
    <w:rsid w:val="008F4309"/>
    <w:rsid w:val="008F43B9"/>
    <w:rsid w:val="008F4DFA"/>
    <w:rsid w:val="008F58DD"/>
    <w:rsid w:val="008F5F2B"/>
    <w:rsid w:val="008F77DB"/>
    <w:rsid w:val="0090011C"/>
    <w:rsid w:val="0090069D"/>
    <w:rsid w:val="009015E9"/>
    <w:rsid w:val="00902C35"/>
    <w:rsid w:val="009048C8"/>
    <w:rsid w:val="009062A5"/>
    <w:rsid w:val="00910855"/>
    <w:rsid w:val="009111DB"/>
    <w:rsid w:val="00912E98"/>
    <w:rsid w:val="009136C2"/>
    <w:rsid w:val="00914576"/>
    <w:rsid w:val="00914C28"/>
    <w:rsid w:val="00915D60"/>
    <w:rsid w:val="00916DD5"/>
    <w:rsid w:val="009174CC"/>
    <w:rsid w:val="00921B2E"/>
    <w:rsid w:val="00921F28"/>
    <w:rsid w:val="009221FC"/>
    <w:rsid w:val="00922230"/>
    <w:rsid w:val="00922A90"/>
    <w:rsid w:val="00922FE2"/>
    <w:rsid w:val="00923090"/>
    <w:rsid w:val="009242FC"/>
    <w:rsid w:val="00924FC2"/>
    <w:rsid w:val="00925870"/>
    <w:rsid w:val="00926F36"/>
    <w:rsid w:val="009300EF"/>
    <w:rsid w:val="009307EB"/>
    <w:rsid w:val="00932ABF"/>
    <w:rsid w:val="00932F2D"/>
    <w:rsid w:val="00933C18"/>
    <w:rsid w:val="00933C93"/>
    <w:rsid w:val="00935BF5"/>
    <w:rsid w:val="00936C1F"/>
    <w:rsid w:val="009372FB"/>
    <w:rsid w:val="00937DB4"/>
    <w:rsid w:val="0094055C"/>
    <w:rsid w:val="009436F7"/>
    <w:rsid w:val="009437D0"/>
    <w:rsid w:val="00944E98"/>
    <w:rsid w:val="009460CF"/>
    <w:rsid w:val="00950239"/>
    <w:rsid w:val="00952D75"/>
    <w:rsid w:val="00952E33"/>
    <w:rsid w:val="00953A6B"/>
    <w:rsid w:val="00953A88"/>
    <w:rsid w:val="00954AD1"/>
    <w:rsid w:val="00955B7B"/>
    <w:rsid w:val="009601F1"/>
    <w:rsid w:val="00960E22"/>
    <w:rsid w:val="00961300"/>
    <w:rsid w:val="009623B2"/>
    <w:rsid w:val="00963418"/>
    <w:rsid w:val="00966C5D"/>
    <w:rsid w:val="00967D32"/>
    <w:rsid w:val="0097180B"/>
    <w:rsid w:val="00971AD7"/>
    <w:rsid w:val="009723EF"/>
    <w:rsid w:val="0097313D"/>
    <w:rsid w:val="00973B50"/>
    <w:rsid w:val="0097490B"/>
    <w:rsid w:val="009752D1"/>
    <w:rsid w:val="00975817"/>
    <w:rsid w:val="00975B41"/>
    <w:rsid w:val="00976E6C"/>
    <w:rsid w:val="00977FF1"/>
    <w:rsid w:val="0098016F"/>
    <w:rsid w:val="00980227"/>
    <w:rsid w:val="009826F6"/>
    <w:rsid w:val="00982E17"/>
    <w:rsid w:val="00983698"/>
    <w:rsid w:val="009860F4"/>
    <w:rsid w:val="009867AF"/>
    <w:rsid w:val="00986A3B"/>
    <w:rsid w:val="009906B1"/>
    <w:rsid w:val="009922AC"/>
    <w:rsid w:val="009924D9"/>
    <w:rsid w:val="00996C77"/>
    <w:rsid w:val="009A01ED"/>
    <w:rsid w:val="009A2335"/>
    <w:rsid w:val="009A28BA"/>
    <w:rsid w:val="009A3DDD"/>
    <w:rsid w:val="009A4940"/>
    <w:rsid w:val="009A664A"/>
    <w:rsid w:val="009A6E13"/>
    <w:rsid w:val="009B06E6"/>
    <w:rsid w:val="009B1737"/>
    <w:rsid w:val="009B2F20"/>
    <w:rsid w:val="009B4D5B"/>
    <w:rsid w:val="009B7923"/>
    <w:rsid w:val="009B7B3D"/>
    <w:rsid w:val="009C0F1C"/>
    <w:rsid w:val="009C13AD"/>
    <w:rsid w:val="009C170B"/>
    <w:rsid w:val="009C235E"/>
    <w:rsid w:val="009C5740"/>
    <w:rsid w:val="009C7C6B"/>
    <w:rsid w:val="009C7EAE"/>
    <w:rsid w:val="009D020A"/>
    <w:rsid w:val="009D052C"/>
    <w:rsid w:val="009D07BD"/>
    <w:rsid w:val="009D092E"/>
    <w:rsid w:val="009D223C"/>
    <w:rsid w:val="009D2EBD"/>
    <w:rsid w:val="009D3D30"/>
    <w:rsid w:val="009D3F8E"/>
    <w:rsid w:val="009D5767"/>
    <w:rsid w:val="009D5816"/>
    <w:rsid w:val="009D67A5"/>
    <w:rsid w:val="009D6E63"/>
    <w:rsid w:val="009D7382"/>
    <w:rsid w:val="009D73F0"/>
    <w:rsid w:val="009D7C5B"/>
    <w:rsid w:val="009E1875"/>
    <w:rsid w:val="009E2991"/>
    <w:rsid w:val="009E3FC1"/>
    <w:rsid w:val="009E4094"/>
    <w:rsid w:val="009E51ED"/>
    <w:rsid w:val="009E5AF6"/>
    <w:rsid w:val="009F07AA"/>
    <w:rsid w:val="009F0DE3"/>
    <w:rsid w:val="009F113B"/>
    <w:rsid w:val="009F16FB"/>
    <w:rsid w:val="009F3E84"/>
    <w:rsid w:val="009F3EC2"/>
    <w:rsid w:val="009F4D74"/>
    <w:rsid w:val="009F7285"/>
    <w:rsid w:val="009F7E76"/>
    <w:rsid w:val="00A0166C"/>
    <w:rsid w:val="00A01F15"/>
    <w:rsid w:val="00A03801"/>
    <w:rsid w:val="00A05573"/>
    <w:rsid w:val="00A11398"/>
    <w:rsid w:val="00A11AC1"/>
    <w:rsid w:val="00A11BE2"/>
    <w:rsid w:val="00A123FE"/>
    <w:rsid w:val="00A12F3F"/>
    <w:rsid w:val="00A151CC"/>
    <w:rsid w:val="00A15C28"/>
    <w:rsid w:val="00A161A3"/>
    <w:rsid w:val="00A2112F"/>
    <w:rsid w:val="00A23F22"/>
    <w:rsid w:val="00A255E2"/>
    <w:rsid w:val="00A25E1A"/>
    <w:rsid w:val="00A271E3"/>
    <w:rsid w:val="00A272B8"/>
    <w:rsid w:val="00A3084B"/>
    <w:rsid w:val="00A33205"/>
    <w:rsid w:val="00A3338F"/>
    <w:rsid w:val="00A3383A"/>
    <w:rsid w:val="00A339B0"/>
    <w:rsid w:val="00A339E1"/>
    <w:rsid w:val="00A350B1"/>
    <w:rsid w:val="00A35204"/>
    <w:rsid w:val="00A35A29"/>
    <w:rsid w:val="00A3605C"/>
    <w:rsid w:val="00A36141"/>
    <w:rsid w:val="00A368C0"/>
    <w:rsid w:val="00A37CE9"/>
    <w:rsid w:val="00A37DA0"/>
    <w:rsid w:val="00A4065F"/>
    <w:rsid w:val="00A41D50"/>
    <w:rsid w:val="00A42FE3"/>
    <w:rsid w:val="00A44DB7"/>
    <w:rsid w:val="00A45390"/>
    <w:rsid w:val="00A46FC6"/>
    <w:rsid w:val="00A505E8"/>
    <w:rsid w:val="00A50E1C"/>
    <w:rsid w:val="00A5140B"/>
    <w:rsid w:val="00A51EB2"/>
    <w:rsid w:val="00A5418C"/>
    <w:rsid w:val="00A5422E"/>
    <w:rsid w:val="00A5431A"/>
    <w:rsid w:val="00A55B62"/>
    <w:rsid w:val="00A57D05"/>
    <w:rsid w:val="00A60028"/>
    <w:rsid w:val="00A6030A"/>
    <w:rsid w:val="00A60EF3"/>
    <w:rsid w:val="00A60FB8"/>
    <w:rsid w:val="00A620C4"/>
    <w:rsid w:val="00A62A04"/>
    <w:rsid w:val="00A631B5"/>
    <w:rsid w:val="00A64288"/>
    <w:rsid w:val="00A65134"/>
    <w:rsid w:val="00A6566A"/>
    <w:rsid w:val="00A65C15"/>
    <w:rsid w:val="00A6699D"/>
    <w:rsid w:val="00A66A07"/>
    <w:rsid w:val="00A6703B"/>
    <w:rsid w:val="00A70633"/>
    <w:rsid w:val="00A71758"/>
    <w:rsid w:val="00A71C36"/>
    <w:rsid w:val="00A71C4D"/>
    <w:rsid w:val="00A7372E"/>
    <w:rsid w:val="00A74377"/>
    <w:rsid w:val="00A75712"/>
    <w:rsid w:val="00A75D9E"/>
    <w:rsid w:val="00A76A0E"/>
    <w:rsid w:val="00A77514"/>
    <w:rsid w:val="00A805EB"/>
    <w:rsid w:val="00A80FFF"/>
    <w:rsid w:val="00A81A27"/>
    <w:rsid w:val="00A820B6"/>
    <w:rsid w:val="00A848ED"/>
    <w:rsid w:val="00A855DB"/>
    <w:rsid w:val="00A91461"/>
    <w:rsid w:val="00A93A52"/>
    <w:rsid w:val="00A961A9"/>
    <w:rsid w:val="00A9739D"/>
    <w:rsid w:val="00A97999"/>
    <w:rsid w:val="00AA11A0"/>
    <w:rsid w:val="00AA12B0"/>
    <w:rsid w:val="00AA4632"/>
    <w:rsid w:val="00AA4D52"/>
    <w:rsid w:val="00AA6427"/>
    <w:rsid w:val="00AA66DE"/>
    <w:rsid w:val="00AA6804"/>
    <w:rsid w:val="00AA6827"/>
    <w:rsid w:val="00AA7C10"/>
    <w:rsid w:val="00AB021E"/>
    <w:rsid w:val="00AB0C90"/>
    <w:rsid w:val="00AB1B5F"/>
    <w:rsid w:val="00AB3C8D"/>
    <w:rsid w:val="00AB51B3"/>
    <w:rsid w:val="00AB59BC"/>
    <w:rsid w:val="00AB5D5D"/>
    <w:rsid w:val="00AB70A9"/>
    <w:rsid w:val="00AB7524"/>
    <w:rsid w:val="00AC03BF"/>
    <w:rsid w:val="00AC0ABC"/>
    <w:rsid w:val="00AC17A2"/>
    <w:rsid w:val="00AC1CB2"/>
    <w:rsid w:val="00AC1EF5"/>
    <w:rsid w:val="00AC21E5"/>
    <w:rsid w:val="00AC46F5"/>
    <w:rsid w:val="00AC4709"/>
    <w:rsid w:val="00AC4B2D"/>
    <w:rsid w:val="00AC5AAB"/>
    <w:rsid w:val="00AC5D11"/>
    <w:rsid w:val="00AC61C6"/>
    <w:rsid w:val="00AC69AB"/>
    <w:rsid w:val="00AC75FB"/>
    <w:rsid w:val="00AC76BE"/>
    <w:rsid w:val="00AD0126"/>
    <w:rsid w:val="00AD0643"/>
    <w:rsid w:val="00AD0B3B"/>
    <w:rsid w:val="00AD0CB2"/>
    <w:rsid w:val="00AD1564"/>
    <w:rsid w:val="00AD16C6"/>
    <w:rsid w:val="00AD2065"/>
    <w:rsid w:val="00AD2612"/>
    <w:rsid w:val="00AD3B4A"/>
    <w:rsid w:val="00AD4319"/>
    <w:rsid w:val="00AD43A0"/>
    <w:rsid w:val="00AD58F8"/>
    <w:rsid w:val="00AD62FC"/>
    <w:rsid w:val="00AE196A"/>
    <w:rsid w:val="00AE4B14"/>
    <w:rsid w:val="00AE6139"/>
    <w:rsid w:val="00AE710E"/>
    <w:rsid w:val="00AE781F"/>
    <w:rsid w:val="00AF0158"/>
    <w:rsid w:val="00AF0A3F"/>
    <w:rsid w:val="00AF17DF"/>
    <w:rsid w:val="00AF20A2"/>
    <w:rsid w:val="00AF2CB5"/>
    <w:rsid w:val="00AF4EED"/>
    <w:rsid w:val="00AF61CA"/>
    <w:rsid w:val="00AF6783"/>
    <w:rsid w:val="00B01D78"/>
    <w:rsid w:val="00B02543"/>
    <w:rsid w:val="00B04451"/>
    <w:rsid w:val="00B0522B"/>
    <w:rsid w:val="00B0674D"/>
    <w:rsid w:val="00B069DA"/>
    <w:rsid w:val="00B07B4A"/>
    <w:rsid w:val="00B07EA5"/>
    <w:rsid w:val="00B07F11"/>
    <w:rsid w:val="00B104E6"/>
    <w:rsid w:val="00B10FA0"/>
    <w:rsid w:val="00B1124F"/>
    <w:rsid w:val="00B11E56"/>
    <w:rsid w:val="00B12B6F"/>
    <w:rsid w:val="00B14C81"/>
    <w:rsid w:val="00B15C0B"/>
    <w:rsid w:val="00B16046"/>
    <w:rsid w:val="00B1768B"/>
    <w:rsid w:val="00B21288"/>
    <w:rsid w:val="00B21ED1"/>
    <w:rsid w:val="00B2202D"/>
    <w:rsid w:val="00B22627"/>
    <w:rsid w:val="00B22EDA"/>
    <w:rsid w:val="00B23438"/>
    <w:rsid w:val="00B236AD"/>
    <w:rsid w:val="00B24441"/>
    <w:rsid w:val="00B24453"/>
    <w:rsid w:val="00B26375"/>
    <w:rsid w:val="00B264B1"/>
    <w:rsid w:val="00B27EA8"/>
    <w:rsid w:val="00B3001C"/>
    <w:rsid w:val="00B30397"/>
    <w:rsid w:val="00B30C15"/>
    <w:rsid w:val="00B315A2"/>
    <w:rsid w:val="00B31684"/>
    <w:rsid w:val="00B3185E"/>
    <w:rsid w:val="00B3342A"/>
    <w:rsid w:val="00B33E20"/>
    <w:rsid w:val="00B35952"/>
    <w:rsid w:val="00B3601F"/>
    <w:rsid w:val="00B365B8"/>
    <w:rsid w:val="00B41109"/>
    <w:rsid w:val="00B4166C"/>
    <w:rsid w:val="00B44B01"/>
    <w:rsid w:val="00B45797"/>
    <w:rsid w:val="00B4643F"/>
    <w:rsid w:val="00B505CD"/>
    <w:rsid w:val="00B54300"/>
    <w:rsid w:val="00B545D2"/>
    <w:rsid w:val="00B54F31"/>
    <w:rsid w:val="00B55548"/>
    <w:rsid w:val="00B557AC"/>
    <w:rsid w:val="00B55B9E"/>
    <w:rsid w:val="00B56493"/>
    <w:rsid w:val="00B568FE"/>
    <w:rsid w:val="00B61DB1"/>
    <w:rsid w:val="00B62188"/>
    <w:rsid w:val="00B62C3B"/>
    <w:rsid w:val="00B62F6E"/>
    <w:rsid w:val="00B63612"/>
    <w:rsid w:val="00B63A01"/>
    <w:rsid w:val="00B64836"/>
    <w:rsid w:val="00B65E05"/>
    <w:rsid w:val="00B66F81"/>
    <w:rsid w:val="00B67B88"/>
    <w:rsid w:val="00B7063A"/>
    <w:rsid w:val="00B707C9"/>
    <w:rsid w:val="00B7133F"/>
    <w:rsid w:val="00B71CA5"/>
    <w:rsid w:val="00B71D7B"/>
    <w:rsid w:val="00B74AC1"/>
    <w:rsid w:val="00B74FDC"/>
    <w:rsid w:val="00B76470"/>
    <w:rsid w:val="00B77963"/>
    <w:rsid w:val="00B806F8"/>
    <w:rsid w:val="00B809B8"/>
    <w:rsid w:val="00B81405"/>
    <w:rsid w:val="00B81B94"/>
    <w:rsid w:val="00B830AD"/>
    <w:rsid w:val="00B839D1"/>
    <w:rsid w:val="00B85CEA"/>
    <w:rsid w:val="00B86886"/>
    <w:rsid w:val="00B86C3A"/>
    <w:rsid w:val="00B915FC"/>
    <w:rsid w:val="00B916F3"/>
    <w:rsid w:val="00B91922"/>
    <w:rsid w:val="00B94860"/>
    <w:rsid w:val="00BA06CF"/>
    <w:rsid w:val="00BA2209"/>
    <w:rsid w:val="00BA2F29"/>
    <w:rsid w:val="00BA37C8"/>
    <w:rsid w:val="00BA4AF8"/>
    <w:rsid w:val="00BA5E10"/>
    <w:rsid w:val="00BA605A"/>
    <w:rsid w:val="00BA6666"/>
    <w:rsid w:val="00BA6A6F"/>
    <w:rsid w:val="00BB06E8"/>
    <w:rsid w:val="00BB101F"/>
    <w:rsid w:val="00BB143F"/>
    <w:rsid w:val="00BB274F"/>
    <w:rsid w:val="00BB2759"/>
    <w:rsid w:val="00BB2E0A"/>
    <w:rsid w:val="00BB3621"/>
    <w:rsid w:val="00BB3C9F"/>
    <w:rsid w:val="00BB457A"/>
    <w:rsid w:val="00BB4A1F"/>
    <w:rsid w:val="00BB5672"/>
    <w:rsid w:val="00BB621C"/>
    <w:rsid w:val="00BB782F"/>
    <w:rsid w:val="00BC10D4"/>
    <w:rsid w:val="00BC218A"/>
    <w:rsid w:val="00BC236A"/>
    <w:rsid w:val="00BC2B2E"/>
    <w:rsid w:val="00BC3252"/>
    <w:rsid w:val="00BC57DB"/>
    <w:rsid w:val="00BC5809"/>
    <w:rsid w:val="00BC79F9"/>
    <w:rsid w:val="00BD0D56"/>
    <w:rsid w:val="00BD2156"/>
    <w:rsid w:val="00BD2307"/>
    <w:rsid w:val="00BD2C0B"/>
    <w:rsid w:val="00BD443E"/>
    <w:rsid w:val="00BD4A6C"/>
    <w:rsid w:val="00BD5241"/>
    <w:rsid w:val="00BD5873"/>
    <w:rsid w:val="00BD66D1"/>
    <w:rsid w:val="00BE0BD2"/>
    <w:rsid w:val="00BE0C7F"/>
    <w:rsid w:val="00BE4984"/>
    <w:rsid w:val="00BE662F"/>
    <w:rsid w:val="00BE7656"/>
    <w:rsid w:val="00BE7DC2"/>
    <w:rsid w:val="00BE7FA0"/>
    <w:rsid w:val="00BF0655"/>
    <w:rsid w:val="00BF12E1"/>
    <w:rsid w:val="00BF15B0"/>
    <w:rsid w:val="00BF15C3"/>
    <w:rsid w:val="00BF1982"/>
    <w:rsid w:val="00BF1AAF"/>
    <w:rsid w:val="00BF1C73"/>
    <w:rsid w:val="00BF2199"/>
    <w:rsid w:val="00BF2686"/>
    <w:rsid w:val="00BF3033"/>
    <w:rsid w:val="00BF5F84"/>
    <w:rsid w:val="00BF7D45"/>
    <w:rsid w:val="00C0085E"/>
    <w:rsid w:val="00C00C40"/>
    <w:rsid w:val="00C01C24"/>
    <w:rsid w:val="00C029DC"/>
    <w:rsid w:val="00C02C82"/>
    <w:rsid w:val="00C03B04"/>
    <w:rsid w:val="00C0411B"/>
    <w:rsid w:val="00C0530A"/>
    <w:rsid w:val="00C05569"/>
    <w:rsid w:val="00C05E6F"/>
    <w:rsid w:val="00C101F6"/>
    <w:rsid w:val="00C10364"/>
    <w:rsid w:val="00C104A1"/>
    <w:rsid w:val="00C125D9"/>
    <w:rsid w:val="00C1390F"/>
    <w:rsid w:val="00C13E71"/>
    <w:rsid w:val="00C14543"/>
    <w:rsid w:val="00C1472C"/>
    <w:rsid w:val="00C15156"/>
    <w:rsid w:val="00C15455"/>
    <w:rsid w:val="00C1640C"/>
    <w:rsid w:val="00C172B5"/>
    <w:rsid w:val="00C17B85"/>
    <w:rsid w:val="00C203B6"/>
    <w:rsid w:val="00C20D7E"/>
    <w:rsid w:val="00C24176"/>
    <w:rsid w:val="00C24CFF"/>
    <w:rsid w:val="00C24DB7"/>
    <w:rsid w:val="00C263E3"/>
    <w:rsid w:val="00C2791E"/>
    <w:rsid w:val="00C27A12"/>
    <w:rsid w:val="00C27C26"/>
    <w:rsid w:val="00C27F45"/>
    <w:rsid w:val="00C30C2C"/>
    <w:rsid w:val="00C3107D"/>
    <w:rsid w:val="00C34E32"/>
    <w:rsid w:val="00C36505"/>
    <w:rsid w:val="00C37210"/>
    <w:rsid w:val="00C42380"/>
    <w:rsid w:val="00C4428B"/>
    <w:rsid w:val="00C44FD6"/>
    <w:rsid w:val="00C469B8"/>
    <w:rsid w:val="00C46B09"/>
    <w:rsid w:val="00C474E2"/>
    <w:rsid w:val="00C47DCA"/>
    <w:rsid w:val="00C50187"/>
    <w:rsid w:val="00C501B0"/>
    <w:rsid w:val="00C50346"/>
    <w:rsid w:val="00C50886"/>
    <w:rsid w:val="00C50B0F"/>
    <w:rsid w:val="00C50F83"/>
    <w:rsid w:val="00C50FA4"/>
    <w:rsid w:val="00C51124"/>
    <w:rsid w:val="00C531E5"/>
    <w:rsid w:val="00C53DF9"/>
    <w:rsid w:val="00C54CDF"/>
    <w:rsid w:val="00C55891"/>
    <w:rsid w:val="00C572EE"/>
    <w:rsid w:val="00C5762F"/>
    <w:rsid w:val="00C60D1E"/>
    <w:rsid w:val="00C62E99"/>
    <w:rsid w:val="00C6395C"/>
    <w:rsid w:val="00C63B38"/>
    <w:rsid w:val="00C63BC3"/>
    <w:rsid w:val="00C65B8F"/>
    <w:rsid w:val="00C7193A"/>
    <w:rsid w:val="00C725F5"/>
    <w:rsid w:val="00C739E3"/>
    <w:rsid w:val="00C75382"/>
    <w:rsid w:val="00C763E0"/>
    <w:rsid w:val="00C765A0"/>
    <w:rsid w:val="00C76C35"/>
    <w:rsid w:val="00C77DC2"/>
    <w:rsid w:val="00C80191"/>
    <w:rsid w:val="00C80D14"/>
    <w:rsid w:val="00C810F0"/>
    <w:rsid w:val="00C835A7"/>
    <w:rsid w:val="00C83676"/>
    <w:rsid w:val="00C844A1"/>
    <w:rsid w:val="00C86393"/>
    <w:rsid w:val="00C8727C"/>
    <w:rsid w:val="00C90E33"/>
    <w:rsid w:val="00C90EA9"/>
    <w:rsid w:val="00C91613"/>
    <w:rsid w:val="00C93099"/>
    <w:rsid w:val="00C938CD"/>
    <w:rsid w:val="00C95C6E"/>
    <w:rsid w:val="00C95DDB"/>
    <w:rsid w:val="00C96660"/>
    <w:rsid w:val="00C96DF1"/>
    <w:rsid w:val="00CA0C1D"/>
    <w:rsid w:val="00CA172F"/>
    <w:rsid w:val="00CA1D1A"/>
    <w:rsid w:val="00CA2CE2"/>
    <w:rsid w:val="00CA3918"/>
    <w:rsid w:val="00CA39FA"/>
    <w:rsid w:val="00CA5558"/>
    <w:rsid w:val="00CB0735"/>
    <w:rsid w:val="00CB0B97"/>
    <w:rsid w:val="00CB1535"/>
    <w:rsid w:val="00CB199F"/>
    <w:rsid w:val="00CB1B05"/>
    <w:rsid w:val="00CB3176"/>
    <w:rsid w:val="00CB32AA"/>
    <w:rsid w:val="00CB33A6"/>
    <w:rsid w:val="00CB48B0"/>
    <w:rsid w:val="00CB6CEA"/>
    <w:rsid w:val="00CB7026"/>
    <w:rsid w:val="00CB781B"/>
    <w:rsid w:val="00CB79C7"/>
    <w:rsid w:val="00CC2931"/>
    <w:rsid w:val="00CC2A56"/>
    <w:rsid w:val="00CC328F"/>
    <w:rsid w:val="00CC5218"/>
    <w:rsid w:val="00CC5A5D"/>
    <w:rsid w:val="00CC69B8"/>
    <w:rsid w:val="00CC7706"/>
    <w:rsid w:val="00CD04B4"/>
    <w:rsid w:val="00CD0AEF"/>
    <w:rsid w:val="00CD24FA"/>
    <w:rsid w:val="00CD35E0"/>
    <w:rsid w:val="00CD3756"/>
    <w:rsid w:val="00CD392B"/>
    <w:rsid w:val="00CD3F00"/>
    <w:rsid w:val="00CD6357"/>
    <w:rsid w:val="00CD71B1"/>
    <w:rsid w:val="00CD7CE0"/>
    <w:rsid w:val="00CE1430"/>
    <w:rsid w:val="00CE2E1B"/>
    <w:rsid w:val="00CE30F9"/>
    <w:rsid w:val="00CE3C9A"/>
    <w:rsid w:val="00CE3EEE"/>
    <w:rsid w:val="00CE4159"/>
    <w:rsid w:val="00CE5001"/>
    <w:rsid w:val="00CE532C"/>
    <w:rsid w:val="00CE53EB"/>
    <w:rsid w:val="00CE5CC7"/>
    <w:rsid w:val="00CE5FA2"/>
    <w:rsid w:val="00CE6188"/>
    <w:rsid w:val="00CE7397"/>
    <w:rsid w:val="00CF04EA"/>
    <w:rsid w:val="00CF142C"/>
    <w:rsid w:val="00CF2B36"/>
    <w:rsid w:val="00CF34A6"/>
    <w:rsid w:val="00CF400F"/>
    <w:rsid w:val="00CF4E9A"/>
    <w:rsid w:val="00CF6056"/>
    <w:rsid w:val="00CF6E26"/>
    <w:rsid w:val="00CF739B"/>
    <w:rsid w:val="00CF74E1"/>
    <w:rsid w:val="00D009F5"/>
    <w:rsid w:val="00D00B58"/>
    <w:rsid w:val="00D015E1"/>
    <w:rsid w:val="00D0334D"/>
    <w:rsid w:val="00D039BE"/>
    <w:rsid w:val="00D04623"/>
    <w:rsid w:val="00D059C8"/>
    <w:rsid w:val="00D06549"/>
    <w:rsid w:val="00D07220"/>
    <w:rsid w:val="00D072BA"/>
    <w:rsid w:val="00D07674"/>
    <w:rsid w:val="00D07FFD"/>
    <w:rsid w:val="00D11116"/>
    <w:rsid w:val="00D112F7"/>
    <w:rsid w:val="00D1152C"/>
    <w:rsid w:val="00D11B1D"/>
    <w:rsid w:val="00D12AFE"/>
    <w:rsid w:val="00D136BB"/>
    <w:rsid w:val="00D1382A"/>
    <w:rsid w:val="00D147B2"/>
    <w:rsid w:val="00D15CD7"/>
    <w:rsid w:val="00D17FB2"/>
    <w:rsid w:val="00D20423"/>
    <w:rsid w:val="00D20E0F"/>
    <w:rsid w:val="00D22201"/>
    <w:rsid w:val="00D22336"/>
    <w:rsid w:val="00D223AD"/>
    <w:rsid w:val="00D2281E"/>
    <w:rsid w:val="00D22B22"/>
    <w:rsid w:val="00D23C11"/>
    <w:rsid w:val="00D26B90"/>
    <w:rsid w:val="00D27C7F"/>
    <w:rsid w:val="00D27E74"/>
    <w:rsid w:val="00D27EDC"/>
    <w:rsid w:val="00D30048"/>
    <w:rsid w:val="00D31D57"/>
    <w:rsid w:val="00D31FCA"/>
    <w:rsid w:val="00D326B8"/>
    <w:rsid w:val="00D32714"/>
    <w:rsid w:val="00D33132"/>
    <w:rsid w:val="00D33E6B"/>
    <w:rsid w:val="00D33FC3"/>
    <w:rsid w:val="00D3418E"/>
    <w:rsid w:val="00D346C6"/>
    <w:rsid w:val="00D35623"/>
    <w:rsid w:val="00D364C2"/>
    <w:rsid w:val="00D36FB8"/>
    <w:rsid w:val="00D3735F"/>
    <w:rsid w:val="00D37F56"/>
    <w:rsid w:val="00D4149F"/>
    <w:rsid w:val="00D46EAB"/>
    <w:rsid w:val="00D46F2E"/>
    <w:rsid w:val="00D46FF4"/>
    <w:rsid w:val="00D476BB"/>
    <w:rsid w:val="00D501A6"/>
    <w:rsid w:val="00D51AFC"/>
    <w:rsid w:val="00D52FB2"/>
    <w:rsid w:val="00D54427"/>
    <w:rsid w:val="00D547C6"/>
    <w:rsid w:val="00D57452"/>
    <w:rsid w:val="00D57765"/>
    <w:rsid w:val="00D57BDB"/>
    <w:rsid w:val="00D57E66"/>
    <w:rsid w:val="00D600ED"/>
    <w:rsid w:val="00D60895"/>
    <w:rsid w:val="00D62DDC"/>
    <w:rsid w:val="00D644B6"/>
    <w:rsid w:val="00D650E6"/>
    <w:rsid w:val="00D6777B"/>
    <w:rsid w:val="00D67851"/>
    <w:rsid w:val="00D6792E"/>
    <w:rsid w:val="00D67A1E"/>
    <w:rsid w:val="00D719EB"/>
    <w:rsid w:val="00D73471"/>
    <w:rsid w:val="00D73D28"/>
    <w:rsid w:val="00D74FF5"/>
    <w:rsid w:val="00D75BF7"/>
    <w:rsid w:val="00D76A3B"/>
    <w:rsid w:val="00D802E6"/>
    <w:rsid w:val="00D8062D"/>
    <w:rsid w:val="00D80687"/>
    <w:rsid w:val="00D80EAA"/>
    <w:rsid w:val="00D838D7"/>
    <w:rsid w:val="00D84E0F"/>
    <w:rsid w:val="00D85DF0"/>
    <w:rsid w:val="00D86B22"/>
    <w:rsid w:val="00D86BA9"/>
    <w:rsid w:val="00D86F5B"/>
    <w:rsid w:val="00D8735A"/>
    <w:rsid w:val="00D8755D"/>
    <w:rsid w:val="00D90A31"/>
    <w:rsid w:val="00D926C5"/>
    <w:rsid w:val="00D92B6B"/>
    <w:rsid w:val="00D934A2"/>
    <w:rsid w:val="00D93758"/>
    <w:rsid w:val="00D9407A"/>
    <w:rsid w:val="00D94FC6"/>
    <w:rsid w:val="00D95415"/>
    <w:rsid w:val="00D95521"/>
    <w:rsid w:val="00D96A87"/>
    <w:rsid w:val="00D97933"/>
    <w:rsid w:val="00D97BED"/>
    <w:rsid w:val="00DA12FB"/>
    <w:rsid w:val="00DA1775"/>
    <w:rsid w:val="00DA1DBD"/>
    <w:rsid w:val="00DA20F5"/>
    <w:rsid w:val="00DA216F"/>
    <w:rsid w:val="00DA30B9"/>
    <w:rsid w:val="00DA4275"/>
    <w:rsid w:val="00DA4C37"/>
    <w:rsid w:val="00DA4D9E"/>
    <w:rsid w:val="00DA4DCE"/>
    <w:rsid w:val="00DA5950"/>
    <w:rsid w:val="00DB1E27"/>
    <w:rsid w:val="00DB317C"/>
    <w:rsid w:val="00DB3B4D"/>
    <w:rsid w:val="00DB4661"/>
    <w:rsid w:val="00DB46F6"/>
    <w:rsid w:val="00DB47EC"/>
    <w:rsid w:val="00DB4C48"/>
    <w:rsid w:val="00DB509D"/>
    <w:rsid w:val="00DB5BFE"/>
    <w:rsid w:val="00DC05B1"/>
    <w:rsid w:val="00DC1659"/>
    <w:rsid w:val="00DC375E"/>
    <w:rsid w:val="00DC397C"/>
    <w:rsid w:val="00DC7007"/>
    <w:rsid w:val="00DC7D75"/>
    <w:rsid w:val="00DD0B8D"/>
    <w:rsid w:val="00DD1349"/>
    <w:rsid w:val="00DD1EB9"/>
    <w:rsid w:val="00DD2E45"/>
    <w:rsid w:val="00DD53EF"/>
    <w:rsid w:val="00DD5A7D"/>
    <w:rsid w:val="00DD6A87"/>
    <w:rsid w:val="00DD71FE"/>
    <w:rsid w:val="00DD7A84"/>
    <w:rsid w:val="00DE0098"/>
    <w:rsid w:val="00DE1CEC"/>
    <w:rsid w:val="00DE1D9D"/>
    <w:rsid w:val="00DE20A1"/>
    <w:rsid w:val="00DE349E"/>
    <w:rsid w:val="00DE3A7D"/>
    <w:rsid w:val="00DE6270"/>
    <w:rsid w:val="00DE635C"/>
    <w:rsid w:val="00DE7519"/>
    <w:rsid w:val="00DF0F4A"/>
    <w:rsid w:val="00DF1615"/>
    <w:rsid w:val="00DF26CD"/>
    <w:rsid w:val="00DF2BFD"/>
    <w:rsid w:val="00DF44F9"/>
    <w:rsid w:val="00DF50B3"/>
    <w:rsid w:val="00DF7F6D"/>
    <w:rsid w:val="00E015F5"/>
    <w:rsid w:val="00E02178"/>
    <w:rsid w:val="00E0263D"/>
    <w:rsid w:val="00E02DB6"/>
    <w:rsid w:val="00E03D0B"/>
    <w:rsid w:val="00E03D35"/>
    <w:rsid w:val="00E04ADC"/>
    <w:rsid w:val="00E0511F"/>
    <w:rsid w:val="00E07D9B"/>
    <w:rsid w:val="00E10175"/>
    <w:rsid w:val="00E11041"/>
    <w:rsid w:val="00E113F8"/>
    <w:rsid w:val="00E11486"/>
    <w:rsid w:val="00E121AB"/>
    <w:rsid w:val="00E121F7"/>
    <w:rsid w:val="00E138B1"/>
    <w:rsid w:val="00E172D8"/>
    <w:rsid w:val="00E175AE"/>
    <w:rsid w:val="00E22554"/>
    <w:rsid w:val="00E232BA"/>
    <w:rsid w:val="00E23E6B"/>
    <w:rsid w:val="00E249E6"/>
    <w:rsid w:val="00E25C3F"/>
    <w:rsid w:val="00E263E5"/>
    <w:rsid w:val="00E310AA"/>
    <w:rsid w:val="00E31AD2"/>
    <w:rsid w:val="00E32652"/>
    <w:rsid w:val="00E3400D"/>
    <w:rsid w:val="00E341C5"/>
    <w:rsid w:val="00E34F8D"/>
    <w:rsid w:val="00E35390"/>
    <w:rsid w:val="00E364F3"/>
    <w:rsid w:val="00E367D7"/>
    <w:rsid w:val="00E402E8"/>
    <w:rsid w:val="00E40C0F"/>
    <w:rsid w:val="00E43535"/>
    <w:rsid w:val="00E437DC"/>
    <w:rsid w:val="00E45662"/>
    <w:rsid w:val="00E458AA"/>
    <w:rsid w:val="00E47A4D"/>
    <w:rsid w:val="00E508A6"/>
    <w:rsid w:val="00E508F8"/>
    <w:rsid w:val="00E50C3F"/>
    <w:rsid w:val="00E50D46"/>
    <w:rsid w:val="00E53A5E"/>
    <w:rsid w:val="00E53AE6"/>
    <w:rsid w:val="00E54AF7"/>
    <w:rsid w:val="00E54CD0"/>
    <w:rsid w:val="00E54F5A"/>
    <w:rsid w:val="00E56CC3"/>
    <w:rsid w:val="00E612A9"/>
    <w:rsid w:val="00E6136E"/>
    <w:rsid w:val="00E615B0"/>
    <w:rsid w:val="00E61A21"/>
    <w:rsid w:val="00E61B3E"/>
    <w:rsid w:val="00E61FDF"/>
    <w:rsid w:val="00E62549"/>
    <w:rsid w:val="00E628DF"/>
    <w:rsid w:val="00E645D1"/>
    <w:rsid w:val="00E65DD1"/>
    <w:rsid w:val="00E66C42"/>
    <w:rsid w:val="00E6758A"/>
    <w:rsid w:val="00E67DDC"/>
    <w:rsid w:val="00E70BC9"/>
    <w:rsid w:val="00E71BAB"/>
    <w:rsid w:val="00E71BD7"/>
    <w:rsid w:val="00E71E75"/>
    <w:rsid w:val="00E72629"/>
    <w:rsid w:val="00E74159"/>
    <w:rsid w:val="00E74836"/>
    <w:rsid w:val="00E7653D"/>
    <w:rsid w:val="00E77EC4"/>
    <w:rsid w:val="00E80CD6"/>
    <w:rsid w:val="00E83444"/>
    <w:rsid w:val="00E83770"/>
    <w:rsid w:val="00E83794"/>
    <w:rsid w:val="00E86951"/>
    <w:rsid w:val="00E90D47"/>
    <w:rsid w:val="00E91C64"/>
    <w:rsid w:val="00E92749"/>
    <w:rsid w:val="00E93C42"/>
    <w:rsid w:val="00E93D7E"/>
    <w:rsid w:val="00E9467A"/>
    <w:rsid w:val="00E9628C"/>
    <w:rsid w:val="00E97B48"/>
    <w:rsid w:val="00EA006C"/>
    <w:rsid w:val="00EA36CA"/>
    <w:rsid w:val="00EA3E30"/>
    <w:rsid w:val="00EA4A1A"/>
    <w:rsid w:val="00EA4C56"/>
    <w:rsid w:val="00EA503C"/>
    <w:rsid w:val="00EA557E"/>
    <w:rsid w:val="00EA5C8F"/>
    <w:rsid w:val="00EA68ED"/>
    <w:rsid w:val="00EA7F8F"/>
    <w:rsid w:val="00EB048C"/>
    <w:rsid w:val="00EB08D3"/>
    <w:rsid w:val="00EB10F9"/>
    <w:rsid w:val="00EB2178"/>
    <w:rsid w:val="00EB2E6B"/>
    <w:rsid w:val="00EB353B"/>
    <w:rsid w:val="00EB3E1D"/>
    <w:rsid w:val="00EB410A"/>
    <w:rsid w:val="00EB71E1"/>
    <w:rsid w:val="00EB7761"/>
    <w:rsid w:val="00EC0421"/>
    <w:rsid w:val="00EC1C86"/>
    <w:rsid w:val="00EC2969"/>
    <w:rsid w:val="00EC4185"/>
    <w:rsid w:val="00EC483A"/>
    <w:rsid w:val="00EC546A"/>
    <w:rsid w:val="00EC6806"/>
    <w:rsid w:val="00EC753B"/>
    <w:rsid w:val="00EC7893"/>
    <w:rsid w:val="00ED0C1B"/>
    <w:rsid w:val="00ED16FA"/>
    <w:rsid w:val="00ED1A71"/>
    <w:rsid w:val="00ED1FD5"/>
    <w:rsid w:val="00ED272C"/>
    <w:rsid w:val="00ED2C10"/>
    <w:rsid w:val="00ED3F36"/>
    <w:rsid w:val="00ED5C36"/>
    <w:rsid w:val="00ED6257"/>
    <w:rsid w:val="00ED62FD"/>
    <w:rsid w:val="00ED7FB3"/>
    <w:rsid w:val="00EE0858"/>
    <w:rsid w:val="00EE0C89"/>
    <w:rsid w:val="00EE2CDC"/>
    <w:rsid w:val="00EE49B9"/>
    <w:rsid w:val="00EE57CC"/>
    <w:rsid w:val="00EE7F62"/>
    <w:rsid w:val="00EF0787"/>
    <w:rsid w:val="00EF21EA"/>
    <w:rsid w:val="00EF37D0"/>
    <w:rsid w:val="00EF471E"/>
    <w:rsid w:val="00EF514A"/>
    <w:rsid w:val="00EF53B2"/>
    <w:rsid w:val="00EF5810"/>
    <w:rsid w:val="00EF5DB8"/>
    <w:rsid w:val="00EF6143"/>
    <w:rsid w:val="00EF623C"/>
    <w:rsid w:val="00EF642E"/>
    <w:rsid w:val="00EF71B8"/>
    <w:rsid w:val="00F006CF"/>
    <w:rsid w:val="00F01325"/>
    <w:rsid w:val="00F0183C"/>
    <w:rsid w:val="00F018EF"/>
    <w:rsid w:val="00F02F4F"/>
    <w:rsid w:val="00F0422E"/>
    <w:rsid w:val="00F0432A"/>
    <w:rsid w:val="00F043D8"/>
    <w:rsid w:val="00F048BB"/>
    <w:rsid w:val="00F05995"/>
    <w:rsid w:val="00F071F4"/>
    <w:rsid w:val="00F103B4"/>
    <w:rsid w:val="00F10415"/>
    <w:rsid w:val="00F10CA1"/>
    <w:rsid w:val="00F10DB1"/>
    <w:rsid w:val="00F11998"/>
    <w:rsid w:val="00F137E7"/>
    <w:rsid w:val="00F13910"/>
    <w:rsid w:val="00F13A0E"/>
    <w:rsid w:val="00F15F3B"/>
    <w:rsid w:val="00F163ED"/>
    <w:rsid w:val="00F16C4D"/>
    <w:rsid w:val="00F170AA"/>
    <w:rsid w:val="00F17D3D"/>
    <w:rsid w:val="00F20EE7"/>
    <w:rsid w:val="00F21516"/>
    <w:rsid w:val="00F22BF4"/>
    <w:rsid w:val="00F22D96"/>
    <w:rsid w:val="00F22F50"/>
    <w:rsid w:val="00F2368E"/>
    <w:rsid w:val="00F24348"/>
    <w:rsid w:val="00F25EC1"/>
    <w:rsid w:val="00F276A8"/>
    <w:rsid w:val="00F322E5"/>
    <w:rsid w:val="00F33EF8"/>
    <w:rsid w:val="00F33F30"/>
    <w:rsid w:val="00F3534A"/>
    <w:rsid w:val="00F412F0"/>
    <w:rsid w:val="00F426EA"/>
    <w:rsid w:val="00F43508"/>
    <w:rsid w:val="00F4377A"/>
    <w:rsid w:val="00F4471C"/>
    <w:rsid w:val="00F44AB0"/>
    <w:rsid w:val="00F45FAE"/>
    <w:rsid w:val="00F5126E"/>
    <w:rsid w:val="00F524BA"/>
    <w:rsid w:val="00F525F7"/>
    <w:rsid w:val="00F53021"/>
    <w:rsid w:val="00F57003"/>
    <w:rsid w:val="00F61FFA"/>
    <w:rsid w:val="00F6214E"/>
    <w:rsid w:val="00F62D84"/>
    <w:rsid w:val="00F62E49"/>
    <w:rsid w:val="00F6349F"/>
    <w:rsid w:val="00F64417"/>
    <w:rsid w:val="00F64635"/>
    <w:rsid w:val="00F669E6"/>
    <w:rsid w:val="00F7055A"/>
    <w:rsid w:val="00F706E1"/>
    <w:rsid w:val="00F7214D"/>
    <w:rsid w:val="00F72393"/>
    <w:rsid w:val="00F75070"/>
    <w:rsid w:val="00F75AF6"/>
    <w:rsid w:val="00F763F4"/>
    <w:rsid w:val="00F76B6F"/>
    <w:rsid w:val="00F800A7"/>
    <w:rsid w:val="00F8388C"/>
    <w:rsid w:val="00F838C2"/>
    <w:rsid w:val="00F83961"/>
    <w:rsid w:val="00F8401B"/>
    <w:rsid w:val="00F84D58"/>
    <w:rsid w:val="00F84DDF"/>
    <w:rsid w:val="00F85C9F"/>
    <w:rsid w:val="00F86110"/>
    <w:rsid w:val="00F86FEF"/>
    <w:rsid w:val="00F87AC0"/>
    <w:rsid w:val="00F905FA"/>
    <w:rsid w:val="00F90C52"/>
    <w:rsid w:val="00F929D8"/>
    <w:rsid w:val="00F92CFF"/>
    <w:rsid w:val="00F92E74"/>
    <w:rsid w:val="00F930DF"/>
    <w:rsid w:val="00F93252"/>
    <w:rsid w:val="00F93584"/>
    <w:rsid w:val="00F93636"/>
    <w:rsid w:val="00F943E8"/>
    <w:rsid w:val="00F94C43"/>
    <w:rsid w:val="00F96726"/>
    <w:rsid w:val="00F97C2F"/>
    <w:rsid w:val="00F97C8F"/>
    <w:rsid w:val="00FA06F5"/>
    <w:rsid w:val="00FA0E8D"/>
    <w:rsid w:val="00FA31C0"/>
    <w:rsid w:val="00FA3810"/>
    <w:rsid w:val="00FA4DB7"/>
    <w:rsid w:val="00FA4E30"/>
    <w:rsid w:val="00FA630E"/>
    <w:rsid w:val="00FA6680"/>
    <w:rsid w:val="00FA6AD0"/>
    <w:rsid w:val="00FA7398"/>
    <w:rsid w:val="00FA7832"/>
    <w:rsid w:val="00FB1DCF"/>
    <w:rsid w:val="00FB40B0"/>
    <w:rsid w:val="00FB4EA5"/>
    <w:rsid w:val="00FB51CD"/>
    <w:rsid w:val="00FB5275"/>
    <w:rsid w:val="00FB532B"/>
    <w:rsid w:val="00FB5C37"/>
    <w:rsid w:val="00FC01BF"/>
    <w:rsid w:val="00FC15D8"/>
    <w:rsid w:val="00FC205C"/>
    <w:rsid w:val="00FC3ADA"/>
    <w:rsid w:val="00FC3E56"/>
    <w:rsid w:val="00FC410C"/>
    <w:rsid w:val="00FC461A"/>
    <w:rsid w:val="00FC52BE"/>
    <w:rsid w:val="00FC5CE3"/>
    <w:rsid w:val="00FC68C5"/>
    <w:rsid w:val="00FC79E0"/>
    <w:rsid w:val="00FD1A70"/>
    <w:rsid w:val="00FD3987"/>
    <w:rsid w:val="00FD5702"/>
    <w:rsid w:val="00FD613E"/>
    <w:rsid w:val="00FD79C4"/>
    <w:rsid w:val="00FE0338"/>
    <w:rsid w:val="00FE0A68"/>
    <w:rsid w:val="00FE0DE8"/>
    <w:rsid w:val="00FE1FAC"/>
    <w:rsid w:val="00FE2BD0"/>
    <w:rsid w:val="00FE2F0E"/>
    <w:rsid w:val="00FE4836"/>
    <w:rsid w:val="00FE590E"/>
    <w:rsid w:val="00FE5AA8"/>
    <w:rsid w:val="00FE5EC8"/>
    <w:rsid w:val="00FE6424"/>
    <w:rsid w:val="00FF4715"/>
    <w:rsid w:val="00FF5A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uiPriority="99" w:qFormat="1"/>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Document Map" w:uiPriority="99"/>
    <w:lsdException w:name="Plain Text" w:uiPriority="99"/>
    <w:lsdException w:name="Normal (Web)" w:uiPriority="99" w:qFormat="1"/>
    <w:lsdException w:name="HTML Address" w:uiPriority="99"/>
    <w:lsdException w:name="annotation subject" w:uiPriority="99"/>
    <w:lsdException w:name="No List" w:uiPriority="99"/>
    <w:lsdException w:name="Outline List 2" w:uiPriority="99"/>
    <w:lsdException w:name="Table Elegant" w:uiPriority="99"/>
    <w:lsdException w:name="Table Professional" w:uiPriority="99"/>
    <w:lsdException w:name="Table Web 2" w:uiPriority="99"/>
    <w:lsdException w:name="Balloon Text" w:uiPriority="99"/>
    <w:lsdException w:name="Table Grid" w:uiPriority="99"/>
    <w:lsdException w:name="Table Theme"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ny">
    <w:name w:val="Normal"/>
    <w:qFormat/>
    <w:rsid w:val="005053AE"/>
    <w:pPr>
      <w:jc w:val="both"/>
    </w:pPr>
    <w:rPr>
      <w:sz w:val="22"/>
      <w:szCs w:val="24"/>
      <w:lang w:val="sk-SK" w:eastAsia="sk-SK"/>
    </w:rPr>
  </w:style>
  <w:style w:type="paragraph" w:styleId="Nadpis1">
    <w:name w:val="heading 1"/>
    <w:basedOn w:val="Normlny"/>
    <w:next w:val="Normlny"/>
    <w:link w:val="Nadpis1Char"/>
    <w:uiPriority w:val="99"/>
    <w:qFormat/>
    <w:rsid w:val="00A339B0"/>
    <w:pPr>
      <w:keepNext/>
      <w:numPr>
        <w:numId w:val="41"/>
      </w:numPr>
      <w:tabs>
        <w:tab w:val="left" w:pos="567"/>
      </w:tabs>
      <w:spacing w:before="240"/>
      <w:jc w:val="left"/>
      <w:outlineLvl w:val="0"/>
    </w:pPr>
    <w:rPr>
      <w:rFonts w:ascii="Times New Roman Bold" w:hAnsi="Times New Roman Bold" w:cs="Arial"/>
      <w:b/>
      <w:bCs/>
      <w:caps/>
      <w:color w:val="244061"/>
      <w:kern w:val="32"/>
      <w:sz w:val="28"/>
      <w:szCs w:val="22"/>
    </w:rPr>
  </w:style>
  <w:style w:type="paragraph" w:styleId="Nadpis21">
    <w:name w:val="heading 2"/>
    <w:aliases w:val="hlavicka"/>
    <w:basedOn w:val="Normlny"/>
    <w:next w:val="Normlny"/>
    <w:link w:val="Nadpis2Char"/>
    <w:uiPriority w:val="99"/>
    <w:qFormat/>
    <w:rsid w:val="000520E5"/>
    <w:pPr>
      <w:keepNext/>
      <w:widowControl w:val="0"/>
      <w:overflowPunct w:val="0"/>
      <w:autoSpaceDE w:val="0"/>
      <w:autoSpaceDN w:val="0"/>
      <w:adjustRightInd w:val="0"/>
      <w:spacing w:before="40" w:after="40"/>
      <w:jc w:val="center"/>
      <w:textAlignment w:val="baseline"/>
      <w:outlineLvl w:val="1"/>
    </w:pPr>
    <w:rPr>
      <w:rFonts w:ascii="Times" w:hAnsi="Times" w:cs="Arial"/>
      <w:b/>
      <w:bCs/>
      <w:iCs/>
      <w:color w:val="FFFFFF"/>
      <w:sz w:val="20"/>
      <w:szCs w:val="28"/>
      <w:lang w:eastAsia="cs-CZ"/>
    </w:rPr>
  </w:style>
  <w:style w:type="paragraph" w:styleId="Nadpis30">
    <w:name w:val="heading 3"/>
    <w:aliases w:val="Podúloha"/>
    <w:basedOn w:val="Normlny"/>
    <w:next w:val="Normlny"/>
    <w:link w:val="Nadpis3Char"/>
    <w:uiPriority w:val="99"/>
    <w:qFormat/>
    <w:rsid w:val="002275F2"/>
    <w:pPr>
      <w:keepNext/>
      <w:spacing w:before="240" w:after="60"/>
      <w:outlineLvl w:val="2"/>
    </w:pPr>
    <w:rPr>
      <w:rFonts w:ascii="Arial" w:hAnsi="Arial" w:cs="Arial"/>
      <w:b/>
      <w:bCs/>
      <w:sz w:val="26"/>
      <w:szCs w:val="26"/>
    </w:rPr>
  </w:style>
  <w:style w:type="paragraph" w:styleId="Nadpis4">
    <w:name w:val="heading 4"/>
    <w:aliases w:val="TEXT TAB"/>
    <w:basedOn w:val="Normlny"/>
    <w:next w:val="Normlny"/>
    <w:link w:val="Nadpis4Char"/>
    <w:uiPriority w:val="99"/>
    <w:qFormat/>
    <w:rsid w:val="009A664A"/>
    <w:pPr>
      <w:keepNext/>
      <w:spacing w:before="40" w:after="40"/>
      <w:jc w:val="center"/>
      <w:outlineLvl w:val="3"/>
    </w:pPr>
    <w:rPr>
      <w:bCs/>
      <w:sz w:val="20"/>
      <w:szCs w:val="28"/>
    </w:rPr>
  </w:style>
  <w:style w:type="paragraph" w:styleId="Nadpis5">
    <w:name w:val="heading 5"/>
    <w:aliases w:val="Heading2"/>
    <w:basedOn w:val="Normlny"/>
    <w:next w:val="Normlny"/>
    <w:link w:val="Nadpis5Char"/>
    <w:uiPriority w:val="99"/>
    <w:qFormat/>
    <w:rsid w:val="003D4F15"/>
    <w:pPr>
      <w:overflowPunct w:val="0"/>
      <w:autoSpaceDE w:val="0"/>
      <w:autoSpaceDN w:val="0"/>
      <w:adjustRightInd w:val="0"/>
      <w:spacing w:before="120" w:after="240"/>
      <w:textAlignment w:val="baseline"/>
      <w:outlineLvl w:val="4"/>
    </w:pPr>
    <w:rPr>
      <w:rFonts w:ascii="Times New Roman Bold" w:hAnsi="Times New Roman Bold"/>
      <w:b/>
      <w:bCs/>
      <w:iCs/>
      <w:color w:val="365F91"/>
      <w:sz w:val="28"/>
      <w:szCs w:val="26"/>
      <w:lang w:eastAsia="cs-CZ"/>
    </w:rPr>
  </w:style>
  <w:style w:type="paragraph" w:styleId="Nadpis6">
    <w:name w:val="heading 6"/>
    <w:aliases w:val="Heading3"/>
    <w:basedOn w:val="Normlny"/>
    <w:next w:val="Normlny"/>
    <w:link w:val="Nadpis6Char"/>
    <w:uiPriority w:val="99"/>
    <w:qFormat/>
    <w:rsid w:val="000B4550"/>
    <w:pPr>
      <w:keepNext/>
      <w:numPr>
        <w:ilvl w:val="2"/>
        <w:numId w:val="41"/>
      </w:numPr>
      <w:spacing w:before="240" w:after="240"/>
      <w:jc w:val="left"/>
      <w:outlineLvl w:val="5"/>
    </w:pPr>
    <w:rPr>
      <w:rFonts w:ascii="Times New Roman Bold" w:hAnsi="Times New Roman Bold"/>
      <w:b/>
      <w:color w:val="548DD4" w:themeColor="text2" w:themeTint="99"/>
      <w:sz w:val="24"/>
      <w:szCs w:val="20"/>
      <w:lang w:eastAsia="cs-CZ"/>
    </w:rPr>
  </w:style>
  <w:style w:type="paragraph" w:styleId="Nadpis7">
    <w:name w:val="heading 7"/>
    <w:aliases w:val="Tabulka_nadpis"/>
    <w:basedOn w:val="Normlny"/>
    <w:next w:val="Normlny"/>
    <w:link w:val="Nadpis7Char"/>
    <w:uiPriority w:val="99"/>
    <w:qFormat/>
    <w:rsid w:val="002511B1"/>
    <w:pPr>
      <w:spacing w:before="240" w:after="120"/>
      <w:jc w:val="center"/>
      <w:outlineLvl w:val="6"/>
    </w:pPr>
    <w:rPr>
      <w:b/>
    </w:rPr>
  </w:style>
  <w:style w:type="paragraph" w:styleId="Nadpis8">
    <w:name w:val="heading 8"/>
    <w:basedOn w:val="Normlny"/>
    <w:next w:val="Normlny"/>
    <w:link w:val="Nadpis8Char"/>
    <w:uiPriority w:val="99"/>
    <w:qFormat/>
    <w:rsid w:val="002275F2"/>
    <w:pPr>
      <w:keepNext/>
      <w:jc w:val="center"/>
      <w:outlineLvl w:val="7"/>
    </w:pPr>
    <w:rPr>
      <w:b/>
      <w:i/>
      <w:sz w:val="20"/>
      <w:szCs w:val="20"/>
      <w:lang w:eastAsia="cs-CZ"/>
    </w:rPr>
  </w:style>
  <w:style w:type="paragraph" w:styleId="Nadpis9">
    <w:name w:val="heading 9"/>
    <w:basedOn w:val="Normlny"/>
    <w:next w:val="Normlny"/>
    <w:link w:val="Nadpis9Char"/>
    <w:uiPriority w:val="99"/>
    <w:qFormat/>
    <w:rsid w:val="00866A27"/>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339B0"/>
    <w:rPr>
      <w:rFonts w:ascii="Times New Roman Bold" w:hAnsi="Times New Roman Bold" w:cs="Arial"/>
      <w:b/>
      <w:bCs/>
      <w:caps/>
      <w:color w:val="244061"/>
      <w:kern w:val="32"/>
      <w:sz w:val="28"/>
      <w:szCs w:val="22"/>
      <w:lang w:val="sk-SK" w:eastAsia="sk-SK"/>
    </w:rPr>
  </w:style>
  <w:style w:type="character" w:customStyle="1" w:styleId="Nadpis2Char">
    <w:name w:val="Nadpis 2 Char"/>
    <w:aliases w:val="hlavicka Char"/>
    <w:basedOn w:val="Predvolenpsmoodseku"/>
    <w:link w:val="Nadpis21"/>
    <w:uiPriority w:val="99"/>
    <w:rsid w:val="000520E5"/>
    <w:rPr>
      <w:rFonts w:ascii="Times" w:hAnsi="Times" w:cs="Arial"/>
      <w:b/>
      <w:bCs/>
      <w:iCs/>
      <w:color w:val="FFFFFF"/>
      <w:szCs w:val="28"/>
      <w:lang w:val="sk-SK" w:eastAsia="cs-CZ"/>
    </w:rPr>
  </w:style>
  <w:style w:type="character" w:customStyle="1" w:styleId="Nadpis3Char">
    <w:name w:val="Nadpis 3 Char"/>
    <w:aliases w:val="Podúloha Char"/>
    <w:basedOn w:val="Predvolenpsmoodseku"/>
    <w:link w:val="Nadpis30"/>
    <w:uiPriority w:val="99"/>
    <w:rsid w:val="0031064A"/>
    <w:rPr>
      <w:rFonts w:ascii="Arial" w:hAnsi="Arial" w:cs="Arial"/>
      <w:b/>
      <w:bCs/>
      <w:sz w:val="26"/>
      <w:szCs w:val="26"/>
      <w:lang w:val="sk-SK" w:eastAsia="sk-SK" w:bidi="ar-SA"/>
    </w:rPr>
  </w:style>
  <w:style w:type="character" w:customStyle="1" w:styleId="Nadpis4Char">
    <w:name w:val="Nadpis 4 Char"/>
    <w:aliases w:val="TEXT TAB Char"/>
    <w:basedOn w:val="Predvolenpsmoodseku"/>
    <w:link w:val="Nadpis4"/>
    <w:uiPriority w:val="99"/>
    <w:rsid w:val="009A664A"/>
    <w:rPr>
      <w:bCs/>
      <w:szCs w:val="28"/>
      <w:lang w:val="sk-SK" w:eastAsia="sk-SK"/>
    </w:rPr>
  </w:style>
  <w:style w:type="character" w:customStyle="1" w:styleId="Nadpis5Char">
    <w:name w:val="Nadpis 5 Char"/>
    <w:aliases w:val="Heading2 Char"/>
    <w:basedOn w:val="Predvolenpsmoodseku"/>
    <w:link w:val="Nadpis5"/>
    <w:uiPriority w:val="99"/>
    <w:rsid w:val="003D4F15"/>
    <w:rPr>
      <w:rFonts w:ascii="Times New Roman Bold" w:hAnsi="Times New Roman Bold"/>
      <w:b/>
      <w:bCs/>
      <w:iCs/>
      <w:color w:val="365F91"/>
      <w:sz w:val="28"/>
      <w:szCs w:val="26"/>
      <w:lang w:val="sk-SK" w:eastAsia="cs-CZ"/>
    </w:rPr>
  </w:style>
  <w:style w:type="character" w:customStyle="1" w:styleId="Nadpis7Char">
    <w:name w:val="Nadpis 7 Char"/>
    <w:aliases w:val="Tabulka_nadpis Char"/>
    <w:basedOn w:val="Predvolenpsmoodseku"/>
    <w:link w:val="Nadpis7"/>
    <w:uiPriority w:val="99"/>
    <w:rsid w:val="002511B1"/>
    <w:rPr>
      <w:b/>
      <w:sz w:val="22"/>
      <w:szCs w:val="24"/>
      <w:lang w:val="sk-SK" w:eastAsia="sk-SK"/>
    </w:rPr>
  </w:style>
  <w:style w:type="character" w:customStyle="1" w:styleId="Nadpis8Char">
    <w:name w:val="Nadpis 8 Char"/>
    <w:basedOn w:val="Predvolenpsmoodseku"/>
    <w:link w:val="Nadpis8"/>
    <w:uiPriority w:val="99"/>
    <w:rsid w:val="0031064A"/>
    <w:rPr>
      <w:b/>
      <w:i/>
      <w:lang w:val="sk-SK" w:eastAsia="cs-CZ"/>
    </w:rPr>
  </w:style>
  <w:style w:type="character" w:customStyle="1" w:styleId="red1">
    <w:name w:val="red1"/>
    <w:basedOn w:val="Predvolenpsmoodseku"/>
    <w:uiPriority w:val="99"/>
    <w:rsid w:val="002275F2"/>
    <w:rPr>
      <w:color w:val="F43724"/>
    </w:rPr>
  </w:style>
  <w:style w:type="character" w:customStyle="1" w:styleId="black1">
    <w:name w:val="black1"/>
    <w:basedOn w:val="Predvolenpsmoodseku"/>
    <w:uiPriority w:val="99"/>
    <w:rsid w:val="002275F2"/>
    <w:rPr>
      <w:color w:val="000000"/>
    </w:rPr>
  </w:style>
  <w:style w:type="paragraph" w:styleId="Nadpispoznmky">
    <w:name w:val="Note Heading"/>
    <w:basedOn w:val="Normlny"/>
    <w:next w:val="Normlny"/>
    <w:link w:val="NadpispoznmkyChar"/>
    <w:uiPriority w:val="99"/>
    <w:rsid w:val="002275F2"/>
  </w:style>
  <w:style w:type="character" w:customStyle="1" w:styleId="NadpispoznmkyChar">
    <w:name w:val="Nadpis poznámky Char"/>
    <w:basedOn w:val="Predvolenpsmoodseku"/>
    <w:link w:val="Nadpispoznmky"/>
    <w:uiPriority w:val="99"/>
    <w:rsid w:val="0031064A"/>
    <w:rPr>
      <w:sz w:val="24"/>
      <w:szCs w:val="24"/>
      <w:lang w:val="sk-SK" w:eastAsia="sk-SK" w:bidi="ar-SA"/>
    </w:rPr>
  </w:style>
  <w:style w:type="paragraph" w:styleId="Zarkazkladnhotextu">
    <w:name w:val="Body Text Indent"/>
    <w:basedOn w:val="Normlny"/>
    <w:link w:val="ZarkazkladnhotextuChar"/>
    <w:uiPriority w:val="99"/>
    <w:rsid w:val="002275F2"/>
    <w:pPr>
      <w:tabs>
        <w:tab w:val="left" w:pos="360"/>
      </w:tabs>
      <w:ind w:left="360" w:hanging="360"/>
    </w:pPr>
    <w:rPr>
      <w:b/>
      <w:sz w:val="26"/>
      <w:lang w:val="cs-CZ"/>
    </w:rPr>
  </w:style>
  <w:style w:type="character" w:customStyle="1" w:styleId="ZarkazkladnhotextuChar">
    <w:name w:val="Zarážka základného textu Char"/>
    <w:basedOn w:val="Predvolenpsmoodseku"/>
    <w:link w:val="Zarkazkladnhotextu"/>
    <w:uiPriority w:val="99"/>
    <w:rsid w:val="0031064A"/>
    <w:rPr>
      <w:b/>
      <w:sz w:val="26"/>
      <w:szCs w:val="24"/>
      <w:lang w:val="cs-CZ" w:eastAsia="sk-SK" w:bidi="ar-SA"/>
    </w:rPr>
  </w:style>
  <w:style w:type="paragraph" w:customStyle="1" w:styleId="BodyText23">
    <w:name w:val="Body Text 23"/>
    <w:basedOn w:val="Normlny"/>
    <w:uiPriority w:val="99"/>
    <w:rsid w:val="002275F2"/>
    <w:pPr>
      <w:widowControl w:val="0"/>
      <w:spacing w:before="120"/>
      <w:ind w:firstLine="567"/>
    </w:pPr>
    <w:rPr>
      <w:lang w:val="cs-CZ"/>
    </w:rPr>
  </w:style>
  <w:style w:type="paragraph" w:styleId="Zkladntext2">
    <w:name w:val="Body Text 2"/>
    <w:basedOn w:val="Normlny"/>
    <w:link w:val="Zkladntext2Char"/>
    <w:uiPriority w:val="99"/>
    <w:rsid w:val="002275F2"/>
    <w:pPr>
      <w:tabs>
        <w:tab w:val="left" w:pos="2410"/>
        <w:tab w:val="left" w:pos="4820"/>
        <w:tab w:val="left" w:pos="7230"/>
      </w:tabs>
    </w:pPr>
    <w:rPr>
      <w:b/>
      <w:lang w:val="cs-CZ"/>
    </w:rPr>
  </w:style>
  <w:style w:type="character" w:customStyle="1" w:styleId="Zkladntext2Char">
    <w:name w:val="Základný text 2 Char"/>
    <w:basedOn w:val="Predvolenpsmoodseku"/>
    <w:link w:val="Zkladntext2"/>
    <w:uiPriority w:val="99"/>
    <w:rsid w:val="0031064A"/>
    <w:rPr>
      <w:b/>
      <w:sz w:val="24"/>
      <w:szCs w:val="24"/>
      <w:lang w:val="cs-CZ" w:eastAsia="sk-SK" w:bidi="ar-SA"/>
    </w:rPr>
  </w:style>
  <w:style w:type="paragraph" w:styleId="Zarkazkladnhotextu2">
    <w:name w:val="Body Text Indent 2"/>
    <w:basedOn w:val="Normlny"/>
    <w:link w:val="Zarkazkladnhotextu2Char"/>
    <w:uiPriority w:val="99"/>
    <w:rsid w:val="002275F2"/>
    <w:pPr>
      <w:spacing w:after="120"/>
      <w:ind w:left="720" w:hanging="11"/>
    </w:pPr>
    <w:rPr>
      <w:iCs/>
      <w:color w:val="008080"/>
      <w:sz w:val="16"/>
      <w:lang w:val="cs-CZ"/>
    </w:rPr>
  </w:style>
  <w:style w:type="character" w:customStyle="1" w:styleId="Zarkazkladnhotextu2Char">
    <w:name w:val="Zarážka základného textu 2 Char"/>
    <w:basedOn w:val="Predvolenpsmoodseku"/>
    <w:link w:val="Zarkazkladnhotextu2"/>
    <w:uiPriority w:val="99"/>
    <w:rsid w:val="0031064A"/>
    <w:rPr>
      <w:iCs/>
      <w:color w:val="008080"/>
      <w:sz w:val="16"/>
      <w:szCs w:val="24"/>
      <w:lang w:val="cs-CZ" w:eastAsia="sk-SK" w:bidi="ar-SA"/>
    </w:rPr>
  </w:style>
  <w:style w:type="paragraph" w:styleId="Zkladntext">
    <w:name w:val="Body Text"/>
    <w:aliases w:val="b"/>
    <w:basedOn w:val="Normlny"/>
    <w:link w:val="ZkladntextChar"/>
    <w:uiPriority w:val="99"/>
    <w:rsid w:val="002275F2"/>
    <w:pPr>
      <w:spacing w:after="120"/>
    </w:pPr>
  </w:style>
  <w:style w:type="character" w:customStyle="1" w:styleId="ZkladntextChar">
    <w:name w:val="Základný text Char"/>
    <w:aliases w:val="b Char"/>
    <w:basedOn w:val="Predvolenpsmoodseku"/>
    <w:link w:val="Zkladntext"/>
    <w:uiPriority w:val="99"/>
    <w:rsid w:val="0031064A"/>
    <w:rPr>
      <w:sz w:val="24"/>
      <w:szCs w:val="24"/>
      <w:lang w:val="sk-SK" w:eastAsia="sk-SK" w:bidi="ar-SA"/>
    </w:rPr>
  </w:style>
  <w:style w:type="paragraph" w:styleId="Pta">
    <w:name w:val="footer"/>
    <w:basedOn w:val="Normlny"/>
    <w:link w:val="PtaChar"/>
    <w:uiPriority w:val="99"/>
    <w:rsid w:val="002275F2"/>
    <w:pPr>
      <w:tabs>
        <w:tab w:val="center" w:pos="4536"/>
        <w:tab w:val="right" w:pos="9072"/>
      </w:tabs>
    </w:pPr>
    <w:rPr>
      <w:lang w:eastAsia="cs-CZ"/>
    </w:rPr>
  </w:style>
  <w:style w:type="paragraph" w:customStyle="1" w:styleId="Poznpodgraf">
    <w:name w:val="Pozn pod graf"/>
    <w:uiPriority w:val="99"/>
    <w:rsid w:val="002275F2"/>
    <w:pPr>
      <w:spacing w:after="240"/>
      <w:ind w:firstLine="1797"/>
    </w:pPr>
    <w:rPr>
      <w:noProof/>
      <w:sz w:val="18"/>
      <w:lang w:val="sk-SK" w:eastAsia="sk-SK"/>
    </w:rPr>
  </w:style>
  <w:style w:type="paragraph" w:customStyle="1" w:styleId="NormalWeb2">
    <w:name w:val="Normal (Web)2"/>
    <w:basedOn w:val="Normlny"/>
    <w:uiPriority w:val="99"/>
    <w:rsid w:val="002275F2"/>
    <w:pPr>
      <w:overflowPunct w:val="0"/>
      <w:autoSpaceDE w:val="0"/>
      <w:autoSpaceDN w:val="0"/>
      <w:adjustRightInd w:val="0"/>
      <w:spacing w:before="100" w:after="100"/>
      <w:textAlignment w:val="baseline"/>
    </w:pPr>
  </w:style>
  <w:style w:type="paragraph" w:styleId="Textpoznmkypodiarou">
    <w:name w:val="footnote text"/>
    <w:aliases w:val="Text poznámky pod čiarou 007,_Poznámka pod čiarou,stile 1,Alaviitteen teksti Char,Alaviitteen teksti Char Char Char Char Char,Märk,Fußnotentext arial,Footnote Text Char2,Footnote Text Char1 Char,Footnote Text Char Char Char,fn"/>
    <w:basedOn w:val="Normlny"/>
    <w:link w:val="TextpoznmkypodiarouChar"/>
    <w:uiPriority w:val="99"/>
    <w:rsid w:val="001237BA"/>
    <w:rPr>
      <w:sz w:val="18"/>
      <w:szCs w:val="20"/>
    </w:rPr>
  </w:style>
  <w:style w:type="character" w:customStyle="1" w:styleId="TextpoznmkypodiarouChar">
    <w:name w:val="Text poznámky pod čiarou Char"/>
    <w:aliases w:val="Text poznámky pod čiarou 007 Char1,_Poznámka pod čiarou Char,stile 1 Char,Alaviitteen teksti Char Char,Alaviitteen teksti Char Char Char Char Char Char,Märk Char,Fußnotentext arial Char,Footnote Text Char2 Char,fn Char"/>
    <w:basedOn w:val="Predvolenpsmoodseku"/>
    <w:link w:val="Textpoznmkypodiarou"/>
    <w:uiPriority w:val="99"/>
    <w:locked/>
    <w:rsid w:val="001237BA"/>
    <w:rPr>
      <w:sz w:val="18"/>
      <w:lang w:val="sk-SK" w:eastAsia="sk-SK"/>
    </w:rPr>
  </w:style>
  <w:style w:type="paragraph" w:customStyle="1" w:styleId="Styl1">
    <w:name w:val="Styl1"/>
    <w:basedOn w:val="Normlny"/>
    <w:autoRedefine/>
    <w:rsid w:val="000D6C62"/>
    <w:pPr>
      <w:tabs>
        <w:tab w:val="left" w:pos="142"/>
        <w:tab w:val="left" w:pos="720"/>
      </w:tabs>
      <w:spacing w:after="240"/>
      <w:ind w:firstLine="709"/>
    </w:pPr>
  </w:style>
  <w:style w:type="character" w:styleId="Odkaznapoznmkupodiarou">
    <w:name w:val="footnote reference"/>
    <w:aliases w:val="Footnote,Footnotes refss"/>
    <w:basedOn w:val="Predvolenpsmoodseku"/>
    <w:uiPriority w:val="99"/>
    <w:rsid w:val="002275F2"/>
    <w:rPr>
      <w:vertAlign w:val="superscript"/>
    </w:rPr>
  </w:style>
  <w:style w:type="paragraph" w:styleId="Textbubliny">
    <w:name w:val="Balloon Text"/>
    <w:basedOn w:val="Normlny"/>
    <w:link w:val="TextbublinyChar"/>
    <w:uiPriority w:val="99"/>
    <w:semiHidden/>
    <w:rsid w:val="002275F2"/>
    <w:rPr>
      <w:rFonts w:ascii="Tahoma" w:hAnsi="Tahoma" w:cs="Tahoma"/>
      <w:sz w:val="16"/>
      <w:szCs w:val="16"/>
    </w:rPr>
  </w:style>
  <w:style w:type="character" w:customStyle="1" w:styleId="TextbublinyChar">
    <w:name w:val="Text bubliny Char"/>
    <w:basedOn w:val="Predvolenpsmoodseku"/>
    <w:link w:val="Textbubliny"/>
    <w:uiPriority w:val="99"/>
    <w:semiHidden/>
    <w:rsid w:val="0031064A"/>
    <w:rPr>
      <w:rFonts w:ascii="Tahoma" w:hAnsi="Tahoma" w:cs="Tahoma"/>
      <w:sz w:val="16"/>
      <w:szCs w:val="16"/>
      <w:lang w:val="sk-SK" w:eastAsia="sk-SK" w:bidi="ar-SA"/>
    </w:rPr>
  </w:style>
  <w:style w:type="character" w:styleId="slostrany">
    <w:name w:val="page number"/>
    <w:basedOn w:val="Predvolenpsmoodseku"/>
    <w:uiPriority w:val="99"/>
    <w:rsid w:val="002275F2"/>
  </w:style>
  <w:style w:type="paragraph" w:customStyle="1" w:styleId="tl1">
    <w:name w:val="Štýl1"/>
    <w:basedOn w:val="Normlny"/>
    <w:uiPriority w:val="99"/>
    <w:rsid w:val="002275F2"/>
    <w:pPr>
      <w:ind w:firstLine="567"/>
    </w:pPr>
    <w:rPr>
      <w:lang w:eastAsia="cs-CZ"/>
    </w:rPr>
  </w:style>
  <w:style w:type="paragraph" w:customStyle="1" w:styleId="AAAAchapter">
    <w:name w:val="AAAA_chapter"/>
    <w:basedOn w:val="Nadpis1"/>
    <w:uiPriority w:val="99"/>
    <w:rsid w:val="002275F2"/>
    <w:pPr>
      <w:widowControl w:val="0"/>
      <w:numPr>
        <w:numId w:val="1"/>
      </w:numPr>
      <w:overflowPunct w:val="0"/>
      <w:autoSpaceDE w:val="0"/>
      <w:autoSpaceDN w:val="0"/>
      <w:adjustRightInd w:val="0"/>
      <w:textAlignment w:val="baseline"/>
    </w:pPr>
    <w:rPr>
      <w:rFonts w:ascii="Times New Roman" w:hAnsi="Times New Roman"/>
      <w:szCs w:val="24"/>
      <w:lang w:eastAsia="cs-CZ"/>
    </w:rPr>
  </w:style>
  <w:style w:type="paragraph" w:customStyle="1" w:styleId="AAAAsection">
    <w:name w:val="AAAA_section"/>
    <w:basedOn w:val="Nadpis1"/>
    <w:next w:val="AAAAchapter"/>
    <w:link w:val="AAAAsectionChar"/>
    <w:autoRedefine/>
    <w:uiPriority w:val="99"/>
    <w:rsid w:val="002275F2"/>
    <w:pPr>
      <w:widowControl w:val="0"/>
      <w:overflowPunct w:val="0"/>
      <w:autoSpaceDE w:val="0"/>
      <w:autoSpaceDN w:val="0"/>
      <w:adjustRightInd w:val="0"/>
      <w:textAlignment w:val="baseline"/>
      <w:outlineLvl w:val="1"/>
    </w:pPr>
    <w:rPr>
      <w:rFonts w:ascii="Times New Roman" w:hAnsi="Times New Roman"/>
      <w:bCs w:val="0"/>
      <w:color w:val="993366"/>
      <w:sz w:val="24"/>
      <w:szCs w:val="24"/>
      <w:lang w:eastAsia="cs-CZ"/>
    </w:rPr>
  </w:style>
  <w:style w:type="character" w:customStyle="1" w:styleId="AAAAsectionChar">
    <w:name w:val="AAAA_section Char"/>
    <w:basedOn w:val="Predvolenpsmoodseku"/>
    <w:link w:val="AAAAsection"/>
    <w:uiPriority w:val="99"/>
    <w:rsid w:val="002275F2"/>
    <w:rPr>
      <w:rFonts w:cs="Arial"/>
      <w:b/>
      <w:caps/>
      <w:color w:val="993366"/>
      <w:kern w:val="32"/>
      <w:sz w:val="24"/>
      <w:szCs w:val="24"/>
      <w:lang w:val="sk-SK" w:eastAsia="cs-CZ"/>
    </w:rPr>
  </w:style>
  <w:style w:type="paragraph" w:customStyle="1" w:styleId="AAAAsubsection">
    <w:name w:val="AAAA_subsection"/>
    <w:basedOn w:val="Nadpis30"/>
    <w:uiPriority w:val="99"/>
    <w:rsid w:val="002275F2"/>
    <w:pPr>
      <w:widowControl w:val="0"/>
      <w:numPr>
        <w:ilvl w:val="1"/>
        <w:numId w:val="1"/>
      </w:numPr>
      <w:tabs>
        <w:tab w:val="clear" w:pos="576"/>
        <w:tab w:val="num" w:pos="720"/>
      </w:tabs>
      <w:overflowPunct w:val="0"/>
      <w:autoSpaceDE w:val="0"/>
      <w:autoSpaceDN w:val="0"/>
      <w:adjustRightInd w:val="0"/>
      <w:ind w:left="720" w:hanging="720"/>
      <w:textAlignment w:val="baseline"/>
    </w:pPr>
    <w:rPr>
      <w:rFonts w:ascii="Times New Roman" w:hAnsi="Times New Roman"/>
      <w:szCs w:val="28"/>
      <w:lang w:eastAsia="cs-CZ"/>
    </w:rPr>
  </w:style>
  <w:style w:type="paragraph" w:customStyle="1" w:styleId="AAAAsubsub">
    <w:name w:val="AAAA_subsub"/>
    <w:basedOn w:val="Nadpis4"/>
    <w:link w:val="AAAAsubsubCharChar"/>
    <w:uiPriority w:val="99"/>
    <w:rsid w:val="002275F2"/>
    <w:pPr>
      <w:widowControl w:val="0"/>
      <w:numPr>
        <w:ilvl w:val="2"/>
        <w:numId w:val="1"/>
      </w:numPr>
      <w:tabs>
        <w:tab w:val="clear" w:pos="720"/>
        <w:tab w:val="num" w:pos="1044"/>
      </w:tabs>
      <w:overflowPunct w:val="0"/>
      <w:autoSpaceDE w:val="0"/>
      <w:autoSpaceDN w:val="0"/>
      <w:adjustRightInd w:val="0"/>
      <w:ind w:left="1044" w:hanging="864"/>
      <w:jc w:val="both"/>
      <w:textAlignment w:val="baseline"/>
    </w:pPr>
    <w:rPr>
      <w:lang w:eastAsia="cs-CZ"/>
    </w:rPr>
  </w:style>
  <w:style w:type="character" w:customStyle="1" w:styleId="AAAAsubsubCharChar">
    <w:name w:val="AAAA_subsub Char Char"/>
    <w:basedOn w:val="Predvolenpsmoodseku"/>
    <w:link w:val="AAAAsubsub"/>
    <w:uiPriority w:val="99"/>
    <w:locked/>
    <w:rsid w:val="002275F2"/>
    <w:rPr>
      <w:bCs/>
      <w:szCs w:val="28"/>
      <w:lang w:val="sk-SK" w:eastAsia="cs-CZ"/>
    </w:rPr>
  </w:style>
  <w:style w:type="paragraph" w:customStyle="1" w:styleId="AAAAodstavecsprava">
    <w:name w:val="AAAA_odstavec_sprava"/>
    <w:link w:val="AAAAodstavecspravaChar"/>
    <w:rsid w:val="002275F2"/>
    <w:pPr>
      <w:spacing w:after="120"/>
      <w:ind w:firstLine="284"/>
      <w:jc w:val="both"/>
    </w:pPr>
    <w:rPr>
      <w:sz w:val="24"/>
      <w:szCs w:val="28"/>
      <w:lang w:val="sk-SK" w:eastAsia="cs-CZ"/>
    </w:rPr>
  </w:style>
  <w:style w:type="character" w:customStyle="1" w:styleId="AAAAodstavecspravaChar">
    <w:name w:val="AAAA_odstavec_sprava Char"/>
    <w:basedOn w:val="Predvolenpsmoodseku"/>
    <w:link w:val="AAAAodstavecsprava"/>
    <w:rsid w:val="002275F2"/>
    <w:rPr>
      <w:sz w:val="24"/>
      <w:szCs w:val="28"/>
      <w:lang w:val="sk-SK" w:eastAsia="cs-CZ" w:bidi="ar-SA"/>
    </w:rPr>
  </w:style>
  <w:style w:type="paragraph" w:styleId="Zkladntext3">
    <w:name w:val="Body Text 3"/>
    <w:basedOn w:val="Normlny"/>
    <w:link w:val="Zkladntext3Char"/>
    <w:uiPriority w:val="99"/>
    <w:rsid w:val="002275F2"/>
    <w:pPr>
      <w:spacing w:after="120"/>
    </w:pPr>
    <w:rPr>
      <w:sz w:val="16"/>
      <w:szCs w:val="16"/>
    </w:rPr>
  </w:style>
  <w:style w:type="character" w:customStyle="1" w:styleId="Zkladntext3Char">
    <w:name w:val="Základný text 3 Char"/>
    <w:basedOn w:val="Predvolenpsmoodseku"/>
    <w:link w:val="Zkladntext3"/>
    <w:uiPriority w:val="99"/>
    <w:rsid w:val="0031064A"/>
    <w:rPr>
      <w:sz w:val="16"/>
      <w:szCs w:val="16"/>
      <w:lang w:val="sk-SK" w:eastAsia="sk-SK" w:bidi="ar-SA"/>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qFormat/>
    <w:rsid w:val="002275F2"/>
    <w:pPr>
      <w:spacing w:before="240" w:after="240"/>
    </w:p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basedOn w:val="Predvolenpsmoodseku"/>
    <w:link w:val="Normlnywebov"/>
    <w:uiPriority w:val="99"/>
    <w:rsid w:val="002275F2"/>
    <w:rPr>
      <w:sz w:val="24"/>
      <w:szCs w:val="24"/>
      <w:lang w:val="sk-SK" w:eastAsia="sk-SK" w:bidi="ar-SA"/>
    </w:rPr>
  </w:style>
  <w:style w:type="paragraph" w:styleId="Hlavika">
    <w:name w:val="header"/>
    <w:basedOn w:val="Normlny"/>
    <w:link w:val="HlavikaChar"/>
    <w:rsid w:val="002275F2"/>
    <w:pPr>
      <w:tabs>
        <w:tab w:val="center" w:pos="4536"/>
        <w:tab w:val="right" w:pos="9072"/>
      </w:tabs>
    </w:pPr>
  </w:style>
  <w:style w:type="character" w:customStyle="1" w:styleId="HlavikaChar">
    <w:name w:val="Hlavička Char"/>
    <w:basedOn w:val="Predvolenpsmoodseku"/>
    <w:link w:val="Hlavika"/>
    <w:rsid w:val="0031064A"/>
    <w:rPr>
      <w:sz w:val="24"/>
      <w:szCs w:val="24"/>
      <w:lang w:val="sk-SK" w:eastAsia="sk-SK" w:bidi="ar-SA"/>
    </w:rPr>
  </w:style>
  <w:style w:type="paragraph" w:styleId="Zarkazkladnhotextu3">
    <w:name w:val="Body Text Indent 3"/>
    <w:basedOn w:val="Normlny"/>
    <w:link w:val="Zarkazkladnhotextu3Char"/>
    <w:uiPriority w:val="99"/>
    <w:rsid w:val="002275F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31064A"/>
    <w:rPr>
      <w:sz w:val="16"/>
      <w:szCs w:val="16"/>
      <w:lang w:val="sk-SK" w:eastAsia="sk-SK" w:bidi="ar-SA"/>
    </w:rPr>
  </w:style>
  <w:style w:type="table" w:styleId="Mriekatabuky">
    <w:name w:val="Table Grid"/>
    <w:basedOn w:val="Normlnatabuka"/>
    <w:uiPriority w:val="99"/>
    <w:rsid w:val="002275F2"/>
    <w:pPr>
      <w:overflowPunct w:val="0"/>
      <w:autoSpaceDE w:val="0"/>
      <w:autoSpaceDN w:val="0"/>
      <w:adjustRightInd w:val="0"/>
      <w:ind w:firstLine="284"/>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rsid w:val="002275F2"/>
    <w:rPr>
      <w:color w:val="0000FF"/>
      <w:u w:val="single"/>
    </w:rPr>
  </w:style>
  <w:style w:type="character" w:styleId="Siln">
    <w:name w:val="Strong"/>
    <w:basedOn w:val="Predvolenpsmoodseku"/>
    <w:uiPriority w:val="22"/>
    <w:qFormat/>
    <w:rsid w:val="002275F2"/>
    <w:rPr>
      <w:b/>
      <w:bCs/>
    </w:rPr>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lny"/>
    <w:uiPriority w:val="99"/>
    <w:rsid w:val="002275F2"/>
    <w:pPr>
      <w:spacing w:after="160" w:line="240" w:lineRule="exact"/>
    </w:pPr>
    <w:rPr>
      <w:rFonts w:ascii="Tahoma" w:hAnsi="Tahoma" w:cs="Tahoma"/>
      <w:sz w:val="20"/>
      <w:szCs w:val="20"/>
      <w:lang w:val="en-US" w:eastAsia="en-US"/>
    </w:rPr>
  </w:style>
  <w:style w:type="table" w:styleId="Webovtabuka2">
    <w:name w:val="Table Web 2"/>
    <w:basedOn w:val="Normlnatabuka"/>
    <w:uiPriority w:val="99"/>
    <w:rsid w:val="002275F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dpispodurovnouChar">
    <w:name w:val="Nadpis pod urovnou Char"/>
    <w:basedOn w:val="Predvolenpsmoodseku"/>
    <w:link w:val="Nadpispodurovnou"/>
    <w:locked/>
    <w:rsid w:val="002275F2"/>
    <w:rPr>
      <w:b/>
      <w:sz w:val="24"/>
      <w:lang w:val="sk-SK" w:eastAsia="sk-SK" w:bidi="ar-SA"/>
    </w:rPr>
  </w:style>
  <w:style w:type="paragraph" w:customStyle="1" w:styleId="Nadpispodurovnou">
    <w:name w:val="Nadpis pod urovnou"/>
    <w:basedOn w:val="Normlny"/>
    <w:next w:val="Normlny"/>
    <w:link w:val="NadpispodurovnouChar"/>
    <w:rsid w:val="002275F2"/>
    <w:pPr>
      <w:keepNext/>
      <w:keepLines/>
      <w:widowControl w:val="0"/>
      <w:spacing w:before="360" w:after="240"/>
    </w:pPr>
    <w:rPr>
      <w:b/>
      <w:szCs w:val="20"/>
    </w:rPr>
  </w:style>
  <w:style w:type="character" w:customStyle="1" w:styleId="AAAodstavecspravaChar">
    <w:name w:val="AAA_odstavec_sprava Char"/>
    <w:basedOn w:val="Predvolenpsmoodseku"/>
    <w:link w:val="AAAodstavecsprava"/>
    <w:locked/>
    <w:rsid w:val="002275F2"/>
    <w:rPr>
      <w:sz w:val="24"/>
      <w:szCs w:val="28"/>
      <w:lang w:val="sk-SK" w:eastAsia="cs-CZ" w:bidi="ar-SA"/>
    </w:rPr>
  </w:style>
  <w:style w:type="paragraph" w:customStyle="1" w:styleId="AAAodstavecsprava">
    <w:name w:val="AAA_odstavec_sprava"/>
    <w:link w:val="AAAodstavecspravaChar"/>
    <w:rsid w:val="002275F2"/>
    <w:pPr>
      <w:spacing w:after="120"/>
      <w:ind w:firstLine="284"/>
      <w:jc w:val="both"/>
    </w:pPr>
    <w:rPr>
      <w:sz w:val="24"/>
      <w:szCs w:val="28"/>
      <w:lang w:val="sk-SK" w:eastAsia="cs-CZ"/>
    </w:rPr>
  </w:style>
  <w:style w:type="paragraph" w:styleId="Odsekzoznamu">
    <w:name w:val="List Paragraph"/>
    <w:basedOn w:val="Normlny"/>
    <w:link w:val="OdsekzoznamuChar"/>
    <w:uiPriority w:val="34"/>
    <w:qFormat/>
    <w:rsid w:val="002275F2"/>
    <w:pPr>
      <w:ind w:left="708"/>
    </w:pPr>
  </w:style>
  <w:style w:type="paragraph" w:styleId="Obsah2">
    <w:name w:val="toc 2"/>
    <w:basedOn w:val="Normlny"/>
    <w:next w:val="Normlny"/>
    <w:autoRedefine/>
    <w:uiPriority w:val="39"/>
    <w:unhideWhenUsed/>
    <w:qFormat/>
    <w:rsid w:val="002275F2"/>
    <w:pPr>
      <w:ind w:left="240"/>
    </w:pPr>
    <w:rPr>
      <w:b/>
      <w:noProof/>
      <w:color w:val="000000"/>
      <w:lang w:eastAsia="en-GB"/>
    </w:rPr>
  </w:style>
  <w:style w:type="character" w:customStyle="1" w:styleId="TextChar">
    <w:name w:val="Text Char"/>
    <w:basedOn w:val="Predvolenpsmoodseku"/>
    <w:link w:val="Text"/>
    <w:uiPriority w:val="99"/>
    <w:locked/>
    <w:rsid w:val="002275F2"/>
    <w:rPr>
      <w:sz w:val="24"/>
      <w:szCs w:val="24"/>
      <w:lang w:val="sk-SK" w:eastAsia="sk-SK" w:bidi="ar-SA"/>
    </w:rPr>
  </w:style>
  <w:style w:type="paragraph" w:customStyle="1" w:styleId="Text">
    <w:name w:val="Text"/>
    <w:link w:val="TextChar"/>
    <w:uiPriority w:val="99"/>
    <w:rsid w:val="002275F2"/>
    <w:pPr>
      <w:spacing w:line="360" w:lineRule="auto"/>
      <w:jc w:val="both"/>
    </w:pPr>
    <w:rPr>
      <w:sz w:val="24"/>
      <w:szCs w:val="24"/>
      <w:lang w:val="sk-SK" w:eastAsia="sk-SK"/>
    </w:rPr>
  </w:style>
  <w:style w:type="paragraph" w:styleId="Obsah1">
    <w:name w:val="toc 1"/>
    <w:basedOn w:val="Normlny"/>
    <w:next w:val="Normlny"/>
    <w:autoRedefine/>
    <w:uiPriority w:val="39"/>
    <w:qFormat/>
    <w:rsid w:val="00C83676"/>
    <w:pPr>
      <w:tabs>
        <w:tab w:val="left" w:pos="567"/>
        <w:tab w:val="right" w:leader="dot" w:pos="9061"/>
      </w:tabs>
      <w:spacing w:before="120" w:after="120" w:line="276" w:lineRule="auto"/>
      <w:ind w:left="437" w:hanging="437"/>
      <w:jc w:val="left"/>
    </w:pPr>
    <w:rPr>
      <w:b/>
      <w:noProof/>
    </w:rPr>
  </w:style>
  <w:style w:type="paragraph" w:customStyle="1" w:styleId="Char1">
    <w:name w:val="ΚΕΙΜΕΝΟ Char1"/>
    <w:basedOn w:val="Normlny"/>
    <w:uiPriority w:val="99"/>
    <w:rsid w:val="002275F2"/>
    <w:pPr>
      <w:spacing w:before="120" w:after="120" w:line="360" w:lineRule="auto"/>
    </w:pPr>
    <w:rPr>
      <w:rFonts w:ascii="Arial" w:hAnsi="Arial" w:cs="Arial"/>
      <w:spacing w:val="-5"/>
      <w:szCs w:val="21"/>
      <w:lang w:eastAsia="en-US"/>
    </w:rPr>
  </w:style>
  <w:style w:type="paragraph" w:customStyle="1" w:styleId="Zkladntextb">
    <w:name w:val="Základní text.b"/>
    <w:basedOn w:val="Normlny"/>
    <w:uiPriority w:val="99"/>
    <w:rsid w:val="002275F2"/>
    <w:pPr>
      <w:autoSpaceDE w:val="0"/>
      <w:autoSpaceDN w:val="0"/>
    </w:pPr>
    <w:rPr>
      <w:lang w:val="en-US" w:eastAsia="en-US"/>
    </w:rPr>
  </w:style>
  <w:style w:type="paragraph" w:customStyle="1" w:styleId="Nadpis5DP">
    <w:name w:val="Nadpis 5 DP"/>
    <w:basedOn w:val="Normlny"/>
    <w:uiPriority w:val="99"/>
    <w:rsid w:val="002275F2"/>
    <w:pPr>
      <w:spacing w:before="120" w:after="120" w:line="360" w:lineRule="auto"/>
    </w:pPr>
    <w:rPr>
      <w:rFonts w:ascii="Arial" w:hAnsi="Arial" w:cs="Arial"/>
      <w:b/>
      <w:spacing w:val="-5"/>
      <w:szCs w:val="21"/>
      <w:lang w:eastAsia="en-US"/>
    </w:rPr>
  </w:style>
  <w:style w:type="paragraph" w:styleId="Nzov">
    <w:name w:val="Title"/>
    <w:basedOn w:val="Normlny"/>
    <w:link w:val="NzovChar"/>
    <w:qFormat/>
    <w:rsid w:val="002275F2"/>
    <w:pPr>
      <w:spacing w:after="280" w:line="280" w:lineRule="atLeast"/>
    </w:pPr>
    <w:rPr>
      <w:rFonts w:cs="Arial"/>
      <w:bCs/>
      <w:color w:val="0A55A3"/>
      <w:sz w:val="42"/>
      <w:szCs w:val="32"/>
      <w:lang w:eastAsia="en-US"/>
    </w:rPr>
  </w:style>
  <w:style w:type="character" w:customStyle="1" w:styleId="NzovChar">
    <w:name w:val="Názov Char"/>
    <w:basedOn w:val="Predvolenpsmoodseku"/>
    <w:link w:val="Nzov"/>
    <w:rsid w:val="0031064A"/>
    <w:rPr>
      <w:rFonts w:cs="Arial"/>
      <w:bCs/>
      <w:color w:val="0A55A3"/>
      <w:sz w:val="42"/>
      <w:szCs w:val="32"/>
      <w:lang w:val="sk-SK" w:eastAsia="en-US" w:bidi="ar-SA"/>
    </w:rPr>
  </w:style>
  <w:style w:type="paragraph" w:styleId="Podtitul">
    <w:name w:val="Subtitle"/>
    <w:basedOn w:val="Normlny"/>
    <w:link w:val="PodtitulChar"/>
    <w:uiPriority w:val="99"/>
    <w:qFormat/>
    <w:rsid w:val="002275F2"/>
    <w:pPr>
      <w:spacing w:after="280" w:line="280" w:lineRule="atLeast"/>
    </w:pPr>
    <w:rPr>
      <w:rFonts w:cs="Arial"/>
      <w:color w:val="0A55A3"/>
      <w:sz w:val="28"/>
      <w:lang w:eastAsia="en-US"/>
    </w:rPr>
  </w:style>
  <w:style w:type="character" w:customStyle="1" w:styleId="PodtitulChar">
    <w:name w:val="Podtitul Char"/>
    <w:basedOn w:val="Predvolenpsmoodseku"/>
    <w:link w:val="Podtitul"/>
    <w:uiPriority w:val="99"/>
    <w:rsid w:val="0031064A"/>
    <w:rPr>
      <w:rFonts w:cs="Arial"/>
      <w:color w:val="0A55A3"/>
      <w:sz w:val="28"/>
      <w:szCs w:val="24"/>
      <w:lang w:val="sk-SK" w:eastAsia="en-US" w:bidi="ar-SA"/>
    </w:rPr>
  </w:style>
  <w:style w:type="paragraph" w:customStyle="1" w:styleId="w">
    <w:name w:val="w"/>
    <w:basedOn w:val="Normlny"/>
    <w:uiPriority w:val="99"/>
    <w:rsid w:val="002275F2"/>
    <w:pPr>
      <w:overflowPunct w:val="0"/>
      <w:autoSpaceDE w:val="0"/>
      <w:autoSpaceDN w:val="0"/>
      <w:adjustRightInd w:val="0"/>
      <w:textAlignment w:val="baseline"/>
    </w:pPr>
    <w:rPr>
      <w:rFonts w:ascii="Century Gothic" w:hAnsi="Century Gothic"/>
      <w:b/>
      <w:color w:val="333399"/>
      <w:lang w:eastAsia="cs-CZ"/>
    </w:rPr>
  </w:style>
  <w:style w:type="paragraph" w:customStyle="1" w:styleId="00nad">
    <w:name w:val="00nad"/>
    <w:basedOn w:val="Normlny"/>
    <w:uiPriority w:val="99"/>
    <w:rsid w:val="002275F2"/>
    <w:pPr>
      <w:spacing w:before="240" w:after="60"/>
    </w:pPr>
    <w:rPr>
      <w:rFonts w:ascii="Arial" w:hAnsi="Arial"/>
      <w:b/>
      <w:sz w:val="21"/>
      <w:lang w:eastAsia="en-US"/>
    </w:rPr>
  </w:style>
  <w:style w:type="paragraph" w:customStyle="1" w:styleId="06nadI">
    <w:name w:val="06nad I"/>
    <w:basedOn w:val="00nad"/>
    <w:uiPriority w:val="99"/>
    <w:rsid w:val="002275F2"/>
    <w:pPr>
      <w:ind w:left="340"/>
    </w:pPr>
    <w:rPr>
      <w:i/>
    </w:rPr>
  </w:style>
  <w:style w:type="paragraph" w:customStyle="1" w:styleId="06ps">
    <w:name w:val="06pís"/>
    <w:basedOn w:val="Normlny"/>
    <w:uiPriority w:val="99"/>
    <w:rsid w:val="002275F2"/>
    <w:pPr>
      <w:tabs>
        <w:tab w:val="num" w:pos="432"/>
      </w:tabs>
      <w:ind w:left="432" w:hanging="432"/>
    </w:pPr>
    <w:rPr>
      <w:rFonts w:ascii="Arial" w:hAnsi="Arial"/>
      <w:lang w:eastAsia="en-US"/>
    </w:rPr>
  </w:style>
  <w:style w:type="paragraph" w:customStyle="1" w:styleId="06roz">
    <w:name w:val="06roz"/>
    <w:basedOn w:val="Normlny"/>
    <w:uiPriority w:val="99"/>
    <w:rsid w:val="002275F2"/>
    <w:pPr>
      <w:numPr>
        <w:numId w:val="2"/>
      </w:numPr>
    </w:pPr>
    <w:rPr>
      <w:rFonts w:ascii="Arial" w:hAnsi="Arial"/>
      <w:lang w:eastAsia="en-US"/>
    </w:rPr>
  </w:style>
  <w:style w:type="character" w:customStyle="1" w:styleId="06txtChar">
    <w:name w:val="06txt Char"/>
    <w:basedOn w:val="Predvolenpsmoodseku"/>
    <w:link w:val="06txt"/>
    <w:uiPriority w:val="99"/>
    <w:rsid w:val="002275F2"/>
    <w:rPr>
      <w:rFonts w:ascii="Arial" w:hAnsi="Arial"/>
      <w:sz w:val="22"/>
      <w:szCs w:val="24"/>
      <w:lang w:val="sk-SK" w:eastAsia="en-US" w:bidi="ar-SA"/>
    </w:rPr>
  </w:style>
  <w:style w:type="character" w:customStyle="1" w:styleId="12odrbodChar">
    <w:name w:val="12 odrbod Char"/>
    <w:basedOn w:val="Predvolenpsmoodseku"/>
    <w:uiPriority w:val="99"/>
    <w:rsid w:val="002275F2"/>
    <w:rPr>
      <w:rFonts w:ascii="Arial" w:hAnsi="Arial"/>
      <w:lang w:val="sk-SK" w:eastAsia="cs-CZ" w:bidi="ar-SA"/>
    </w:rPr>
  </w:style>
  <w:style w:type="paragraph" w:customStyle="1" w:styleId="06txtU">
    <w:name w:val="06txtU"/>
    <w:basedOn w:val="Normlny"/>
    <w:uiPriority w:val="99"/>
    <w:rsid w:val="002275F2"/>
    <w:pPr>
      <w:spacing w:before="120"/>
      <w:ind w:left="357"/>
    </w:pPr>
    <w:rPr>
      <w:rFonts w:ascii="Arial" w:hAnsi="Arial"/>
      <w:u w:val="single"/>
      <w:lang w:eastAsia="en-US"/>
    </w:rPr>
  </w:style>
  <w:style w:type="paragraph" w:customStyle="1" w:styleId="NormlnyBookmanOldStyle">
    <w:name w:val="Normálny + Bookman Old Style"/>
    <w:aliases w:val="Podľa okraja,Prvý riadok:  1,25 cm"/>
    <w:basedOn w:val="Normlnywebov"/>
    <w:uiPriority w:val="99"/>
    <w:rsid w:val="002275F2"/>
    <w:pPr>
      <w:spacing w:before="100" w:after="100"/>
    </w:pPr>
    <w:rPr>
      <w:rFonts w:ascii="Bookman Old Style" w:hAnsi="Bookman Old Style" w:cs="Arial"/>
      <w:sz w:val="20"/>
      <w:szCs w:val="20"/>
      <w:lang w:eastAsia="cs-CZ"/>
    </w:rPr>
  </w:style>
  <w:style w:type="paragraph" w:customStyle="1" w:styleId="Odstavecseseznamem">
    <w:name w:val="Odstavec se seznamem"/>
    <w:basedOn w:val="Normlny"/>
    <w:uiPriority w:val="99"/>
    <w:qFormat/>
    <w:rsid w:val="002275F2"/>
    <w:pPr>
      <w:framePr w:wrap="around" w:hAnchor="text"/>
      <w:ind w:left="720"/>
      <w:contextualSpacing/>
    </w:pPr>
    <w:rPr>
      <w:rFonts w:ascii="Arial" w:eastAsia="Arial" w:hAnsi="Arial"/>
      <w:szCs w:val="22"/>
      <w:lang w:eastAsia="en-US" w:bidi="en-US"/>
    </w:rPr>
  </w:style>
  <w:style w:type="paragraph" w:customStyle="1" w:styleId="CharChar11">
    <w:name w:val="Char Char11"/>
    <w:basedOn w:val="Normlny"/>
    <w:uiPriority w:val="99"/>
    <w:rsid w:val="002275F2"/>
    <w:pPr>
      <w:spacing w:after="160" w:line="240" w:lineRule="exact"/>
    </w:pPr>
    <w:rPr>
      <w:rFonts w:ascii="Tahoma" w:hAnsi="Tahoma" w:cs="Tahoma"/>
      <w:sz w:val="20"/>
      <w:szCs w:val="20"/>
      <w:lang w:eastAsia="en-US"/>
    </w:rPr>
  </w:style>
  <w:style w:type="paragraph" w:customStyle="1" w:styleId="CharCharCharChar">
    <w:name w:val="Char Char Char Char"/>
    <w:basedOn w:val="Normlny"/>
    <w:uiPriority w:val="99"/>
    <w:rsid w:val="002275F2"/>
    <w:pPr>
      <w:spacing w:after="160" w:line="240" w:lineRule="exact"/>
    </w:pPr>
    <w:rPr>
      <w:rFonts w:ascii="Tahoma" w:hAnsi="Tahoma" w:cs="Tahoma"/>
      <w:sz w:val="20"/>
      <w:szCs w:val="20"/>
      <w:lang w:eastAsia="en-US"/>
    </w:rPr>
  </w:style>
  <w:style w:type="paragraph" w:customStyle="1" w:styleId="tlPodaokrajaZa6pt">
    <w:name w:val="Štýl Podľa okraja Za:  6 pt"/>
    <w:basedOn w:val="Normlny"/>
    <w:uiPriority w:val="99"/>
    <w:rsid w:val="002275F2"/>
    <w:pPr>
      <w:spacing w:after="120"/>
    </w:pPr>
    <w:rPr>
      <w:szCs w:val="20"/>
      <w:lang w:eastAsia="cs-CZ"/>
    </w:rPr>
  </w:style>
  <w:style w:type="paragraph" w:customStyle="1" w:styleId="CharCharCharCharChar">
    <w:name w:val="Char Char Char Char Char"/>
    <w:basedOn w:val="Normlny"/>
    <w:uiPriority w:val="99"/>
    <w:rsid w:val="002275F2"/>
    <w:pPr>
      <w:spacing w:after="160" w:line="240" w:lineRule="exact"/>
    </w:pPr>
    <w:rPr>
      <w:rFonts w:ascii="Tahoma" w:hAnsi="Tahoma" w:cs="Tahoma"/>
      <w:sz w:val="20"/>
      <w:szCs w:val="20"/>
      <w:lang w:eastAsia="en-US"/>
    </w:rPr>
  </w:style>
  <w:style w:type="paragraph" w:customStyle="1" w:styleId="CharCharCharCharCharChar1CharChar">
    <w:name w:val="Char Char Char Char Char Char1 Char Char"/>
    <w:basedOn w:val="Normlny"/>
    <w:uiPriority w:val="99"/>
    <w:rsid w:val="002275F2"/>
    <w:pPr>
      <w:spacing w:after="160" w:line="240" w:lineRule="exact"/>
    </w:pPr>
    <w:rPr>
      <w:rFonts w:ascii="Tahoma" w:hAnsi="Tahoma" w:cs="Tahoma"/>
      <w:sz w:val="20"/>
      <w:szCs w:val="20"/>
      <w:lang w:eastAsia="en-US"/>
    </w:rPr>
  </w:style>
  <w:style w:type="paragraph" w:customStyle="1" w:styleId="aaaodstavecsprava0">
    <w:name w:val="aaaodstavecsprava"/>
    <w:basedOn w:val="Normlny"/>
    <w:uiPriority w:val="99"/>
    <w:rsid w:val="002275F2"/>
    <w:pPr>
      <w:spacing w:after="120"/>
      <w:ind w:firstLine="284"/>
    </w:pPr>
    <w:rPr>
      <w:sz w:val="28"/>
      <w:szCs w:val="28"/>
    </w:rPr>
  </w:style>
  <w:style w:type="paragraph" w:customStyle="1" w:styleId="tl10">
    <w:name w:val="tl1"/>
    <w:basedOn w:val="Normlny"/>
    <w:uiPriority w:val="99"/>
    <w:rsid w:val="002275F2"/>
  </w:style>
  <w:style w:type="character" w:customStyle="1" w:styleId="textmaincontent10">
    <w:name w:val="textmaincontent10"/>
    <w:basedOn w:val="Predvolenpsmoodseku"/>
    <w:uiPriority w:val="99"/>
    <w:rsid w:val="002275F2"/>
    <w:rPr>
      <w:color w:val="333333"/>
    </w:rPr>
  </w:style>
  <w:style w:type="paragraph" w:styleId="Textkomentra">
    <w:name w:val="annotation text"/>
    <w:basedOn w:val="Normlny"/>
    <w:link w:val="TextkomentraChar"/>
    <w:uiPriority w:val="99"/>
    <w:semiHidden/>
    <w:rsid w:val="002275F2"/>
    <w:rPr>
      <w:sz w:val="20"/>
      <w:szCs w:val="20"/>
    </w:rPr>
  </w:style>
  <w:style w:type="table" w:customStyle="1" w:styleId="Mkatabulky1">
    <w:name w:val="Mřížka tabulky1"/>
    <w:basedOn w:val="Normlnatabuka"/>
    <w:next w:val="Mriekatabuky"/>
    <w:uiPriority w:val="99"/>
    <w:rsid w:val="00227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rsid w:val="002275F2"/>
    <w:rPr>
      <w:b/>
      <w:bCs/>
    </w:rPr>
  </w:style>
  <w:style w:type="character" w:customStyle="1" w:styleId="PredmetkomentraChar">
    <w:name w:val="Predmet komentára Char"/>
    <w:basedOn w:val="CharChar2"/>
    <w:link w:val="Predmetkomentra"/>
    <w:uiPriority w:val="99"/>
    <w:semiHidden/>
    <w:rsid w:val="0031064A"/>
    <w:rPr>
      <w:rFonts w:ascii="Arial" w:hAnsi="Arial"/>
      <w:b/>
      <w:bCs/>
      <w:sz w:val="16"/>
      <w:lang w:val="sk-SK" w:eastAsia="sk-SK" w:bidi="ar-SA"/>
    </w:rPr>
  </w:style>
  <w:style w:type="character" w:customStyle="1" w:styleId="CharChar2">
    <w:name w:val="Char Char2"/>
    <w:basedOn w:val="Predvolenpsmoodseku"/>
    <w:uiPriority w:val="99"/>
    <w:semiHidden/>
    <w:rsid w:val="0097490B"/>
    <w:rPr>
      <w:rFonts w:ascii="Arial" w:hAnsi="Arial"/>
      <w:sz w:val="16"/>
      <w:lang w:val="sk-SK" w:eastAsia="cs-CZ" w:bidi="ar-SA"/>
    </w:rPr>
  </w:style>
  <w:style w:type="paragraph" w:customStyle="1" w:styleId="NormlnyHoreJednoduch">
    <w:name w:val="Normálny + Hore: (Jednoduché"/>
    <w:aliases w:val="Automatická,0,5 pt Šírka čiary)"/>
    <w:basedOn w:val="Normlny"/>
    <w:uiPriority w:val="99"/>
    <w:rsid w:val="002275F2"/>
    <w:pPr>
      <w:pBdr>
        <w:top w:val="single" w:sz="4" w:space="1" w:color="auto"/>
      </w:pBdr>
      <w:overflowPunct w:val="0"/>
      <w:autoSpaceDE w:val="0"/>
      <w:autoSpaceDN w:val="0"/>
      <w:adjustRightInd w:val="0"/>
      <w:textAlignment w:val="baseline"/>
    </w:pPr>
    <w:rPr>
      <w:sz w:val="20"/>
      <w:szCs w:val="20"/>
      <w:lang w:eastAsia="cs-CZ"/>
    </w:rPr>
  </w:style>
  <w:style w:type="paragraph" w:customStyle="1" w:styleId="nzovtabukyagrafu">
    <w:name w:val="názov tabuľky a grafu"/>
    <w:basedOn w:val="Normlny"/>
    <w:uiPriority w:val="99"/>
    <w:rsid w:val="002275F2"/>
    <w:pPr>
      <w:widowControl w:val="0"/>
      <w:overflowPunct w:val="0"/>
      <w:autoSpaceDE w:val="0"/>
      <w:autoSpaceDN w:val="0"/>
      <w:adjustRightInd w:val="0"/>
      <w:spacing w:after="120"/>
      <w:jc w:val="center"/>
      <w:textAlignment w:val="baseline"/>
    </w:pPr>
    <w:rPr>
      <w:b/>
      <w:sz w:val="21"/>
      <w:szCs w:val="20"/>
      <w:lang w:eastAsia="cs-CZ"/>
    </w:rPr>
  </w:style>
  <w:style w:type="paragraph" w:customStyle="1" w:styleId="zdrojpodtabulkouagrafmi">
    <w:name w:val="zdroj pod tabulkou a grafmi"/>
    <w:basedOn w:val="Normlny"/>
    <w:uiPriority w:val="99"/>
    <w:rsid w:val="002275F2"/>
    <w:pPr>
      <w:widowControl w:val="0"/>
      <w:overflowPunct w:val="0"/>
      <w:autoSpaceDE w:val="0"/>
      <w:autoSpaceDN w:val="0"/>
      <w:adjustRightInd w:val="0"/>
      <w:textAlignment w:val="baseline"/>
    </w:pPr>
    <w:rPr>
      <w:i/>
      <w:sz w:val="20"/>
      <w:szCs w:val="20"/>
      <w:lang w:eastAsia="cs-CZ"/>
    </w:rPr>
  </w:style>
  <w:style w:type="paragraph" w:styleId="truktradokumentu">
    <w:name w:val="Document Map"/>
    <w:basedOn w:val="Normlny"/>
    <w:link w:val="truktradokumentuChar"/>
    <w:uiPriority w:val="99"/>
    <w:semiHidden/>
    <w:rsid w:val="002275F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31064A"/>
    <w:rPr>
      <w:rFonts w:ascii="Tahoma" w:hAnsi="Tahoma" w:cs="Tahoma"/>
      <w:lang w:val="sk-SK" w:eastAsia="sk-SK" w:bidi="ar-SA"/>
    </w:rPr>
  </w:style>
  <w:style w:type="character" w:styleId="PouitHypertextovPrepojenie">
    <w:name w:val="FollowedHyperlink"/>
    <w:basedOn w:val="Predvolenpsmoodseku"/>
    <w:uiPriority w:val="99"/>
    <w:rsid w:val="002275F2"/>
    <w:rPr>
      <w:color w:val="800080"/>
      <w:u w:val="single"/>
    </w:rPr>
  </w:style>
  <w:style w:type="paragraph" w:customStyle="1" w:styleId="Char">
    <w:name w:val="Char"/>
    <w:basedOn w:val="Normlny"/>
    <w:uiPriority w:val="99"/>
    <w:rsid w:val="0031064A"/>
    <w:pPr>
      <w:tabs>
        <w:tab w:val="num" w:pos="567"/>
      </w:tabs>
      <w:spacing w:line="240" w:lineRule="exact"/>
      <w:ind w:left="567" w:hanging="567"/>
    </w:pPr>
    <w:rPr>
      <w:rFonts w:ascii="Times New Roman Bold" w:hAnsi="Times New Roman Bold"/>
      <w:b/>
      <w:sz w:val="26"/>
      <w:szCs w:val="26"/>
      <w:lang w:eastAsia="en-US"/>
    </w:rPr>
  </w:style>
  <w:style w:type="paragraph" w:customStyle="1" w:styleId="Default">
    <w:name w:val="Default"/>
    <w:uiPriority w:val="99"/>
    <w:rsid w:val="0031064A"/>
    <w:pPr>
      <w:autoSpaceDE w:val="0"/>
      <w:autoSpaceDN w:val="0"/>
      <w:adjustRightInd w:val="0"/>
    </w:pPr>
    <w:rPr>
      <w:rFonts w:ascii="Arial" w:hAnsi="Arial" w:cs="Arial"/>
      <w:color w:val="000000"/>
      <w:sz w:val="24"/>
      <w:szCs w:val="24"/>
      <w:lang w:val="sk-SK" w:eastAsia="sk-SK"/>
    </w:rPr>
  </w:style>
  <w:style w:type="paragraph" w:customStyle="1" w:styleId="NumPar1">
    <w:name w:val="NumPar 1"/>
    <w:basedOn w:val="Normlny"/>
    <w:next w:val="Normlny"/>
    <w:uiPriority w:val="99"/>
    <w:rsid w:val="0031064A"/>
    <w:pPr>
      <w:numPr>
        <w:numId w:val="3"/>
      </w:numPr>
      <w:tabs>
        <w:tab w:val="left" w:pos="851"/>
      </w:tabs>
      <w:spacing w:before="120" w:after="120"/>
    </w:pPr>
    <w:rPr>
      <w:lang w:val="en-GB" w:eastAsia="cs-CZ"/>
    </w:rPr>
  </w:style>
  <w:style w:type="character" w:customStyle="1" w:styleId="Heading2Char">
    <w:name w:val="Heading 2 Char"/>
    <w:basedOn w:val="Predvolenpsmoodseku"/>
    <w:uiPriority w:val="99"/>
    <w:locked/>
    <w:rsid w:val="00866A27"/>
    <w:rPr>
      <w:rFonts w:ascii="Arial" w:eastAsia="Calibri" w:hAnsi="Arial" w:cs="Arial"/>
      <w:b/>
      <w:bCs/>
      <w:i/>
      <w:iCs/>
      <w:sz w:val="28"/>
      <w:szCs w:val="28"/>
      <w:lang w:val="sk-SK" w:eastAsia="cs-CZ" w:bidi="ar-SA"/>
    </w:rPr>
  </w:style>
  <w:style w:type="character" w:customStyle="1" w:styleId="Heading3Char">
    <w:name w:val="Heading 3 Char"/>
    <w:basedOn w:val="Predvolenpsmoodseku"/>
    <w:uiPriority w:val="99"/>
    <w:semiHidden/>
    <w:locked/>
    <w:rsid w:val="00866A27"/>
    <w:rPr>
      <w:rFonts w:ascii="Cambria" w:eastAsia="Calibri" w:hAnsi="Cambria"/>
      <w:b/>
      <w:bCs/>
      <w:color w:val="4F81BD"/>
      <w:sz w:val="24"/>
      <w:szCs w:val="24"/>
      <w:lang w:val="sk-SK" w:eastAsia="sk-SK" w:bidi="ar-SA"/>
    </w:rPr>
  </w:style>
  <w:style w:type="character" w:customStyle="1" w:styleId="Heading4Char">
    <w:name w:val="Heading 4 Char"/>
    <w:basedOn w:val="Predvolenpsmoodseku"/>
    <w:uiPriority w:val="99"/>
    <w:locked/>
    <w:rsid w:val="00866A27"/>
    <w:rPr>
      <w:rFonts w:eastAsia="Calibri"/>
      <w:b/>
      <w:bCs/>
      <w:sz w:val="28"/>
      <w:szCs w:val="28"/>
      <w:lang w:val="sk-SK" w:eastAsia="sk-SK" w:bidi="ar-SA"/>
    </w:rPr>
  </w:style>
  <w:style w:type="character" w:customStyle="1" w:styleId="PtaChar">
    <w:name w:val="Päta Char"/>
    <w:basedOn w:val="Predvolenpsmoodseku"/>
    <w:link w:val="Pta"/>
    <w:uiPriority w:val="99"/>
    <w:locked/>
    <w:rsid w:val="00866A27"/>
    <w:rPr>
      <w:sz w:val="24"/>
      <w:szCs w:val="24"/>
      <w:lang w:val="sk-SK" w:eastAsia="cs-CZ" w:bidi="ar-SA"/>
    </w:rPr>
  </w:style>
  <w:style w:type="character" w:customStyle="1" w:styleId="BalloonTextChar">
    <w:name w:val="Balloon Text Char"/>
    <w:basedOn w:val="Predvolenpsmoodseku"/>
    <w:uiPriority w:val="99"/>
    <w:semiHidden/>
    <w:locked/>
    <w:rsid w:val="00866A27"/>
    <w:rPr>
      <w:rFonts w:ascii="Tahoma" w:eastAsia="Calibri" w:hAnsi="Tahoma" w:cs="Tahoma"/>
      <w:sz w:val="16"/>
      <w:szCs w:val="16"/>
      <w:lang w:val="sk-SK" w:eastAsia="sk-SK" w:bidi="ar-SA"/>
    </w:rPr>
  </w:style>
  <w:style w:type="character" w:customStyle="1" w:styleId="BodyTextIndentChar">
    <w:name w:val="Body Text Indent Char"/>
    <w:basedOn w:val="Predvolenpsmoodseku"/>
    <w:uiPriority w:val="99"/>
    <w:semiHidden/>
    <w:locked/>
    <w:rsid w:val="00866A27"/>
    <w:rPr>
      <w:rFonts w:eastAsia="Calibri"/>
      <w:sz w:val="24"/>
      <w:szCs w:val="24"/>
      <w:lang w:val="sk-SK" w:eastAsia="sk-SK" w:bidi="ar-SA"/>
    </w:rPr>
  </w:style>
  <w:style w:type="paragraph" w:customStyle="1" w:styleId="Zkladntext1">
    <w:name w:val="Základní text1"/>
    <w:basedOn w:val="Normlny"/>
    <w:uiPriority w:val="99"/>
    <w:rsid w:val="00866A27"/>
    <w:pPr>
      <w:widowControl w:val="0"/>
      <w:spacing w:line="360" w:lineRule="auto"/>
    </w:pPr>
  </w:style>
  <w:style w:type="paragraph" w:customStyle="1" w:styleId="Nad-normtext">
    <w:name w:val="Nad - norm text"/>
    <w:basedOn w:val="Normlny"/>
    <w:autoRedefine/>
    <w:uiPriority w:val="99"/>
    <w:rsid w:val="00866A27"/>
    <w:pPr>
      <w:spacing w:after="240"/>
    </w:pPr>
    <w:rPr>
      <w:bCs/>
      <w:i/>
      <w:color w:val="000000"/>
      <w:sz w:val="18"/>
      <w:szCs w:val="18"/>
      <w:lang w:eastAsia="cs-CZ"/>
    </w:rPr>
  </w:style>
  <w:style w:type="character" w:customStyle="1" w:styleId="textmaincontent1">
    <w:name w:val="textmaincontent1"/>
    <w:basedOn w:val="Predvolenpsmoodseku"/>
    <w:uiPriority w:val="99"/>
    <w:rsid w:val="00866A27"/>
    <w:rPr>
      <w:rFonts w:cs="Times New Roman"/>
      <w:color w:val="333333"/>
    </w:rPr>
  </w:style>
  <w:style w:type="paragraph" w:customStyle="1" w:styleId="xl24">
    <w:name w:val="xl24"/>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5">
    <w:name w:val="xl25"/>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6">
    <w:name w:val="xl26"/>
    <w:basedOn w:val="Normlny"/>
    <w:uiPriority w:val="99"/>
    <w:rsid w:val="00866A27"/>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7">
    <w:name w:val="xl27"/>
    <w:basedOn w:val="Normlny"/>
    <w:uiPriority w:val="99"/>
    <w:rsid w:val="00866A2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8">
    <w:name w:val="xl28"/>
    <w:basedOn w:val="Normlny"/>
    <w:uiPriority w:val="99"/>
    <w:rsid w:val="00866A2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9">
    <w:name w:val="xl29"/>
    <w:basedOn w:val="Normlny"/>
    <w:uiPriority w:val="99"/>
    <w:rsid w:val="00866A2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30">
    <w:name w:val="xl30"/>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FF0000"/>
      <w:lang w:val="en-US" w:eastAsia="en-US"/>
    </w:rPr>
  </w:style>
  <w:style w:type="paragraph" w:customStyle="1" w:styleId="xl31">
    <w:name w:val="xl31"/>
    <w:basedOn w:val="Normlny"/>
    <w:uiPriority w:val="99"/>
    <w:rsid w:val="00866A27"/>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color w:val="FF0000"/>
      <w:lang w:val="en-US" w:eastAsia="en-US"/>
    </w:rPr>
  </w:style>
  <w:style w:type="paragraph" w:customStyle="1" w:styleId="xl32">
    <w:name w:val="xl32"/>
    <w:basedOn w:val="Normlny"/>
    <w:uiPriority w:val="99"/>
    <w:rsid w:val="00866A27"/>
    <w:pPr>
      <w:pBdr>
        <w:top w:val="single" w:sz="4" w:space="0" w:color="auto"/>
        <w:left w:val="single" w:sz="8" w:space="0" w:color="auto"/>
        <w:right w:val="single" w:sz="4" w:space="0" w:color="auto"/>
      </w:pBdr>
      <w:spacing w:before="100" w:beforeAutospacing="1" w:after="100" w:afterAutospacing="1"/>
      <w:textAlignment w:val="top"/>
    </w:pPr>
    <w:rPr>
      <w:color w:val="FF0000"/>
      <w:lang w:val="en-US" w:eastAsia="en-US"/>
    </w:rPr>
  </w:style>
  <w:style w:type="paragraph" w:customStyle="1" w:styleId="xl33">
    <w:name w:val="xl33"/>
    <w:basedOn w:val="Normlny"/>
    <w:uiPriority w:val="99"/>
    <w:rsid w:val="00866A27"/>
    <w:pPr>
      <w:pBdr>
        <w:top w:val="single" w:sz="8" w:space="0" w:color="auto"/>
        <w:left w:val="single" w:sz="4" w:space="0" w:color="auto"/>
        <w:right w:val="single" w:sz="4" w:space="0" w:color="auto"/>
      </w:pBdr>
      <w:spacing w:before="100" w:beforeAutospacing="1" w:after="100" w:afterAutospacing="1"/>
    </w:pPr>
    <w:rPr>
      <w:rFonts w:ascii="Arial Unicode MS" w:hAnsi="Arial Unicode MS"/>
      <w:lang w:val="en-US" w:eastAsia="en-US"/>
    </w:rPr>
  </w:style>
  <w:style w:type="paragraph" w:customStyle="1" w:styleId="xl34">
    <w:name w:val="xl34"/>
    <w:basedOn w:val="Normlny"/>
    <w:uiPriority w:val="99"/>
    <w:rsid w:val="00866A27"/>
    <w:pPr>
      <w:pBdr>
        <w:top w:val="single" w:sz="8" w:space="0" w:color="auto"/>
        <w:left w:val="single" w:sz="4" w:space="0" w:color="auto"/>
        <w:right w:val="single" w:sz="8" w:space="0" w:color="auto"/>
      </w:pBdr>
      <w:spacing w:before="100" w:beforeAutospacing="1" w:after="100" w:afterAutospacing="1"/>
    </w:pPr>
    <w:rPr>
      <w:rFonts w:ascii="Arial Unicode MS" w:hAnsi="Arial Unicode MS"/>
      <w:lang w:val="en-US" w:eastAsia="en-US"/>
    </w:rPr>
  </w:style>
  <w:style w:type="paragraph" w:customStyle="1" w:styleId="xl35">
    <w:name w:val="xl35"/>
    <w:basedOn w:val="Normlny"/>
    <w:uiPriority w:val="99"/>
    <w:rsid w:val="00866A27"/>
    <w:pPr>
      <w:pBdr>
        <w:top w:val="single" w:sz="8" w:space="0" w:color="auto"/>
        <w:left w:val="single" w:sz="8" w:space="0" w:color="auto"/>
        <w:right w:val="single" w:sz="4" w:space="0" w:color="auto"/>
      </w:pBdr>
      <w:shd w:val="clear" w:color="auto" w:fill="FFFF00"/>
      <w:spacing w:before="100" w:beforeAutospacing="1" w:after="100" w:afterAutospacing="1"/>
    </w:pPr>
    <w:rPr>
      <w:b/>
      <w:bCs/>
      <w:lang w:val="en-US" w:eastAsia="en-US"/>
    </w:rPr>
  </w:style>
  <w:style w:type="paragraph" w:customStyle="1" w:styleId="xl36">
    <w:name w:val="xl36"/>
    <w:basedOn w:val="Normlny"/>
    <w:uiPriority w:val="99"/>
    <w:rsid w:val="00866A27"/>
    <w:pPr>
      <w:pBdr>
        <w:top w:val="single" w:sz="8" w:space="0" w:color="auto"/>
        <w:left w:val="single" w:sz="4" w:space="0" w:color="auto"/>
        <w:right w:val="single" w:sz="4" w:space="0" w:color="auto"/>
      </w:pBdr>
      <w:shd w:val="clear" w:color="auto" w:fill="FFFF00"/>
      <w:spacing w:before="100" w:beforeAutospacing="1" w:after="100" w:afterAutospacing="1"/>
    </w:pPr>
    <w:rPr>
      <w:b/>
      <w:bCs/>
      <w:lang w:val="en-US" w:eastAsia="en-US"/>
    </w:rPr>
  </w:style>
  <w:style w:type="paragraph" w:customStyle="1" w:styleId="xl37">
    <w:name w:val="xl37"/>
    <w:basedOn w:val="Normlny"/>
    <w:uiPriority w:val="99"/>
    <w:rsid w:val="00866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38">
    <w:name w:val="xl38"/>
    <w:basedOn w:val="Normlny"/>
    <w:uiPriority w:val="99"/>
    <w:rsid w:val="00866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39">
    <w:name w:val="xl39"/>
    <w:basedOn w:val="Normlny"/>
    <w:uiPriority w:val="99"/>
    <w:rsid w:val="00866A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0">
    <w:name w:val="xl40"/>
    <w:basedOn w:val="Normlny"/>
    <w:uiPriority w:val="99"/>
    <w:rsid w:val="00866A27"/>
    <w:pPr>
      <w:pBdr>
        <w:top w:val="single" w:sz="4" w:space="0" w:color="auto"/>
        <w:left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1">
    <w:name w:val="xl41"/>
    <w:basedOn w:val="Normlny"/>
    <w:uiPriority w:val="99"/>
    <w:rsid w:val="00866A27"/>
    <w:pPr>
      <w:pBdr>
        <w:top w:val="single" w:sz="4" w:space="0" w:color="auto"/>
        <w:left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2">
    <w:name w:val="xl42"/>
    <w:basedOn w:val="Normlny"/>
    <w:uiPriority w:val="99"/>
    <w:rsid w:val="00866A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3">
    <w:name w:val="xl43"/>
    <w:basedOn w:val="Normlny"/>
    <w:uiPriority w:val="99"/>
    <w:rsid w:val="00866A2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4">
    <w:name w:val="xl44"/>
    <w:basedOn w:val="Normlny"/>
    <w:uiPriority w:val="99"/>
    <w:rsid w:val="00866A27"/>
    <w:pPr>
      <w:pBdr>
        <w:top w:val="single" w:sz="4" w:space="0" w:color="auto"/>
        <w:left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5">
    <w:name w:val="xl45"/>
    <w:basedOn w:val="Normlny"/>
    <w:uiPriority w:val="99"/>
    <w:rsid w:val="00866A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2"/>
      <w:lang w:val="en-US" w:eastAsia="en-US"/>
    </w:rPr>
  </w:style>
  <w:style w:type="numbering" w:styleId="111111">
    <w:name w:val="Outline List 2"/>
    <w:basedOn w:val="Bezzoznamu"/>
    <w:uiPriority w:val="99"/>
    <w:rsid w:val="00866A27"/>
    <w:pPr>
      <w:numPr>
        <w:numId w:val="4"/>
      </w:numPr>
    </w:pPr>
  </w:style>
  <w:style w:type="paragraph" w:customStyle="1" w:styleId="xl46">
    <w:name w:val="xl46"/>
    <w:basedOn w:val="Normlny"/>
    <w:uiPriority w:val="99"/>
    <w:rsid w:val="00866A27"/>
    <w:pPr>
      <w:pBdr>
        <w:right w:val="single" w:sz="4" w:space="0" w:color="auto"/>
      </w:pBdr>
      <w:spacing w:before="100" w:beforeAutospacing="1" w:after="100" w:afterAutospacing="1"/>
      <w:jc w:val="center"/>
    </w:pPr>
    <w:rPr>
      <w:rFonts w:ascii="Arial" w:hAnsi="Arial" w:cs="Arial"/>
      <w:b/>
      <w:bCs/>
      <w:sz w:val="16"/>
      <w:szCs w:val="16"/>
    </w:rPr>
  </w:style>
  <w:style w:type="paragraph" w:customStyle="1" w:styleId="xl47">
    <w:name w:val="xl47"/>
    <w:basedOn w:val="Normlny"/>
    <w:uiPriority w:val="99"/>
    <w:rsid w:val="00866A27"/>
    <w:pPr>
      <w:pBdr>
        <w:top w:val="single" w:sz="4" w:space="0" w:color="auto"/>
        <w:left w:val="single" w:sz="4" w:space="0" w:color="auto"/>
      </w:pBdr>
      <w:spacing w:before="100" w:beforeAutospacing="1" w:after="100" w:afterAutospacing="1"/>
    </w:pPr>
    <w:rPr>
      <w:rFonts w:ascii="Arial" w:hAnsi="Arial" w:cs="Arial"/>
      <w:b/>
      <w:bCs/>
      <w:sz w:val="16"/>
      <w:szCs w:val="16"/>
    </w:rPr>
  </w:style>
  <w:style w:type="paragraph" w:customStyle="1" w:styleId="xl48">
    <w:name w:val="xl48"/>
    <w:basedOn w:val="Normlny"/>
    <w:uiPriority w:val="99"/>
    <w:rsid w:val="00866A27"/>
    <w:pPr>
      <w:pBdr>
        <w:top w:val="single" w:sz="4" w:space="0" w:color="auto"/>
      </w:pBdr>
      <w:spacing w:before="100" w:beforeAutospacing="1" w:after="100" w:afterAutospacing="1"/>
    </w:pPr>
    <w:rPr>
      <w:rFonts w:ascii="Arial" w:hAnsi="Arial" w:cs="Arial"/>
      <w:b/>
      <w:bCs/>
      <w:sz w:val="16"/>
      <w:szCs w:val="16"/>
    </w:rPr>
  </w:style>
  <w:style w:type="paragraph" w:customStyle="1" w:styleId="xl49">
    <w:name w:val="xl49"/>
    <w:basedOn w:val="Normlny"/>
    <w:uiPriority w:val="99"/>
    <w:rsid w:val="00866A27"/>
    <w:pPr>
      <w:pBdr>
        <w:top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50">
    <w:name w:val="xl50"/>
    <w:basedOn w:val="Normlny"/>
    <w:uiPriority w:val="99"/>
    <w:rsid w:val="00866A27"/>
    <w:pPr>
      <w:pBdr>
        <w:left w:val="single" w:sz="4" w:space="0" w:color="auto"/>
      </w:pBdr>
      <w:spacing w:before="100" w:beforeAutospacing="1" w:after="100" w:afterAutospacing="1"/>
    </w:pPr>
    <w:rPr>
      <w:rFonts w:ascii="Arial" w:hAnsi="Arial" w:cs="Arial"/>
      <w:b/>
      <w:bCs/>
      <w:sz w:val="16"/>
      <w:szCs w:val="16"/>
    </w:rPr>
  </w:style>
  <w:style w:type="paragraph" w:customStyle="1" w:styleId="xl51">
    <w:name w:val="xl51"/>
    <w:basedOn w:val="Normlny"/>
    <w:uiPriority w:val="99"/>
    <w:rsid w:val="00866A27"/>
    <w:pPr>
      <w:spacing w:before="100" w:beforeAutospacing="1" w:after="100" w:afterAutospacing="1"/>
    </w:pPr>
    <w:rPr>
      <w:rFonts w:ascii="Arial" w:hAnsi="Arial" w:cs="Arial"/>
      <w:b/>
      <w:bCs/>
      <w:sz w:val="16"/>
      <w:szCs w:val="16"/>
    </w:rPr>
  </w:style>
  <w:style w:type="paragraph" w:customStyle="1" w:styleId="xl52">
    <w:name w:val="xl52"/>
    <w:basedOn w:val="Normlny"/>
    <w:uiPriority w:val="99"/>
    <w:rsid w:val="00866A27"/>
    <w:pPr>
      <w:pBdr>
        <w:right w:val="single" w:sz="8" w:space="0" w:color="auto"/>
      </w:pBdr>
      <w:spacing w:before="100" w:beforeAutospacing="1" w:after="100" w:afterAutospacing="1"/>
    </w:pPr>
    <w:rPr>
      <w:rFonts w:ascii="Arial" w:hAnsi="Arial" w:cs="Arial"/>
      <w:b/>
      <w:bCs/>
      <w:sz w:val="16"/>
      <w:szCs w:val="16"/>
    </w:rPr>
  </w:style>
  <w:style w:type="paragraph" w:customStyle="1" w:styleId="xl53">
    <w:name w:val="xl53"/>
    <w:basedOn w:val="Normlny"/>
    <w:uiPriority w:val="99"/>
    <w:rsid w:val="00866A27"/>
    <w:pPr>
      <w:spacing w:before="100" w:beforeAutospacing="1" w:after="100" w:afterAutospacing="1"/>
      <w:jc w:val="center"/>
    </w:pPr>
    <w:rPr>
      <w:rFonts w:ascii="Arial" w:hAnsi="Arial" w:cs="Arial"/>
      <w:b/>
      <w:bCs/>
      <w:sz w:val="16"/>
      <w:szCs w:val="16"/>
    </w:rPr>
  </w:style>
  <w:style w:type="paragraph" w:customStyle="1" w:styleId="xl54">
    <w:name w:val="xl54"/>
    <w:basedOn w:val="Normlny"/>
    <w:uiPriority w:val="99"/>
    <w:rsid w:val="00866A2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Normlny"/>
    <w:uiPriority w:val="99"/>
    <w:rsid w:val="00866A27"/>
    <w:pPr>
      <w:pBdr>
        <w:top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Normlny"/>
    <w:uiPriority w:val="99"/>
    <w:rsid w:val="00866A2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7">
    <w:name w:val="xl57"/>
    <w:basedOn w:val="Normlny"/>
    <w:uiPriority w:val="99"/>
    <w:rsid w:val="00866A27"/>
    <w:pPr>
      <w:pBdr>
        <w:top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Normlny"/>
    <w:uiPriority w:val="99"/>
    <w:rsid w:val="00866A27"/>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Normlny"/>
    <w:uiPriority w:val="99"/>
    <w:rsid w:val="00866A27"/>
    <w:pPr>
      <w:pBdr>
        <w:right w:val="single" w:sz="8"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Normlny"/>
    <w:uiPriority w:val="99"/>
    <w:rsid w:val="00866A27"/>
    <w:pPr>
      <w:pBdr>
        <w:top w:val="single" w:sz="8" w:space="0" w:color="auto"/>
        <w:left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61">
    <w:name w:val="xl61"/>
    <w:basedOn w:val="Normlny"/>
    <w:uiPriority w:val="99"/>
    <w:rsid w:val="00866A27"/>
    <w:pPr>
      <w:pBdr>
        <w:top w:val="single" w:sz="8" w:space="0" w:color="auto"/>
        <w:left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62">
    <w:name w:val="xl62"/>
    <w:basedOn w:val="Normlny"/>
    <w:uiPriority w:val="99"/>
    <w:rsid w:val="00866A2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63">
    <w:name w:val="xl63"/>
    <w:basedOn w:val="Normlny"/>
    <w:uiPriority w:val="99"/>
    <w:rsid w:val="00866A2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64">
    <w:name w:val="xl64"/>
    <w:basedOn w:val="Normlny"/>
    <w:uiPriority w:val="99"/>
    <w:rsid w:val="00866A2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65">
    <w:name w:val="xl65"/>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6">
    <w:name w:val="xl66"/>
    <w:basedOn w:val="Normlny"/>
    <w:uiPriority w:val="99"/>
    <w:rsid w:val="00866A2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lny"/>
    <w:uiPriority w:val="99"/>
    <w:rsid w:val="00866A27"/>
    <w:pPr>
      <w:pBdr>
        <w:left w:val="single" w:sz="8"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Normlny"/>
    <w:uiPriority w:val="99"/>
    <w:rsid w:val="00866A27"/>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69">
    <w:name w:val="xl69"/>
    <w:basedOn w:val="Normlny"/>
    <w:uiPriority w:val="99"/>
    <w:rsid w:val="00866A27"/>
    <w:pPr>
      <w:pBdr>
        <w:left w:val="single" w:sz="4" w:space="0" w:color="auto"/>
        <w:right w:val="single" w:sz="8" w:space="0" w:color="auto"/>
      </w:pBdr>
      <w:spacing w:before="100" w:beforeAutospacing="1" w:after="100" w:afterAutospacing="1"/>
    </w:pPr>
    <w:rPr>
      <w:rFonts w:ascii="Arial" w:hAnsi="Arial" w:cs="Arial"/>
      <w:b/>
      <w:bCs/>
    </w:rPr>
  </w:style>
  <w:style w:type="paragraph" w:customStyle="1" w:styleId="xl70">
    <w:name w:val="xl70"/>
    <w:basedOn w:val="Normlny"/>
    <w:uiPriority w:val="99"/>
    <w:rsid w:val="00866A2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1">
    <w:name w:val="xl71"/>
    <w:basedOn w:val="Normlny"/>
    <w:uiPriority w:val="99"/>
    <w:rsid w:val="00866A27"/>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lny"/>
    <w:uiPriority w:val="99"/>
    <w:rsid w:val="00866A27"/>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3">
    <w:name w:val="xl73"/>
    <w:basedOn w:val="Normlny"/>
    <w:uiPriority w:val="99"/>
    <w:rsid w:val="00866A27"/>
    <w:pPr>
      <w:pBdr>
        <w:top w:val="single" w:sz="4" w:space="0" w:color="auto"/>
        <w:left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74">
    <w:name w:val="xl74"/>
    <w:basedOn w:val="Normlny"/>
    <w:uiPriority w:val="99"/>
    <w:rsid w:val="00866A2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5">
    <w:name w:val="xl75"/>
    <w:basedOn w:val="Normlny"/>
    <w:uiPriority w:val="99"/>
    <w:rsid w:val="00866A2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6">
    <w:name w:val="xl76"/>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lny"/>
    <w:uiPriority w:val="99"/>
    <w:rsid w:val="00866A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8">
    <w:name w:val="xl78"/>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9">
    <w:name w:val="xl79"/>
    <w:basedOn w:val="Normlny"/>
    <w:uiPriority w:val="99"/>
    <w:rsid w:val="00866A2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80">
    <w:name w:val="xl80"/>
    <w:basedOn w:val="Normlny"/>
    <w:uiPriority w:val="99"/>
    <w:rsid w:val="00866A2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lny"/>
    <w:uiPriority w:val="99"/>
    <w:rsid w:val="00866A2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2">
    <w:name w:val="xl82"/>
    <w:basedOn w:val="Normlny"/>
    <w:uiPriority w:val="99"/>
    <w:rsid w:val="00866A27"/>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3">
    <w:name w:val="xl83"/>
    <w:basedOn w:val="Normlny"/>
    <w:uiPriority w:val="99"/>
    <w:rsid w:val="00866A2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84">
    <w:name w:val="xl84"/>
    <w:basedOn w:val="Normlny"/>
    <w:uiPriority w:val="99"/>
    <w:rsid w:val="00866A2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5">
    <w:name w:val="xl85"/>
    <w:basedOn w:val="Normlny"/>
    <w:uiPriority w:val="99"/>
    <w:rsid w:val="00866A2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6">
    <w:name w:val="xl86"/>
    <w:basedOn w:val="Normlny"/>
    <w:uiPriority w:val="99"/>
    <w:rsid w:val="00866A2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87">
    <w:name w:val="xl87"/>
    <w:basedOn w:val="Normlny"/>
    <w:uiPriority w:val="99"/>
    <w:rsid w:val="00866A2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lny"/>
    <w:uiPriority w:val="99"/>
    <w:rsid w:val="00866A2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9">
    <w:name w:val="xl89"/>
    <w:basedOn w:val="Normlny"/>
    <w:uiPriority w:val="99"/>
    <w:rsid w:val="00866A27"/>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0">
    <w:name w:val="xl90"/>
    <w:basedOn w:val="Normlny"/>
    <w:uiPriority w:val="99"/>
    <w:rsid w:val="00866A27"/>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91">
    <w:name w:val="xl91"/>
    <w:basedOn w:val="Normlny"/>
    <w:uiPriority w:val="99"/>
    <w:rsid w:val="00866A27"/>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lny"/>
    <w:uiPriority w:val="99"/>
    <w:rsid w:val="00866A27"/>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lny"/>
    <w:uiPriority w:val="99"/>
    <w:rsid w:val="00866A27"/>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lny"/>
    <w:uiPriority w:val="99"/>
    <w:rsid w:val="00866A27"/>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5">
    <w:name w:val="xl95"/>
    <w:basedOn w:val="Normlny"/>
    <w:uiPriority w:val="99"/>
    <w:rsid w:val="00866A2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6">
    <w:name w:val="xl96"/>
    <w:basedOn w:val="Normlny"/>
    <w:uiPriority w:val="99"/>
    <w:rsid w:val="00866A2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7">
    <w:name w:val="xl97"/>
    <w:basedOn w:val="Normlny"/>
    <w:uiPriority w:val="99"/>
    <w:rsid w:val="00866A27"/>
    <w:pPr>
      <w:pBdr>
        <w:right w:val="single" w:sz="8" w:space="0" w:color="auto"/>
      </w:pBdr>
      <w:spacing w:before="100" w:beforeAutospacing="1" w:after="100" w:afterAutospacing="1"/>
    </w:pPr>
  </w:style>
  <w:style w:type="paragraph" w:customStyle="1" w:styleId="xl98">
    <w:name w:val="xl98"/>
    <w:basedOn w:val="Normlny"/>
    <w:uiPriority w:val="99"/>
    <w:rsid w:val="00866A27"/>
    <w:pPr>
      <w:pBdr>
        <w:left w:val="single" w:sz="8" w:space="0" w:color="auto"/>
      </w:pBdr>
      <w:spacing w:before="100" w:beforeAutospacing="1" w:after="100" w:afterAutospacing="1"/>
    </w:pPr>
    <w:rPr>
      <w:rFonts w:ascii="Arial" w:hAnsi="Arial" w:cs="Arial"/>
      <w:b/>
      <w:bCs/>
    </w:rPr>
  </w:style>
  <w:style w:type="paragraph" w:customStyle="1" w:styleId="font5">
    <w:name w:val="font5"/>
    <w:basedOn w:val="Normlny"/>
    <w:uiPriority w:val="99"/>
    <w:rsid w:val="00866A27"/>
    <w:pPr>
      <w:spacing w:before="100" w:beforeAutospacing="1" w:after="100" w:afterAutospacing="1"/>
    </w:pPr>
    <w:rPr>
      <w:rFonts w:ascii="TimesNewRoman,Bold" w:hAnsi="TimesNewRoman,Bold"/>
      <w:b/>
      <w:bCs/>
      <w:sz w:val="20"/>
      <w:szCs w:val="20"/>
    </w:rPr>
  </w:style>
  <w:style w:type="paragraph" w:customStyle="1" w:styleId="font6">
    <w:name w:val="font6"/>
    <w:basedOn w:val="Normlny"/>
    <w:uiPriority w:val="99"/>
    <w:rsid w:val="00866A27"/>
    <w:pPr>
      <w:spacing w:before="100" w:beforeAutospacing="1" w:after="100" w:afterAutospacing="1"/>
    </w:pPr>
    <w:rPr>
      <w:sz w:val="20"/>
      <w:szCs w:val="20"/>
    </w:rPr>
  </w:style>
  <w:style w:type="paragraph" w:customStyle="1" w:styleId="ListParagraph2">
    <w:name w:val="List Paragraph2"/>
    <w:basedOn w:val="Normlny"/>
    <w:uiPriority w:val="99"/>
    <w:rsid w:val="00F72393"/>
    <w:pPr>
      <w:spacing w:after="200" w:line="276" w:lineRule="auto"/>
      <w:ind w:left="720"/>
      <w:contextualSpacing/>
    </w:pPr>
    <w:rPr>
      <w:rFonts w:ascii="Calibri" w:hAnsi="Calibri"/>
      <w:szCs w:val="22"/>
      <w:lang w:eastAsia="en-US"/>
    </w:rPr>
  </w:style>
  <w:style w:type="paragraph" w:customStyle="1" w:styleId="CharCharCharCharCharCharCharCharCharCharCharCharCharCharCharCharCharChar1CharCharChar">
    <w:name w:val="Char Char Char Char Char Char Char Char Char Char Char Char Char Char Char Char Char Char1 Char Char Char"/>
    <w:basedOn w:val="Normlny"/>
    <w:uiPriority w:val="99"/>
    <w:rsid w:val="00F72393"/>
    <w:pPr>
      <w:spacing w:after="160" w:line="240" w:lineRule="exact"/>
    </w:pPr>
    <w:rPr>
      <w:rFonts w:ascii="Tahoma" w:hAnsi="Tahoma" w:cs="Tahoma"/>
      <w:sz w:val="20"/>
      <w:szCs w:val="20"/>
      <w:lang w:val="en-US" w:eastAsia="en-US"/>
    </w:rPr>
  </w:style>
  <w:style w:type="paragraph" w:customStyle="1" w:styleId="Normlnysozarkami1">
    <w:name w:val="Normálny so zarážkami1"/>
    <w:basedOn w:val="Normlny"/>
    <w:link w:val="normalindentChar"/>
    <w:uiPriority w:val="99"/>
    <w:qFormat/>
    <w:rsid w:val="000A5D03"/>
    <w:pPr>
      <w:ind w:firstLine="357"/>
    </w:pPr>
  </w:style>
  <w:style w:type="character" w:styleId="Zvraznenie">
    <w:name w:val="Emphasis"/>
    <w:basedOn w:val="Predvolenpsmoodseku"/>
    <w:uiPriority w:val="99"/>
    <w:qFormat/>
    <w:rsid w:val="00294584"/>
    <w:rPr>
      <w:i/>
      <w:iCs/>
    </w:rPr>
  </w:style>
  <w:style w:type="paragraph" w:customStyle="1" w:styleId="06txt">
    <w:name w:val="06txt"/>
    <w:basedOn w:val="Normlny"/>
    <w:link w:val="06txtChar"/>
    <w:uiPriority w:val="99"/>
    <w:rsid w:val="00C4428B"/>
    <w:pPr>
      <w:ind w:left="357"/>
    </w:pPr>
    <w:rPr>
      <w:rFonts w:ascii="Arial" w:hAnsi="Arial"/>
      <w:lang w:eastAsia="en-US"/>
    </w:rPr>
  </w:style>
  <w:style w:type="paragraph" w:customStyle="1" w:styleId="priornaz">
    <w:name w:val="prior naz"/>
    <w:uiPriority w:val="99"/>
    <w:rsid w:val="00C4428B"/>
    <w:pPr>
      <w:spacing w:after="120"/>
      <w:ind w:left="357"/>
      <w:jc w:val="both"/>
    </w:pPr>
    <w:rPr>
      <w:rFonts w:ascii="Arial" w:hAnsi="Arial"/>
      <w:b/>
      <w:bCs/>
      <w:i/>
      <w:lang w:val="sk-SK" w:eastAsia="cs-CZ"/>
    </w:rPr>
  </w:style>
  <w:style w:type="paragraph" w:customStyle="1" w:styleId="00txtbold">
    <w:name w:val="00txt bold"/>
    <w:basedOn w:val="Normlny"/>
    <w:uiPriority w:val="99"/>
    <w:rsid w:val="00C4428B"/>
    <w:pPr>
      <w:spacing w:before="60" w:after="60"/>
    </w:pPr>
    <w:rPr>
      <w:rFonts w:ascii="Arial" w:hAnsi="Arial"/>
      <w:b/>
      <w:sz w:val="20"/>
      <w:szCs w:val="20"/>
      <w:lang w:eastAsia="cs-CZ"/>
    </w:rPr>
  </w:style>
  <w:style w:type="character" w:customStyle="1" w:styleId="Textpoznmkypodiarou007Char">
    <w:name w:val="Text poznámky pod čiarou 007 Char"/>
    <w:aliases w:val="_Poznámka pod čiarou Char Char,Footnote Text Char,Text poznámky pod čiarou 007 Char2,Footnote Text Char3,Text poznámky pod čiarou 007 Char21"/>
    <w:basedOn w:val="Predvolenpsmoodseku"/>
    <w:uiPriority w:val="99"/>
    <w:semiHidden/>
    <w:locked/>
    <w:rsid w:val="00C4428B"/>
    <w:rPr>
      <w:rFonts w:ascii="Arial" w:hAnsi="Arial" w:cs="Arial"/>
      <w:lang w:val="sk-SK" w:eastAsia="en-US" w:bidi="ar-SA"/>
    </w:rPr>
  </w:style>
  <w:style w:type="paragraph" w:customStyle="1" w:styleId="AuthorLabel">
    <w:name w:val="AuthorLabel"/>
    <w:basedOn w:val="Normlny"/>
    <w:next w:val="Normlny"/>
    <w:uiPriority w:val="99"/>
    <w:rsid w:val="00DC375E"/>
    <w:pPr>
      <w:spacing w:after="120"/>
      <w:jc w:val="center"/>
    </w:pPr>
    <w:rPr>
      <w:b/>
      <w:noProof/>
      <w:szCs w:val="20"/>
      <w:lang w:val="de-DE" w:eastAsia="de-DE"/>
    </w:rPr>
  </w:style>
  <w:style w:type="paragraph" w:customStyle="1" w:styleId="Subtheme">
    <w:name w:val="Subtheme"/>
    <w:basedOn w:val="Normlny"/>
    <w:next w:val="AuthorLabel"/>
    <w:rsid w:val="00DC375E"/>
    <w:pPr>
      <w:spacing w:after="120"/>
    </w:pPr>
    <w:rPr>
      <w:b/>
      <w:noProof/>
      <w:szCs w:val="20"/>
      <w:lang w:val="de-DE" w:eastAsia="de-DE"/>
    </w:rPr>
  </w:style>
  <w:style w:type="character" w:customStyle="1" w:styleId="longtext">
    <w:name w:val="long_text"/>
    <w:basedOn w:val="Predvolenpsmoodseku"/>
    <w:uiPriority w:val="99"/>
    <w:rsid w:val="00445B7C"/>
  </w:style>
  <w:style w:type="table" w:styleId="Motvtabuky">
    <w:name w:val="Table Theme"/>
    <w:basedOn w:val="Normlnatabuka"/>
    <w:uiPriority w:val="99"/>
    <w:rsid w:val="00445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Predvolenpsmoodseku"/>
    <w:uiPriority w:val="99"/>
    <w:locked/>
    <w:rsid w:val="00E612A9"/>
    <w:rPr>
      <w:rFonts w:ascii="Cambria" w:hAnsi="Cambria" w:cs="Times New Roman"/>
      <w:color w:val="243F60"/>
    </w:rPr>
  </w:style>
  <w:style w:type="character" w:styleId="Odkaznakomentr">
    <w:name w:val="annotation reference"/>
    <w:basedOn w:val="Predvolenpsmoodseku"/>
    <w:uiPriority w:val="99"/>
    <w:semiHidden/>
    <w:rsid w:val="00E612A9"/>
    <w:rPr>
      <w:rFonts w:cs="Times New Roman"/>
      <w:sz w:val="16"/>
      <w:szCs w:val="16"/>
    </w:rPr>
  </w:style>
  <w:style w:type="character" w:customStyle="1" w:styleId="TextkomentraChar">
    <w:name w:val="Text komentára Char"/>
    <w:basedOn w:val="Predvolenpsmoodseku"/>
    <w:link w:val="Textkomentra"/>
    <w:uiPriority w:val="99"/>
    <w:semiHidden/>
    <w:locked/>
    <w:rsid w:val="00E612A9"/>
    <w:rPr>
      <w:lang w:val="sk-SK" w:eastAsia="sk-SK" w:bidi="ar-SA"/>
    </w:rPr>
  </w:style>
  <w:style w:type="character" w:customStyle="1" w:styleId="CommentSubjectChar">
    <w:name w:val="Comment Subject Char"/>
    <w:basedOn w:val="TextkomentraChar"/>
    <w:uiPriority w:val="99"/>
    <w:semiHidden/>
    <w:locked/>
    <w:rsid w:val="00E612A9"/>
    <w:rPr>
      <w:b/>
      <w:bCs/>
      <w:lang w:val="sk-SK" w:eastAsia="sk-SK" w:bidi="ar-SA"/>
    </w:rPr>
  </w:style>
  <w:style w:type="character" w:customStyle="1" w:styleId="NoteHeadingChar">
    <w:name w:val="Note Heading Char"/>
    <w:basedOn w:val="Predvolenpsmoodseku"/>
    <w:uiPriority w:val="99"/>
    <w:locked/>
    <w:rsid w:val="00E612A9"/>
    <w:rPr>
      <w:rFonts w:ascii="Times New Roman" w:hAnsi="Times New Roman" w:cs="Times New Roman"/>
      <w:sz w:val="24"/>
      <w:szCs w:val="24"/>
      <w:lang w:eastAsia="sk-SK"/>
    </w:rPr>
  </w:style>
  <w:style w:type="paragraph" w:customStyle="1" w:styleId="Revision2">
    <w:name w:val="Revision2"/>
    <w:hidden/>
    <w:uiPriority w:val="99"/>
    <w:semiHidden/>
    <w:rsid w:val="00E612A9"/>
    <w:rPr>
      <w:rFonts w:ascii="Calibri" w:hAnsi="Calibri"/>
      <w:sz w:val="22"/>
      <w:szCs w:val="22"/>
      <w:lang w:val="sk-SK"/>
    </w:rPr>
  </w:style>
  <w:style w:type="paragraph" w:customStyle="1" w:styleId="Sprva-Nadpis1">
    <w:name w:val="Správa - Nadpis 1"/>
    <w:basedOn w:val="Normlny"/>
    <w:uiPriority w:val="99"/>
    <w:rsid w:val="00E612A9"/>
    <w:pPr>
      <w:numPr>
        <w:numId w:val="5"/>
      </w:numPr>
      <w:spacing w:after="360" w:line="288" w:lineRule="auto"/>
      <w:outlineLvl w:val="0"/>
    </w:pPr>
    <w:rPr>
      <w:b/>
      <w:smallCaps/>
      <w:sz w:val="28"/>
      <w:szCs w:val="28"/>
      <w:lang w:eastAsia="en-US"/>
    </w:rPr>
  </w:style>
  <w:style w:type="paragraph" w:customStyle="1" w:styleId="Sprva-Nadpis2">
    <w:name w:val="Správa - Nadpis 2"/>
    <w:basedOn w:val="Normlny"/>
    <w:next w:val="Normlny"/>
    <w:uiPriority w:val="99"/>
    <w:rsid w:val="00E612A9"/>
    <w:pPr>
      <w:keepNext/>
      <w:keepLines/>
      <w:numPr>
        <w:ilvl w:val="1"/>
        <w:numId w:val="5"/>
      </w:numPr>
      <w:spacing w:before="480" w:after="360" w:line="288" w:lineRule="auto"/>
      <w:ind w:firstLine="0"/>
      <w:outlineLvl w:val="1"/>
    </w:pPr>
    <w:rPr>
      <w:b/>
      <w:smallCaps/>
      <w:sz w:val="28"/>
      <w:szCs w:val="28"/>
      <w:lang w:eastAsia="en-US"/>
    </w:rPr>
  </w:style>
  <w:style w:type="paragraph" w:customStyle="1" w:styleId="Sprva-Nadpis3">
    <w:name w:val="Správa - Nadpis 3"/>
    <w:basedOn w:val="Normlny"/>
    <w:next w:val="Normlny"/>
    <w:uiPriority w:val="99"/>
    <w:rsid w:val="00E612A9"/>
    <w:pPr>
      <w:keepNext/>
      <w:keepLines/>
      <w:numPr>
        <w:ilvl w:val="2"/>
        <w:numId w:val="5"/>
      </w:numPr>
      <w:spacing w:before="240" w:after="240" w:line="288" w:lineRule="auto"/>
      <w:ind w:firstLine="0"/>
      <w:outlineLvl w:val="2"/>
    </w:pPr>
    <w:rPr>
      <w:b/>
      <w:lang w:eastAsia="en-US"/>
    </w:rPr>
  </w:style>
  <w:style w:type="paragraph" w:customStyle="1" w:styleId="bodytext1">
    <w:name w:val="bodytext1"/>
    <w:basedOn w:val="Normlny"/>
    <w:uiPriority w:val="99"/>
    <w:rsid w:val="00017D5E"/>
    <w:pPr>
      <w:spacing w:line="360" w:lineRule="auto"/>
    </w:pPr>
    <w:rPr>
      <w:rFonts w:ascii="Verdana" w:hAnsi="Verdana"/>
      <w:color w:val="333333"/>
      <w:sz w:val="17"/>
      <w:szCs w:val="17"/>
    </w:rPr>
  </w:style>
  <w:style w:type="paragraph" w:customStyle="1" w:styleId="06txtital">
    <w:name w:val="06 txt ital"/>
    <w:uiPriority w:val="99"/>
    <w:rsid w:val="00017D5E"/>
    <w:pPr>
      <w:spacing w:before="120"/>
      <w:ind w:left="357"/>
      <w:jc w:val="both"/>
    </w:pPr>
    <w:rPr>
      <w:rFonts w:ascii="Arial" w:hAnsi="Arial"/>
      <w:i/>
      <w:lang w:val="sk-SK" w:eastAsia="cs-CZ"/>
    </w:rPr>
  </w:style>
  <w:style w:type="paragraph" w:customStyle="1" w:styleId="06txt0">
    <w:name w:val="06 txt"/>
    <w:uiPriority w:val="99"/>
    <w:rsid w:val="00017D5E"/>
    <w:pPr>
      <w:spacing w:before="120"/>
      <w:ind w:left="357"/>
      <w:jc w:val="both"/>
    </w:pPr>
    <w:rPr>
      <w:rFonts w:ascii="Arial" w:hAnsi="Arial" w:cs="Arial"/>
      <w:lang w:val="sk-SK" w:eastAsia="cs-CZ"/>
    </w:rPr>
  </w:style>
  <w:style w:type="character" w:customStyle="1" w:styleId="FooterChar">
    <w:name w:val="Footer Char"/>
    <w:basedOn w:val="Predvolenpsmoodseku"/>
    <w:uiPriority w:val="99"/>
    <w:locked/>
    <w:rsid w:val="008359CA"/>
    <w:rPr>
      <w:rFonts w:cs="Times New Roman"/>
      <w:sz w:val="24"/>
      <w:szCs w:val="24"/>
      <w:lang w:val="sk-SK" w:eastAsia="cs-CZ" w:bidi="ar-SA"/>
    </w:rPr>
  </w:style>
  <w:style w:type="character" w:customStyle="1" w:styleId="CommentTextChar">
    <w:name w:val="Comment Text Char"/>
    <w:basedOn w:val="Predvolenpsmoodseku"/>
    <w:uiPriority w:val="99"/>
    <w:semiHidden/>
    <w:locked/>
    <w:rsid w:val="008359CA"/>
    <w:rPr>
      <w:rFonts w:cs="Times New Roman"/>
      <w:lang w:val="sk-SK" w:eastAsia="sk-SK" w:bidi="ar-SA"/>
    </w:rPr>
  </w:style>
  <w:style w:type="character" w:customStyle="1" w:styleId="Znakyprepoznmkupodiarou">
    <w:name w:val="Znaky pre poznámku pod čiarou"/>
    <w:basedOn w:val="Predvolenpsmoodseku"/>
    <w:uiPriority w:val="99"/>
    <w:rsid w:val="00B81405"/>
    <w:rPr>
      <w:vertAlign w:val="superscript"/>
    </w:rPr>
  </w:style>
  <w:style w:type="character" w:customStyle="1" w:styleId="PlaceholderText2">
    <w:name w:val="Placeholder Text2"/>
    <w:basedOn w:val="Predvolenpsmoodseku"/>
    <w:uiPriority w:val="99"/>
    <w:semiHidden/>
    <w:rsid w:val="00E03D0B"/>
    <w:rPr>
      <w:rFonts w:ascii="Times New Roman" w:hAnsi="Times New Roman" w:cs="Times New Roman" w:hint="default"/>
      <w:color w:val="808080"/>
    </w:rPr>
  </w:style>
  <w:style w:type="paragraph" w:customStyle="1" w:styleId="bodytext2">
    <w:name w:val="bodytext2"/>
    <w:basedOn w:val="Normlny"/>
    <w:uiPriority w:val="99"/>
    <w:rsid w:val="007A2BEE"/>
    <w:pPr>
      <w:spacing w:before="120"/>
      <w:ind w:firstLine="567"/>
    </w:pPr>
  </w:style>
  <w:style w:type="character" w:customStyle="1" w:styleId="Nadpis6Char">
    <w:name w:val="Nadpis 6 Char"/>
    <w:aliases w:val="Heading3 Char"/>
    <w:basedOn w:val="Predvolenpsmoodseku"/>
    <w:link w:val="Nadpis6"/>
    <w:uiPriority w:val="99"/>
    <w:locked/>
    <w:rsid w:val="000B4550"/>
    <w:rPr>
      <w:rFonts w:ascii="Times New Roman Bold" w:hAnsi="Times New Roman Bold"/>
      <w:b/>
      <w:color w:val="548DD4" w:themeColor="text2" w:themeTint="99"/>
      <w:sz w:val="24"/>
      <w:lang w:val="sk-SK" w:eastAsia="cs-CZ"/>
    </w:rPr>
  </w:style>
  <w:style w:type="character" w:customStyle="1" w:styleId="Nadpis9Char">
    <w:name w:val="Nadpis 9 Char"/>
    <w:basedOn w:val="Predvolenpsmoodseku"/>
    <w:link w:val="Nadpis9"/>
    <w:uiPriority w:val="99"/>
    <w:locked/>
    <w:rsid w:val="000D14ED"/>
    <w:rPr>
      <w:rFonts w:ascii="Arial" w:hAnsi="Arial" w:cs="Arial"/>
      <w:sz w:val="22"/>
      <w:szCs w:val="22"/>
      <w:lang w:val="sk-SK" w:eastAsia="sk-SK"/>
    </w:rPr>
  </w:style>
  <w:style w:type="paragraph" w:customStyle="1" w:styleId="BodyText21">
    <w:name w:val="Body Text 21"/>
    <w:basedOn w:val="Normlny"/>
    <w:link w:val="BodyText21Char"/>
    <w:uiPriority w:val="99"/>
    <w:rsid w:val="000D14ED"/>
    <w:pPr>
      <w:widowControl w:val="0"/>
      <w:spacing w:before="120"/>
      <w:ind w:firstLine="567"/>
    </w:pPr>
    <w:rPr>
      <w:lang w:val="cs-CZ"/>
    </w:rPr>
  </w:style>
  <w:style w:type="paragraph" w:customStyle="1" w:styleId="NormalWeb1">
    <w:name w:val="Normal (Web)1"/>
    <w:basedOn w:val="Normlny"/>
    <w:uiPriority w:val="99"/>
    <w:rsid w:val="000D14ED"/>
    <w:pPr>
      <w:overflowPunct w:val="0"/>
      <w:autoSpaceDE w:val="0"/>
      <w:autoSpaceDN w:val="0"/>
      <w:adjustRightInd w:val="0"/>
      <w:spacing w:before="100" w:after="100"/>
      <w:textAlignment w:val="baseline"/>
    </w:pPr>
  </w:style>
  <w:style w:type="paragraph" w:customStyle="1" w:styleId="CharChar112">
    <w:name w:val="Char Char112"/>
    <w:basedOn w:val="Normlny"/>
    <w:uiPriority w:val="99"/>
    <w:rsid w:val="000D14ED"/>
    <w:pPr>
      <w:spacing w:after="160" w:line="240" w:lineRule="exact"/>
    </w:pPr>
    <w:rPr>
      <w:rFonts w:ascii="Tahoma" w:hAnsi="Tahoma" w:cs="Tahoma"/>
      <w:sz w:val="20"/>
      <w:szCs w:val="20"/>
      <w:lang w:eastAsia="en-US"/>
    </w:rPr>
  </w:style>
  <w:style w:type="paragraph" w:customStyle="1" w:styleId="CharCharCharChar2">
    <w:name w:val="Char Char Char Char2"/>
    <w:basedOn w:val="Normlny"/>
    <w:uiPriority w:val="99"/>
    <w:rsid w:val="000D14ED"/>
    <w:pPr>
      <w:spacing w:after="160" w:line="240" w:lineRule="exact"/>
    </w:pPr>
    <w:rPr>
      <w:rFonts w:ascii="Tahoma" w:hAnsi="Tahoma" w:cs="Tahoma"/>
      <w:sz w:val="20"/>
      <w:szCs w:val="20"/>
      <w:lang w:eastAsia="en-US"/>
    </w:rPr>
  </w:style>
  <w:style w:type="paragraph" w:customStyle="1" w:styleId="CharCharCharCharChar2">
    <w:name w:val="Char Char Char Char Char2"/>
    <w:basedOn w:val="Normlny"/>
    <w:uiPriority w:val="99"/>
    <w:rsid w:val="000D14ED"/>
    <w:pPr>
      <w:spacing w:after="160" w:line="240" w:lineRule="exact"/>
    </w:pPr>
    <w:rPr>
      <w:rFonts w:ascii="Tahoma" w:hAnsi="Tahoma" w:cs="Tahoma"/>
      <w:sz w:val="20"/>
      <w:szCs w:val="20"/>
      <w:lang w:eastAsia="en-US"/>
    </w:rPr>
  </w:style>
  <w:style w:type="paragraph" w:customStyle="1" w:styleId="CharCharCharCharCharChar1CharChar2">
    <w:name w:val="Char Char Char Char Char Char1 Char Char2"/>
    <w:basedOn w:val="Normlny"/>
    <w:uiPriority w:val="99"/>
    <w:rsid w:val="000D14ED"/>
    <w:pPr>
      <w:spacing w:after="160" w:line="240" w:lineRule="exact"/>
    </w:pPr>
    <w:rPr>
      <w:rFonts w:ascii="Tahoma" w:hAnsi="Tahoma" w:cs="Tahoma"/>
      <w:sz w:val="20"/>
      <w:szCs w:val="20"/>
      <w:lang w:eastAsia="en-US"/>
    </w:rPr>
  </w:style>
  <w:style w:type="character" w:customStyle="1" w:styleId="CharChar22">
    <w:name w:val="Char Char22"/>
    <w:basedOn w:val="Predvolenpsmoodseku"/>
    <w:uiPriority w:val="99"/>
    <w:semiHidden/>
    <w:rsid w:val="000D14ED"/>
    <w:rPr>
      <w:rFonts w:ascii="Arial" w:hAnsi="Arial" w:cs="Times New Roman"/>
      <w:sz w:val="16"/>
      <w:lang w:val="sk-SK" w:eastAsia="cs-CZ" w:bidi="ar-SA"/>
    </w:rPr>
  </w:style>
  <w:style w:type="paragraph" w:customStyle="1" w:styleId="ListParagraph1">
    <w:name w:val="List Paragraph1"/>
    <w:basedOn w:val="Normlny"/>
    <w:uiPriority w:val="99"/>
    <w:rsid w:val="000D14ED"/>
    <w:pPr>
      <w:spacing w:after="200" w:line="276" w:lineRule="auto"/>
      <w:ind w:left="720"/>
      <w:contextualSpacing/>
    </w:pPr>
    <w:rPr>
      <w:rFonts w:ascii="Calibri" w:hAnsi="Calibri"/>
      <w:szCs w:val="22"/>
      <w:lang w:eastAsia="en-US"/>
    </w:rPr>
  </w:style>
  <w:style w:type="character" w:customStyle="1" w:styleId="EmailStyle2411">
    <w:name w:val="EmailStyle2411"/>
    <w:basedOn w:val="Predvolenpsmoodseku"/>
    <w:uiPriority w:val="99"/>
    <w:semiHidden/>
    <w:rsid w:val="000D14ED"/>
    <w:rPr>
      <w:rFonts w:cs="Times New Roman"/>
      <w:color w:val="000000"/>
    </w:rPr>
  </w:style>
  <w:style w:type="paragraph" w:customStyle="1" w:styleId="Revision1">
    <w:name w:val="Revision1"/>
    <w:hidden/>
    <w:uiPriority w:val="99"/>
    <w:semiHidden/>
    <w:rsid w:val="000D14ED"/>
    <w:rPr>
      <w:rFonts w:ascii="Calibri" w:hAnsi="Calibri"/>
      <w:sz w:val="22"/>
      <w:szCs w:val="22"/>
      <w:lang w:val="sk-SK"/>
    </w:rPr>
  </w:style>
  <w:style w:type="character" w:customStyle="1" w:styleId="PlaceholderText1">
    <w:name w:val="Placeholder Text1"/>
    <w:basedOn w:val="Predvolenpsmoodseku"/>
    <w:uiPriority w:val="99"/>
    <w:semiHidden/>
    <w:rsid w:val="000D14ED"/>
    <w:rPr>
      <w:rFonts w:ascii="Times New Roman" w:hAnsi="Times New Roman" w:cs="Times New Roman"/>
      <w:color w:val="808080"/>
    </w:rPr>
  </w:style>
  <w:style w:type="character" w:styleId="Textzstupnhosymbolu">
    <w:name w:val="Placeholder Text"/>
    <w:basedOn w:val="Predvolenpsmoodseku"/>
    <w:uiPriority w:val="99"/>
    <w:semiHidden/>
    <w:rsid w:val="000D14ED"/>
    <w:rPr>
      <w:rFonts w:ascii="Times New Roman" w:hAnsi="Times New Roman" w:cs="Times New Roman"/>
      <w:color w:val="808080"/>
    </w:rPr>
  </w:style>
  <w:style w:type="paragraph" w:customStyle="1" w:styleId="Zakladnystyl">
    <w:name w:val="Zakladny styl"/>
    <w:uiPriority w:val="99"/>
    <w:rsid w:val="000D14ED"/>
    <w:rPr>
      <w:sz w:val="24"/>
      <w:szCs w:val="24"/>
      <w:lang w:val="sk-SK" w:eastAsia="sk-SK"/>
    </w:rPr>
  </w:style>
  <w:style w:type="paragraph" w:customStyle="1" w:styleId="BodyText22">
    <w:name w:val="Body Text 22"/>
    <w:basedOn w:val="Normlny"/>
    <w:uiPriority w:val="99"/>
    <w:rsid w:val="000D14ED"/>
    <w:pPr>
      <w:widowControl w:val="0"/>
      <w:spacing w:before="120"/>
      <w:ind w:firstLine="567"/>
    </w:pPr>
    <w:rPr>
      <w:lang w:val="cs-CZ"/>
    </w:rPr>
  </w:style>
  <w:style w:type="paragraph" w:styleId="Revzia">
    <w:name w:val="Revision"/>
    <w:hidden/>
    <w:uiPriority w:val="99"/>
    <w:semiHidden/>
    <w:rsid w:val="002300E0"/>
    <w:rPr>
      <w:rFonts w:ascii="Calibri" w:eastAsia="Calibri" w:hAnsi="Calibri"/>
      <w:lang w:val="sk-SK" w:eastAsia="sk-SK"/>
    </w:rPr>
  </w:style>
  <w:style w:type="character" w:customStyle="1" w:styleId="new">
    <w:name w:val="new"/>
    <w:basedOn w:val="Predvolenpsmoodseku"/>
    <w:rsid w:val="002300E0"/>
    <w:rPr>
      <w:rFonts w:cs="Times New Roman"/>
    </w:rPr>
  </w:style>
  <w:style w:type="character" w:customStyle="1" w:styleId="apple-style-span">
    <w:name w:val="apple-style-span"/>
    <w:basedOn w:val="Predvolenpsmoodseku"/>
    <w:uiPriority w:val="99"/>
    <w:rsid w:val="002300E0"/>
    <w:rPr>
      <w:rFonts w:cs="Times New Roman"/>
    </w:rPr>
  </w:style>
  <w:style w:type="character" w:customStyle="1" w:styleId="apple-converted-space">
    <w:name w:val="apple-converted-space"/>
    <w:basedOn w:val="Predvolenpsmoodseku"/>
    <w:rsid w:val="002300E0"/>
    <w:rPr>
      <w:rFonts w:cs="Times New Roman"/>
    </w:rPr>
  </w:style>
  <w:style w:type="paragraph" w:customStyle="1" w:styleId="titulok">
    <w:name w:val="titulok"/>
    <w:basedOn w:val="Normlny"/>
    <w:uiPriority w:val="99"/>
    <w:rsid w:val="002300E0"/>
    <w:pPr>
      <w:spacing w:before="100" w:beforeAutospacing="1" w:after="100" w:afterAutospacing="1"/>
    </w:pPr>
  </w:style>
  <w:style w:type="paragraph" w:customStyle="1" w:styleId="bullet1">
    <w:name w:val="bullet1"/>
    <w:basedOn w:val="Normlny"/>
    <w:link w:val="bullet1Char"/>
    <w:qFormat/>
    <w:rsid w:val="00AC69AB"/>
    <w:pPr>
      <w:numPr>
        <w:numId w:val="8"/>
      </w:numPr>
    </w:pPr>
  </w:style>
  <w:style w:type="paragraph" w:customStyle="1" w:styleId="zkladntext0">
    <w:name w:val="zkladntext"/>
    <w:basedOn w:val="Normlny"/>
    <w:uiPriority w:val="99"/>
    <w:rsid w:val="00B1124F"/>
    <w:pPr>
      <w:spacing w:after="120"/>
    </w:pPr>
    <w:rPr>
      <w:rFonts w:ascii="Calibri" w:eastAsia="Calibri" w:hAnsi="Calibri"/>
    </w:rPr>
  </w:style>
  <w:style w:type="table" w:customStyle="1" w:styleId="Svetlpodfarbenie1">
    <w:name w:val="Svetlé podfarbenie1"/>
    <w:basedOn w:val="Normlnatabuka"/>
    <w:uiPriority w:val="99"/>
    <w:rsid w:val="00C1036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Normlnatabuka"/>
    <w:uiPriority w:val="99"/>
    <w:rsid w:val="00B069D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zdroj">
    <w:name w:val="zdroj"/>
    <w:basedOn w:val="BodyText21"/>
    <w:link w:val="zdrojChar"/>
    <w:uiPriority w:val="99"/>
    <w:qFormat/>
    <w:rsid w:val="00DA20F5"/>
    <w:pPr>
      <w:widowControl/>
      <w:spacing w:before="60" w:after="120"/>
    </w:pPr>
    <w:rPr>
      <w:i/>
      <w:color w:val="000000"/>
      <w:sz w:val="20"/>
      <w:szCs w:val="20"/>
      <w:lang w:val="sk-SK"/>
    </w:rPr>
  </w:style>
  <w:style w:type="paragraph" w:customStyle="1" w:styleId="123">
    <w:name w:val="123"/>
    <w:basedOn w:val="Odsekzoznamu"/>
    <w:link w:val="123Char"/>
    <w:uiPriority w:val="99"/>
    <w:qFormat/>
    <w:rsid w:val="00A848ED"/>
    <w:pPr>
      <w:spacing w:before="240" w:after="60"/>
      <w:ind w:left="0"/>
    </w:pPr>
    <w:rPr>
      <w:b/>
      <w:szCs w:val="22"/>
    </w:rPr>
  </w:style>
  <w:style w:type="character" w:customStyle="1" w:styleId="BodyText21Char">
    <w:name w:val="Body Text 21 Char"/>
    <w:basedOn w:val="Predvolenpsmoodseku"/>
    <w:link w:val="BodyText21"/>
    <w:uiPriority w:val="99"/>
    <w:rsid w:val="007C6881"/>
    <w:rPr>
      <w:sz w:val="22"/>
      <w:szCs w:val="24"/>
      <w:lang w:val="cs-CZ" w:eastAsia="sk-SK"/>
    </w:rPr>
  </w:style>
  <w:style w:type="character" w:customStyle="1" w:styleId="zdrojChar">
    <w:name w:val="zdroj Char"/>
    <w:basedOn w:val="BodyText21Char"/>
    <w:link w:val="zdroj"/>
    <w:uiPriority w:val="99"/>
    <w:rsid w:val="00DA20F5"/>
    <w:rPr>
      <w:i/>
      <w:color w:val="000000"/>
      <w:sz w:val="22"/>
      <w:szCs w:val="24"/>
      <w:lang w:val="sk-SK" w:eastAsia="sk-SK"/>
    </w:rPr>
  </w:style>
  <w:style w:type="paragraph" w:styleId="Hlavikaobsahu">
    <w:name w:val="TOC Heading"/>
    <w:basedOn w:val="Nadpis1"/>
    <w:next w:val="Normlny"/>
    <w:uiPriority w:val="99"/>
    <w:unhideWhenUsed/>
    <w:qFormat/>
    <w:rsid w:val="009B1737"/>
    <w:pPr>
      <w:keepLines/>
      <w:tabs>
        <w:tab w:val="clear" w:pos="567"/>
      </w:tabs>
      <w:spacing w:before="480" w:line="276" w:lineRule="auto"/>
      <w:outlineLvl w:val="9"/>
    </w:pPr>
    <w:rPr>
      <w:rFonts w:ascii="Cambria" w:hAnsi="Cambria" w:cs="Times New Roman"/>
      <w:caps w:val="0"/>
      <w:color w:val="365F91"/>
      <w:kern w:val="0"/>
      <w:szCs w:val="28"/>
      <w:lang w:val="en-US" w:eastAsia="en-US"/>
    </w:rPr>
  </w:style>
  <w:style w:type="character" w:customStyle="1" w:styleId="OdsekzoznamuChar">
    <w:name w:val="Odsek zoznamu Char"/>
    <w:basedOn w:val="Predvolenpsmoodseku"/>
    <w:link w:val="Odsekzoznamu"/>
    <w:uiPriority w:val="99"/>
    <w:rsid w:val="00705255"/>
    <w:rPr>
      <w:sz w:val="22"/>
      <w:szCs w:val="24"/>
      <w:lang w:val="sk-SK" w:eastAsia="sk-SK"/>
    </w:rPr>
  </w:style>
  <w:style w:type="character" w:customStyle="1" w:styleId="123Char">
    <w:name w:val="123 Char"/>
    <w:basedOn w:val="OdsekzoznamuChar"/>
    <w:link w:val="123"/>
    <w:uiPriority w:val="99"/>
    <w:rsid w:val="00A848ED"/>
    <w:rPr>
      <w:b/>
      <w:sz w:val="22"/>
      <w:szCs w:val="22"/>
      <w:lang w:val="sk-SK" w:eastAsia="sk-SK"/>
    </w:rPr>
  </w:style>
  <w:style w:type="paragraph" w:styleId="Obsah3">
    <w:name w:val="toc 3"/>
    <w:basedOn w:val="Normlny"/>
    <w:next w:val="Normlny"/>
    <w:autoRedefine/>
    <w:uiPriority w:val="39"/>
    <w:unhideWhenUsed/>
    <w:qFormat/>
    <w:rsid w:val="009B1737"/>
    <w:pPr>
      <w:spacing w:after="100" w:line="276" w:lineRule="auto"/>
      <w:ind w:left="440"/>
      <w:jc w:val="left"/>
    </w:pPr>
    <w:rPr>
      <w:rFonts w:ascii="Calibri" w:hAnsi="Calibri"/>
      <w:szCs w:val="22"/>
      <w:lang w:val="en-US" w:eastAsia="en-US"/>
    </w:rPr>
  </w:style>
  <w:style w:type="paragraph" w:styleId="Obsah5">
    <w:name w:val="toc 5"/>
    <w:basedOn w:val="Normlny"/>
    <w:next w:val="Normlny"/>
    <w:autoRedefine/>
    <w:uiPriority w:val="39"/>
    <w:rsid w:val="00465009"/>
    <w:pPr>
      <w:tabs>
        <w:tab w:val="left" w:pos="1701"/>
        <w:tab w:val="right" w:leader="dot" w:pos="9061"/>
      </w:tabs>
      <w:spacing w:line="276" w:lineRule="auto"/>
      <w:ind w:left="567"/>
    </w:pPr>
  </w:style>
  <w:style w:type="paragraph" w:styleId="Obsah7">
    <w:name w:val="toc 7"/>
    <w:basedOn w:val="Normlny"/>
    <w:next w:val="Normlny"/>
    <w:autoRedefine/>
    <w:uiPriority w:val="39"/>
    <w:rsid w:val="009B1737"/>
    <w:pPr>
      <w:ind w:left="1320"/>
    </w:pPr>
  </w:style>
  <w:style w:type="paragraph" w:styleId="Obsah6">
    <w:name w:val="toc 6"/>
    <w:basedOn w:val="Normlny"/>
    <w:next w:val="Normlny"/>
    <w:autoRedefine/>
    <w:uiPriority w:val="39"/>
    <w:rsid w:val="00715E48"/>
    <w:pPr>
      <w:tabs>
        <w:tab w:val="left" w:pos="1815"/>
        <w:tab w:val="right" w:leader="dot" w:pos="9072"/>
      </w:tabs>
      <w:ind w:left="1701" w:right="565" w:hanging="601"/>
    </w:pPr>
  </w:style>
  <w:style w:type="paragraph" w:styleId="Obsah4">
    <w:name w:val="toc 4"/>
    <w:basedOn w:val="Normlny"/>
    <w:next w:val="Normlny"/>
    <w:autoRedefine/>
    <w:uiPriority w:val="39"/>
    <w:unhideWhenUsed/>
    <w:rsid w:val="009B1737"/>
    <w:pPr>
      <w:spacing w:after="100" w:line="276" w:lineRule="auto"/>
      <w:ind w:left="660"/>
      <w:jc w:val="left"/>
    </w:pPr>
    <w:rPr>
      <w:rFonts w:ascii="Calibri" w:hAnsi="Calibri"/>
      <w:szCs w:val="22"/>
      <w:lang w:val="en-US" w:eastAsia="en-US"/>
    </w:rPr>
  </w:style>
  <w:style w:type="paragraph" w:styleId="Obsah8">
    <w:name w:val="toc 8"/>
    <w:basedOn w:val="Normlny"/>
    <w:next w:val="Normlny"/>
    <w:autoRedefine/>
    <w:uiPriority w:val="39"/>
    <w:unhideWhenUsed/>
    <w:rsid w:val="009B1737"/>
    <w:pPr>
      <w:spacing w:after="100" w:line="276" w:lineRule="auto"/>
      <w:ind w:left="1540"/>
      <w:jc w:val="left"/>
    </w:pPr>
    <w:rPr>
      <w:rFonts w:ascii="Calibri" w:hAnsi="Calibri"/>
      <w:szCs w:val="22"/>
      <w:lang w:val="en-US" w:eastAsia="en-US"/>
    </w:rPr>
  </w:style>
  <w:style w:type="paragraph" w:styleId="Obsah9">
    <w:name w:val="toc 9"/>
    <w:basedOn w:val="Normlny"/>
    <w:next w:val="Normlny"/>
    <w:autoRedefine/>
    <w:uiPriority w:val="39"/>
    <w:unhideWhenUsed/>
    <w:rsid w:val="009B1737"/>
    <w:pPr>
      <w:spacing w:after="100" w:line="276" w:lineRule="auto"/>
      <w:ind w:left="1760"/>
      <w:jc w:val="left"/>
    </w:pPr>
    <w:rPr>
      <w:rFonts w:ascii="Calibri" w:hAnsi="Calibri"/>
      <w:szCs w:val="22"/>
      <w:lang w:val="en-US" w:eastAsia="en-US"/>
    </w:rPr>
  </w:style>
  <w:style w:type="character" w:customStyle="1" w:styleId="normalindentChar">
    <w:name w:val="normal indent Char"/>
    <w:basedOn w:val="Predvolenpsmoodseku"/>
    <w:link w:val="Normlnysozarkami1"/>
    <w:uiPriority w:val="99"/>
    <w:rsid w:val="000A5D03"/>
    <w:rPr>
      <w:sz w:val="22"/>
      <w:szCs w:val="24"/>
      <w:lang w:val="sk-SK" w:eastAsia="sk-SK"/>
    </w:rPr>
  </w:style>
  <w:style w:type="paragraph" w:customStyle="1" w:styleId="bullet2">
    <w:name w:val="bullet2"/>
    <w:basedOn w:val="Normlny"/>
    <w:link w:val="bullet2Char"/>
    <w:uiPriority w:val="99"/>
    <w:qFormat/>
    <w:rsid w:val="009924D9"/>
    <w:pPr>
      <w:numPr>
        <w:numId w:val="6"/>
      </w:numPr>
    </w:pPr>
  </w:style>
  <w:style w:type="character" w:customStyle="1" w:styleId="bullet1Char">
    <w:name w:val="bullet1 Char"/>
    <w:basedOn w:val="Predvolenpsmoodseku"/>
    <w:link w:val="bullet1"/>
    <w:rsid w:val="00AC69AB"/>
    <w:rPr>
      <w:sz w:val="22"/>
      <w:szCs w:val="24"/>
      <w:lang w:val="sk-SK" w:eastAsia="sk-SK"/>
    </w:rPr>
  </w:style>
  <w:style w:type="paragraph" w:customStyle="1" w:styleId="zlozenyzoznam">
    <w:name w:val="zlozeny zoznam"/>
    <w:basedOn w:val="bullet1"/>
    <w:link w:val="zlozenyzoznamChar"/>
    <w:qFormat/>
    <w:rsid w:val="00727107"/>
    <w:pPr>
      <w:numPr>
        <w:numId w:val="7"/>
      </w:numPr>
    </w:pPr>
  </w:style>
  <w:style w:type="character" w:customStyle="1" w:styleId="bullet2Char">
    <w:name w:val="bullet2 Char"/>
    <w:basedOn w:val="Predvolenpsmoodseku"/>
    <w:link w:val="bullet2"/>
    <w:uiPriority w:val="99"/>
    <w:rsid w:val="009924D9"/>
    <w:rPr>
      <w:sz w:val="22"/>
      <w:szCs w:val="24"/>
      <w:lang w:val="sk-SK" w:eastAsia="sk-SK"/>
    </w:rPr>
  </w:style>
  <w:style w:type="character" w:customStyle="1" w:styleId="zlozenyzoznamChar">
    <w:name w:val="zlozeny zoznam Char"/>
    <w:basedOn w:val="bullet1Char"/>
    <w:link w:val="zlozenyzoznam"/>
    <w:rsid w:val="00727107"/>
    <w:rPr>
      <w:sz w:val="22"/>
      <w:szCs w:val="24"/>
      <w:lang w:val="sk-SK" w:eastAsia="sk-SK"/>
    </w:rPr>
  </w:style>
  <w:style w:type="paragraph" w:customStyle="1" w:styleId="CharChar111">
    <w:name w:val="Char Char111"/>
    <w:basedOn w:val="Normlny"/>
    <w:uiPriority w:val="99"/>
    <w:rsid w:val="009A28BA"/>
    <w:pPr>
      <w:spacing w:after="160" w:line="240" w:lineRule="exact"/>
      <w:jc w:val="left"/>
    </w:pPr>
    <w:rPr>
      <w:rFonts w:ascii="Tahoma" w:hAnsi="Tahoma" w:cs="Tahoma"/>
      <w:sz w:val="20"/>
      <w:szCs w:val="20"/>
      <w:lang w:eastAsia="en-US"/>
    </w:rPr>
  </w:style>
  <w:style w:type="paragraph" w:customStyle="1" w:styleId="CharCharCharChar1">
    <w:name w:val="Char Char Char Char1"/>
    <w:basedOn w:val="Normlny"/>
    <w:uiPriority w:val="99"/>
    <w:rsid w:val="009A28BA"/>
    <w:pPr>
      <w:spacing w:after="160" w:line="240" w:lineRule="exact"/>
      <w:jc w:val="left"/>
    </w:pPr>
    <w:rPr>
      <w:rFonts w:ascii="Tahoma" w:hAnsi="Tahoma" w:cs="Tahoma"/>
      <w:sz w:val="20"/>
      <w:szCs w:val="20"/>
      <w:lang w:eastAsia="en-US"/>
    </w:rPr>
  </w:style>
  <w:style w:type="paragraph" w:customStyle="1" w:styleId="CharCharCharCharChar1">
    <w:name w:val="Char Char Char Char Char1"/>
    <w:basedOn w:val="Normlny"/>
    <w:uiPriority w:val="99"/>
    <w:rsid w:val="009A28BA"/>
    <w:pPr>
      <w:spacing w:after="160" w:line="240" w:lineRule="exact"/>
      <w:jc w:val="left"/>
    </w:pPr>
    <w:rPr>
      <w:rFonts w:ascii="Tahoma" w:hAnsi="Tahoma" w:cs="Tahoma"/>
      <w:sz w:val="20"/>
      <w:szCs w:val="20"/>
      <w:lang w:eastAsia="en-US"/>
    </w:rPr>
  </w:style>
  <w:style w:type="paragraph" w:customStyle="1" w:styleId="CharCharCharCharCharChar1CharChar1">
    <w:name w:val="Char Char Char Char Char Char1 Char Char1"/>
    <w:basedOn w:val="Normlny"/>
    <w:uiPriority w:val="99"/>
    <w:rsid w:val="009A28BA"/>
    <w:pPr>
      <w:spacing w:after="160" w:line="240" w:lineRule="exact"/>
      <w:jc w:val="left"/>
    </w:pPr>
    <w:rPr>
      <w:rFonts w:ascii="Tahoma" w:hAnsi="Tahoma" w:cs="Tahoma"/>
      <w:sz w:val="20"/>
      <w:szCs w:val="20"/>
      <w:lang w:eastAsia="en-US"/>
    </w:rPr>
  </w:style>
  <w:style w:type="table" w:styleId="Elegantntabuka">
    <w:name w:val="Table Elegant"/>
    <w:basedOn w:val="Normlnatabuka"/>
    <w:uiPriority w:val="99"/>
    <w:rsid w:val="009A28BA"/>
    <w:rPr>
      <w:lang w:val="sk-SK" w:eastAsia="sk-S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21">
    <w:name w:val="Char Char21"/>
    <w:basedOn w:val="Predvolenpsmoodseku"/>
    <w:uiPriority w:val="99"/>
    <w:semiHidden/>
    <w:rsid w:val="009A28BA"/>
    <w:rPr>
      <w:rFonts w:ascii="Arial" w:hAnsi="Arial"/>
      <w:sz w:val="16"/>
      <w:lang w:val="sk-SK" w:eastAsia="cs-CZ" w:bidi="ar-SA"/>
    </w:rPr>
  </w:style>
  <w:style w:type="character" w:customStyle="1" w:styleId="EmailStyle2821">
    <w:name w:val="EmailStyle2821"/>
    <w:basedOn w:val="Predvolenpsmoodseku"/>
    <w:uiPriority w:val="99"/>
    <w:semiHidden/>
    <w:rsid w:val="009A28BA"/>
    <w:rPr>
      <w:rFonts w:cs="Times New Roman"/>
      <w:color w:val="000000"/>
    </w:rPr>
  </w:style>
  <w:style w:type="paragraph" w:customStyle="1" w:styleId="xl99">
    <w:name w:val="xl99"/>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100">
    <w:name w:val="xl100"/>
    <w:basedOn w:val="Normlny"/>
    <w:uiPriority w:val="99"/>
    <w:rsid w:val="009A28BA"/>
    <w:pPr>
      <w:pBdr>
        <w:left w:val="single" w:sz="4" w:space="0" w:color="auto"/>
        <w:bottom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01">
    <w:name w:val="xl101"/>
    <w:basedOn w:val="Normlny"/>
    <w:uiPriority w:val="99"/>
    <w:rsid w:val="009A28BA"/>
    <w:pPr>
      <w:pBdr>
        <w:top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02">
    <w:name w:val="xl102"/>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3">
    <w:name w:val="xl103"/>
    <w:basedOn w:val="Normlny"/>
    <w:uiPriority w:val="99"/>
    <w:rsid w:val="009A28BA"/>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04">
    <w:name w:val="xl104"/>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4"/>
      <w:szCs w:val="14"/>
    </w:rPr>
  </w:style>
  <w:style w:type="paragraph" w:customStyle="1" w:styleId="xl105">
    <w:name w:val="xl105"/>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6"/>
      <w:szCs w:val="16"/>
    </w:rPr>
  </w:style>
  <w:style w:type="paragraph" w:customStyle="1" w:styleId="xl106">
    <w:name w:val="xl106"/>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4"/>
      <w:szCs w:val="14"/>
    </w:rPr>
  </w:style>
  <w:style w:type="paragraph" w:customStyle="1" w:styleId="xl107">
    <w:name w:val="xl107"/>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8">
    <w:name w:val="xl108"/>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9">
    <w:name w:val="xl109"/>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0">
    <w:name w:val="xl110"/>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1">
    <w:name w:val="xl111"/>
    <w:basedOn w:val="Normlny"/>
    <w:uiPriority w:val="99"/>
    <w:rsid w:val="009A28BA"/>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12">
    <w:name w:val="xl112"/>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3">
    <w:name w:val="xl113"/>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4">
    <w:name w:val="xl114"/>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5">
    <w:name w:val="xl115"/>
    <w:basedOn w:val="Normlny"/>
    <w:uiPriority w:val="99"/>
    <w:rsid w:val="009A28BA"/>
    <w:pPr>
      <w:pBdr>
        <w:top w:val="single" w:sz="4" w:space="0" w:color="auto"/>
      </w:pBdr>
      <w:spacing w:before="100" w:beforeAutospacing="1" w:after="100" w:afterAutospacing="1"/>
      <w:jc w:val="left"/>
    </w:pPr>
    <w:rPr>
      <w:rFonts w:ascii="Arial" w:hAnsi="Arial"/>
      <w:b/>
      <w:bCs/>
      <w:sz w:val="16"/>
      <w:szCs w:val="16"/>
    </w:rPr>
  </w:style>
  <w:style w:type="paragraph" w:customStyle="1" w:styleId="xl116">
    <w:name w:val="xl116"/>
    <w:basedOn w:val="Normlny"/>
    <w:uiPriority w:val="99"/>
    <w:rsid w:val="009A28BA"/>
    <w:pPr>
      <w:pBdr>
        <w:top w:val="single" w:sz="4" w:space="0" w:color="auto"/>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17">
    <w:name w:val="xl117"/>
    <w:basedOn w:val="Normlny"/>
    <w:uiPriority w:val="99"/>
    <w:rsid w:val="009A28BA"/>
    <w:pPr>
      <w:pBdr>
        <w:top w:val="single" w:sz="4" w:space="0" w:color="auto"/>
        <w:bottom w:val="single" w:sz="4" w:space="0" w:color="auto"/>
      </w:pBdr>
      <w:spacing w:before="100" w:beforeAutospacing="1" w:after="100" w:afterAutospacing="1"/>
      <w:jc w:val="center"/>
    </w:pPr>
    <w:rPr>
      <w:rFonts w:ascii="Arial" w:hAnsi="Arial"/>
      <w:sz w:val="16"/>
      <w:szCs w:val="16"/>
    </w:rPr>
  </w:style>
  <w:style w:type="paragraph" w:customStyle="1" w:styleId="xl118">
    <w:name w:val="xl118"/>
    <w:basedOn w:val="Normlny"/>
    <w:uiPriority w:val="99"/>
    <w:rsid w:val="009A28BA"/>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19">
    <w:name w:val="xl119"/>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20">
    <w:name w:val="xl120"/>
    <w:basedOn w:val="Normlny"/>
    <w:uiPriority w:val="99"/>
    <w:rsid w:val="009A28BA"/>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1">
    <w:name w:val="xl121"/>
    <w:basedOn w:val="Normlny"/>
    <w:uiPriority w:val="99"/>
    <w:rsid w:val="009A28BA"/>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2">
    <w:name w:val="xl122"/>
    <w:basedOn w:val="Normlny"/>
    <w:uiPriority w:val="99"/>
    <w:rsid w:val="009A28BA"/>
    <w:pPr>
      <w:pBdr>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23">
    <w:name w:val="xl123"/>
    <w:basedOn w:val="Normlny"/>
    <w:uiPriority w:val="99"/>
    <w:rsid w:val="009A28BA"/>
    <w:pPr>
      <w:spacing w:before="100" w:beforeAutospacing="1" w:after="100" w:afterAutospacing="1"/>
      <w:jc w:val="left"/>
    </w:pPr>
    <w:rPr>
      <w:rFonts w:ascii="Arial" w:hAnsi="Arial"/>
      <w:b/>
      <w:bCs/>
      <w:sz w:val="24"/>
    </w:rPr>
  </w:style>
  <w:style w:type="paragraph" w:customStyle="1" w:styleId="xl124">
    <w:name w:val="xl124"/>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5">
    <w:name w:val="xl125"/>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6">
    <w:name w:val="xl126"/>
    <w:basedOn w:val="Normlny"/>
    <w:uiPriority w:val="99"/>
    <w:rsid w:val="009A28BA"/>
    <w:pPr>
      <w:pBdr>
        <w:top w:val="single" w:sz="4" w:space="0" w:color="auto"/>
        <w:left w:val="single" w:sz="4" w:space="0" w:color="auto"/>
      </w:pBdr>
      <w:spacing w:before="100" w:beforeAutospacing="1" w:after="100" w:afterAutospacing="1"/>
      <w:jc w:val="left"/>
    </w:pPr>
    <w:rPr>
      <w:rFonts w:ascii="Arial" w:hAnsi="Arial"/>
      <w:b/>
      <w:bCs/>
      <w:sz w:val="16"/>
      <w:szCs w:val="16"/>
    </w:rPr>
  </w:style>
  <w:style w:type="paragraph" w:customStyle="1" w:styleId="xl127">
    <w:name w:val="xl127"/>
    <w:basedOn w:val="Normlny"/>
    <w:uiPriority w:val="99"/>
    <w:rsid w:val="009A28BA"/>
    <w:pPr>
      <w:pBdr>
        <w:top w:val="single" w:sz="4" w:space="0" w:color="auto"/>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28">
    <w:name w:val="xl128"/>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29">
    <w:name w:val="xl129"/>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0">
    <w:name w:val="xl130"/>
    <w:basedOn w:val="Normlny"/>
    <w:uiPriority w:val="99"/>
    <w:rsid w:val="009A28BA"/>
    <w:pPr>
      <w:pBdr>
        <w:top w:val="single" w:sz="4" w:space="0" w:color="auto"/>
        <w:left w:val="single" w:sz="4" w:space="0" w:color="auto"/>
        <w:bottom w:val="single" w:sz="4" w:space="0" w:color="auto"/>
      </w:pBdr>
      <w:spacing w:before="100" w:beforeAutospacing="1" w:after="100" w:afterAutospacing="1"/>
      <w:jc w:val="left"/>
    </w:pPr>
    <w:rPr>
      <w:rFonts w:ascii="Arial" w:hAnsi="Arial"/>
      <w:sz w:val="16"/>
      <w:szCs w:val="16"/>
    </w:rPr>
  </w:style>
  <w:style w:type="paragraph" w:customStyle="1" w:styleId="xl131">
    <w:name w:val="xl131"/>
    <w:basedOn w:val="Normlny"/>
    <w:uiPriority w:val="99"/>
    <w:rsid w:val="009A28BA"/>
    <w:pPr>
      <w:pBdr>
        <w:top w:val="single" w:sz="4" w:space="0" w:color="auto"/>
        <w:left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32">
    <w:name w:val="xl132"/>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3">
    <w:name w:val="xl133"/>
    <w:basedOn w:val="Normlny"/>
    <w:uiPriority w:val="99"/>
    <w:rsid w:val="009A28BA"/>
    <w:pPr>
      <w:pBdr>
        <w:top w:val="single" w:sz="4" w:space="0" w:color="auto"/>
        <w:left w:val="single" w:sz="4" w:space="0" w:color="auto"/>
        <w:right w:val="double" w:sz="6" w:space="0" w:color="auto"/>
      </w:pBdr>
      <w:spacing w:before="100" w:beforeAutospacing="1" w:after="100" w:afterAutospacing="1"/>
      <w:jc w:val="right"/>
    </w:pPr>
    <w:rPr>
      <w:rFonts w:ascii="Arial" w:hAnsi="Arial"/>
      <w:sz w:val="16"/>
      <w:szCs w:val="16"/>
    </w:rPr>
  </w:style>
  <w:style w:type="paragraph" w:customStyle="1" w:styleId="xl134">
    <w:name w:val="xl134"/>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5">
    <w:name w:val="xl135"/>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6">
    <w:name w:val="xl136"/>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7">
    <w:name w:val="xl137"/>
    <w:basedOn w:val="Normlny"/>
    <w:uiPriority w:val="99"/>
    <w:rsid w:val="009A28BA"/>
    <w:pPr>
      <w:pBdr>
        <w:top w:val="single" w:sz="4" w:space="0" w:color="auto"/>
        <w:left w:val="single" w:sz="4" w:space="0" w:color="auto"/>
      </w:pBdr>
      <w:spacing w:before="100" w:beforeAutospacing="1" w:after="100" w:afterAutospacing="1"/>
      <w:jc w:val="left"/>
    </w:pPr>
    <w:rPr>
      <w:rFonts w:ascii="Arial" w:hAnsi="Arial"/>
      <w:sz w:val="16"/>
      <w:szCs w:val="16"/>
    </w:rPr>
  </w:style>
  <w:style w:type="paragraph" w:customStyle="1" w:styleId="xl138">
    <w:name w:val="xl138"/>
    <w:basedOn w:val="Normlny"/>
    <w:uiPriority w:val="99"/>
    <w:rsid w:val="009A28BA"/>
    <w:pPr>
      <w:pBdr>
        <w:top w:val="single" w:sz="4" w:space="0" w:color="auto"/>
        <w:left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139">
    <w:name w:val="xl139"/>
    <w:basedOn w:val="Normlny"/>
    <w:uiPriority w:val="99"/>
    <w:rsid w:val="009A28BA"/>
    <w:pPr>
      <w:pBdr>
        <w:top w:val="single" w:sz="4" w:space="0" w:color="auto"/>
        <w:left w:val="single" w:sz="4" w:space="0" w:color="auto"/>
        <w:right w:val="double" w:sz="6" w:space="0" w:color="auto"/>
      </w:pBdr>
      <w:spacing w:before="100" w:beforeAutospacing="1" w:after="100" w:afterAutospacing="1"/>
      <w:jc w:val="right"/>
    </w:pPr>
    <w:rPr>
      <w:rFonts w:ascii="Arial" w:hAnsi="Arial"/>
      <w:b/>
      <w:bCs/>
      <w:sz w:val="16"/>
      <w:szCs w:val="16"/>
    </w:rPr>
  </w:style>
  <w:style w:type="paragraph" w:customStyle="1" w:styleId="xl140">
    <w:name w:val="xl140"/>
    <w:basedOn w:val="Normlny"/>
    <w:uiPriority w:val="99"/>
    <w:rsid w:val="009A28BA"/>
    <w:pPr>
      <w:pBdr>
        <w:top w:val="single" w:sz="4" w:space="0" w:color="auto"/>
      </w:pBdr>
      <w:spacing w:before="100" w:beforeAutospacing="1" w:after="100" w:afterAutospacing="1"/>
      <w:jc w:val="left"/>
    </w:pPr>
    <w:rPr>
      <w:rFonts w:ascii="Arial" w:hAnsi="Arial"/>
      <w:sz w:val="16"/>
      <w:szCs w:val="16"/>
    </w:rPr>
  </w:style>
  <w:style w:type="paragraph" w:customStyle="1" w:styleId="xl141">
    <w:name w:val="xl141"/>
    <w:basedOn w:val="Normlny"/>
    <w:uiPriority w:val="99"/>
    <w:rsid w:val="009A28BA"/>
    <w:pPr>
      <w:pBdr>
        <w:top w:val="single" w:sz="4" w:space="0" w:color="auto"/>
      </w:pBdr>
      <w:spacing w:before="100" w:beforeAutospacing="1" w:after="100" w:afterAutospacing="1"/>
      <w:jc w:val="right"/>
    </w:pPr>
    <w:rPr>
      <w:rFonts w:ascii="Arial" w:hAnsi="Arial"/>
      <w:sz w:val="16"/>
      <w:szCs w:val="16"/>
    </w:rPr>
  </w:style>
  <w:style w:type="paragraph" w:customStyle="1" w:styleId="xl142">
    <w:name w:val="xl142"/>
    <w:basedOn w:val="Normlny"/>
    <w:uiPriority w:val="99"/>
    <w:rsid w:val="009A28BA"/>
    <w:pPr>
      <w:spacing w:before="100" w:beforeAutospacing="1" w:after="100" w:afterAutospacing="1"/>
      <w:jc w:val="left"/>
    </w:pPr>
    <w:rPr>
      <w:rFonts w:ascii="Arial" w:hAnsi="Arial"/>
      <w:sz w:val="16"/>
      <w:szCs w:val="16"/>
    </w:rPr>
  </w:style>
  <w:style w:type="paragraph" w:customStyle="1" w:styleId="xl143">
    <w:name w:val="xl143"/>
    <w:basedOn w:val="Normlny"/>
    <w:uiPriority w:val="99"/>
    <w:rsid w:val="009A28BA"/>
    <w:pPr>
      <w:pBdr>
        <w:bottom w:val="single" w:sz="4" w:space="0" w:color="auto"/>
      </w:pBdr>
      <w:spacing w:before="100" w:beforeAutospacing="1" w:after="100" w:afterAutospacing="1"/>
      <w:jc w:val="left"/>
    </w:pPr>
    <w:rPr>
      <w:rFonts w:ascii="Arial" w:hAnsi="Arial"/>
      <w:sz w:val="16"/>
      <w:szCs w:val="16"/>
    </w:rPr>
  </w:style>
  <w:style w:type="paragraph" w:customStyle="1" w:styleId="xl144">
    <w:name w:val="xl144"/>
    <w:basedOn w:val="Normlny"/>
    <w:uiPriority w:val="99"/>
    <w:rsid w:val="009A28BA"/>
    <w:pPr>
      <w:pBdr>
        <w:bottom w:val="single" w:sz="4" w:space="0" w:color="auto"/>
      </w:pBdr>
      <w:spacing w:before="100" w:beforeAutospacing="1" w:after="100" w:afterAutospacing="1"/>
      <w:jc w:val="left"/>
    </w:pPr>
    <w:rPr>
      <w:rFonts w:ascii="Arial" w:hAnsi="Arial"/>
      <w:sz w:val="16"/>
      <w:szCs w:val="16"/>
    </w:rPr>
  </w:style>
  <w:style w:type="paragraph" w:customStyle="1" w:styleId="xl145">
    <w:name w:val="xl145"/>
    <w:basedOn w:val="Normlny"/>
    <w:uiPriority w:val="99"/>
    <w:rsid w:val="009A28BA"/>
    <w:pPr>
      <w:pBdr>
        <w:bottom w:val="single" w:sz="4" w:space="0" w:color="auto"/>
      </w:pBdr>
      <w:spacing w:before="100" w:beforeAutospacing="1" w:after="100" w:afterAutospacing="1"/>
      <w:jc w:val="left"/>
    </w:pPr>
    <w:rPr>
      <w:rFonts w:ascii="Arial" w:hAnsi="Arial"/>
      <w:sz w:val="16"/>
      <w:szCs w:val="16"/>
    </w:rPr>
  </w:style>
  <w:style w:type="paragraph" w:customStyle="1" w:styleId="xl146">
    <w:name w:val="xl146"/>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47">
    <w:name w:val="xl147"/>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48">
    <w:name w:val="xl148"/>
    <w:basedOn w:val="Normlny"/>
    <w:uiPriority w:val="99"/>
    <w:rsid w:val="009A28BA"/>
    <w:pPr>
      <w:pBdr>
        <w:top w:val="single" w:sz="4" w:space="0" w:color="auto"/>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49">
    <w:name w:val="xl149"/>
    <w:basedOn w:val="Normlny"/>
    <w:uiPriority w:val="99"/>
    <w:rsid w:val="009A28BA"/>
    <w:pPr>
      <w:pBdr>
        <w:top w:val="single" w:sz="4" w:space="0" w:color="auto"/>
        <w:left w:val="single" w:sz="4" w:space="0" w:color="auto"/>
        <w:bottom w:val="single" w:sz="4" w:space="0" w:color="auto"/>
      </w:pBdr>
      <w:spacing w:before="100" w:beforeAutospacing="1" w:after="100" w:afterAutospacing="1"/>
      <w:jc w:val="right"/>
    </w:pPr>
    <w:rPr>
      <w:rFonts w:ascii="Arial" w:hAnsi="Arial"/>
      <w:b/>
      <w:bCs/>
      <w:sz w:val="16"/>
      <w:szCs w:val="16"/>
    </w:rPr>
  </w:style>
  <w:style w:type="paragraph" w:customStyle="1" w:styleId="xl150">
    <w:name w:val="xl150"/>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1">
    <w:name w:val="xl151"/>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2">
    <w:name w:val="xl152"/>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3">
    <w:name w:val="xl153"/>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4">
    <w:name w:val="xl154"/>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5">
    <w:name w:val="xl155"/>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6">
    <w:name w:val="xl156"/>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7">
    <w:name w:val="xl157"/>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8">
    <w:name w:val="xl158"/>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9">
    <w:name w:val="xl159"/>
    <w:basedOn w:val="Normlny"/>
    <w:uiPriority w:val="99"/>
    <w:rsid w:val="009A28BA"/>
    <w:pPr>
      <w:pBdr>
        <w:top w:val="single" w:sz="4" w:space="0" w:color="auto"/>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60">
    <w:name w:val="xl160"/>
    <w:basedOn w:val="Normlny"/>
    <w:uiPriority w:val="99"/>
    <w:rsid w:val="009A28BA"/>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1">
    <w:name w:val="xl161"/>
    <w:basedOn w:val="Normlny"/>
    <w:uiPriority w:val="99"/>
    <w:rsid w:val="009A28BA"/>
    <w:pPr>
      <w:pBdr>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62">
    <w:name w:val="xl162"/>
    <w:basedOn w:val="Normlny"/>
    <w:uiPriority w:val="99"/>
    <w:rsid w:val="009A28BA"/>
    <w:pPr>
      <w:pBdr>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63">
    <w:name w:val="xl163"/>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4">
    <w:name w:val="xl164"/>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24"/>
    </w:rPr>
  </w:style>
  <w:style w:type="paragraph" w:customStyle="1" w:styleId="xl165">
    <w:name w:val="xl165"/>
    <w:basedOn w:val="Normlny"/>
    <w:uiPriority w:val="99"/>
    <w:rsid w:val="009A28BA"/>
    <w:pPr>
      <w:spacing w:before="100" w:beforeAutospacing="1" w:after="100" w:afterAutospacing="1"/>
      <w:jc w:val="left"/>
    </w:pPr>
    <w:rPr>
      <w:rFonts w:ascii="Arial" w:hAnsi="Arial"/>
      <w:b/>
      <w:bCs/>
      <w:sz w:val="16"/>
      <w:szCs w:val="16"/>
    </w:rPr>
  </w:style>
  <w:style w:type="paragraph" w:customStyle="1" w:styleId="xl166">
    <w:name w:val="xl166"/>
    <w:basedOn w:val="Normlny"/>
    <w:uiPriority w:val="99"/>
    <w:rsid w:val="009A28BA"/>
    <w:pPr>
      <w:spacing w:before="100" w:beforeAutospacing="1" w:after="100" w:afterAutospacing="1"/>
      <w:jc w:val="right"/>
    </w:pPr>
    <w:rPr>
      <w:rFonts w:ascii="Arial" w:hAnsi="Arial"/>
      <w:sz w:val="16"/>
      <w:szCs w:val="16"/>
    </w:rPr>
  </w:style>
  <w:style w:type="paragraph" w:customStyle="1" w:styleId="xl167">
    <w:name w:val="xl167"/>
    <w:basedOn w:val="Normlny"/>
    <w:uiPriority w:val="99"/>
    <w:rsid w:val="009A28BA"/>
    <w:pPr>
      <w:pBdr>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8">
    <w:name w:val="xl168"/>
    <w:basedOn w:val="Normlny"/>
    <w:uiPriority w:val="99"/>
    <w:rsid w:val="009A28BA"/>
    <w:pPr>
      <w:pBdr>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9">
    <w:name w:val="xl169"/>
    <w:basedOn w:val="Normlny"/>
    <w:uiPriority w:val="99"/>
    <w:rsid w:val="009A28BA"/>
    <w:pPr>
      <w:pBdr>
        <w:left w:val="single" w:sz="4" w:space="0" w:color="auto"/>
      </w:pBdr>
      <w:spacing w:before="100" w:beforeAutospacing="1" w:after="100" w:afterAutospacing="1"/>
      <w:jc w:val="left"/>
    </w:pPr>
    <w:rPr>
      <w:rFonts w:ascii="Arial" w:hAnsi="Arial"/>
      <w:b/>
      <w:bCs/>
      <w:sz w:val="16"/>
      <w:szCs w:val="16"/>
    </w:rPr>
  </w:style>
  <w:style w:type="paragraph" w:customStyle="1" w:styleId="xl170">
    <w:name w:val="xl170"/>
    <w:basedOn w:val="Normlny"/>
    <w:uiPriority w:val="99"/>
    <w:rsid w:val="009A28BA"/>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71">
    <w:name w:val="xl171"/>
    <w:basedOn w:val="Normlny"/>
    <w:uiPriority w:val="99"/>
    <w:rsid w:val="009A28BA"/>
    <w:pPr>
      <w:pBdr>
        <w:bottom w:val="single" w:sz="4" w:space="0" w:color="auto"/>
      </w:pBdr>
      <w:spacing w:before="100" w:beforeAutospacing="1" w:after="100" w:afterAutospacing="1"/>
      <w:jc w:val="right"/>
    </w:pPr>
    <w:rPr>
      <w:rFonts w:ascii="Arial" w:hAnsi="Arial"/>
      <w:sz w:val="16"/>
      <w:szCs w:val="16"/>
    </w:rPr>
  </w:style>
  <w:style w:type="paragraph" w:customStyle="1" w:styleId="xl172">
    <w:name w:val="xl172"/>
    <w:basedOn w:val="Normlny"/>
    <w:uiPriority w:val="99"/>
    <w:rsid w:val="009A28BA"/>
    <w:pPr>
      <w:pBdr>
        <w:bottom w:val="single" w:sz="4" w:space="0" w:color="auto"/>
      </w:pBdr>
      <w:spacing w:before="100" w:beforeAutospacing="1" w:after="100" w:afterAutospacing="1"/>
      <w:jc w:val="right"/>
    </w:pPr>
    <w:rPr>
      <w:rFonts w:ascii="Arial" w:hAnsi="Arial"/>
      <w:b/>
      <w:bCs/>
      <w:sz w:val="16"/>
      <w:szCs w:val="16"/>
    </w:rPr>
  </w:style>
  <w:style w:type="paragraph" w:customStyle="1" w:styleId="xl173">
    <w:name w:val="xl173"/>
    <w:basedOn w:val="Normlny"/>
    <w:uiPriority w:val="99"/>
    <w:rsid w:val="009A28BA"/>
    <w:pPr>
      <w:pBdr>
        <w:top w:val="single" w:sz="4" w:space="0" w:color="auto"/>
        <w:left w:val="single" w:sz="4" w:space="0" w:color="auto"/>
        <w:bottom w:val="single" w:sz="4" w:space="0" w:color="auto"/>
      </w:pBdr>
      <w:spacing w:before="100" w:beforeAutospacing="1" w:after="100" w:afterAutospacing="1"/>
      <w:jc w:val="right"/>
    </w:pPr>
    <w:rPr>
      <w:rFonts w:ascii="Arial" w:hAnsi="Arial"/>
      <w:sz w:val="16"/>
      <w:szCs w:val="16"/>
    </w:rPr>
  </w:style>
  <w:style w:type="paragraph" w:customStyle="1" w:styleId="xl174">
    <w:name w:val="xl174"/>
    <w:basedOn w:val="Normlny"/>
    <w:uiPriority w:val="99"/>
    <w:rsid w:val="009A28BA"/>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hAnsi="Arial"/>
      <w:sz w:val="16"/>
      <w:szCs w:val="16"/>
    </w:rPr>
  </w:style>
  <w:style w:type="paragraph" w:customStyle="1" w:styleId="xl175">
    <w:name w:val="xl175"/>
    <w:basedOn w:val="Normlny"/>
    <w:uiPriority w:val="99"/>
    <w:rsid w:val="009A28BA"/>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6">
    <w:name w:val="xl176"/>
    <w:basedOn w:val="Normlny"/>
    <w:uiPriority w:val="99"/>
    <w:rsid w:val="009A28BA"/>
    <w:pPr>
      <w:pBdr>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7">
    <w:name w:val="xl177"/>
    <w:basedOn w:val="Normlny"/>
    <w:uiPriority w:val="99"/>
    <w:rsid w:val="009A28BA"/>
    <w:pPr>
      <w:pBdr>
        <w:left w:val="single" w:sz="4" w:space="0" w:color="auto"/>
        <w:bottom w:val="single" w:sz="4" w:space="0" w:color="auto"/>
        <w:right w:val="double" w:sz="6" w:space="0" w:color="auto"/>
      </w:pBdr>
      <w:spacing w:before="100" w:beforeAutospacing="1" w:after="100" w:afterAutospacing="1"/>
      <w:jc w:val="right"/>
    </w:pPr>
    <w:rPr>
      <w:rFonts w:ascii="Arial" w:hAnsi="Arial"/>
      <w:b/>
      <w:bCs/>
      <w:sz w:val="16"/>
      <w:szCs w:val="16"/>
    </w:rPr>
  </w:style>
  <w:style w:type="paragraph" w:customStyle="1" w:styleId="xl178">
    <w:name w:val="xl178"/>
    <w:basedOn w:val="Normlny"/>
    <w:uiPriority w:val="99"/>
    <w:rsid w:val="009A28BA"/>
    <w:pPr>
      <w:pBdr>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9">
    <w:name w:val="xl179"/>
    <w:basedOn w:val="Normlny"/>
    <w:uiPriority w:val="99"/>
    <w:rsid w:val="009A28BA"/>
    <w:pPr>
      <w:pBdr>
        <w:top w:val="single" w:sz="4" w:space="0" w:color="auto"/>
        <w:left w:val="single" w:sz="4" w:space="0" w:color="auto"/>
      </w:pBdr>
      <w:spacing w:before="100" w:beforeAutospacing="1" w:after="100" w:afterAutospacing="1"/>
      <w:jc w:val="right"/>
    </w:pPr>
    <w:rPr>
      <w:rFonts w:ascii="Arial" w:hAnsi="Arial"/>
      <w:sz w:val="16"/>
      <w:szCs w:val="16"/>
    </w:rPr>
  </w:style>
  <w:style w:type="paragraph" w:customStyle="1" w:styleId="xl180">
    <w:name w:val="xl180"/>
    <w:basedOn w:val="Normlny"/>
    <w:uiPriority w:val="99"/>
    <w:rsid w:val="009A28BA"/>
    <w:pPr>
      <w:pBdr>
        <w:top w:val="single" w:sz="4" w:space="0" w:color="auto"/>
      </w:pBdr>
      <w:spacing w:before="100" w:beforeAutospacing="1" w:after="100" w:afterAutospacing="1"/>
      <w:jc w:val="left"/>
    </w:pPr>
    <w:rPr>
      <w:rFonts w:ascii="Arial" w:hAnsi="Arial"/>
      <w:sz w:val="16"/>
      <w:szCs w:val="16"/>
    </w:rPr>
  </w:style>
  <w:style w:type="paragraph" w:customStyle="1" w:styleId="xl181">
    <w:name w:val="xl181"/>
    <w:basedOn w:val="Normlny"/>
    <w:uiPriority w:val="99"/>
    <w:rsid w:val="009A28BA"/>
    <w:pPr>
      <w:pBdr>
        <w:top w:val="single" w:sz="4" w:space="0" w:color="auto"/>
      </w:pBdr>
      <w:spacing w:before="100" w:beforeAutospacing="1" w:after="100" w:afterAutospacing="1"/>
      <w:jc w:val="left"/>
    </w:pPr>
    <w:rPr>
      <w:rFonts w:ascii="Arial" w:hAnsi="Arial"/>
      <w:sz w:val="16"/>
      <w:szCs w:val="16"/>
    </w:rPr>
  </w:style>
  <w:style w:type="paragraph" w:customStyle="1" w:styleId="xl182">
    <w:name w:val="xl182"/>
    <w:basedOn w:val="Normlny"/>
    <w:uiPriority w:val="99"/>
    <w:rsid w:val="009A28BA"/>
    <w:pPr>
      <w:pBdr>
        <w:top w:val="single" w:sz="4" w:space="0" w:color="auto"/>
      </w:pBdr>
      <w:spacing w:before="100" w:beforeAutospacing="1" w:after="100" w:afterAutospacing="1"/>
      <w:jc w:val="right"/>
    </w:pPr>
    <w:rPr>
      <w:rFonts w:ascii="Arial" w:hAnsi="Arial"/>
      <w:sz w:val="16"/>
      <w:szCs w:val="16"/>
    </w:rPr>
  </w:style>
  <w:style w:type="paragraph" w:customStyle="1" w:styleId="xl183">
    <w:name w:val="xl183"/>
    <w:basedOn w:val="Normlny"/>
    <w:uiPriority w:val="99"/>
    <w:rsid w:val="009A28BA"/>
    <w:pPr>
      <w:spacing w:before="100" w:beforeAutospacing="1" w:after="100" w:afterAutospacing="1"/>
      <w:jc w:val="left"/>
    </w:pPr>
    <w:rPr>
      <w:rFonts w:ascii="Arial" w:hAnsi="Arial"/>
      <w:sz w:val="16"/>
      <w:szCs w:val="16"/>
    </w:rPr>
  </w:style>
  <w:style w:type="paragraph" w:customStyle="1" w:styleId="xl184">
    <w:name w:val="xl184"/>
    <w:basedOn w:val="Normlny"/>
    <w:uiPriority w:val="99"/>
    <w:rsid w:val="009A28BA"/>
    <w:pPr>
      <w:spacing w:before="100" w:beforeAutospacing="1" w:after="100" w:afterAutospacing="1"/>
      <w:jc w:val="left"/>
    </w:pPr>
    <w:rPr>
      <w:rFonts w:ascii="Arial" w:hAnsi="Arial"/>
      <w:sz w:val="16"/>
      <w:szCs w:val="16"/>
    </w:rPr>
  </w:style>
  <w:style w:type="paragraph" w:customStyle="1" w:styleId="xl185">
    <w:name w:val="xl185"/>
    <w:basedOn w:val="Normlny"/>
    <w:uiPriority w:val="99"/>
    <w:rsid w:val="009A28BA"/>
    <w:pPr>
      <w:spacing w:before="100" w:beforeAutospacing="1" w:after="100" w:afterAutospacing="1"/>
      <w:jc w:val="right"/>
    </w:pPr>
    <w:rPr>
      <w:rFonts w:ascii="Arial" w:hAnsi="Arial"/>
      <w:sz w:val="16"/>
      <w:szCs w:val="16"/>
    </w:rPr>
  </w:style>
  <w:style w:type="paragraph" w:customStyle="1" w:styleId="xl186">
    <w:name w:val="xl186"/>
    <w:basedOn w:val="Normlny"/>
    <w:uiPriority w:val="99"/>
    <w:rsid w:val="009A28BA"/>
    <w:pPr>
      <w:pBdr>
        <w:top w:val="single" w:sz="4" w:space="0" w:color="auto"/>
      </w:pBdr>
      <w:spacing w:before="100" w:beforeAutospacing="1" w:after="100" w:afterAutospacing="1"/>
      <w:jc w:val="left"/>
    </w:pPr>
    <w:rPr>
      <w:rFonts w:ascii="Arial" w:hAnsi="Arial"/>
      <w:b/>
      <w:bCs/>
      <w:sz w:val="16"/>
      <w:szCs w:val="16"/>
    </w:rPr>
  </w:style>
  <w:style w:type="paragraph" w:customStyle="1" w:styleId="xl187">
    <w:name w:val="xl187"/>
    <w:basedOn w:val="Normlny"/>
    <w:uiPriority w:val="99"/>
    <w:rsid w:val="009A28BA"/>
    <w:pPr>
      <w:pBdr>
        <w:top w:val="single" w:sz="4" w:space="0" w:color="auto"/>
      </w:pBdr>
      <w:spacing w:before="100" w:beforeAutospacing="1" w:after="100" w:afterAutospacing="1"/>
      <w:jc w:val="left"/>
    </w:pPr>
    <w:rPr>
      <w:rFonts w:ascii="Arial" w:hAnsi="Arial"/>
      <w:b/>
      <w:bCs/>
      <w:sz w:val="16"/>
      <w:szCs w:val="16"/>
    </w:rPr>
  </w:style>
  <w:style w:type="paragraph" w:customStyle="1" w:styleId="xl188">
    <w:name w:val="xl188"/>
    <w:basedOn w:val="Normlny"/>
    <w:uiPriority w:val="99"/>
    <w:rsid w:val="009A28BA"/>
    <w:pPr>
      <w:pBdr>
        <w:top w:val="single" w:sz="4" w:space="0" w:color="auto"/>
      </w:pBdr>
      <w:spacing w:before="100" w:beforeAutospacing="1" w:after="100" w:afterAutospacing="1"/>
      <w:jc w:val="left"/>
    </w:pPr>
    <w:rPr>
      <w:rFonts w:ascii="Arial" w:hAnsi="Arial"/>
      <w:b/>
      <w:bCs/>
      <w:sz w:val="16"/>
      <w:szCs w:val="16"/>
    </w:rPr>
  </w:style>
  <w:style w:type="paragraph" w:customStyle="1" w:styleId="xl189">
    <w:name w:val="xl189"/>
    <w:basedOn w:val="Normlny"/>
    <w:uiPriority w:val="99"/>
    <w:rsid w:val="009A28BA"/>
    <w:pPr>
      <w:spacing w:before="100" w:beforeAutospacing="1" w:after="100" w:afterAutospacing="1"/>
      <w:jc w:val="left"/>
    </w:pPr>
    <w:rPr>
      <w:rFonts w:ascii="Arial" w:hAnsi="Arial"/>
      <w:b/>
      <w:bCs/>
      <w:sz w:val="16"/>
      <w:szCs w:val="16"/>
    </w:rPr>
  </w:style>
  <w:style w:type="paragraph" w:customStyle="1" w:styleId="xl190">
    <w:name w:val="xl190"/>
    <w:basedOn w:val="Normlny"/>
    <w:uiPriority w:val="99"/>
    <w:rsid w:val="009A28BA"/>
    <w:pPr>
      <w:spacing w:before="100" w:beforeAutospacing="1" w:after="100" w:afterAutospacing="1"/>
      <w:jc w:val="left"/>
    </w:pPr>
    <w:rPr>
      <w:rFonts w:ascii="Arial" w:hAnsi="Arial"/>
      <w:b/>
      <w:bCs/>
      <w:sz w:val="16"/>
      <w:szCs w:val="16"/>
    </w:rPr>
  </w:style>
  <w:style w:type="paragraph" w:customStyle="1" w:styleId="xl191">
    <w:name w:val="xl191"/>
    <w:basedOn w:val="Normlny"/>
    <w:uiPriority w:val="99"/>
    <w:rsid w:val="009A28BA"/>
    <w:pPr>
      <w:spacing w:before="100" w:beforeAutospacing="1" w:after="100" w:afterAutospacing="1"/>
      <w:jc w:val="left"/>
    </w:pPr>
    <w:rPr>
      <w:rFonts w:ascii="Arial" w:hAnsi="Arial"/>
      <w:b/>
      <w:bCs/>
      <w:sz w:val="16"/>
      <w:szCs w:val="16"/>
    </w:rPr>
  </w:style>
  <w:style w:type="paragraph" w:customStyle="1" w:styleId="xl192">
    <w:name w:val="xl192"/>
    <w:basedOn w:val="Normlny"/>
    <w:uiPriority w:val="99"/>
    <w:rsid w:val="009A28BA"/>
    <w:pPr>
      <w:spacing w:before="100" w:beforeAutospacing="1" w:after="100" w:afterAutospacing="1"/>
      <w:jc w:val="left"/>
    </w:pPr>
    <w:rPr>
      <w:rFonts w:ascii="Arial" w:hAnsi="Arial"/>
      <w:szCs w:val="22"/>
    </w:rPr>
  </w:style>
  <w:style w:type="paragraph" w:customStyle="1" w:styleId="xl193">
    <w:name w:val="xl193"/>
    <w:basedOn w:val="Normlny"/>
    <w:uiPriority w:val="99"/>
    <w:rsid w:val="009A28BA"/>
    <w:pPr>
      <w:spacing w:before="100" w:beforeAutospacing="1" w:after="100" w:afterAutospacing="1"/>
      <w:jc w:val="left"/>
    </w:pPr>
    <w:rPr>
      <w:rFonts w:ascii="Arial" w:hAnsi="Arial"/>
      <w:szCs w:val="22"/>
    </w:rPr>
  </w:style>
  <w:style w:type="paragraph" w:customStyle="1" w:styleId="xl194">
    <w:name w:val="xl194"/>
    <w:basedOn w:val="Normlny"/>
    <w:uiPriority w:val="99"/>
    <w:rsid w:val="009A28BA"/>
    <w:pPr>
      <w:spacing w:before="100" w:beforeAutospacing="1" w:after="100" w:afterAutospacing="1"/>
      <w:jc w:val="center"/>
    </w:pPr>
    <w:rPr>
      <w:rFonts w:ascii="Arial" w:hAnsi="Arial"/>
      <w:szCs w:val="22"/>
    </w:rPr>
  </w:style>
  <w:style w:type="paragraph" w:customStyle="1" w:styleId="xl195">
    <w:name w:val="xl195"/>
    <w:basedOn w:val="Normlny"/>
    <w:uiPriority w:val="99"/>
    <w:rsid w:val="009A28BA"/>
    <w:pPr>
      <w:spacing w:before="100" w:beforeAutospacing="1" w:after="100" w:afterAutospacing="1"/>
      <w:jc w:val="left"/>
    </w:pPr>
    <w:rPr>
      <w:rFonts w:ascii="Arial" w:hAnsi="Arial"/>
      <w:szCs w:val="22"/>
    </w:rPr>
  </w:style>
  <w:style w:type="paragraph" w:customStyle="1" w:styleId="xl196">
    <w:name w:val="xl196"/>
    <w:basedOn w:val="Normlny"/>
    <w:uiPriority w:val="99"/>
    <w:rsid w:val="009A28B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rFonts w:ascii="Arial" w:hAnsi="Arial"/>
      <w:sz w:val="16"/>
      <w:szCs w:val="16"/>
    </w:rPr>
  </w:style>
  <w:style w:type="paragraph" w:customStyle="1" w:styleId="xl197">
    <w:name w:val="xl197"/>
    <w:basedOn w:val="Normlny"/>
    <w:uiPriority w:val="99"/>
    <w:rsid w:val="009A28BA"/>
    <w:pPr>
      <w:shd w:val="clear" w:color="000000" w:fill="000000"/>
      <w:spacing w:before="100" w:beforeAutospacing="1" w:after="100" w:afterAutospacing="1"/>
      <w:jc w:val="left"/>
    </w:pPr>
    <w:rPr>
      <w:rFonts w:ascii="Arial" w:hAnsi="Arial"/>
      <w:b/>
      <w:bCs/>
      <w:color w:val="FF0000"/>
      <w:szCs w:val="22"/>
    </w:rPr>
  </w:style>
  <w:style w:type="paragraph" w:customStyle="1" w:styleId="Normlnysozarkami12">
    <w:name w:val="Normálny so zarážkami12"/>
    <w:basedOn w:val="Normlny"/>
    <w:uiPriority w:val="99"/>
    <w:qFormat/>
    <w:rsid w:val="00732468"/>
    <w:pPr>
      <w:ind w:firstLine="357"/>
    </w:pPr>
  </w:style>
  <w:style w:type="paragraph" w:customStyle="1" w:styleId="Nadpis41">
    <w:name w:val="Nadpis 41"/>
    <w:basedOn w:val="123"/>
    <w:link w:val="heading4Char0"/>
    <w:uiPriority w:val="99"/>
    <w:qFormat/>
    <w:rsid w:val="00DC1659"/>
    <w:pPr>
      <w:numPr>
        <w:ilvl w:val="3"/>
        <w:numId w:val="41"/>
      </w:numPr>
      <w:spacing w:after="240"/>
      <w:ind w:left="862" w:hanging="862"/>
    </w:pPr>
    <w:rPr>
      <w:color w:val="1F497D" w:themeColor="text2"/>
    </w:rPr>
  </w:style>
  <w:style w:type="character" w:customStyle="1" w:styleId="heading4Char0">
    <w:name w:val="heading 4 Char"/>
    <w:basedOn w:val="123Char"/>
    <w:link w:val="Nadpis41"/>
    <w:uiPriority w:val="99"/>
    <w:rsid w:val="00DC1659"/>
    <w:rPr>
      <w:b/>
      <w:color w:val="1F497D" w:themeColor="text2"/>
      <w:sz w:val="22"/>
      <w:szCs w:val="22"/>
      <w:lang w:val="sk-SK" w:eastAsia="sk-SK"/>
    </w:rPr>
  </w:style>
  <w:style w:type="character" w:customStyle="1" w:styleId="EmailStyle3851">
    <w:name w:val="EmailStyle3851"/>
    <w:basedOn w:val="Predvolenpsmoodseku"/>
    <w:uiPriority w:val="99"/>
    <w:semiHidden/>
    <w:rsid w:val="0048658C"/>
    <w:rPr>
      <w:rFonts w:cs="Times New Roman"/>
      <w:color w:val="000000"/>
    </w:rPr>
  </w:style>
  <w:style w:type="character" w:customStyle="1" w:styleId="EmailStyle386">
    <w:name w:val="EmailStyle386"/>
    <w:basedOn w:val="Predvolenpsmoodseku"/>
    <w:uiPriority w:val="99"/>
    <w:semiHidden/>
    <w:rsid w:val="0048658C"/>
    <w:rPr>
      <w:rFonts w:cs="Times New Roman"/>
      <w:color w:val="000000"/>
    </w:rPr>
  </w:style>
  <w:style w:type="character" w:customStyle="1" w:styleId="EmailStyle387">
    <w:name w:val="EmailStyle387"/>
    <w:basedOn w:val="Predvolenpsmoodseku"/>
    <w:uiPriority w:val="99"/>
    <w:semiHidden/>
    <w:rsid w:val="00FE5AA8"/>
    <w:rPr>
      <w:rFonts w:cs="Times New Roman"/>
      <w:color w:val="000000"/>
    </w:rPr>
  </w:style>
  <w:style w:type="character" w:customStyle="1" w:styleId="EmailStyle388">
    <w:name w:val="EmailStyle388"/>
    <w:basedOn w:val="Predvolenpsmoodseku"/>
    <w:uiPriority w:val="99"/>
    <w:semiHidden/>
    <w:rsid w:val="00FE5AA8"/>
    <w:rPr>
      <w:rFonts w:cs="Times New Roman"/>
      <w:color w:val="000000"/>
    </w:rPr>
  </w:style>
  <w:style w:type="character" w:customStyle="1" w:styleId="EmailStyle241">
    <w:name w:val="EmailStyle241"/>
    <w:basedOn w:val="Predvolenpsmoodseku"/>
    <w:uiPriority w:val="99"/>
    <w:semiHidden/>
    <w:rsid w:val="00A255E2"/>
    <w:rPr>
      <w:rFonts w:cs="Times New Roman"/>
      <w:color w:val="000000"/>
    </w:rPr>
  </w:style>
  <w:style w:type="character" w:customStyle="1" w:styleId="EmailStyle282">
    <w:name w:val="EmailStyle282"/>
    <w:basedOn w:val="Predvolenpsmoodseku"/>
    <w:uiPriority w:val="99"/>
    <w:semiHidden/>
    <w:rsid w:val="00A255E2"/>
    <w:rPr>
      <w:rFonts w:cs="Times New Roman"/>
      <w:color w:val="000000"/>
    </w:rPr>
  </w:style>
  <w:style w:type="paragraph" w:customStyle="1" w:styleId="Normlnysozarkami11">
    <w:name w:val="Normálny so zarážkami11"/>
    <w:basedOn w:val="Normlny"/>
    <w:uiPriority w:val="99"/>
    <w:rsid w:val="00A255E2"/>
    <w:pPr>
      <w:ind w:firstLine="357"/>
    </w:pPr>
  </w:style>
  <w:style w:type="character" w:customStyle="1" w:styleId="EmailStyle3921">
    <w:name w:val="EmailStyle3921"/>
    <w:basedOn w:val="Predvolenpsmoodseku"/>
    <w:uiPriority w:val="99"/>
    <w:semiHidden/>
    <w:rsid w:val="00A255E2"/>
    <w:rPr>
      <w:rFonts w:cs="Times New Roman"/>
      <w:color w:val="000000"/>
    </w:rPr>
  </w:style>
  <w:style w:type="character" w:customStyle="1" w:styleId="EmailStyle3931">
    <w:name w:val="EmailStyle3931"/>
    <w:basedOn w:val="Predvolenpsmoodseku"/>
    <w:uiPriority w:val="99"/>
    <w:semiHidden/>
    <w:rsid w:val="00A255E2"/>
    <w:rPr>
      <w:rFonts w:cs="Times New Roman"/>
      <w:color w:val="000000"/>
    </w:rPr>
  </w:style>
  <w:style w:type="character" w:customStyle="1" w:styleId="EmailStyle3941">
    <w:name w:val="EmailStyle3941"/>
    <w:basedOn w:val="Predvolenpsmoodseku"/>
    <w:uiPriority w:val="99"/>
    <w:semiHidden/>
    <w:rsid w:val="00A255E2"/>
    <w:rPr>
      <w:rFonts w:cs="Times New Roman"/>
      <w:color w:val="000000"/>
    </w:rPr>
  </w:style>
  <w:style w:type="character" w:customStyle="1" w:styleId="EmailStyle3951">
    <w:name w:val="EmailStyle3951"/>
    <w:basedOn w:val="Predvolenpsmoodseku"/>
    <w:uiPriority w:val="99"/>
    <w:semiHidden/>
    <w:rsid w:val="00A255E2"/>
    <w:rPr>
      <w:rFonts w:cs="Times New Roman"/>
      <w:color w:val="000000"/>
    </w:rPr>
  </w:style>
  <w:style w:type="character" w:customStyle="1" w:styleId="EmailStyle3961">
    <w:name w:val="EmailStyle3961"/>
    <w:basedOn w:val="Predvolenpsmoodseku"/>
    <w:uiPriority w:val="99"/>
    <w:semiHidden/>
    <w:rsid w:val="00A255E2"/>
    <w:rPr>
      <w:rFonts w:cs="Times New Roman"/>
      <w:color w:val="000000"/>
    </w:rPr>
  </w:style>
  <w:style w:type="character" w:customStyle="1" w:styleId="EmailStyle3971">
    <w:name w:val="EmailStyle3971"/>
    <w:basedOn w:val="Predvolenpsmoodseku"/>
    <w:uiPriority w:val="99"/>
    <w:semiHidden/>
    <w:rsid w:val="00A255E2"/>
    <w:rPr>
      <w:rFonts w:cs="Times New Roman"/>
      <w:color w:val="000000"/>
    </w:rPr>
  </w:style>
  <w:style w:type="paragraph" w:styleId="Normlnysozarkami">
    <w:name w:val="Normal Indent"/>
    <w:basedOn w:val="Normlny"/>
    <w:link w:val="NormlnysozarkamiChar"/>
    <w:uiPriority w:val="99"/>
    <w:rsid w:val="00A255E2"/>
    <w:pPr>
      <w:ind w:firstLine="357"/>
    </w:pPr>
  </w:style>
  <w:style w:type="character" w:customStyle="1" w:styleId="NormlnysozarkamiChar">
    <w:name w:val="Normálny so zarážkami Char"/>
    <w:basedOn w:val="Predvolenpsmoodseku"/>
    <w:link w:val="Normlnysozarkami"/>
    <w:uiPriority w:val="99"/>
    <w:locked/>
    <w:rsid w:val="00A255E2"/>
    <w:rPr>
      <w:sz w:val="22"/>
      <w:szCs w:val="24"/>
      <w:lang w:val="sk-SK" w:eastAsia="sk-SK"/>
    </w:rPr>
  </w:style>
  <w:style w:type="paragraph" w:customStyle="1" w:styleId="Odsekzoznamu1">
    <w:name w:val="Odsek zoznamu1"/>
    <w:basedOn w:val="Normlny"/>
    <w:uiPriority w:val="99"/>
    <w:rsid w:val="00A255E2"/>
    <w:pPr>
      <w:spacing w:after="200" w:line="276" w:lineRule="auto"/>
      <w:ind w:left="720"/>
      <w:contextualSpacing/>
      <w:jc w:val="left"/>
    </w:pPr>
    <w:rPr>
      <w:rFonts w:ascii="Calibri" w:hAnsi="Calibri"/>
      <w:szCs w:val="22"/>
      <w:lang w:eastAsia="en-US"/>
    </w:rPr>
  </w:style>
  <w:style w:type="table" w:styleId="Farebnpodfarbenie2zvraznenie6">
    <w:name w:val="Medium Shading 2 Accent 6"/>
    <w:basedOn w:val="Normlnatabuka"/>
    <w:uiPriority w:val="64"/>
    <w:rsid w:val="00F85C9F"/>
    <w:rPr>
      <w:rFonts w:asciiTheme="majorHAnsi" w:eastAsiaTheme="majorEastAsia" w:hAnsiTheme="majorHAnsi" w:cstheme="majorBid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opis">
    <w:name w:val="caption"/>
    <w:aliases w:val="Caption Char3,Caption Char2 Char,Caption Char1 Char Char,Caption Char Char Char Char,Caption Char Char1 Char,Caption Char1 Char1,Caption Char Char Char1,Caption Char Char2"/>
    <w:basedOn w:val="Normlny"/>
    <w:next w:val="Normlny"/>
    <w:uiPriority w:val="35"/>
    <w:unhideWhenUsed/>
    <w:qFormat/>
    <w:rsid w:val="00F85C9F"/>
    <w:pPr>
      <w:spacing w:after="120"/>
    </w:pPr>
    <w:rPr>
      <w:rFonts w:ascii="Cambria" w:eastAsiaTheme="majorEastAsia" w:hAnsi="Cambria"/>
      <w:b/>
      <w:caps/>
      <w:spacing w:val="10"/>
      <w:sz w:val="18"/>
      <w:szCs w:val="18"/>
      <w:lang w:eastAsia="en-US" w:bidi="en-US"/>
    </w:rPr>
  </w:style>
  <w:style w:type="paragraph" w:styleId="Citcia">
    <w:name w:val="Quote"/>
    <w:basedOn w:val="Normlny"/>
    <w:next w:val="Normlny"/>
    <w:link w:val="CitciaChar"/>
    <w:uiPriority w:val="29"/>
    <w:qFormat/>
    <w:rsid w:val="00F85C9F"/>
    <w:pPr>
      <w:spacing w:after="120"/>
    </w:pPr>
    <w:rPr>
      <w:rFonts w:ascii="Cambria" w:hAnsi="Cambria"/>
      <w:i/>
      <w:sz w:val="20"/>
      <w:szCs w:val="22"/>
      <w:lang w:eastAsia="en-US"/>
    </w:rPr>
  </w:style>
  <w:style w:type="character" w:customStyle="1" w:styleId="CitciaChar">
    <w:name w:val="Citácia Char"/>
    <w:basedOn w:val="Predvolenpsmoodseku"/>
    <w:link w:val="Citcia"/>
    <w:uiPriority w:val="29"/>
    <w:rsid w:val="00F85C9F"/>
    <w:rPr>
      <w:rFonts w:ascii="Cambria" w:hAnsi="Cambria"/>
      <w:i/>
      <w:szCs w:val="22"/>
      <w:lang w:val="sk-SK"/>
    </w:rPr>
  </w:style>
  <w:style w:type="table" w:styleId="Profesionlnatabuka">
    <w:name w:val="Table Professional"/>
    <w:basedOn w:val="Normlnatabuka"/>
    <w:uiPriority w:val="99"/>
    <w:rsid w:val="00D62DDC"/>
    <w:rPr>
      <w:lang w:val="sk-SK" w:eastAsia="sk-S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Bezriadkovania">
    <w:name w:val="No Spacing"/>
    <w:uiPriority w:val="99"/>
    <w:qFormat/>
    <w:rsid w:val="00D62DDC"/>
    <w:rPr>
      <w:rFonts w:ascii="Calibri" w:hAnsi="Calibri"/>
      <w:sz w:val="22"/>
      <w:szCs w:val="22"/>
      <w:lang w:val="sk-SK"/>
    </w:rPr>
  </w:style>
  <w:style w:type="paragraph" w:customStyle="1" w:styleId="Nadpis20">
    <w:name w:val="Nadpis2"/>
    <w:basedOn w:val="Nadpis1"/>
    <w:uiPriority w:val="99"/>
    <w:rsid w:val="00D62DDC"/>
    <w:pPr>
      <w:numPr>
        <w:ilvl w:val="2"/>
        <w:numId w:val="14"/>
      </w:numPr>
      <w:tabs>
        <w:tab w:val="clear" w:pos="567"/>
      </w:tabs>
      <w:spacing w:before="120"/>
      <w:ind w:left="792" w:hanging="432"/>
    </w:pPr>
    <w:rPr>
      <w:rFonts w:ascii="Arial Narrow" w:hAnsi="Arial Narrow"/>
      <w:caps w:val="0"/>
      <w:color w:val="auto"/>
      <w:sz w:val="24"/>
    </w:rPr>
  </w:style>
  <w:style w:type="paragraph" w:customStyle="1" w:styleId="Nadpis3">
    <w:name w:val="Nadpis3"/>
    <w:basedOn w:val="Nadpis20"/>
    <w:link w:val="Nadpis3Char0"/>
    <w:uiPriority w:val="99"/>
    <w:rsid w:val="00D62DDC"/>
    <w:pPr>
      <w:numPr>
        <w:numId w:val="9"/>
      </w:numPr>
    </w:pPr>
    <w:rPr>
      <w:sz w:val="20"/>
    </w:rPr>
  </w:style>
  <w:style w:type="character" w:customStyle="1" w:styleId="Nadpis3Char0">
    <w:name w:val="Nadpis3 Char"/>
    <w:basedOn w:val="Predvolenpsmoodseku"/>
    <w:link w:val="Nadpis3"/>
    <w:uiPriority w:val="99"/>
    <w:locked/>
    <w:rsid w:val="00D62DDC"/>
    <w:rPr>
      <w:rFonts w:ascii="Arial Narrow" w:hAnsi="Arial Narrow" w:cs="Arial"/>
      <w:b/>
      <w:bCs/>
      <w:kern w:val="32"/>
      <w:szCs w:val="22"/>
      <w:lang w:val="sk-SK" w:eastAsia="sk-SK"/>
    </w:rPr>
  </w:style>
  <w:style w:type="paragraph" w:customStyle="1" w:styleId="nadpis31">
    <w:name w:val="nadpis3"/>
    <w:basedOn w:val="Normlny"/>
    <w:uiPriority w:val="99"/>
    <w:rsid w:val="00D62DDC"/>
    <w:pPr>
      <w:keepNext/>
      <w:spacing w:before="120" w:after="120"/>
      <w:ind w:left="1224" w:hanging="504"/>
      <w:jc w:val="left"/>
    </w:pPr>
    <w:rPr>
      <w:rFonts w:ascii="Arial Narrow" w:hAnsi="Arial Narrow"/>
      <w:b/>
      <w:bCs/>
      <w:sz w:val="20"/>
      <w:szCs w:val="20"/>
    </w:rPr>
  </w:style>
  <w:style w:type="paragraph" w:customStyle="1" w:styleId="nadpis2">
    <w:name w:val="nadpis 2"/>
    <w:basedOn w:val="Nadpis5"/>
    <w:next w:val="Normlny"/>
    <w:uiPriority w:val="99"/>
    <w:qFormat/>
    <w:rsid w:val="00A339B0"/>
    <w:pPr>
      <w:numPr>
        <w:ilvl w:val="1"/>
        <w:numId w:val="41"/>
      </w:numPr>
    </w:pPr>
    <w:rPr>
      <w:szCs w:val="22"/>
    </w:rPr>
  </w:style>
  <w:style w:type="character" w:customStyle="1" w:styleId="EmailStyle385">
    <w:name w:val="EmailStyle385"/>
    <w:basedOn w:val="Predvolenpsmoodseku"/>
    <w:uiPriority w:val="99"/>
    <w:semiHidden/>
    <w:rsid w:val="00C00C40"/>
    <w:rPr>
      <w:rFonts w:cs="Times New Roman"/>
      <w:color w:val="000000"/>
    </w:rPr>
  </w:style>
  <w:style w:type="paragraph" w:customStyle="1" w:styleId="textpoznmkypodiarou0">
    <w:name w:val="textpoznmkypodiarou"/>
    <w:basedOn w:val="Normlny"/>
    <w:uiPriority w:val="99"/>
    <w:rsid w:val="0075187A"/>
    <w:rPr>
      <w:rFonts w:ascii="Calibri" w:eastAsiaTheme="minorHAnsi" w:hAnsi="Calibri" w:cs="Calibri"/>
      <w:sz w:val="18"/>
      <w:szCs w:val="18"/>
    </w:rPr>
  </w:style>
  <w:style w:type="character" w:customStyle="1" w:styleId="odkaznapoznmkupodiarou0">
    <w:name w:val="odkaznapoznmkupodiarou"/>
    <w:basedOn w:val="Predvolenpsmoodseku"/>
    <w:uiPriority w:val="99"/>
    <w:rsid w:val="0075187A"/>
    <w:rPr>
      <w:vertAlign w:val="superscript"/>
    </w:rPr>
  </w:style>
  <w:style w:type="paragraph" w:styleId="Obyajntext">
    <w:name w:val="Plain Text"/>
    <w:basedOn w:val="Normlny"/>
    <w:link w:val="ObyajntextChar"/>
    <w:uiPriority w:val="99"/>
    <w:unhideWhenUsed/>
    <w:rsid w:val="00AC21E5"/>
    <w:pPr>
      <w:jc w:val="left"/>
    </w:pPr>
    <w:rPr>
      <w:rFonts w:ascii="Calibri" w:eastAsiaTheme="minorHAnsi" w:hAnsi="Calibri" w:cstheme="minorBidi"/>
      <w:szCs w:val="21"/>
      <w:lang w:eastAsia="en-US"/>
    </w:rPr>
  </w:style>
  <w:style w:type="character" w:customStyle="1" w:styleId="ObyajntextChar">
    <w:name w:val="Obyčajný text Char"/>
    <w:basedOn w:val="Predvolenpsmoodseku"/>
    <w:link w:val="Obyajntext"/>
    <w:uiPriority w:val="99"/>
    <w:rsid w:val="00AC21E5"/>
    <w:rPr>
      <w:rFonts w:ascii="Calibri" w:eastAsiaTheme="minorHAnsi" w:hAnsi="Calibri" w:cstheme="minorBidi"/>
      <w:sz w:val="22"/>
      <w:szCs w:val="21"/>
      <w:lang w:val="sk-SK"/>
    </w:rPr>
  </w:style>
  <w:style w:type="paragraph" w:customStyle="1" w:styleId="Nadpis310">
    <w:name w:val="Nadpis 31"/>
    <w:basedOn w:val="Normlny"/>
    <w:rsid w:val="00A339B0"/>
  </w:style>
  <w:style w:type="paragraph" w:styleId="AdresaHTML">
    <w:name w:val="HTML Address"/>
    <w:basedOn w:val="Normlny"/>
    <w:link w:val="AdresaHTMLChar"/>
    <w:uiPriority w:val="99"/>
    <w:unhideWhenUsed/>
    <w:rsid w:val="00A505E8"/>
    <w:pPr>
      <w:jc w:val="left"/>
    </w:pPr>
    <w:rPr>
      <w:i/>
      <w:iCs/>
      <w:sz w:val="24"/>
    </w:rPr>
  </w:style>
  <w:style w:type="character" w:customStyle="1" w:styleId="AdresaHTMLChar">
    <w:name w:val="Adresa HTML Char"/>
    <w:basedOn w:val="Predvolenpsmoodseku"/>
    <w:link w:val="AdresaHTML"/>
    <w:uiPriority w:val="99"/>
    <w:rsid w:val="00A505E8"/>
    <w:rPr>
      <w:i/>
      <w:iCs/>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uiPriority="99" w:qFormat="1"/>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Document Map" w:uiPriority="99"/>
    <w:lsdException w:name="Plain Text" w:uiPriority="99"/>
    <w:lsdException w:name="Normal (Web)" w:uiPriority="99" w:qFormat="1"/>
    <w:lsdException w:name="annotation subject" w:uiPriority="99"/>
    <w:lsdException w:name="No List" w:uiPriority="99"/>
    <w:lsdException w:name="Outline List 2" w:uiPriority="99"/>
    <w:lsdException w:name="Table Elegant" w:uiPriority="99"/>
    <w:lsdException w:name="Table Professional" w:uiPriority="99"/>
    <w:lsdException w:name="Table Web 2" w:uiPriority="99"/>
    <w:lsdException w:name="Balloon Text" w:uiPriority="99"/>
    <w:lsdException w:name="Table Grid" w:uiPriority="99"/>
    <w:lsdException w:name="Table Theme"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ny">
    <w:name w:val="Normal"/>
    <w:qFormat/>
    <w:rsid w:val="005053AE"/>
    <w:pPr>
      <w:jc w:val="both"/>
    </w:pPr>
    <w:rPr>
      <w:sz w:val="22"/>
      <w:szCs w:val="24"/>
      <w:lang w:val="sk-SK" w:eastAsia="sk-SK"/>
    </w:rPr>
  </w:style>
  <w:style w:type="paragraph" w:styleId="Nadpis1">
    <w:name w:val="heading 1"/>
    <w:basedOn w:val="Normlny"/>
    <w:next w:val="Normlny"/>
    <w:link w:val="Nadpis1Char"/>
    <w:uiPriority w:val="99"/>
    <w:qFormat/>
    <w:rsid w:val="00A339B0"/>
    <w:pPr>
      <w:keepNext/>
      <w:tabs>
        <w:tab w:val="left" w:pos="567"/>
        <w:tab w:val="num" w:pos="720"/>
      </w:tabs>
      <w:spacing w:before="240"/>
      <w:ind w:left="720" w:hanging="720"/>
      <w:jc w:val="left"/>
      <w:outlineLvl w:val="0"/>
    </w:pPr>
    <w:rPr>
      <w:rFonts w:ascii="Times New Roman Bold" w:hAnsi="Times New Roman Bold" w:cs="Arial"/>
      <w:b/>
      <w:bCs/>
      <w:caps/>
      <w:color w:val="244061"/>
      <w:kern w:val="32"/>
      <w:sz w:val="28"/>
      <w:szCs w:val="22"/>
    </w:rPr>
  </w:style>
  <w:style w:type="paragraph" w:styleId="Nadpis21">
    <w:name w:val="heading 2"/>
    <w:aliases w:val="hlavicka"/>
    <w:basedOn w:val="Normlny"/>
    <w:next w:val="Normlny"/>
    <w:link w:val="Nadpis2Char"/>
    <w:uiPriority w:val="99"/>
    <w:qFormat/>
    <w:rsid w:val="000520E5"/>
    <w:pPr>
      <w:keepNext/>
      <w:widowControl w:val="0"/>
      <w:overflowPunct w:val="0"/>
      <w:autoSpaceDE w:val="0"/>
      <w:autoSpaceDN w:val="0"/>
      <w:adjustRightInd w:val="0"/>
      <w:spacing w:before="40" w:after="40"/>
      <w:jc w:val="center"/>
      <w:textAlignment w:val="baseline"/>
      <w:outlineLvl w:val="1"/>
    </w:pPr>
    <w:rPr>
      <w:rFonts w:ascii="Times" w:hAnsi="Times" w:cs="Arial"/>
      <w:b/>
      <w:bCs/>
      <w:iCs/>
      <w:color w:val="FFFFFF"/>
      <w:sz w:val="20"/>
      <w:szCs w:val="28"/>
      <w:lang w:eastAsia="cs-CZ"/>
    </w:rPr>
  </w:style>
  <w:style w:type="paragraph" w:styleId="Nadpis30">
    <w:name w:val="heading 3"/>
    <w:aliases w:val="Podúloha"/>
    <w:basedOn w:val="Normlny"/>
    <w:next w:val="Normlny"/>
    <w:link w:val="Nadpis3Char"/>
    <w:uiPriority w:val="99"/>
    <w:qFormat/>
    <w:rsid w:val="002275F2"/>
    <w:pPr>
      <w:keepNext/>
      <w:spacing w:before="240" w:after="60"/>
      <w:outlineLvl w:val="2"/>
    </w:pPr>
    <w:rPr>
      <w:rFonts w:ascii="Arial" w:hAnsi="Arial" w:cs="Arial"/>
      <w:b/>
      <w:bCs/>
      <w:sz w:val="26"/>
      <w:szCs w:val="26"/>
    </w:rPr>
  </w:style>
  <w:style w:type="paragraph" w:styleId="Nadpis4">
    <w:name w:val="heading 4"/>
    <w:aliases w:val="TEXT TAB"/>
    <w:basedOn w:val="Normlny"/>
    <w:next w:val="Normlny"/>
    <w:link w:val="Nadpis4Char"/>
    <w:uiPriority w:val="99"/>
    <w:qFormat/>
    <w:rsid w:val="009A664A"/>
    <w:pPr>
      <w:keepNext/>
      <w:spacing w:before="40" w:after="40"/>
      <w:jc w:val="center"/>
      <w:outlineLvl w:val="3"/>
    </w:pPr>
    <w:rPr>
      <w:bCs/>
      <w:sz w:val="20"/>
      <w:szCs w:val="28"/>
    </w:rPr>
  </w:style>
  <w:style w:type="paragraph" w:styleId="Nadpis5">
    <w:name w:val="heading 5"/>
    <w:aliases w:val="Heading2"/>
    <w:basedOn w:val="Normlny"/>
    <w:next w:val="Normlny"/>
    <w:link w:val="Nadpis5Char"/>
    <w:uiPriority w:val="99"/>
    <w:qFormat/>
    <w:rsid w:val="003D4F15"/>
    <w:pPr>
      <w:overflowPunct w:val="0"/>
      <w:autoSpaceDE w:val="0"/>
      <w:autoSpaceDN w:val="0"/>
      <w:adjustRightInd w:val="0"/>
      <w:spacing w:before="120" w:after="240"/>
      <w:textAlignment w:val="baseline"/>
      <w:outlineLvl w:val="4"/>
    </w:pPr>
    <w:rPr>
      <w:rFonts w:ascii="Times New Roman Bold" w:hAnsi="Times New Roman Bold"/>
      <w:b/>
      <w:bCs/>
      <w:iCs/>
      <w:color w:val="365F91"/>
      <w:sz w:val="28"/>
      <w:szCs w:val="26"/>
      <w:lang w:eastAsia="cs-CZ"/>
    </w:rPr>
  </w:style>
  <w:style w:type="paragraph" w:styleId="Nadpis6">
    <w:name w:val="heading 6"/>
    <w:aliases w:val="Heading3"/>
    <w:basedOn w:val="Normlny"/>
    <w:next w:val="Normlny"/>
    <w:link w:val="Nadpis6Char"/>
    <w:uiPriority w:val="99"/>
    <w:qFormat/>
    <w:rsid w:val="003D4F15"/>
    <w:pPr>
      <w:keepNext/>
      <w:tabs>
        <w:tab w:val="num" w:pos="2160"/>
      </w:tabs>
      <w:spacing w:before="60" w:after="120"/>
      <w:ind w:left="2160" w:hanging="720"/>
      <w:jc w:val="left"/>
      <w:outlineLvl w:val="5"/>
    </w:pPr>
    <w:rPr>
      <w:rFonts w:ascii="Times New Roman Bold" w:hAnsi="Times New Roman Bold"/>
      <w:b/>
      <w:color w:val="4F81BD"/>
      <w:sz w:val="24"/>
      <w:szCs w:val="20"/>
      <w:lang w:eastAsia="cs-CZ"/>
    </w:rPr>
  </w:style>
  <w:style w:type="paragraph" w:styleId="Nadpis7">
    <w:name w:val="heading 7"/>
    <w:aliases w:val="Tabulka_nadpis"/>
    <w:basedOn w:val="Normlny"/>
    <w:next w:val="Normlny"/>
    <w:link w:val="Nadpis7Char"/>
    <w:uiPriority w:val="99"/>
    <w:qFormat/>
    <w:rsid w:val="002511B1"/>
    <w:pPr>
      <w:spacing w:before="240" w:after="120"/>
      <w:jc w:val="center"/>
      <w:outlineLvl w:val="6"/>
    </w:pPr>
    <w:rPr>
      <w:b/>
    </w:rPr>
  </w:style>
  <w:style w:type="paragraph" w:styleId="Nadpis8">
    <w:name w:val="heading 8"/>
    <w:basedOn w:val="Normlny"/>
    <w:next w:val="Normlny"/>
    <w:link w:val="Nadpis8Char"/>
    <w:uiPriority w:val="99"/>
    <w:qFormat/>
    <w:rsid w:val="002275F2"/>
    <w:pPr>
      <w:keepNext/>
      <w:jc w:val="center"/>
      <w:outlineLvl w:val="7"/>
    </w:pPr>
    <w:rPr>
      <w:b/>
      <w:i/>
      <w:sz w:val="20"/>
      <w:szCs w:val="20"/>
      <w:lang w:eastAsia="cs-CZ"/>
    </w:rPr>
  </w:style>
  <w:style w:type="paragraph" w:styleId="Nadpis9">
    <w:name w:val="heading 9"/>
    <w:basedOn w:val="Normlny"/>
    <w:next w:val="Normlny"/>
    <w:link w:val="Nadpis9Char"/>
    <w:uiPriority w:val="99"/>
    <w:qFormat/>
    <w:rsid w:val="00866A27"/>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339B0"/>
    <w:rPr>
      <w:rFonts w:ascii="Times New Roman Bold" w:hAnsi="Times New Roman Bold" w:cs="Arial"/>
      <w:b/>
      <w:bCs/>
      <w:caps/>
      <w:color w:val="244061"/>
      <w:kern w:val="32"/>
      <w:sz w:val="28"/>
      <w:szCs w:val="22"/>
      <w:lang w:val="sk-SK" w:eastAsia="sk-SK"/>
    </w:rPr>
  </w:style>
  <w:style w:type="character" w:customStyle="1" w:styleId="Nadpis2Char">
    <w:name w:val="Nadpis 2 Char"/>
    <w:aliases w:val="hlavicka Char"/>
    <w:basedOn w:val="Predvolenpsmoodseku"/>
    <w:link w:val="Nadpis21"/>
    <w:uiPriority w:val="99"/>
    <w:rsid w:val="000520E5"/>
    <w:rPr>
      <w:rFonts w:ascii="Times" w:hAnsi="Times" w:cs="Arial"/>
      <w:b/>
      <w:bCs/>
      <w:iCs/>
      <w:color w:val="FFFFFF"/>
      <w:szCs w:val="28"/>
      <w:lang w:val="sk-SK" w:eastAsia="cs-CZ"/>
    </w:rPr>
  </w:style>
  <w:style w:type="character" w:customStyle="1" w:styleId="Nadpis3Char">
    <w:name w:val="Nadpis 3 Char"/>
    <w:aliases w:val="Podúloha Char"/>
    <w:basedOn w:val="Predvolenpsmoodseku"/>
    <w:link w:val="Nadpis30"/>
    <w:uiPriority w:val="99"/>
    <w:rsid w:val="0031064A"/>
    <w:rPr>
      <w:rFonts w:ascii="Arial" w:hAnsi="Arial" w:cs="Arial"/>
      <w:b/>
      <w:bCs/>
      <w:sz w:val="26"/>
      <w:szCs w:val="26"/>
      <w:lang w:val="sk-SK" w:eastAsia="sk-SK" w:bidi="ar-SA"/>
    </w:rPr>
  </w:style>
  <w:style w:type="character" w:customStyle="1" w:styleId="Nadpis4Char">
    <w:name w:val="Nadpis 4 Char"/>
    <w:aliases w:val="TEXT TAB Char"/>
    <w:basedOn w:val="Predvolenpsmoodseku"/>
    <w:link w:val="Nadpis4"/>
    <w:uiPriority w:val="99"/>
    <w:rsid w:val="009A664A"/>
    <w:rPr>
      <w:bCs/>
      <w:szCs w:val="28"/>
      <w:lang w:val="sk-SK" w:eastAsia="sk-SK"/>
    </w:rPr>
  </w:style>
  <w:style w:type="character" w:customStyle="1" w:styleId="Nadpis5Char">
    <w:name w:val="Nadpis 5 Char"/>
    <w:aliases w:val="Heading2 Char"/>
    <w:basedOn w:val="Predvolenpsmoodseku"/>
    <w:link w:val="Nadpis5"/>
    <w:uiPriority w:val="99"/>
    <w:rsid w:val="003D4F15"/>
    <w:rPr>
      <w:rFonts w:ascii="Times New Roman Bold" w:hAnsi="Times New Roman Bold"/>
      <w:b/>
      <w:bCs/>
      <w:iCs/>
      <w:color w:val="365F91"/>
      <w:sz w:val="28"/>
      <w:szCs w:val="26"/>
      <w:lang w:val="sk-SK" w:eastAsia="cs-CZ"/>
    </w:rPr>
  </w:style>
  <w:style w:type="character" w:customStyle="1" w:styleId="Nadpis7Char">
    <w:name w:val="Nadpis 7 Char"/>
    <w:aliases w:val="Tabulka_nadpis Char"/>
    <w:basedOn w:val="Predvolenpsmoodseku"/>
    <w:link w:val="Nadpis7"/>
    <w:uiPriority w:val="99"/>
    <w:rsid w:val="002511B1"/>
    <w:rPr>
      <w:b/>
      <w:sz w:val="22"/>
      <w:szCs w:val="24"/>
      <w:lang w:val="sk-SK" w:eastAsia="sk-SK"/>
    </w:rPr>
  </w:style>
  <w:style w:type="character" w:customStyle="1" w:styleId="Nadpis8Char">
    <w:name w:val="Nadpis 8 Char"/>
    <w:basedOn w:val="Predvolenpsmoodseku"/>
    <w:link w:val="Nadpis8"/>
    <w:uiPriority w:val="99"/>
    <w:rsid w:val="0031064A"/>
    <w:rPr>
      <w:b/>
      <w:i/>
      <w:lang w:val="sk-SK" w:eastAsia="cs-CZ"/>
    </w:rPr>
  </w:style>
  <w:style w:type="character" w:customStyle="1" w:styleId="red1">
    <w:name w:val="red1"/>
    <w:basedOn w:val="Predvolenpsmoodseku"/>
    <w:uiPriority w:val="99"/>
    <w:rsid w:val="002275F2"/>
    <w:rPr>
      <w:color w:val="F43724"/>
    </w:rPr>
  </w:style>
  <w:style w:type="character" w:customStyle="1" w:styleId="black1">
    <w:name w:val="black1"/>
    <w:basedOn w:val="Predvolenpsmoodseku"/>
    <w:uiPriority w:val="99"/>
    <w:rsid w:val="002275F2"/>
    <w:rPr>
      <w:color w:val="000000"/>
    </w:rPr>
  </w:style>
  <w:style w:type="paragraph" w:styleId="Nadpispoznmky">
    <w:name w:val="Note Heading"/>
    <w:basedOn w:val="Normlny"/>
    <w:next w:val="Normlny"/>
    <w:link w:val="NadpispoznmkyChar"/>
    <w:uiPriority w:val="99"/>
    <w:rsid w:val="002275F2"/>
  </w:style>
  <w:style w:type="character" w:customStyle="1" w:styleId="NadpispoznmkyChar">
    <w:name w:val="Nadpis poznámky Char"/>
    <w:basedOn w:val="Predvolenpsmoodseku"/>
    <w:link w:val="Nadpispoznmky"/>
    <w:uiPriority w:val="99"/>
    <w:rsid w:val="0031064A"/>
    <w:rPr>
      <w:sz w:val="24"/>
      <w:szCs w:val="24"/>
      <w:lang w:val="sk-SK" w:eastAsia="sk-SK" w:bidi="ar-SA"/>
    </w:rPr>
  </w:style>
  <w:style w:type="paragraph" w:styleId="Zarkazkladnhotextu">
    <w:name w:val="Body Text Indent"/>
    <w:basedOn w:val="Normlny"/>
    <w:link w:val="ZarkazkladnhotextuChar"/>
    <w:uiPriority w:val="99"/>
    <w:rsid w:val="002275F2"/>
    <w:pPr>
      <w:tabs>
        <w:tab w:val="left" w:pos="360"/>
      </w:tabs>
      <w:ind w:left="360" w:hanging="360"/>
    </w:pPr>
    <w:rPr>
      <w:b/>
      <w:sz w:val="26"/>
      <w:lang w:val="cs-CZ"/>
    </w:rPr>
  </w:style>
  <w:style w:type="character" w:customStyle="1" w:styleId="ZarkazkladnhotextuChar">
    <w:name w:val="Zarážka základného textu Char"/>
    <w:basedOn w:val="Predvolenpsmoodseku"/>
    <w:link w:val="Zarkazkladnhotextu"/>
    <w:uiPriority w:val="99"/>
    <w:rsid w:val="0031064A"/>
    <w:rPr>
      <w:b/>
      <w:sz w:val="26"/>
      <w:szCs w:val="24"/>
      <w:lang w:val="cs-CZ" w:eastAsia="sk-SK" w:bidi="ar-SA"/>
    </w:rPr>
  </w:style>
  <w:style w:type="paragraph" w:customStyle="1" w:styleId="BodyText23">
    <w:name w:val="Body Text 23"/>
    <w:basedOn w:val="Normlny"/>
    <w:uiPriority w:val="99"/>
    <w:rsid w:val="002275F2"/>
    <w:pPr>
      <w:widowControl w:val="0"/>
      <w:spacing w:before="120"/>
      <w:ind w:firstLine="567"/>
    </w:pPr>
    <w:rPr>
      <w:lang w:val="cs-CZ"/>
    </w:rPr>
  </w:style>
  <w:style w:type="paragraph" w:styleId="Zkladntext2">
    <w:name w:val="Body Text 2"/>
    <w:basedOn w:val="Normlny"/>
    <w:link w:val="Zkladntext2Char"/>
    <w:uiPriority w:val="99"/>
    <w:rsid w:val="002275F2"/>
    <w:pPr>
      <w:tabs>
        <w:tab w:val="left" w:pos="2410"/>
        <w:tab w:val="left" w:pos="4820"/>
        <w:tab w:val="left" w:pos="7230"/>
      </w:tabs>
    </w:pPr>
    <w:rPr>
      <w:b/>
      <w:lang w:val="cs-CZ"/>
    </w:rPr>
  </w:style>
  <w:style w:type="character" w:customStyle="1" w:styleId="Zkladntext2Char">
    <w:name w:val="Základný text 2 Char"/>
    <w:basedOn w:val="Predvolenpsmoodseku"/>
    <w:link w:val="Zkladntext2"/>
    <w:uiPriority w:val="99"/>
    <w:rsid w:val="0031064A"/>
    <w:rPr>
      <w:b/>
      <w:sz w:val="24"/>
      <w:szCs w:val="24"/>
      <w:lang w:val="cs-CZ" w:eastAsia="sk-SK" w:bidi="ar-SA"/>
    </w:rPr>
  </w:style>
  <w:style w:type="paragraph" w:styleId="Zarkazkladnhotextu2">
    <w:name w:val="Body Text Indent 2"/>
    <w:basedOn w:val="Normlny"/>
    <w:link w:val="Zarkazkladnhotextu2Char"/>
    <w:uiPriority w:val="99"/>
    <w:rsid w:val="002275F2"/>
    <w:pPr>
      <w:spacing w:after="120"/>
      <w:ind w:left="720" w:hanging="11"/>
    </w:pPr>
    <w:rPr>
      <w:iCs/>
      <w:color w:val="008080"/>
      <w:sz w:val="16"/>
      <w:lang w:val="cs-CZ"/>
    </w:rPr>
  </w:style>
  <w:style w:type="character" w:customStyle="1" w:styleId="Zarkazkladnhotextu2Char">
    <w:name w:val="Zarážka základného textu 2 Char"/>
    <w:basedOn w:val="Predvolenpsmoodseku"/>
    <w:link w:val="Zarkazkladnhotextu2"/>
    <w:uiPriority w:val="99"/>
    <w:rsid w:val="0031064A"/>
    <w:rPr>
      <w:iCs/>
      <w:color w:val="008080"/>
      <w:sz w:val="16"/>
      <w:szCs w:val="24"/>
      <w:lang w:val="cs-CZ" w:eastAsia="sk-SK" w:bidi="ar-SA"/>
    </w:rPr>
  </w:style>
  <w:style w:type="paragraph" w:styleId="Zkladntext">
    <w:name w:val="Body Text"/>
    <w:aliases w:val="b"/>
    <w:basedOn w:val="Normlny"/>
    <w:link w:val="ZkladntextChar"/>
    <w:uiPriority w:val="99"/>
    <w:rsid w:val="002275F2"/>
    <w:pPr>
      <w:spacing w:after="120"/>
    </w:pPr>
  </w:style>
  <w:style w:type="character" w:customStyle="1" w:styleId="ZkladntextChar">
    <w:name w:val="Základný text Char"/>
    <w:aliases w:val="b Char"/>
    <w:basedOn w:val="Predvolenpsmoodseku"/>
    <w:link w:val="Zkladntext"/>
    <w:uiPriority w:val="99"/>
    <w:rsid w:val="0031064A"/>
    <w:rPr>
      <w:sz w:val="24"/>
      <w:szCs w:val="24"/>
      <w:lang w:val="sk-SK" w:eastAsia="sk-SK" w:bidi="ar-SA"/>
    </w:rPr>
  </w:style>
  <w:style w:type="paragraph" w:styleId="Pta">
    <w:name w:val="footer"/>
    <w:basedOn w:val="Normlny"/>
    <w:link w:val="PtaChar"/>
    <w:uiPriority w:val="99"/>
    <w:rsid w:val="002275F2"/>
    <w:pPr>
      <w:tabs>
        <w:tab w:val="center" w:pos="4536"/>
        <w:tab w:val="right" w:pos="9072"/>
      </w:tabs>
    </w:pPr>
    <w:rPr>
      <w:lang w:eastAsia="cs-CZ"/>
    </w:rPr>
  </w:style>
  <w:style w:type="paragraph" w:customStyle="1" w:styleId="Poznpodgraf">
    <w:name w:val="Pozn pod graf"/>
    <w:uiPriority w:val="99"/>
    <w:rsid w:val="002275F2"/>
    <w:pPr>
      <w:spacing w:after="240"/>
      <w:ind w:firstLine="1797"/>
    </w:pPr>
    <w:rPr>
      <w:noProof/>
      <w:sz w:val="18"/>
      <w:lang w:val="sk-SK" w:eastAsia="sk-SK"/>
    </w:rPr>
  </w:style>
  <w:style w:type="paragraph" w:customStyle="1" w:styleId="NormalWeb2">
    <w:name w:val="Normal (Web)2"/>
    <w:basedOn w:val="Normlny"/>
    <w:uiPriority w:val="99"/>
    <w:rsid w:val="002275F2"/>
    <w:pPr>
      <w:overflowPunct w:val="0"/>
      <w:autoSpaceDE w:val="0"/>
      <w:autoSpaceDN w:val="0"/>
      <w:adjustRightInd w:val="0"/>
      <w:spacing w:before="100" w:after="100"/>
      <w:textAlignment w:val="baseline"/>
    </w:pPr>
  </w:style>
  <w:style w:type="paragraph" w:styleId="Textpoznmkypodiarou">
    <w:name w:val="footnote text"/>
    <w:aliases w:val="Text poznámky pod čiarou 007,_Poznámka pod čiarou,stile 1,Alaviitteen teksti Char,Alaviitteen teksti Char Char Char Char Char,Märk,Fußnotentext arial,Footnote Text Char2,Footnote Text Char1 Char,Footnote Text Char Char Char,fn"/>
    <w:basedOn w:val="Normlny"/>
    <w:link w:val="TextpoznmkypodiarouChar"/>
    <w:uiPriority w:val="99"/>
    <w:rsid w:val="001237BA"/>
    <w:rPr>
      <w:sz w:val="18"/>
      <w:szCs w:val="20"/>
    </w:rPr>
  </w:style>
  <w:style w:type="character" w:customStyle="1" w:styleId="TextpoznmkypodiarouChar">
    <w:name w:val="Text poznámky pod čiarou Char"/>
    <w:aliases w:val="Text poznámky pod čiarou 007 Char1,_Poznámka pod čiarou Char,stile 1 Char,Alaviitteen teksti Char Char,Alaviitteen teksti Char Char Char Char Char Char,Märk Char,Fußnotentext arial Char,Footnote Text Char2 Char,fn Char"/>
    <w:basedOn w:val="Predvolenpsmoodseku"/>
    <w:link w:val="Textpoznmkypodiarou"/>
    <w:uiPriority w:val="99"/>
    <w:locked/>
    <w:rsid w:val="001237BA"/>
    <w:rPr>
      <w:sz w:val="18"/>
      <w:lang w:val="sk-SK" w:eastAsia="sk-SK"/>
    </w:rPr>
  </w:style>
  <w:style w:type="paragraph" w:customStyle="1" w:styleId="Styl1">
    <w:name w:val="Styl1"/>
    <w:basedOn w:val="Normlny"/>
    <w:autoRedefine/>
    <w:rsid w:val="000D6C62"/>
    <w:pPr>
      <w:tabs>
        <w:tab w:val="left" w:pos="142"/>
        <w:tab w:val="left" w:pos="720"/>
      </w:tabs>
      <w:spacing w:after="240"/>
      <w:ind w:firstLine="709"/>
    </w:pPr>
  </w:style>
  <w:style w:type="character" w:styleId="Odkaznapoznmkupodiarou">
    <w:name w:val="footnote reference"/>
    <w:aliases w:val="Footnote,Footnotes refss"/>
    <w:basedOn w:val="Predvolenpsmoodseku"/>
    <w:uiPriority w:val="99"/>
    <w:rsid w:val="002275F2"/>
    <w:rPr>
      <w:vertAlign w:val="superscript"/>
    </w:rPr>
  </w:style>
  <w:style w:type="paragraph" w:styleId="Textbubliny">
    <w:name w:val="Balloon Text"/>
    <w:basedOn w:val="Normlny"/>
    <w:link w:val="TextbublinyChar"/>
    <w:uiPriority w:val="99"/>
    <w:semiHidden/>
    <w:rsid w:val="002275F2"/>
    <w:rPr>
      <w:rFonts w:ascii="Tahoma" w:hAnsi="Tahoma" w:cs="Tahoma"/>
      <w:sz w:val="16"/>
      <w:szCs w:val="16"/>
    </w:rPr>
  </w:style>
  <w:style w:type="character" w:customStyle="1" w:styleId="TextbublinyChar">
    <w:name w:val="Text bubliny Char"/>
    <w:basedOn w:val="Predvolenpsmoodseku"/>
    <w:link w:val="Textbubliny"/>
    <w:uiPriority w:val="99"/>
    <w:semiHidden/>
    <w:rsid w:val="0031064A"/>
    <w:rPr>
      <w:rFonts w:ascii="Tahoma" w:hAnsi="Tahoma" w:cs="Tahoma"/>
      <w:sz w:val="16"/>
      <w:szCs w:val="16"/>
      <w:lang w:val="sk-SK" w:eastAsia="sk-SK" w:bidi="ar-SA"/>
    </w:rPr>
  </w:style>
  <w:style w:type="character" w:styleId="slostrany">
    <w:name w:val="page number"/>
    <w:basedOn w:val="Predvolenpsmoodseku"/>
    <w:uiPriority w:val="99"/>
    <w:rsid w:val="002275F2"/>
  </w:style>
  <w:style w:type="paragraph" w:customStyle="1" w:styleId="tl1">
    <w:name w:val="Štýl1"/>
    <w:basedOn w:val="Normlny"/>
    <w:uiPriority w:val="99"/>
    <w:rsid w:val="002275F2"/>
    <w:pPr>
      <w:ind w:firstLine="567"/>
    </w:pPr>
    <w:rPr>
      <w:lang w:eastAsia="cs-CZ"/>
    </w:rPr>
  </w:style>
  <w:style w:type="paragraph" w:customStyle="1" w:styleId="AAAAchapter">
    <w:name w:val="AAAA_chapter"/>
    <w:basedOn w:val="Nadpis1"/>
    <w:uiPriority w:val="99"/>
    <w:rsid w:val="002275F2"/>
    <w:pPr>
      <w:widowControl w:val="0"/>
      <w:numPr>
        <w:numId w:val="1"/>
      </w:numPr>
      <w:overflowPunct w:val="0"/>
      <w:autoSpaceDE w:val="0"/>
      <w:autoSpaceDN w:val="0"/>
      <w:adjustRightInd w:val="0"/>
      <w:textAlignment w:val="baseline"/>
    </w:pPr>
    <w:rPr>
      <w:rFonts w:ascii="Times New Roman" w:hAnsi="Times New Roman"/>
      <w:szCs w:val="24"/>
      <w:lang w:eastAsia="cs-CZ"/>
    </w:rPr>
  </w:style>
  <w:style w:type="paragraph" w:customStyle="1" w:styleId="AAAAsection">
    <w:name w:val="AAAA_section"/>
    <w:basedOn w:val="Nadpis1"/>
    <w:next w:val="AAAAchapter"/>
    <w:link w:val="AAAAsectionChar"/>
    <w:autoRedefine/>
    <w:uiPriority w:val="99"/>
    <w:rsid w:val="002275F2"/>
    <w:pPr>
      <w:widowControl w:val="0"/>
      <w:overflowPunct w:val="0"/>
      <w:autoSpaceDE w:val="0"/>
      <w:autoSpaceDN w:val="0"/>
      <w:adjustRightInd w:val="0"/>
      <w:textAlignment w:val="baseline"/>
      <w:outlineLvl w:val="1"/>
    </w:pPr>
    <w:rPr>
      <w:rFonts w:ascii="Times New Roman" w:hAnsi="Times New Roman"/>
      <w:bCs w:val="0"/>
      <w:color w:val="993366"/>
      <w:sz w:val="24"/>
      <w:szCs w:val="24"/>
      <w:lang w:eastAsia="cs-CZ"/>
    </w:rPr>
  </w:style>
  <w:style w:type="character" w:customStyle="1" w:styleId="AAAAsectionChar">
    <w:name w:val="AAAA_section Char"/>
    <w:basedOn w:val="Predvolenpsmoodseku"/>
    <w:link w:val="AAAAsection"/>
    <w:uiPriority w:val="99"/>
    <w:rsid w:val="002275F2"/>
    <w:rPr>
      <w:rFonts w:cs="Arial"/>
      <w:b/>
      <w:color w:val="993366"/>
      <w:kern w:val="32"/>
      <w:sz w:val="24"/>
      <w:szCs w:val="24"/>
      <w:lang w:val="sk-SK" w:eastAsia="cs-CZ" w:bidi="ar-SA"/>
    </w:rPr>
  </w:style>
  <w:style w:type="paragraph" w:customStyle="1" w:styleId="AAAAsubsection">
    <w:name w:val="AAAA_subsection"/>
    <w:basedOn w:val="Nadpis30"/>
    <w:uiPriority w:val="99"/>
    <w:rsid w:val="002275F2"/>
    <w:pPr>
      <w:widowControl w:val="0"/>
      <w:numPr>
        <w:ilvl w:val="1"/>
        <w:numId w:val="1"/>
      </w:numPr>
      <w:tabs>
        <w:tab w:val="clear" w:pos="576"/>
        <w:tab w:val="num" w:pos="720"/>
      </w:tabs>
      <w:overflowPunct w:val="0"/>
      <w:autoSpaceDE w:val="0"/>
      <w:autoSpaceDN w:val="0"/>
      <w:adjustRightInd w:val="0"/>
      <w:ind w:left="720" w:hanging="720"/>
      <w:textAlignment w:val="baseline"/>
    </w:pPr>
    <w:rPr>
      <w:rFonts w:ascii="Times New Roman" w:hAnsi="Times New Roman"/>
      <w:szCs w:val="28"/>
      <w:lang w:eastAsia="cs-CZ"/>
    </w:rPr>
  </w:style>
  <w:style w:type="paragraph" w:customStyle="1" w:styleId="AAAAsubsub">
    <w:name w:val="AAAA_subsub"/>
    <w:basedOn w:val="Nadpis4"/>
    <w:link w:val="AAAAsubsubCharChar"/>
    <w:uiPriority w:val="99"/>
    <w:rsid w:val="002275F2"/>
    <w:pPr>
      <w:widowControl w:val="0"/>
      <w:numPr>
        <w:ilvl w:val="2"/>
        <w:numId w:val="1"/>
      </w:numPr>
      <w:tabs>
        <w:tab w:val="clear" w:pos="720"/>
        <w:tab w:val="num" w:pos="1044"/>
      </w:tabs>
      <w:overflowPunct w:val="0"/>
      <w:autoSpaceDE w:val="0"/>
      <w:autoSpaceDN w:val="0"/>
      <w:adjustRightInd w:val="0"/>
      <w:ind w:left="1044" w:hanging="864"/>
      <w:jc w:val="both"/>
      <w:textAlignment w:val="baseline"/>
    </w:pPr>
    <w:rPr>
      <w:lang w:eastAsia="cs-CZ"/>
    </w:rPr>
  </w:style>
  <w:style w:type="character" w:customStyle="1" w:styleId="AAAAsubsubCharChar">
    <w:name w:val="AAAA_subsub Char Char"/>
    <w:basedOn w:val="Predvolenpsmoodseku"/>
    <w:link w:val="AAAAsubsub"/>
    <w:uiPriority w:val="99"/>
    <w:locked/>
    <w:rsid w:val="002275F2"/>
    <w:rPr>
      <w:bCs/>
      <w:szCs w:val="28"/>
      <w:lang w:val="sk-SK" w:eastAsia="cs-CZ"/>
    </w:rPr>
  </w:style>
  <w:style w:type="paragraph" w:customStyle="1" w:styleId="AAAAodstavecsprava">
    <w:name w:val="AAAA_odstavec_sprava"/>
    <w:link w:val="AAAAodstavecspravaChar"/>
    <w:rsid w:val="002275F2"/>
    <w:pPr>
      <w:spacing w:after="120"/>
      <w:ind w:firstLine="284"/>
      <w:jc w:val="both"/>
    </w:pPr>
    <w:rPr>
      <w:sz w:val="24"/>
      <w:szCs w:val="28"/>
      <w:lang w:val="sk-SK" w:eastAsia="cs-CZ"/>
    </w:rPr>
  </w:style>
  <w:style w:type="character" w:customStyle="1" w:styleId="AAAAodstavecspravaChar">
    <w:name w:val="AAAA_odstavec_sprava Char"/>
    <w:basedOn w:val="Predvolenpsmoodseku"/>
    <w:link w:val="AAAAodstavecsprava"/>
    <w:rsid w:val="002275F2"/>
    <w:rPr>
      <w:sz w:val="24"/>
      <w:szCs w:val="28"/>
      <w:lang w:val="sk-SK" w:eastAsia="cs-CZ" w:bidi="ar-SA"/>
    </w:rPr>
  </w:style>
  <w:style w:type="paragraph" w:styleId="Zkladntext3">
    <w:name w:val="Body Text 3"/>
    <w:basedOn w:val="Normlny"/>
    <w:link w:val="Zkladntext3Char"/>
    <w:uiPriority w:val="99"/>
    <w:rsid w:val="002275F2"/>
    <w:pPr>
      <w:spacing w:after="120"/>
    </w:pPr>
    <w:rPr>
      <w:sz w:val="16"/>
      <w:szCs w:val="16"/>
    </w:rPr>
  </w:style>
  <w:style w:type="character" w:customStyle="1" w:styleId="Zkladntext3Char">
    <w:name w:val="Základný text 3 Char"/>
    <w:basedOn w:val="Predvolenpsmoodseku"/>
    <w:link w:val="Zkladntext3"/>
    <w:uiPriority w:val="99"/>
    <w:rsid w:val="0031064A"/>
    <w:rPr>
      <w:sz w:val="16"/>
      <w:szCs w:val="16"/>
      <w:lang w:val="sk-SK" w:eastAsia="sk-SK" w:bidi="ar-SA"/>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qFormat/>
    <w:rsid w:val="002275F2"/>
    <w:pPr>
      <w:spacing w:before="240" w:after="240"/>
    </w:p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basedOn w:val="Predvolenpsmoodseku"/>
    <w:link w:val="Normlnywebov"/>
    <w:uiPriority w:val="99"/>
    <w:rsid w:val="002275F2"/>
    <w:rPr>
      <w:sz w:val="24"/>
      <w:szCs w:val="24"/>
      <w:lang w:val="sk-SK" w:eastAsia="sk-SK" w:bidi="ar-SA"/>
    </w:rPr>
  </w:style>
  <w:style w:type="paragraph" w:styleId="Hlavika">
    <w:name w:val="header"/>
    <w:basedOn w:val="Normlny"/>
    <w:link w:val="HlavikaChar"/>
    <w:rsid w:val="002275F2"/>
    <w:pPr>
      <w:tabs>
        <w:tab w:val="center" w:pos="4536"/>
        <w:tab w:val="right" w:pos="9072"/>
      </w:tabs>
    </w:pPr>
  </w:style>
  <w:style w:type="character" w:customStyle="1" w:styleId="HlavikaChar">
    <w:name w:val="Hlavička Char"/>
    <w:basedOn w:val="Predvolenpsmoodseku"/>
    <w:link w:val="Hlavika"/>
    <w:rsid w:val="0031064A"/>
    <w:rPr>
      <w:sz w:val="24"/>
      <w:szCs w:val="24"/>
      <w:lang w:val="sk-SK" w:eastAsia="sk-SK" w:bidi="ar-SA"/>
    </w:rPr>
  </w:style>
  <w:style w:type="paragraph" w:styleId="Zarkazkladnhotextu3">
    <w:name w:val="Body Text Indent 3"/>
    <w:basedOn w:val="Normlny"/>
    <w:link w:val="Zarkazkladnhotextu3Char"/>
    <w:uiPriority w:val="99"/>
    <w:rsid w:val="002275F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31064A"/>
    <w:rPr>
      <w:sz w:val="16"/>
      <w:szCs w:val="16"/>
      <w:lang w:val="sk-SK" w:eastAsia="sk-SK" w:bidi="ar-SA"/>
    </w:rPr>
  </w:style>
  <w:style w:type="table" w:styleId="Mriekatabuky">
    <w:name w:val="Table Grid"/>
    <w:basedOn w:val="Normlnatabuka"/>
    <w:uiPriority w:val="99"/>
    <w:rsid w:val="002275F2"/>
    <w:pPr>
      <w:overflowPunct w:val="0"/>
      <w:autoSpaceDE w:val="0"/>
      <w:autoSpaceDN w:val="0"/>
      <w:adjustRightInd w:val="0"/>
      <w:ind w:firstLine="284"/>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rsid w:val="002275F2"/>
    <w:rPr>
      <w:color w:val="0000FF"/>
      <w:u w:val="single"/>
    </w:rPr>
  </w:style>
  <w:style w:type="character" w:styleId="Siln">
    <w:name w:val="Strong"/>
    <w:basedOn w:val="Predvolenpsmoodseku"/>
    <w:uiPriority w:val="22"/>
    <w:qFormat/>
    <w:rsid w:val="002275F2"/>
    <w:rPr>
      <w:b/>
      <w:bCs/>
    </w:rPr>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lny"/>
    <w:uiPriority w:val="99"/>
    <w:rsid w:val="002275F2"/>
    <w:pPr>
      <w:spacing w:after="160" w:line="240" w:lineRule="exact"/>
    </w:pPr>
    <w:rPr>
      <w:rFonts w:ascii="Tahoma" w:hAnsi="Tahoma" w:cs="Tahoma"/>
      <w:sz w:val="20"/>
      <w:szCs w:val="20"/>
      <w:lang w:val="en-US" w:eastAsia="en-US"/>
    </w:rPr>
  </w:style>
  <w:style w:type="table" w:styleId="Webovtabuka2">
    <w:name w:val="Table Web 2"/>
    <w:basedOn w:val="Normlnatabuka"/>
    <w:uiPriority w:val="99"/>
    <w:rsid w:val="002275F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dpispodurovnouChar">
    <w:name w:val="Nadpis pod urovnou Char"/>
    <w:basedOn w:val="Predvolenpsmoodseku"/>
    <w:link w:val="Nadpispodurovnou"/>
    <w:locked/>
    <w:rsid w:val="002275F2"/>
    <w:rPr>
      <w:b/>
      <w:sz w:val="24"/>
      <w:lang w:val="sk-SK" w:eastAsia="sk-SK" w:bidi="ar-SA"/>
    </w:rPr>
  </w:style>
  <w:style w:type="paragraph" w:customStyle="1" w:styleId="Nadpispodurovnou">
    <w:name w:val="Nadpis pod urovnou"/>
    <w:basedOn w:val="Normlny"/>
    <w:next w:val="Normlny"/>
    <w:link w:val="NadpispodurovnouChar"/>
    <w:rsid w:val="002275F2"/>
    <w:pPr>
      <w:keepNext/>
      <w:keepLines/>
      <w:widowControl w:val="0"/>
      <w:spacing w:before="360" w:after="240"/>
    </w:pPr>
    <w:rPr>
      <w:b/>
      <w:szCs w:val="20"/>
    </w:rPr>
  </w:style>
  <w:style w:type="character" w:customStyle="1" w:styleId="AAAodstavecspravaChar">
    <w:name w:val="AAA_odstavec_sprava Char"/>
    <w:basedOn w:val="Predvolenpsmoodseku"/>
    <w:link w:val="AAAodstavecsprava"/>
    <w:locked/>
    <w:rsid w:val="002275F2"/>
    <w:rPr>
      <w:sz w:val="24"/>
      <w:szCs w:val="28"/>
      <w:lang w:val="sk-SK" w:eastAsia="cs-CZ" w:bidi="ar-SA"/>
    </w:rPr>
  </w:style>
  <w:style w:type="paragraph" w:customStyle="1" w:styleId="AAAodstavecsprava">
    <w:name w:val="AAA_odstavec_sprava"/>
    <w:link w:val="AAAodstavecspravaChar"/>
    <w:rsid w:val="002275F2"/>
    <w:pPr>
      <w:spacing w:after="120"/>
      <w:ind w:firstLine="284"/>
      <w:jc w:val="both"/>
    </w:pPr>
    <w:rPr>
      <w:sz w:val="24"/>
      <w:szCs w:val="28"/>
      <w:lang w:val="sk-SK" w:eastAsia="cs-CZ"/>
    </w:rPr>
  </w:style>
  <w:style w:type="paragraph" w:styleId="Odsekzoznamu">
    <w:name w:val="List Paragraph"/>
    <w:basedOn w:val="Normlny"/>
    <w:link w:val="OdsekzoznamuChar"/>
    <w:uiPriority w:val="99"/>
    <w:qFormat/>
    <w:rsid w:val="002275F2"/>
    <w:pPr>
      <w:ind w:left="708"/>
    </w:pPr>
  </w:style>
  <w:style w:type="paragraph" w:styleId="Obsah2">
    <w:name w:val="toc 2"/>
    <w:basedOn w:val="Normlny"/>
    <w:next w:val="Normlny"/>
    <w:autoRedefine/>
    <w:uiPriority w:val="39"/>
    <w:unhideWhenUsed/>
    <w:qFormat/>
    <w:rsid w:val="002275F2"/>
    <w:pPr>
      <w:ind w:left="240"/>
    </w:pPr>
    <w:rPr>
      <w:b/>
      <w:noProof/>
      <w:color w:val="000000"/>
      <w:lang w:eastAsia="en-GB"/>
    </w:rPr>
  </w:style>
  <w:style w:type="character" w:customStyle="1" w:styleId="TextChar">
    <w:name w:val="Text Char"/>
    <w:basedOn w:val="Predvolenpsmoodseku"/>
    <w:link w:val="Text"/>
    <w:uiPriority w:val="99"/>
    <w:locked/>
    <w:rsid w:val="002275F2"/>
    <w:rPr>
      <w:sz w:val="24"/>
      <w:szCs w:val="24"/>
      <w:lang w:val="sk-SK" w:eastAsia="sk-SK" w:bidi="ar-SA"/>
    </w:rPr>
  </w:style>
  <w:style w:type="paragraph" w:customStyle="1" w:styleId="Text">
    <w:name w:val="Text"/>
    <w:link w:val="TextChar"/>
    <w:uiPriority w:val="99"/>
    <w:rsid w:val="002275F2"/>
    <w:pPr>
      <w:spacing w:line="360" w:lineRule="auto"/>
      <w:jc w:val="both"/>
    </w:pPr>
    <w:rPr>
      <w:sz w:val="24"/>
      <w:szCs w:val="24"/>
      <w:lang w:val="sk-SK" w:eastAsia="sk-SK"/>
    </w:rPr>
  </w:style>
  <w:style w:type="paragraph" w:styleId="Obsah1">
    <w:name w:val="toc 1"/>
    <w:basedOn w:val="Normlny"/>
    <w:next w:val="Normlny"/>
    <w:autoRedefine/>
    <w:uiPriority w:val="39"/>
    <w:qFormat/>
    <w:rsid w:val="007C338F"/>
    <w:pPr>
      <w:tabs>
        <w:tab w:val="left" w:pos="567"/>
        <w:tab w:val="right" w:leader="dot" w:pos="9061"/>
      </w:tabs>
      <w:spacing w:before="120" w:after="120" w:line="276" w:lineRule="auto"/>
      <w:ind w:left="437" w:hanging="437"/>
      <w:jc w:val="left"/>
    </w:pPr>
    <w:rPr>
      <w:b/>
    </w:rPr>
  </w:style>
  <w:style w:type="paragraph" w:customStyle="1" w:styleId="Char1">
    <w:name w:val="ΚΕΙΜΕΝΟ Char1"/>
    <w:basedOn w:val="Normlny"/>
    <w:uiPriority w:val="99"/>
    <w:rsid w:val="002275F2"/>
    <w:pPr>
      <w:spacing w:before="120" w:after="120" w:line="360" w:lineRule="auto"/>
    </w:pPr>
    <w:rPr>
      <w:rFonts w:ascii="Arial" w:hAnsi="Arial" w:cs="Arial"/>
      <w:spacing w:val="-5"/>
      <w:szCs w:val="21"/>
      <w:lang w:eastAsia="en-US"/>
    </w:rPr>
  </w:style>
  <w:style w:type="paragraph" w:customStyle="1" w:styleId="Zkladntextb">
    <w:name w:val="Základní text.b"/>
    <w:basedOn w:val="Normlny"/>
    <w:uiPriority w:val="99"/>
    <w:rsid w:val="002275F2"/>
    <w:pPr>
      <w:autoSpaceDE w:val="0"/>
      <w:autoSpaceDN w:val="0"/>
    </w:pPr>
    <w:rPr>
      <w:lang w:val="en-US" w:eastAsia="en-US"/>
    </w:rPr>
  </w:style>
  <w:style w:type="paragraph" w:customStyle="1" w:styleId="Nadpis5DP">
    <w:name w:val="Nadpis 5 DP"/>
    <w:basedOn w:val="Normlny"/>
    <w:uiPriority w:val="99"/>
    <w:rsid w:val="002275F2"/>
    <w:pPr>
      <w:spacing w:before="120" w:after="120" w:line="360" w:lineRule="auto"/>
    </w:pPr>
    <w:rPr>
      <w:rFonts w:ascii="Arial" w:hAnsi="Arial" w:cs="Arial"/>
      <w:b/>
      <w:spacing w:val="-5"/>
      <w:szCs w:val="21"/>
      <w:lang w:eastAsia="en-US"/>
    </w:rPr>
  </w:style>
  <w:style w:type="paragraph" w:styleId="Nzov">
    <w:name w:val="Title"/>
    <w:basedOn w:val="Normlny"/>
    <w:link w:val="NzovChar"/>
    <w:qFormat/>
    <w:rsid w:val="002275F2"/>
    <w:pPr>
      <w:spacing w:after="280" w:line="280" w:lineRule="atLeast"/>
    </w:pPr>
    <w:rPr>
      <w:rFonts w:cs="Arial"/>
      <w:bCs/>
      <w:color w:val="0A55A3"/>
      <w:sz w:val="42"/>
      <w:szCs w:val="32"/>
      <w:lang w:eastAsia="en-US"/>
    </w:rPr>
  </w:style>
  <w:style w:type="character" w:customStyle="1" w:styleId="NzovChar">
    <w:name w:val="Názov Char"/>
    <w:basedOn w:val="Predvolenpsmoodseku"/>
    <w:link w:val="Nzov"/>
    <w:rsid w:val="0031064A"/>
    <w:rPr>
      <w:rFonts w:cs="Arial"/>
      <w:bCs/>
      <w:color w:val="0A55A3"/>
      <w:sz w:val="42"/>
      <w:szCs w:val="32"/>
      <w:lang w:val="sk-SK" w:eastAsia="en-US" w:bidi="ar-SA"/>
    </w:rPr>
  </w:style>
  <w:style w:type="paragraph" w:styleId="Podtitul">
    <w:name w:val="Subtitle"/>
    <w:basedOn w:val="Normlny"/>
    <w:link w:val="PodtitulChar"/>
    <w:uiPriority w:val="99"/>
    <w:qFormat/>
    <w:rsid w:val="002275F2"/>
    <w:pPr>
      <w:spacing w:after="280" w:line="280" w:lineRule="atLeast"/>
    </w:pPr>
    <w:rPr>
      <w:rFonts w:cs="Arial"/>
      <w:color w:val="0A55A3"/>
      <w:sz w:val="28"/>
      <w:lang w:eastAsia="en-US"/>
    </w:rPr>
  </w:style>
  <w:style w:type="character" w:customStyle="1" w:styleId="PodtitulChar">
    <w:name w:val="Podtitul Char"/>
    <w:basedOn w:val="Predvolenpsmoodseku"/>
    <w:link w:val="Podtitul"/>
    <w:uiPriority w:val="99"/>
    <w:rsid w:val="0031064A"/>
    <w:rPr>
      <w:rFonts w:cs="Arial"/>
      <w:color w:val="0A55A3"/>
      <w:sz w:val="28"/>
      <w:szCs w:val="24"/>
      <w:lang w:val="sk-SK" w:eastAsia="en-US" w:bidi="ar-SA"/>
    </w:rPr>
  </w:style>
  <w:style w:type="paragraph" w:customStyle="1" w:styleId="w">
    <w:name w:val="w"/>
    <w:basedOn w:val="Normlny"/>
    <w:uiPriority w:val="99"/>
    <w:rsid w:val="002275F2"/>
    <w:pPr>
      <w:overflowPunct w:val="0"/>
      <w:autoSpaceDE w:val="0"/>
      <w:autoSpaceDN w:val="0"/>
      <w:adjustRightInd w:val="0"/>
      <w:textAlignment w:val="baseline"/>
    </w:pPr>
    <w:rPr>
      <w:rFonts w:ascii="Century Gothic" w:hAnsi="Century Gothic"/>
      <w:b/>
      <w:color w:val="333399"/>
      <w:lang w:eastAsia="cs-CZ"/>
    </w:rPr>
  </w:style>
  <w:style w:type="paragraph" w:customStyle="1" w:styleId="00nad">
    <w:name w:val="00nad"/>
    <w:basedOn w:val="Normlny"/>
    <w:uiPriority w:val="99"/>
    <w:rsid w:val="002275F2"/>
    <w:pPr>
      <w:spacing w:before="240" w:after="60"/>
    </w:pPr>
    <w:rPr>
      <w:rFonts w:ascii="Arial" w:hAnsi="Arial"/>
      <w:b/>
      <w:sz w:val="21"/>
      <w:lang w:eastAsia="en-US"/>
    </w:rPr>
  </w:style>
  <w:style w:type="paragraph" w:customStyle="1" w:styleId="06nadI">
    <w:name w:val="06nad I"/>
    <w:basedOn w:val="00nad"/>
    <w:uiPriority w:val="99"/>
    <w:rsid w:val="002275F2"/>
    <w:pPr>
      <w:ind w:left="340"/>
    </w:pPr>
    <w:rPr>
      <w:i/>
    </w:rPr>
  </w:style>
  <w:style w:type="paragraph" w:customStyle="1" w:styleId="06ps">
    <w:name w:val="06pís"/>
    <w:basedOn w:val="Normlny"/>
    <w:uiPriority w:val="99"/>
    <w:rsid w:val="002275F2"/>
    <w:pPr>
      <w:tabs>
        <w:tab w:val="num" w:pos="432"/>
      </w:tabs>
      <w:ind w:left="432" w:hanging="432"/>
    </w:pPr>
    <w:rPr>
      <w:rFonts w:ascii="Arial" w:hAnsi="Arial"/>
      <w:lang w:eastAsia="en-US"/>
    </w:rPr>
  </w:style>
  <w:style w:type="paragraph" w:customStyle="1" w:styleId="06roz">
    <w:name w:val="06roz"/>
    <w:basedOn w:val="Normlny"/>
    <w:uiPriority w:val="99"/>
    <w:rsid w:val="002275F2"/>
    <w:pPr>
      <w:numPr>
        <w:numId w:val="2"/>
      </w:numPr>
    </w:pPr>
    <w:rPr>
      <w:rFonts w:ascii="Arial" w:hAnsi="Arial"/>
      <w:lang w:eastAsia="en-US"/>
    </w:rPr>
  </w:style>
  <w:style w:type="character" w:customStyle="1" w:styleId="06txtChar">
    <w:name w:val="06txt Char"/>
    <w:basedOn w:val="Predvolenpsmoodseku"/>
    <w:link w:val="06txt"/>
    <w:uiPriority w:val="99"/>
    <w:rsid w:val="002275F2"/>
    <w:rPr>
      <w:rFonts w:ascii="Arial" w:hAnsi="Arial"/>
      <w:sz w:val="22"/>
      <w:szCs w:val="24"/>
      <w:lang w:val="sk-SK" w:eastAsia="en-US" w:bidi="ar-SA"/>
    </w:rPr>
  </w:style>
  <w:style w:type="character" w:customStyle="1" w:styleId="12odrbodChar">
    <w:name w:val="12 odrbod Char"/>
    <w:basedOn w:val="Predvolenpsmoodseku"/>
    <w:uiPriority w:val="99"/>
    <w:rsid w:val="002275F2"/>
    <w:rPr>
      <w:rFonts w:ascii="Arial" w:hAnsi="Arial"/>
      <w:lang w:val="sk-SK" w:eastAsia="cs-CZ" w:bidi="ar-SA"/>
    </w:rPr>
  </w:style>
  <w:style w:type="paragraph" w:customStyle="1" w:styleId="06txtU">
    <w:name w:val="06txtU"/>
    <w:basedOn w:val="Normlny"/>
    <w:uiPriority w:val="99"/>
    <w:rsid w:val="002275F2"/>
    <w:pPr>
      <w:spacing w:before="120"/>
      <w:ind w:left="357"/>
    </w:pPr>
    <w:rPr>
      <w:rFonts w:ascii="Arial" w:hAnsi="Arial"/>
      <w:u w:val="single"/>
      <w:lang w:eastAsia="en-US"/>
    </w:rPr>
  </w:style>
  <w:style w:type="paragraph" w:customStyle="1" w:styleId="NormlnyBookmanOldStyle">
    <w:name w:val="Normálny + Bookman Old Style"/>
    <w:aliases w:val="Podľa okraja,Prvý riadok:  1,25 cm"/>
    <w:basedOn w:val="Normlnywebov"/>
    <w:uiPriority w:val="99"/>
    <w:rsid w:val="002275F2"/>
    <w:pPr>
      <w:spacing w:before="100" w:after="100"/>
    </w:pPr>
    <w:rPr>
      <w:rFonts w:ascii="Bookman Old Style" w:hAnsi="Bookman Old Style" w:cs="Arial"/>
      <w:sz w:val="20"/>
      <w:szCs w:val="20"/>
      <w:lang w:eastAsia="cs-CZ"/>
    </w:rPr>
  </w:style>
  <w:style w:type="paragraph" w:customStyle="1" w:styleId="Odstavecseseznamem">
    <w:name w:val="Odstavec se seznamem"/>
    <w:basedOn w:val="Normlny"/>
    <w:uiPriority w:val="99"/>
    <w:qFormat/>
    <w:rsid w:val="002275F2"/>
    <w:pPr>
      <w:framePr w:wrap="around" w:hAnchor="text"/>
      <w:ind w:left="720"/>
      <w:contextualSpacing/>
    </w:pPr>
    <w:rPr>
      <w:rFonts w:ascii="Arial" w:eastAsia="Arial" w:hAnsi="Arial"/>
      <w:szCs w:val="22"/>
      <w:lang w:eastAsia="en-US" w:bidi="en-US"/>
    </w:rPr>
  </w:style>
  <w:style w:type="paragraph" w:customStyle="1" w:styleId="CharChar11">
    <w:name w:val="Char Char11"/>
    <w:basedOn w:val="Normlny"/>
    <w:uiPriority w:val="99"/>
    <w:rsid w:val="002275F2"/>
    <w:pPr>
      <w:spacing w:after="160" w:line="240" w:lineRule="exact"/>
    </w:pPr>
    <w:rPr>
      <w:rFonts w:ascii="Tahoma" w:hAnsi="Tahoma" w:cs="Tahoma"/>
      <w:sz w:val="20"/>
      <w:szCs w:val="20"/>
      <w:lang w:eastAsia="en-US"/>
    </w:rPr>
  </w:style>
  <w:style w:type="paragraph" w:customStyle="1" w:styleId="CharCharCharChar">
    <w:name w:val="Char Char Char Char"/>
    <w:basedOn w:val="Normlny"/>
    <w:uiPriority w:val="99"/>
    <w:rsid w:val="002275F2"/>
    <w:pPr>
      <w:spacing w:after="160" w:line="240" w:lineRule="exact"/>
    </w:pPr>
    <w:rPr>
      <w:rFonts w:ascii="Tahoma" w:hAnsi="Tahoma" w:cs="Tahoma"/>
      <w:sz w:val="20"/>
      <w:szCs w:val="20"/>
      <w:lang w:eastAsia="en-US"/>
    </w:rPr>
  </w:style>
  <w:style w:type="paragraph" w:customStyle="1" w:styleId="tlPodaokrajaZa6pt">
    <w:name w:val="Štýl Podľa okraja Za:  6 pt"/>
    <w:basedOn w:val="Normlny"/>
    <w:uiPriority w:val="99"/>
    <w:rsid w:val="002275F2"/>
    <w:pPr>
      <w:spacing w:after="120"/>
    </w:pPr>
    <w:rPr>
      <w:szCs w:val="20"/>
      <w:lang w:eastAsia="cs-CZ"/>
    </w:rPr>
  </w:style>
  <w:style w:type="paragraph" w:customStyle="1" w:styleId="CharCharCharCharChar">
    <w:name w:val="Char Char Char Char Char"/>
    <w:basedOn w:val="Normlny"/>
    <w:uiPriority w:val="99"/>
    <w:rsid w:val="002275F2"/>
    <w:pPr>
      <w:spacing w:after="160" w:line="240" w:lineRule="exact"/>
    </w:pPr>
    <w:rPr>
      <w:rFonts w:ascii="Tahoma" w:hAnsi="Tahoma" w:cs="Tahoma"/>
      <w:sz w:val="20"/>
      <w:szCs w:val="20"/>
      <w:lang w:eastAsia="en-US"/>
    </w:rPr>
  </w:style>
  <w:style w:type="paragraph" w:customStyle="1" w:styleId="CharCharCharCharCharChar1CharChar">
    <w:name w:val="Char Char Char Char Char Char1 Char Char"/>
    <w:basedOn w:val="Normlny"/>
    <w:uiPriority w:val="99"/>
    <w:rsid w:val="002275F2"/>
    <w:pPr>
      <w:spacing w:after="160" w:line="240" w:lineRule="exact"/>
    </w:pPr>
    <w:rPr>
      <w:rFonts w:ascii="Tahoma" w:hAnsi="Tahoma" w:cs="Tahoma"/>
      <w:sz w:val="20"/>
      <w:szCs w:val="20"/>
      <w:lang w:eastAsia="en-US"/>
    </w:rPr>
  </w:style>
  <w:style w:type="paragraph" w:customStyle="1" w:styleId="aaaodstavecsprava0">
    <w:name w:val="aaaodstavecsprava"/>
    <w:basedOn w:val="Normlny"/>
    <w:uiPriority w:val="99"/>
    <w:rsid w:val="002275F2"/>
    <w:pPr>
      <w:spacing w:after="120"/>
      <w:ind w:firstLine="284"/>
    </w:pPr>
    <w:rPr>
      <w:sz w:val="28"/>
      <w:szCs w:val="28"/>
    </w:rPr>
  </w:style>
  <w:style w:type="paragraph" w:customStyle="1" w:styleId="tl10">
    <w:name w:val="tl1"/>
    <w:basedOn w:val="Normlny"/>
    <w:uiPriority w:val="99"/>
    <w:rsid w:val="002275F2"/>
  </w:style>
  <w:style w:type="character" w:customStyle="1" w:styleId="textmaincontent10">
    <w:name w:val="textmaincontent10"/>
    <w:basedOn w:val="Predvolenpsmoodseku"/>
    <w:uiPriority w:val="99"/>
    <w:rsid w:val="002275F2"/>
    <w:rPr>
      <w:color w:val="333333"/>
    </w:rPr>
  </w:style>
  <w:style w:type="paragraph" w:styleId="Textkomentra">
    <w:name w:val="annotation text"/>
    <w:basedOn w:val="Normlny"/>
    <w:link w:val="TextkomentraChar"/>
    <w:uiPriority w:val="99"/>
    <w:semiHidden/>
    <w:rsid w:val="002275F2"/>
    <w:rPr>
      <w:sz w:val="20"/>
      <w:szCs w:val="20"/>
    </w:rPr>
  </w:style>
  <w:style w:type="table" w:customStyle="1" w:styleId="Mkatabulky1">
    <w:name w:val="Mřížka tabulky1"/>
    <w:basedOn w:val="Normlnatabuka"/>
    <w:next w:val="Mriekatabuky"/>
    <w:uiPriority w:val="99"/>
    <w:rsid w:val="00227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rsid w:val="002275F2"/>
    <w:rPr>
      <w:b/>
      <w:bCs/>
    </w:rPr>
  </w:style>
  <w:style w:type="character" w:customStyle="1" w:styleId="PredmetkomentraChar">
    <w:name w:val="Predmet komentára Char"/>
    <w:basedOn w:val="CharChar2"/>
    <w:link w:val="Predmetkomentra"/>
    <w:uiPriority w:val="99"/>
    <w:semiHidden/>
    <w:rsid w:val="0031064A"/>
    <w:rPr>
      <w:rFonts w:ascii="Arial" w:hAnsi="Arial"/>
      <w:b/>
      <w:bCs/>
      <w:sz w:val="16"/>
      <w:lang w:val="sk-SK" w:eastAsia="sk-SK" w:bidi="ar-SA"/>
    </w:rPr>
  </w:style>
  <w:style w:type="character" w:customStyle="1" w:styleId="CharChar2">
    <w:name w:val="Char Char2"/>
    <w:basedOn w:val="Predvolenpsmoodseku"/>
    <w:uiPriority w:val="99"/>
    <w:semiHidden/>
    <w:rsid w:val="0097490B"/>
    <w:rPr>
      <w:rFonts w:ascii="Arial" w:hAnsi="Arial"/>
      <w:sz w:val="16"/>
      <w:lang w:val="sk-SK" w:eastAsia="cs-CZ" w:bidi="ar-SA"/>
    </w:rPr>
  </w:style>
  <w:style w:type="paragraph" w:customStyle="1" w:styleId="NormlnyHoreJednoduch">
    <w:name w:val="Normálny + Hore: (Jednoduché"/>
    <w:aliases w:val="Automatická,0,5 pt Šírka čiary)"/>
    <w:basedOn w:val="Normlny"/>
    <w:uiPriority w:val="99"/>
    <w:rsid w:val="002275F2"/>
    <w:pPr>
      <w:pBdr>
        <w:top w:val="single" w:sz="4" w:space="1" w:color="auto"/>
      </w:pBdr>
      <w:overflowPunct w:val="0"/>
      <w:autoSpaceDE w:val="0"/>
      <w:autoSpaceDN w:val="0"/>
      <w:adjustRightInd w:val="0"/>
      <w:textAlignment w:val="baseline"/>
    </w:pPr>
    <w:rPr>
      <w:sz w:val="20"/>
      <w:szCs w:val="20"/>
      <w:lang w:eastAsia="cs-CZ"/>
    </w:rPr>
  </w:style>
  <w:style w:type="paragraph" w:customStyle="1" w:styleId="nzovtabukyagrafu">
    <w:name w:val="názov tabuľky a grafu"/>
    <w:basedOn w:val="Normlny"/>
    <w:uiPriority w:val="99"/>
    <w:rsid w:val="002275F2"/>
    <w:pPr>
      <w:widowControl w:val="0"/>
      <w:overflowPunct w:val="0"/>
      <w:autoSpaceDE w:val="0"/>
      <w:autoSpaceDN w:val="0"/>
      <w:adjustRightInd w:val="0"/>
      <w:spacing w:after="120"/>
      <w:jc w:val="center"/>
      <w:textAlignment w:val="baseline"/>
    </w:pPr>
    <w:rPr>
      <w:b/>
      <w:sz w:val="21"/>
      <w:szCs w:val="20"/>
      <w:lang w:eastAsia="cs-CZ"/>
    </w:rPr>
  </w:style>
  <w:style w:type="paragraph" w:customStyle="1" w:styleId="zdrojpodtabulkouagrafmi">
    <w:name w:val="zdroj pod tabulkou a grafmi"/>
    <w:basedOn w:val="Normlny"/>
    <w:uiPriority w:val="99"/>
    <w:rsid w:val="002275F2"/>
    <w:pPr>
      <w:widowControl w:val="0"/>
      <w:overflowPunct w:val="0"/>
      <w:autoSpaceDE w:val="0"/>
      <w:autoSpaceDN w:val="0"/>
      <w:adjustRightInd w:val="0"/>
      <w:textAlignment w:val="baseline"/>
    </w:pPr>
    <w:rPr>
      <w:i/>
      <w:sz w:val="20"/>
      <w:szCs w:val="20"/>
      <w:lang w:eastAsia="cs-CZ"/>
    </w:rPr>
  </w:style>
  <w:style w:type="paragraph" w:styleId="truktradokumentu">
    <w:name w:val="Document Map"/>
    <w:basedOn w:val="Normlny"/>
    <w:link w:val="truktradokumentuChar"/>
    <w:uiPriority w:val="99"/>
    <w:semiHidden/>
    <w:rsid w:val="002275F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31064A"/>
    <w:rPr>
      <w:rFonts w:ascii="Tahoma" w:hAnsi="Tahoma" w:cs="Tahoma"/>
      <w:lang w:val="sk-SK" w:eastAsia="sk-SK" w:bidi="ar-SA"/>
    </w:rPr>
  </w:style>
  <w:style w:type="character" w:styleId="PouitHypertextovPrepojenie">
    <w:name w:val="FollowedHyperlink"/>
    <w:basedOn w:val="Predvolenpsmoodseku"/>
    <w:uiPriority w:val="99"/>
    <w:rsid w:val="002275F2"/>
    <w:rPr>
      <w:color w:val="800080"/>
      <w:u w:val="single"/>
    </w:rPr>
  </w:style>
  <w:style w:type="paragraph" w:customStyle="1" w:styleId="Char">
    <w:name w:val="Char"/>
    <w:basedOn w:val="Normlny"/>
    <w:uiPriority w:val="99"/>
    <w:rsid w:val="0031064A"/>
    <w:pPr>
      <w:tabs>
        <w:tab w:val="num" w:pos="567"/>
      </w:tabs>
      <w:spacing w:line="240" w:lineRule="exact"/>
      <w:ind w:left="567" w:hanging="567"/>
    </w:pPr>
    <w:rPr>
      <w:rFonts w:ascii="Times New Roman Bold" w:hAnsi="Times New Roman Bold"/>
      <w:b/>
      <w:sz w:val="26"/>
      <w:szCs w:val="26"/>
      <w:lang w:eastAsia="en-US"/>
    </w:rPr>
  </w:style>
  <w:style w:type="paragraph" w:customStyle="1" w:styleId="Default">
    <w:name w:val="Default"/>
    <w:uiPriority w:val="99"/>
    <w:rsid w:val="0031064A"/>
    <w:pPr>
      <w:autoSpaceDE w:val="0"/>
      <w:autoSpaceDN w:val="0"/>
      <w:adjustRightInd w:val="0"/>
    </w:pPr>
    <w:rPr>
      <w:rFonts w:ascii="Arial" w:hAnsi="Arial" w:cs="Arial"/>
      <w:color w:val="000000"/>
      <w:sz w:val="24"/>
      <w:szCs w:val="24"/>
      <w:lang w:val="sk-SK" w:eastAsia="sk-SK"/>
    </w:rPr>
  </w:style>
  <w:style w:type="paragraph" w:customStyle="1" w:styleId="NumPar1">
    <w:name w:val="NumPar 1"/>
    <w:basedOn w:val="Normlny"/>
    <w:next w:val="Normlny"/>
    <w:uiPriority w:val="99"/>
    <w:rsid w:val="0031064A"/>
    <w:pPr>
      <w:numPr>
        <w:numId w:val="3"/>
      </w:numPr>
      <w:tabs>
        <w:tab w:val="left" w:pos="851"/>
      </w:tabs>
      <w:spacing w:before="120" w:after="120"/>
    </w:pPr>
    <w:rPr>
      <w:lang w:val="en-GB" w:eastAsia="cs-CZ"/>
    </w:rPr>
  </w:style>
  <w:style w:type="character" w:customStyle="1" w:styleId="Heading2Char">
    <w:name w:val="Heading 2 Char"/>
    <w:basedOn w:val="Predvolenpsmoodseku"/>
    <w:uiPriority w:val="99"/>
    <w:locked/>
    <w:rsid w:val="00866A27"/>
    <w:rPr>
      <w:rFonts w:ascii="Arial" w:eastAsia="Calibri" w:hAnsi="Arial" w:cs="Arial"/>
      <w:b/>
      <w:bCs/>
      <w:i/>
      <w:iCs/>
      <w:sz w:val="28"/>
      <w:szCs w:val="28"/>
      <w:lang w:val="sk-SK" w:eastAsia="cs-CZ" w:bidi="ar-SA"/>
    </w:rPr>
  </w:style>
  <w:style w:type="character" w:customStyle="1" w:styleId="Heading3Char">
    <w:name w:val="Heading 3 Char"/>
    <w:basedOn w:val="Predvolenpsmoodseku"/>
    <w:uiPriority w:val="99"/>
    <w:semiHidden/>
    <w:locked/>
    <w:rsid w:val="00866A27"/>
    <w:rPr>
      <w:rFonts w:ascii="Cambria" w:eastAsia="Calibri" w:hAnsi="Cambria"/>
      <w:b/>
      <w:bCs/>
      <w:color w:val="4F81BD"/>
      <w:sz w:val="24"/>
      <w:szCs w:val="24"/>
      <w:lang w:val="sk-SK" w:eastAsia="sk-SK" w:bidi="ar-SA"/>
    </w:rPr>
  </w:style>
  <w:style w:type="character" w:customStyle="1" w:styleId="Heading4Char">
    <w:name w:val="Heading 4 Char"/>
    <w:basedOn w:val="Predvolenpsmoodseku"/>
    <w:uiPriority w:val="99"/>
    <w:locked/>
    <w:rsid w:val="00866A27"/>
    <w:rPr>
      <w:rFonts w:eastAsia="Calibri"/>
      <w:b/>
      <w:bCs/>
      <w:sz w:val="28"/>
      <w:szCs w:val="28"/>
      <w:lang w:val="sk-SK" w:eastAsia="sk-SK" w:bidi="ar-SA"/>
    </w:rPr>
  </w:style>
  <w:style w:type="character" w:customStyle="1" w:styleId="PtaChar">
    <w:name w:val="Päta Char"/>
    <w:basedOn w:val="Predvolenpsmoodseku"/>
    <w:link w:val="Pta"/>
    <w:uiPriority w:val="99"/>
    <w:locked/>
    <w:rsid w:val="00866A27"/>
    <w:rPr>
      <w:sz w:val="24"/>
      <w:szCs w:val="24"/>
      <w:lang w:val="sk-SK" w:eastAsia="cs-CZ" w:bidi="ar-SA"/>
    </w:rPr>
  </w:style>
  <w:style w:type="character" w:customStyle="1" w:styleId="BalloonTextChar">
    <w:name w:val="Balloon Text Char"/>
    <w:basedOn w:val="Predvolenpsmoodseku"/>
    <w:uiPriority w:val="99"/>
    <w:semiHidden/>
    <w:locked/>
    <w:rsid w:val="00866A27"/>
    <w:rPr>
      <w:rFonts w:ascii="Tahoma" w:eastAsia="Calibri" w:hAnsi="Tahoma" w:cs="Tahoma"/>
      <w:sz w:val="16"/>
      <w:szCs w:val="16"/>
      <w:lang w:val="sk-SK" w:eastAsia="sk-SK" w:bidi="ar-SA"/>
    </w:rPr>
  </w:style>
  <w:style w:type="character" w:customStyle="1" w:styleId="BodyTextIndentChar">
    <w:name w:val="Body Text Indent Char"/>
    <w:basedOn w:val="Predvolenpsmoodseku"/>
    <w:uiPriority w:val="99"/>
    <w:semiHidden/>
    <w:locked/>
    <w:rsid w:val="00866A27"/>
    <w:rPr>
      <w:rFonts w:eastAsia="Calibri"/>
      <w:sz w:val="24"/>
      <w:szCs w:val="24"/>
      <w:lang w:val="sk-SK" w:eastAsia="sk-SK" w:bidi="ar-SA"/>
    </w:rPr>
  </w:style>
  <w:style w:type="paragraph" w:customStyle="1" w:styleId="Zkladntext1">
    <w:name w:val="Základní text1"/>
    <w:basedOn w:val="Normlny"/>
    <w:uiPriority w:val="99"/>
    <w:rsid w:val="00866A27"/>
    <w:pPr>
      <w:widowControl w:val="0"/>
      <w:spacing w:line="360" w:lineRule="auto"/>
    </w:pPr>
  </w:style>
  <w:style w:type="paragraph" w:customStyle="1" w:styleId="Nad-normtext">
    <w:name w:val="Nad - norm text"/>
    <w:basedOn w:val="Normlny"/>
    <w:autoRedefine/>
    <w:uiPriority w:val="99"/>
    <w:rsid w:val="00866A27"/>
    <w:pPr>
      <w:spacing w:after="240"/>
    </w:pPr>
    <w:rPr>
      <w:bCs/>
      <w:i/>
      <w:color w:val="000000"/>
      <w:sz w:val="18"/>
      <w:szCs w:val="18"/>
      <w:lang w:eastAsia="cs-CZ"/>
    </w:rPr>
  </w:style>
  <w:style w:type="character" w:customStyle="1" w:styleId="textmaincontent1">
    <w:name w:val="textmaincontent1"/>
    <w:basedOn w:val="Predvolenpsmoodseku"/>
    <w:uiPriority w:val="99"/>
    <w:rsid w:val="00866A27"/>
    <w:rPr>
      <w:rFonts w:cs="Times New Roman"/>
      <w:color w:val="333333"/>
    </w:rPr>
  </w:style>
  <w:style w:type="paragraph" w:customStyle="1" w:styleId="xl24">
    <w:name w:val="xl24"/>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5">
    <w:name w:val="xl25"/>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6">
    <w:name w:val="xl26"/>
    <w:basedOn w:val="Normlny"/>
    <w:uiPriority w:val="99"/>
    <w:rsid w:val="00866A27"/>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7">
    <w:name w:val="xl27"/>
    <w:basedOn w:val="Normlny"/>
    <w:uiPriority w:val="99"/>
    <w:rsid w:val="00866A2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8">
    <w:name w:val="xl28"/>
    <w:basedOn w:val="Normlny"/>
    <w:uiPriority w:val="99"/>
    <w:rsid w:val="00866A2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9">
    <w:name w:val="xl29"/>
    <w:basedOn w:val="Normlny"/>
    <w:uiPriority w:val="99"/>
    <w:rsid w:val="00866A2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30">
    <w:name w:val="xl30"/>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FF0000"/>
      <w:lang w:val="en-US" w:eastAsia="en-US"/>
    </w:rPr>
  </w:style>
  <w:style w:type="paragraph" w:customStyle="1" w:styleId="xl31">
    <w:name w:val="xl31"/>
    <w:basedOn w:val="Normlny"/>
    <w:uiPriority w:val="99"/>
    <w:rsid w:val="00866A27"/>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color w:val="FF0000"/>
      <w:lang w:val="en-US" w:eastAsia="en-US"/>
    </w:rPr>
  </w:style>
  <w:style w:type="paragraph" w:customStyle="1" w:styleId="xl32">
    <w:name w:val="xl32"/>
    <w:basedOn w:val="Normlny"/>
    <w:uiPriority w:val="99"/>
    <w:rsid w:val="00866A27"/>
    <w:pPr>
      <w:pBdr>
        <w:top w:val="single" w:sz="4" w:space="0" w:color="auto"/>
        <w:left w:val="single" w:sz="8" w:space="0" w:color="auto"/>
        <w:right w:val="single" w:sz="4" w:space="0" w:color="auto"/>
      </w:pBdr>
      <w:spacing w:before="100" w:beforeAutospacing="1" w:after="100" w:afterAutospacing="1"/>
      <w:textAlignment w:val="top"/>
    </w:pPr>
    <w:rPr>
      <w:color w:val="FF0000"/>
      <w:lang w:val="en-US" w:eastAsia="en-US"/>
    </w:rPr>
  </w:style>
  <w:style w:type="paragraph" w:customStyle="1" w:styleId="xl33">
    <w:name w:val="xl33"/>
    <w:basedOn w:val="Normlny"/>
    <w:uiPriority w:val="99"/>
    <w:rsid w:val="00866A27"/>
    <w:pPr>
      <w:pBdr>
        <w:top w:val="single" w:sz="8" w:space="0" w:color="auto"/>
        <w:left w:val="single" w:sz="4" w:space="0" w:color="auto"/>
        <w:right w:val="single" w:sz="4" w:space="0" w:color="auto"/>
      </w:pBdr>
      <w:spacing w:before="100" w:beforeAutospacing="1" w:after="100" w:afterAutospacing="1"/>
    </w:pPr>
    <w:rPr>
      <w:rFonts w:ascii="Arial Unicode MS" w:hAnsi="Arial Unicode MS"/>
      <w:lang w:val="en-US" w:eastAsia="en-US"/>
    </w:rPr>
  </w:style>
  <w:style w:type="paragraph" w:customStyle="1" w:styleId="xl34">
    <w:name w:val="xl34"/>
    <w:basedOn w:val="Normlny"/>
    <w:uiPriority w:val="99"/>
    <w:rsid w:val="00866A27"/>
    <w:pPr>
      <w:pBdr>
        <w:top w:val="single" w:sz="8" w:space="0" w:color="auto"/>
        <w:left w:val="single" w:sz="4" w:space="0" w:color="auto"/>
        <w:right w:val="single" w:sz="8" w:space="0" w:color="auto"/>
      </w:pBdr>
      <w:spacing w:before="100" w:beforeAutospacing="1" w:after="100" w:afterAutospacing="1"/>
    </w:pPr>
    <w:rPr>
      <w:rFonts w:ascii="Arial Unicode MS" w:hAnsi="Arial Unicode MS"/>
      <w:lang w:val="en-US" w:eastAsia="en-US"/>
    </w:rPr>
  </w:style>
  <w:style w:type="paragraph" w:customStyle="1" w:styleId="xl35">
    <w:name w:val="xl35"/>
    <w:basedOn w:val="Normlny"/>
    <w:uiPriority w:val="99"/>
    <w:rsid w:val="00866A27"/>
    <w:pPr>
      <w:pBdr>
        <w:top w:val="single" w:sz="8" w:space="0" w:color="auto"/>
        <w:left w:val="single" w:sz="8" w:space="0" w:color="auto"/>
        <w:right w:val="single" w:sz="4" w:space="0" w:color="auto"/>
      </w:pBdr>
      <w:shd w:val="clear" w:color="auto" w:fill="FFFF00"/>
      <w:spacing w:before="100" w:beforeAutospacing="1" w:after="100" w:afterAutospacing="1"/>
    </w:pPr>
    <w:rPr>
      <w:b/>
      <w:bCs/>
      <w:lang w:val="en-US" w:eastAsia="en-US"/>
    </w:rPr>
  </w:style>
  <w:style w:type="paragraph" w:customStyle="1" w:styleId="xl36">
    <w:name w:val="xl36"/>
    <w:basedOn w:val="Normlny"/>
    <w:uiPriority w:val="99"/>
    <w:rsid w:val="00866A27"/>
    <w:pPr>
      <w:pBdr>
        <w:top w:val="single" w:sz="8" w:space="0" w:color="auto"/>
        <w:left w:val="single" w:sz="4" w:space="0" w:color="auto"/>
        <w:right w:val="single" w:sz="4" w:space="0" w:color="auto"/>
      </w:pBdr>
      <w:shd w:val="clear" w:color="auto" w:fill="FFFF00"/>
      <w:spacing w:before="100" w:beforeAutospacing="1" w:after="100" w:afterAutospacing="1"/>
    </w:pPr>
    <w:rPr>
      <w:b/>
      <w:bCs/>
      <w:lang w:val="en-US" w:eastAsia="en-US"/>
    </w:rPr>
  </w:style>
  <w:style w:type="paragraph" w:customStyle="1" w:styleId="xl37">
    <w:name w:val="xl37"/>
    <w:basedOn w:val="Normlny"/>
    <w:uiPriority w:val="99"/>
    <w:rsid w:val="00866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38">
    <w:name w:val="xl38"/>
    <w:basedOn w:val="Normlny"/>
    <w:uiPriority w:val="99"/>
    <w:rsid w:val="00866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39">
    <w:name w:val="xl39"/>
    <w:basedOn w:val="Normlny"/>
    <w:uiPriority w:val="99"/>
    <w:rsid w:val="00866A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0">
    <w:name w:val="xl40"/>
    <w:basedOn w:val="Normlny"/>
    <w:uiPriority w:val="99"/>
    <w:rsid w:val="00866A27"/>
    <w:pPr>
      <w:pBdr>
        <w:top w:val="single" w:sz="4" w:space="0" w:color="auto"/>
        <w:left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1">
    <w:name w:val="xl41"/>
    <w:basedOn w:val="Normlny"/>
    <w:uiPriority w:val="99"/>
    <w:rsid w:val="00866A27"/>
    <w:pPr>
      <w:pBdr>
        <w:top w:val="single" w:sz="4" w:space="0" w:color="auto"/>
        <w:left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2">
    <w:name w:val="xl42"/>
    <w:basedOn w:val="Normlny"/>
    <w:uiPriority w:val="99"/>
    <w:rsid w:val="00866A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3">
    <w:name w:val="xl43"/>
    <w:basedOn w:val="Normlny"/>
    <w:uiPriority w:val="99"/>
    <w:rsid w:val="00866A2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4">
    <w:name w:val="xl44"/>
    <w:basedOn w:val="Normlny"/>
    <w:uiPriority w:val="99"/>
    <w:rsid w:val="00866A27"/>
    <w:pPr>
      <w:pBdr>
        <w:top w:val="single" w:sz="4" w:space="0" w:color="auto"/>
        <w:left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5">
    <w:name w:val="xl45"/>
    <w:basedOn w:val="Normlny"/>
    <w:uiPriority w:val="99"/>
    <w:rsid w:val="00866A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2"/>
      <w:lang w:val="en-US" w:eastAsia="en-US"/>
    </w:rPr>
  </w:style>
  <w:style w:type="numbering" w:styleId="111111">
    <w:name w:val="Outline List 2"/>
    <w:basedOn w:val="Bezzoznamu"/>
    <w:uiPriority w:val="99"/>
    <w:rsid w:val="00866A27"/>
    <w:pPr>
      <w:numPr>
        <w:numId w:val="4"/>
      </w:numPr>
    </w:pPr>
  </w:style>
  <w:style w:type="paragraph" w:customStyle="1" w:styleId="xl46">
    <w:name w:val="xl46"/>
    <w:basedOn w:val="Normlny"/>
    <w:uiPriority w:val="99"/>
    <w:rsid w:val="00866A27"/>
    <w:pPr>
      <w:pBdr>
        <w:right w:val="single" w:sz="4" w:space="0" w:color="auto"/>
      </w:pBdr>
      <w:spacing w:before="100" w:beforeAutospacing="1" w:after="100" w:afterAutospacing="1"/>
      <w:jc w:val="center"/>
    </w:pPr>
    <w:rPr>
      <w:rFonts w:ascii="Arial" w:hAnsi="Arial" w:cs="Arial"/>
      <w:b/>
      <w:bCs/>
      <w:sz w:val="16"/>
      <w:szCs w:val="16"/>
    </w:rPr>
  </w:style>
  <w:style w:type="paragraph" w:customStyle="1" w:styleId="xl47">
    <w:name w:val="xl47"/>
    <w:basedOn w:val="Normlny"/>
    <w:uiPriority w:val="99"/>
    <w:rsid w:val="00866A27"/>
    <w:pPr>
      <w:pBdr>
        <w:top w:val="single" w:sz="4" w:space="0" w:color="auto"/>
        <w:left w:val="single" w:sz="4" w:space="0" w:color="auto"/>
      </w:pBdr>
      <w:spacing w:before="100" w:beforeAutospacing="1" w:after="100" w:afterAutospacing="1"/>
    </w:pPr>
    <w:rPr>
      <w:rFonts w:ascii="Arial" w:hAnsi="Arial" w:cs="Arial"/>
      <w:b/>
      <w:bCs/>
      <w:sz w:val="16"/>
      <w:szCs w:val="16"/>
    </w:rPr>
  </w:style>
  <w:style w:type="paragraph" w:customStyle="1" w:styleId="xl48">
    <w:name w:val="xl48"/>
    <w:basedOn w:val="Normlny"/>
    <w:uiPriority w:val="99"/>
    <w:rsid w:val="00866A27"/>
    <w:pPr>
      <w:pBdr>
        <w:top w:val="single" w:sz="4" w:space="0" w:color="auto"/>
      </w:pBdr>
      <w:spacing w:before="100" w:beforeAutospacing="1" w:after="100" w:afterAutospacing="1"/>
    </w:pPr>
    <w:rPr>
      <w:rFonts w:ascii="Arial" w:hAnsi="Arial" w:cs="Arial"/>
      <w:b/>
      <w:bCs/>
      <w:sz w:val="16"/>
      <w:szCs w:val="16"/>
    </w:rPr>
  </w:style>
  <w:style w:type="paragraph" w:customStyle="1" w:styleId="xl49">
    <w:name w:val="xl49"/>
    <w:basedOn w:val="Normlny"/>
    <w:uiPriority w:val="99"/>
    <w:rsid w:val="00866A27"/>
    <w:pPr>
      <w:pBdr>
        <w:top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50">
    <w:name w:val="xl50"/>
    <w:basedOn w:val="Normlny"/>
    <w:uiPriority w:val="99"/>
    <w:rsid w:val="00866A27"/>
    <w:pPr>
      <w:pBdr>
        <w:left w:val="single" w:sz="4" w:space="0" w:color="auto"/>
      </w:pBdr>
      <w:spacing w:before="100" w:beforeAutospacing="1" w:after="100" w:afterAutospacing="1"/>
    </w:pPr>
    <w:rPr>
      <w:rFonts w:ascii="Arial" w:hAnsi="Arial" w:cs="Arial"/>
      <w:b/>
      <w:bCs/>
      <w:sz w:val="16"/>
      <w:szCs w:val="16"/>
    </w:rPr>
  </w:style>
  <w:style w:type="paragraph" w:customStyle="1" w:styleId="xl51">
    <w:name w:val="xl51"/>
    <w:basedOn w:val="Normlny"/>
    <w:uiPriority w:val="99"/>
    <w:rsid w:val="00866A27"/>
    <w:pPr>
      <w:spacing w:before="100" w:beforeAutospacing="1" w:after="100" w:afterAutospacing="1"/>
    </w:pPr>
    <w:rPr>
      <w:rFonts w:ascii="Arial" w:hAnsi="Arial" w:cs="Arial"/>
      <w:b/>
      <w:bCs/>
      <w:sz w:val="16"/>
      <w:szCs w:val="16"/>
    </w:rPr>
  </w:style>
  <w:style w:type="paragraph" w:customStyle="1" w:styleId="xl52">
    <w:name w:val="xl52"/>
    <w:basedOn w:val="Normlny"/>
    <w:uiPriority w:val="99"/>
    <w:rsid w:val="00866A27"/>
    <w:pPr>
      <w:pBdr>
        <w:right w:val="single" w:sz="8" w:space="0" w:color="auto"/>
      </w:pBdr>
      <w:spacing w:before="100" w:beforeAutospacing="1" w:after="100" w:afterAutospacing="1"/>
    </w:pPr>
    <w:rPr>
      <w:rFonts w:ascii="Arial" w:hAnsi="Arial" w:cs="Arial"/>
      <w:b/>
      <w:bCs/>
      <w:sz w:val="16"/>
      <w:szCs w:val="16"/>
    </w:rPr>
  </w:style>
  <w:style w:type="paragraph" w:customStyle="1" w:styleId="xl53">
    <w:name w:val="xl53"/>
    <w:basedOn w:val="Normlny"/>
    <w:uiPriority w:val="99"/>
    <w:rsid w:val="00866A27"/>
    <w:pPr>
      <w:spacing w:before="100" w:beforeAutospacing="1" w:after="100" w:afterAutospacing="1"/>
      <w:jc w:val="center"/>
    </w:pPr>
    <w:rPr>
      <w:rFonts w:ascii="Arial" w:hAnsi="Arial" w:cs="Arial"/>
      <w:b/>
      <w:bCs/>
      <w:sz w:val="16"/>
      <w:szCs w:val="16"/>
    </w:rPr>
  </w:style>
  <w:style w:type="paragraph" w:customStyle="1" w:styleId="xl54">
    <w:name w:val="xl54"/>
    <w:basedOn w:val="Normlny"/>
    <w:uiPriority w:val="99"/>
    <w:rsid w:val="00866A2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Normlny"/>
    <w:uiPriority w:val="99"/>
    <w:rsid w:val="00866A27"/>
    <w:pPr>
      <w:pBdr>
        <w:top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Normlny"/>
    <w:uiPriority w:val="99"/>
    <w:rsid w:val="00866A2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7">
    <w:name w:val="xl57"/>
    <w:basedOn w:val="Normlny"/>
    <w:uiPriority w:val="99"/>
    <w:rsid w:val="00866A27"/>
    <w:pPr>
      <w:pBdr>
        <w:top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Normlny"/>
    <w:uiPriority w:val="99"/>
    <w:rsid w:val="00866A27"/>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Normlny"/>
    <w:uiPriority w:val="99"/>
    <w:rsid w:val="00866A27"/>
    <w:pPr>
      <w:pBdr>
        <w:right w:val="single" w:sz="8"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Normlny"/>
    <w:uiPriority w:val="99"/>
    <w:rsid w:val="00866A27"/>
    <w:pPr>
      <w:pBdr>
        <w:top w:val="single" w:sz="8" w:space="0" w:color="auto"/>
        <w:left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61">
    <w:name w:val="xl61"/>
    <w:basedOn w:val="Normlny"/>
    <w:uiPriority w:val="99"/>
    <w:rsid w:val="00866A27"/>
    <w:pPr>
      <w:pBdr>
        <w:top w:val="single" w:sz="8" w:space="0" w:color="auto"/>
        <w:left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62">
    <w:name w:val="xl62"/>
    <w:basedOn w:val="Normlny"/>
    <w:uiPriority w:val="99"/>
    <w:rsid w:val="00866A2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63">
    <w:name w:val="xl63"/>
    <w:basedOn w:val="Normlny"/>
    <w:uiPriority w:val="99"/>
    <w:rsid w:val="00866A2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64">
    <w:name w:val="xl64"/>
    <w:basedOn w:val="Normlny"/>
    <w:uiPriority w:val="99"/>
    <w:rsid w:val="00866A2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65">
    <w:name w:val="xl65"/>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6">
    <w:name w:val="xl66"/>
    <w:basedOn w:val="Normlny"/>
    <w:uiPriority w:val="99"/>
    <w:rsid w:val="00866A2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lny"/>
    <w:uiPriority w:val="99"/>
    <w:rsid w:val="00866A27"/>
    <w:pPr>
      <w:pBdr>
        <w:left w:val="single" w:sz="8"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Normlny"/>
    <w:uiPriority w:val="99"/>
    <w:rsid w:val="00866A27"/>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69">
    <w:name w:val="xl69"/>
    <w:basedOn w:val="Normlny"/>
    <w:uiPriority w:val="99"/>
    <w:rsid w:val="00866A27"/>
    <w:pPr>
      <w:pBdr>
        <w:left w:val="single" w:sz="4" w:space="0" w:color="auto"/>
        <w:right w:val="single" w:sz="8" w:space="0" w:color="auto"/>
      </w:pBdr>
      <w:spacing w:before="100" w:beforeAutospacing="1" w:after="100" w:afterAutospacing="1"/>
    </w:pPr>
    <w:rPr>
      <w:rFonts w:ascii="Arial" w:hAnsi="Arial" w:cs="Arial"/>
      <w:b/>
      <w:bCs/>
    </w:rPr>
  </w:style>
  <w:style w:type="paragraph" w:customStyle="1" w:styleId="xl70">
    <w:name w:val="xl70"/>
    <w:basedOn w:val="Normlny"/>
    <w:uiPriority w:val="99"/>
    <w:rsid w:val="00866A2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1">
    <w:name w:val="xl71"/>
    <w:basedOn w:val="Normlny"/>
    <w:uiPriority w:val="99"/>
    <w:rsid w:val="00866A27"/>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lny"/>
    <w:uiPriority w:val="99"/>
    <w:rsid w:val="00866A27"/>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3">
    <w:name w:val="xl73"/>
    <w:basedOn w:val="Normlny"/>
    <w:uiPriority w:val="99"/>
    <w:rsid w:val="00866A27"/>
    <w:pPr>
      <w:pBdr>
        <w:top w:val="single" w:sz="4" w:space="0" w:color="auto"/>
        <w:left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74">
    <w:name w:val="xl74"/>
    <w:basedOn w:val="Normlny"/>
    <w:uiPriority w:val="99"/>
    <w:rsid w:val="00866A2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5">
    <w:name w:val="xl75"/>
    <w:basedOn w:val="Normlny"/>
    <w:uiPriority w:val="99"/>
    <w:rsid w:val="00866A2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6">
    <w:name w:val="xl76"/>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lny"/>
    <w:uiPriority w:val="99"/>
    <w:rsid w:val="00866A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8">
    <w:name w:val="xl78"/>
    <w:basedOn w:val="Normlny"/>
    <w:uiPriority w:val="99"/>
    <w:rsid w:val="00866A2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9">
    <w:name w:val="xl79"/>
    <w:basedOn w:val="Normlny"/>
    <w:uiPriority w:val="99"/>
    <w:rsid w:val="00866A2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80">
    <w:name w:val="xl80"/>
    <w:basedOn w:val="Normlny"/>
    <w:uiPriority w:val="99"/>
    <w:rsid w:val="00866A2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lny"/>
    <w:uiPriority w:val="99"/>
    <w:rsid w:val="00866A2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2">
    <w:name w:val="xl82"/>
    <w:basedOn w:val="Normlny"/>
    <w:uiPriority w:val="99"/>
    <w:rsid w:val="00866A27"/>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3">
    <w:name w:val="xl83"/>
    <w:basedOn w:val="Normlny"/>
    <w:uiPriority w:val="99"/>
    <w:rsid w:val="00866A2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84">
    <w:name w:val="xl84"/>
    <w:basedOn w:val="Normlny"/>
    <w:uiPriority w:val="99"/>
    <w:rsid w:val="00866A2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5">
    <w:name w:val="xl85"/>
    <w:basedOn w:val="Normlny"/>
    <w:uiPriority w:val="99"/>
    <w:rsid w:val="00866A2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6">
    <w:name w:val="xl86"/>
    <w:basedOn w:val="Normlny"/>
    <w:uiPriority w:val="99"/>
    <w:rsid w:val="00866A2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87">
    <w:name w:val="xl87"/>
    <w:basedOn w:val="Normlny"/>
    <w:uiPriority w:val="99"/>
    <w:rsid w:val="00866A2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lny"/>
    <w:uiPriority w:val="99"/>
    <w:rsid w:val="00866A2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9">
    <w:name w:val="xl89"/>
    <w:basedOn w:val="Normlny"/>
    <w:uiPriority w:val="99"/>
    <w:rsid w:val="00866A27"/>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0">
    <w:name w:val="xl90"/>
    <w:basedOn w:val="Normlny"/>
    <w:uiPriority w:val="99"/>
    <w:rsid w:val="00866A27"/>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91">
    <w:name w:val="xl91"/>
    <w:basedOn w:val="Normlny"/>
    <w:uiPriority w:val="99"/>
    <w:rsid w:val="00866A27"/>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lny"/>
    <w:uiPriority w:val="99"/>
    <w:rsid w:val="00866A27"/>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lny"/>
    <w:uiPriority w:val="99"/>
    <w:rsid w:val="00866A27"/>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lny"/>
    <w:uiPriority w:val="99"/>
    <w:rsid w:val="00866A27"/>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5">
    <w:name w:val="xl95"/>
    <w:basedOn w:val="Normlny"/>
    <w:uiPriority w:val="99"/>
    <w:rsid w:val="00866A2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6">
    <w:name w:val="xl96"/>
    <w:basedOn w:val="Normlny"/>
    <w:uiPriority w:val="99"/>
    <w:rsid w:val="00866A27"/>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7">
    <w:name w:val="xl97"/>
    <w:basedOn w:val="Normlny"/>
    <w:uiPriority w:val="99"/>
    <w:rsid w:val="00866A27"/>
    <w:pPr>
      <w:pBdr>
        <w:right w:val="single" w:sz="8" w:space="0" w:color="auto"/>
      </w:pBdr>
      <w:spacing w:before="100" w:beforeAutospacing="1" w:after="100" w:afterAutospacing="1"/>
    </w:pPr>
  </w:style>
  <w:style w:type="paragraph" w:customStyle="1" w:styleId="xl98">
    <w:name w:val="xl98"/>
    <w:basedOn w:val="Normlny"/>
    <w:uiPriority w:val="99"/>
    <w:rsid w:val="00866A27"/>
    <w:pPr>
      <w:pBdr>
        <w:left w:val="single" w:sz="8" w:space="0" w:color="auto"/>
      </w:pBdr>
      <w:spacing w:before="100" w:beforeAutospacing="1" w:after="100" w:afterAutospacing="1"/>
    </w:pPr>
    <w:rPr>
      <w:rFonts w:ascii="Arial" w:hAnsi="Arial" w:cs="Arial"/>
      <w:b/>
      <w:bCs/>
    </w:rPr>
  </w:style>
  <w:style w:type="paragraph" w:customStyle="1" w:styleId="font5">
    <w:name w:val="font5"/>
    <w:basedOn w:val="Normlny"/>
    <w:uiPriority w:val="99"/>
    <w:rsid w:val="00866A27"/>
    <w:pPr>
      <w:spacing w:before="100" w:beforeAutospacing="1" w:after="100" w:afterAutospacing="1"/>
    </w:pPr>
    <w:rPr>
      <w:rFonts w:ascii="TimesNewRoman,Bold" w:hAnsi="TimesNewRoman,Bold"/>
      <w:b/>
      <w:bCs/>
      <w:sz w:val="20"/>
      <w:szCs w:val="20"/>
    </w:rPr>
  </w:style>
  <w:style w:type="paragraph" w:customStyle="1" w:styleId="font6">
    <w:name w:val="font6"/>
    <w:basedOn w:val="Normlny"/>
    <w:uiPriority w:val="99"/>
    <w:rsid w:val="00866A27"/>
    <w:pPr>
      <w:spacing w:before="100" w:beforeAutospacing="1" w:after="100" w:afterAutospacing="1"/>
    </w:pPr>
    <w:rPr>
      <w:sz w:val="20"/>
      <w:szCs w:val="20"/>
    </w:rPr>
  </w:style>
  <w:style w:type="paragraph" w:customStyle="1" w:styleId="ListParagraph2">
    <w:name w:val="List Paragraph2"/>
    <w:basedOn w:val="Normlny"/>
    <w:uiPriority w:val="99"/>
    <w:rsid w:val="00F72393"/>
    <w:pPr>
      <w:spacing w:after="200" w:line="276" w:lineRule="auto"/>
      <w:ind w:left="720"/>
      <w:contextualSpacing/>
    </w:pPr>
    <w:rPr>
      <w:rFonts w:ascii="Calibri" w:hAnsi="Calibri"/>
      <w:szCs w:val="22"/>
      <w:lang w:eastAsia="en-US"/>
    </w:rPr>
  </w:style>
  <w:style w:type="paragraph" w:customStyle="1" w:styleId="CharCharCharCharCharCharCharCharCharCharCharCharCharCharCharCharCharChar1CharCharChar">
    <w:name w:val="Char Char Char Char Char Char Char Char Char Char Char Char Char Char Char Char Char Char1 Char Char Char"/>
    <w:basedOn w:val="Normlny"/>
    <w:uiPriority w:val="99"/>
    <w:rsid w:val="00F72393"/>
    <w:pPr>
      <w:spacing w:after="160" w:line="240" w:lineRule="exact"/>
    </w:pPr>
    <w:rPr>
      <w:rFonts w:ascii="Tahoma" w:hAnsi="Tahoma" w:cs="Tahoma"/>
      <w:sz w:val="20"/>
      <w:szCs w:val="20"/>
      <w:lang w:val="en-US" w:eastAsia="en-US"/>
    </w:rPr>
  </w:style>
  <w:style w:type="paragraph" w:customStyle="1" w:styleId="Normlnysozarkami1">
    <w:name w:val="Normálny so zarážkami1"/>
    <w:basedOn w:val="Normlny"/>
    <w:link w:val="normalindentChar"/>
    <w:uiPriority w:val="99"/>
    <w:qFormat/>
    <w:rsid w:val="000A5D03"/>
    <w:pPr>
      <w:ind w:firstLine="357"/>
    </w:pPr>
  </w:style>
  <w:style w:type="character" w:styleId="Zvraznenie">
    <w:name w:val="Emphasis"/>
    <w:basedOn w:val="Predvolenpsmoodseku"/>
    <w:uiPriority w:val="99"/>
    <w:qFormat/>
    <w:rsid w:val="00294584"/>
    <w:rPr>
      <w:i/>
      <w:iCs/>
    </w:rPr>
  </w:style>
  <w:style w:type="paragraph" w:customStyle="1" w:styleId="06txt">
    <w:name w:val="06txt"/>
    <w:basedOn w:val="Normlny"/>
    <w:link w:val="06txtChar"/>
    <w:uiPriority w:val="99"/>
    <w:rsid w:val="00C4428B"/>
    <w:pPr>
      <w:ind w:left="357"/>
    </w:pPr>
    <w:rPr>
      <w:rFonts w:ascii="Arial" w:hAnsi="Arial"/>
      <w:lang w:eastAsia="en-US"/>
    </w:rPr>
  </w:style>
  <w:style w:type="paragraph" w:customStyle="1" w:styleId="priornaz">
    <w:name w:val="prior naz"/>
    <w:uiPriority w:val="99"/>
    <w:rsid w:val="00C4428B"/>
    <w:pPr>
      <w:spacing w:after="120"/>
      <w:ind w:left="357"/>
      <w:jc w:val="both"/>
    </w:pPr>
    <w:rPr>
      <w:rFonts w:ascii="Arial" w:hAnsi="Arial"/>
      <w:b/>
      <w:bCs/>
      <w:i/>
      <w:lang w:val="sk-SK" w:eastAsia="cs-CZ"/>
    </w:rPr>
  </w:style>
  <w:style w:type="paragraph" w:customStyle="1" w:styleId="00txtbold">
    <w:name w:val="00txt bold"/>
    <w:basedOn w:val="Normlny"/>
    <w:uiPriority w:val="99"/>
    <w:rsid w:val="00C4428B"/>
    <w:pPr>
      <w:spacing w:before="60" w:after="60"/>
    </w:pPr>
    <w:rPr>
      <w:rFonts w:ascii="Arial" w:hAnsi="Arial"/>
      <w:b/>
      <w:sz w:val="20"/>
      <w:szCs w:val="20"/>
      <w:lang w:eastAsia="cs-CZ"/>
    </w:rPr>
  </w:style>
  <w:style w:type="character" w:customStyle="1" w:styleId="Textpoznmkypodiarou007Char">
    <w:name w:val="Text poznámky pod čiarou 007 Char"/>
    <w:aliases w:val="_Poznámka pod čiarou Char Char,Footnote Text Char,Text poznámky pod čiarou 007 Char2,Footnote Text Char3,Text poznámky pod čiarou 007 Char21"/>
    <w:basedOn w:val="Predvolenpsmoodseku"/>
    <w:uiPriority w:val="99"/>
    <w:semiHidden/>
    <w:locked/>
    <w:rsid w:val="00C4428B"/>
    <w:rPr>
      <w:rFonts w:ascii="Arial" w:hAnsi="Arial" w:cs="Arial"/>
      <w:lang w:val="sk-SK" w:eastAsia="en-US" w:bidi="ar-SA"/>
    </w:rPr>
  </w:style>
  <w:style w:type="paragraph" w:customStyle="1" w:styleId="AuthorLabel">
    <w:name w:val="AuthorLabel"/>
    <w:basedOn w:val="Normlny"/>
    <w:next w:val="Normlny"/>
    <w:uiPriority w:val="99"/>
    <w:rsid w:val="00DC375E"/>
    <w:pPr>
      <w:spacing w:after="120"/>
      <w:jc w:val="center"/>
    </w:pPr>
    <w:rPr>
      <w:b/>
      <w:noProof/>
      <w:szCs w:val="20"/>
      <w:lang w:val="de-DE" w:eastAsia="de-DE"/>
    </w:rPr>
  </w:style>
  <w:style w:type="paragraph" w:customStyle="1" w:styleId="Subtheme">
    <w:name w:val="Subtheme"/>
    <w:basedOn w:val="Normlny"/>
    <w:next w:val="AuthorLabel"/>
    <w:rsid w:val="00DC375E"/>
    <w:pPr>
      <w:spacing w:after="120"/>
    </w:pPr>
    <w:rPr>
      <w:b/>
      <w:noProof/>
      <w:szCs w:val="20"/>
      <w:lang w:val="de-DE" w:eastAsia="de-DE"/>
    </w:rPr>
  </w:style>
  <w:style w:type="character" w:customStyle="1" w:styleId="longtext">
    <w:name w:val="long_text"/>
    <w:basedOn w:val="Predvolenpsmoodseku"/>
    <w:uiPriority w:val="99"/>
    <w:rsid w:val="00445B7C"/>
  </w:style>
  <w:style w:type="table" w:styleId="Motvtabuky">
    <w:name w:val="Table Theme"/>
    <w:basedOn w:val="Normlnatabuka"/>
    <w:uiPriority w:val="99"/>
    <w:rsid w:val="00445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Predvolenpsmoodseku"/>
    <w:uiPriority w:val="99"/>
    <w:locked/>
    <w:rsid w:val="00E612A9"/>
    <w:rPr>
      <w:rFonts w:ascii="Cambria" w:hAnsi="Cambria" w:cs="Times New Roman"/>
      <w:color w:val="243F60"/>
    </w:rPr>
  </w:style>
  <w:style w:type="character" w:styleId="Odkaznakomentr">
    <w:name w:val="annotation reference"/>
    <w:basedOn w:val="Predvolenpsmoodseku"/>
    <w:uiPriority w:val="99"/>
    <w:semiHidden/>
    <w:rsid w:val="00E612A9"/>
    <w:rPr>
      <w:rFonts w:cs="Times New Roman"/>
      <w:sz w:val="16"/>
      <w:szCs w:val="16"/>
    </w:rPr>
  </w:style>
  <w:style w:type="character" w:customStyle="1" w:styleId="TextkomentraChar">
    <w:name w:val="Text komentára Char"/>
    <w:basedOn w:val="Predvolenpsmoodseku"/>
    <w:link w:val="Textkomentra"/>
    <w:uiPriority w:val="99"/>
    <w:semiHidden/>
    <w:locked/>
    <w:rsid w:val="00E612A9"/>
    <w:rPr>
      <w:lang w:val="sk-SK" w:eastAsia="sk-SK" w:bidi="ar-SA"/>
    </w:rPr>
  </w:style>
  <w:style w:type="character" w:customStyle="1" w:styleId="CommentSubjectChar">
    <w:name w:val="Comment Subject Char"/>
    <w:basedOn w:val="TextkomentraChar"/>
    <w:uiPriority w:val="99"/>
    <w:semiHidden/>
    <w:locked/>
    <w:rsid w:val="00E612A9"/>
    <w:rPr>
      <w:b/>
      <w:bCs/>
      <w:lang w:val="sk-SK" w:eastAsia="sk-SK" w:bidi="ar-SA"/>
    </w:rPr>
  </w:style>
  <w:style w:type="character" w:customStyle="1" w:styleId="NoteHeadingChar">
    <w:name w:val="Note Heading Char"/>
    <w:basedOn w:val="Predvolenpsmoodseku"/>
    <w:uiPriority w:val="99"/>
    <w:locked/>
    <w:rsid w:val="00E612A9"/>
    <w:rPr>
      <w:rFonts w:ascii="Times New Roman" w:hAnsi="Times New Roman" w:cs="Times New Roman"/>
      <w:sz w:val="24"/>
      <w:szCs w:val="24"/>
      <w:lang w:eastAsia="sk-SK"/>
    </w:rPr>
  </w:style>
  <w:style w:type="paragraph" w:customStyle="1" w:styleId="Revision2">
    <w:name w:val="Revision2"/>
    <w:hidden/>
    <w:uiPriority w:val="99"/>
    <w:semiHidden/>
    <w:rsid w:val="00E612A9"/>
    <w:rPr>
      <w:rFonts w:ascii="Calibri" w:hAnsi="Calibri"/>
      <w:sz w:val="22"/>
      <w:szCs w:val="22"/>
      <w:lang w:val="sk-SK"/>
    </w:rPr>
  </w:style>
  <w:style w:type="paragraph" w:customStyle="1" w:styleId="Sprva-Nadpis1">
    <w:name w:val="Správa - Nadpis 1"/>
    <w:basedOn w:val="Normlny"/>
    <w:uiPriority w:val="99"/>
    <w:rsid w:val="00E612A9"/>
    <w:pPr>
      <w:numPr>
        <w:numId w:val="5"/>
      </w:numPr>
      <w:spacing w:after="360" w:line="288" w:lineRule="auto"/>
      <w:outlineLvl w:val="0"/>
    </w:pPr>
    <w:rPr>
      <w:b/>
      <w:smallCaps/>
      <w:sz w:val="28"/>
      <w:szCs w:val="28"/>
      <w:lang w:eastAsia="en-US"/>
    </w:rPr>
  </w:style>
  <w:style w:type="paragraph" w:customStyle="1" w:styleId="Sprva-Nadpis2">
    <w:name w:val="Správa - Nadpis 2"/>
    <w:basedOn w:val="Normlny"/>
    <w:next w:val="Normlny"/>
    <w:uiPriority w:val="99"/>
    <w:rsid w:val="00E612A9"/>
    <w:pPr>
      <w:keepNext/>
      <w:keepLines/>
      <w:numPr>
        <w:ilvl w:val="1"/>
        <w:numId w:val="5"/>
      </w:numPr>
      <w:spacing w:before="480" w:after="360" w:line="288" w:lineRule="auto"/>
      <w:ind w:firstLine="0"/>
      <w:outlineLvl w:val="1"/>
    </w:pPr>
    <w:rPr>
      <w:b/>
      <w:smallCaps/>
      <w:sz w:val="28"/>
      <w:szCs w:val="28"/>
      <w:lang w:eastAsia="en-US"/>
    </w:rPr>
  </w:style>
  <w:style w:type="paragraph" w:customStyle="1" w:styleId="Sprva-Nadpis3">
    <w:name w:val="Správa - Nadpis 3"/>
    <w:basedOn w:val="Normlny"/>
    <w:next w:val="Normlny"/>
    <w:uiPriority w:val="99"/>
    <w:rsid w:val="00E612A9"/>
    <w:pPr>
      <w:keepNext/>
      <w:keepLines/>
      <w:numPr>
        <w:ilvl w:val="2"/>
        <w:numId w:val="5"/>
      </w:numPr>
      <w:spacing w:before="240" w:after="240" w:line="288" w:lineRule="auto"/>
      <w:ind w:firstLine="0"/>
      <w:outlineLvl w:val="2"/>
    </w:pPr>
    <w:rPr>
      <w:b/>
      <w:lang w:eastAsia="en-US"/>
    </w:rPr>
  </w:style>
  <w:style w:type="paragraph" w:customStyle="1" w:styleId="bodytext1">
    <w:name w:val="bodytext1"/>
    <w:basedOn w:val="Normlny"/>
    <w:uiPriority w:val="99"/>
    <w:rsid w:val="00017D5E"/>
    <w:pPr>
      <w:spacing w:line="360" w:lineRule="auto"/>
    </w:pPr>
    <w:rPr>
      <w:rFonts w:ascii="Verdana" w:hAnsi="Verdana"/>
      <w:color w:val="333333"/>
      <w:sz w:val="17"/>
      <w:szCs w:val="17"/>
    </w:rPr>
  </w:style>
  <w:style w:type="paragraph" w:customStyle="1" w:styleId="06txtital">
    <w:name w:val="06 txt ital"/>
    <w:uiPriority w:val="99"/>
    <w:rsid w:val="00017D5E"/>
    <w:pPr>
      <w:spacing w:before="120"/>
      <w:ind w:left="357"/>
      <w:jc w:val="both"/>
    </w:pPr>
    <w:rPr>
      <w:rFonts w:ascii="Arial" w:hAnsi="Arial"/>
      <w:i/>
      <w:lang w:val="sk-SK" w:eastAsia="cs-CZ"/>
    </w:rPr>
  </w:style>
  <w:style w:type="paragraph" w:customStyle="1" w:styleId="06txt0">
    <w:name w:val="06 txt"/>
    <w:uiPriority w:val="99"/>
    <w:rsid w:val="00017D5E"/>
    <w:pPr>
      <w:spacing w:before="120"/>
      <w:ind w:left="357"/>
      <w:jc w:val="both"/>
    </w:pPr>
    <w:rPr>
      <w:rFonts w:ascii="Arial" w:hAnsi="Arial" w:cs="Arial"/>
      <w:lang w:val="sk-SK" w:eastAsia="cs-CZ"/>
    </w:rPr>
  </w:style>
  <w:style w:type="character" w:customStyle="1" w:styleId="FooterChar">
    <w:name w:val="Footer Char"/>
    <w:basedOn w:val="Predvolenpsmoodseku"/>
    <w:uiPriority w:val="99"/>
    <w:locked/>
    <w:rsid w:val="008359CA"/>
    <w:rPr>
      <w:rFonts w:cs="Times New Roman"/>
      <w:sz w:val="24"/>
      <w:szCs w:val="24"/>
      <w:lang w:val="sk-SK" w:eastAsia="cs-CZ" w:bidi="ar-SA"/>
    </w:rPr>
  </w:style>
  <w:style w:type="character" w:customStyle="1" w:styleId="CommentTextChar">
    <w:name w:val="Comment Text Char"/>
    <w:basedOn w:val="Predvolenpsmoodseku"/>
    <w:uiPriority w:val="99"/>
    <w:semiHidden/>
    <w:locked/>
    <w:rsid w:val="008359CA"/>
    <w:rPr>
      <w:rFonts w:cs="Times New Roman"/>
      <w:lang w:val="sk-SK" w:eastAsia="sk-SK" w:bidi="ar-SA"/>
    </w:rPr>
  </w:style>
  <w:style w:type="character" w:customStyle="1" w:styleId="Znakyprepoznmkupodiarou">
    <w:name w:val="Znaky pre poznámku pod čiarou"/>
    <w:basedOn w:val="Predvolenpsmoodseku"/>
    <w:uiPriority w:val="99"/>
    <w:rsid w:val="00B81405"/>
    <w:rPr>
      <w:vertAlign w:val="superscript"/>
    </w:rPr>
  </w:style>
  <w:style w:type="character" w:customStyle="1" w:styleId="PlaceholderText2">
    <w:name w:val="Placeholder Text2"/>
    <w:basedOn w:val="Predvolenpsmoodseku"/>
    <w:uiPriority w:val="99"/>
    <w:semiHidden/>
    <w:rsid w:val="00E03D0B"/>
    <w:rPr>
      <w:rFonts w:ascii="Times New Roman" w:hAnsi="Times New Roman" w:cs="Times New Roman" w:hint="default"/>
      <w:color w:val="808080"/>
    </w:rPr>
  </w:style>
  <w:style w:type="paragraph" w:customStyle="1" w:styleId="bodytext2">
    <w:name w:val="bodytext2"/>
    <w:basedOn w:val="Normlny"/>
    <w:uiPriority w:val="99"/>
    <w:rsid w:val="007A2BEE"/>
    <w:pPr>
      <w:spacing w:before="120"/>
      <w:ind w:firstLine="567"/>
    </w:pPr>
  </w:style>
  <w:style w:type="character" w:customStyle="1" w:styleId="Nadpis6Char">
    <w:name w:val="Nadpis 6 Char"/>
    <w:aliases w:val="Heading3 Char"/>
    <w:basedOn w:val="Predvolenpsmoodseku"/>
    <w:link w:val="Nadpis6"/>
    <w:uiPriority w:val="99"/>
    <w:locked/>
    <w:rsid w:val="003D4F15"/>
    <w:rPr>
      <w:rFonts w:ascii="Times New Roman Bold" w:hAnsi="Times New Roman Bold"/>
      <w:b/>
      <w:color w:val="4F81BD"/>
      <w:sz w:val="24"/>
      <w:lang w:val="sk-SK" w:eastAsia="cs-CZ"/>
    </w:rPr>
  </w:style>
  <w:style w:type="character" w:customStyle="1" w:styleId="Nadpis9Char">
    <w:name w:val="Nadpis 9 Char"/>
    <w:basedOn w:val="Predvolenpsmoodseku"/>
    <w:link w:val="Nadpis9"/>
    <w:uiPriority w:val="99"/>
    <w:locked/>
    <w:rsid w:val="000D14ED"/>
    <w:rPr>
      <w:rFonts w:ascii="Arial" w:hAnsi="Arial" w:cs="Arial"/>
      <w:sz w:val="22"/>
      <w:szCs w:val="22"/>
      <w:lang w:val="sk-SK" w:eastAsia="sk-SK"/>
    </w:rPr>
  </w:style>
  <w:style w:type="paragraph" w:customStyle="1" w:styleId="BodyText21">
    <w:name w:val="Body Text 21"/>
    <w:basedOn w:val="Normlny"/>
    <w:link w:val="BodyText21Char"/>
    <w:uiPriority w:val="99"/>
    <w:rsid w:val="000D14ED"/>
    <w:pPr>
      <w:widowControl w:val="0"/>
      <w:spacing w:before="120"/>
      <w:ind w:firstLine="567"/>
    </w:pPr>
    <w:rPr>
      <w:lang w:val="cs-CZ"/>
    </w:rPr>
  </w:style>
  <w:style w:type="paragraph" w:customStyle="1" w:styleId="NormalWeb1">
    <w:name w:val="Normal (Web)1"/>
    <w:basedOn w:val="Normlny"/>
    <w:uiPriority w:val="99"/>
    <w:rsid w:val="000D14ED"/>
    <w:pPr>
      <w:overflowPunct w:val="0"/>
      <w:autoSpaceDE w:val="0"/>
      <w:autoSpaceDN w:val="0"/>
      <w:adjustRightInd w:val="0"/>
      <w:spacing w:before="100" w:after="100"/>
      <w:textAlignment w:val="baseline"/>
    </w:pPr>
  </w:style>
  <w:style w:type="paragraph" w:customStyle="1" w:styleId="CharChar112">
    <w:name w:val="Char Char112"/>
    <w:basedOn w:val="Normlny"/>
    <w:uiPriority w:val="99"/>
    <w:rsid w:val="000D14ED"/>
    <w:pPr>
      <w:spacing w:after="160" w:line="240" w:lineRule="exact"/>
    </w:pPr>
    <w:rPr>
      <w:rFonts w:ascii="Tahoma" w:hAnsi="Tahoma" w:cs="Tahoma"/>
      <w:sz w:val="20"/>
      <w:szCs w:val="20"/>
      <w:lang w:eastAsia="en-US"/>
    </w:rPr>
  </w:style>
  <w:style w:type="paragraph" w:customStyle="1" w:styleId="CharCharCharChar2">
    <w:name w:val="Char Char Char Char2"/>
    <w:basedOn w:val="Normlny"/>
    <w:uiPriority w:val="99"/>
    <w:rsid w:val="000D14ED"/>
    <w:pPr>
      <w:spacing w:after="160" w:line="240" w:lineRule="exact"/>
    </w:pPr>
    <w:rPr>
      <w:rFonts w:ascii="Tahoma" w:hAnsi="Tahoma" w:cs="Tahoma"/>
      <w:sz w:val="20"/>
      <w:szCs w:val="20"/>
      <w:lang w:eastAsia="en-US"/>
    </w:rPr>
  </w:style>
  <w:style w:type="paragraph" w:customStyle="1" w:styleId="CharCharCharCharChar2">
    <w:name w:val="Char Char Char Char Char2"/>
    <w:basedOn w:val="Normlny"/>
    <w:uiPriority w:val="99"/>
    <w:rsid w:val="000D14ED"/>
    <w:pPr>
      <w:spacing w:after="160" w:line="240" w:lineRule="exact"/>
    </w:pPr>
    <w:rPr>
      <w:rFonts w:ascii="Tahoma" w:hAnsi="Tahoma" w:cs="Tahoma"/>
      <w:sz w:val="20"/>
      <w:szCs w:val="20"/>
      <w:lang w:eastAsia="en-US"/>
    </w:rPr>
  </w:style>
  <w:style w:type="paragraph" w:customStyle="1" w:styleId="CharCharCharCharCharChar1CharChar2">
    <w:name w:val="Char Char Char Char Char Char1 Char Char2"/>
    <w:basedOn w:val="Normlny"/>
    <w:uiPriority w:val="99"/>
    <w:rsid w:val="000D14ED"/>
    <w:pPr>
      <w:spacing w:after="160" w:line="240" w:lineRule="exact"/>
    </w:pPr>
    <w:rPr>
      <w:rFonts w:ascii="Tahoma" w:hAnsi="Tahoma" w:cs="Tahoma"/>
      <w:sz w:val="20"/>
      <w:szCs w:val="20"/>
      <w:lang w:eastAsia="en-US"/>
    </w:rPr>
  </w:style>
  <w:style w:type="character" w:customStyle="1" w:styleId="CharChar22">
    <w:name w:val="Char Char22"/>
    <w:basedOn w:val="Predvolenpsmoodseku"/>
    <w:uiPriority w:val="99"/>
    <w:semiHidden/>
    <w:rsid w:val="000D14ED"/>
    <w:rPr>
      <w:rFonts w:ascii="Arial" w:hAnsi="Arial" w:cs="Times New Roman"/>
      <w:sz w:val="16"/>
      <w:lang w:val="sk-SK" w:eastAsia="cs-CZ" w:bidi="ar-SA"/>
    </w:rPr>
  </w:style>
  <w:style w:type="paragraph" w:customStyle="1" w:styleId="ListParagraph1">
    <w:name w:val="List Paragraph1"/>
    <w:basedOn w:val="Normlny"/>
    <w:uiPriority w:val="99"/>
    <w:rsid w:val="000D14ED"/>
    <w:pPr>
      <w:spacing w:after="200" w:line="276" w:lineRule="auto"/>
      <w:ind w:left="720"/>
      <w:contextualSpacing/>
    </w:pPr>
    <w:rPr>
      <w:rFonts w:ascii="Calibri" w:hAnsi="Calibri"/>
      <w:szCs w:val="22"/>
      <w:lang w:eastAsia="en-US"/>
    </w:rPr>
  </w:style>
  <w:style w:type="character" w:customStyle="1" w:styleId="EmailStyle2411">
    <w:name w:val="EmailStyle2411"/>
    <w:basedOn w:val="Predvolenpsmoodseku"/>
    <w:uiPriority w:val="99"/>
    <w:semiHidden/>
    <w:rsid w:val="000D14ED"/>
    <w:rPr>
      <w:rFonts w:cs="Times New Roman"/>
      <w:color w:val="000000"/>
    </w:rPr>
  </w:style>
  <w:style w:type="paragraph" w:customStyle="1" w:styleId="Revision1">
    <w:name w:val="Revision1"/>
    <w:hidden/>
    <w:uiPriority w:val="99"/>
    <w:semiHidden/>
    <w:rsid w:val="000D14ED"/>
    <w:rPr>
      <w:rFonts w:ascii="Calibri" w:hAnsi="Calibri"/>
      <w:sz w:val="22"/>
      <w:szCs w:val="22"/>
      <w:lang w:val="sk-SK"/>
    </w:rPr>
  </w:style>
  <w:style w:type="character" w:customStyle="1" w:styleId="PlaceholderText1">
    <w:name w:val="Placeholder Text1"/>
    <w:basedOn w:val="Predvolenpsmoodseku"/>
    <w:uiPriority w:val="99"/>
    <w:semiHidden/>
    <w:rsid w:val="000D14ED"/>
    <w:rPr>
      <w:rFonts w:ascii="Times New Roman" w:hAnsi="Times New Roman" w:cs="Times New Roman"/>
      <w:color w:val="808080"/>
    </w:rPr>
  </w:style>
  <w:style w:type="character" w:styleId="Textzstupnhosymbolu">
    <w:name w:val="Placeholder Text"/>
    <w:basedOn w:val="Predvolenpsmoodseku"/>
    <w:uiPriority w:val="99"/>
    <w:semiHidden/>
    <w:rsid w:val="000D14ED"/>
    <w:rPr>
      <w:rFonts w:ascii="Times New Roman" w:hAnsi="Times New Roman" w:cs="Times New Roman"/>
      <w:color w:val="808080"/>
    </w:rPr>
  </w:style>
  <w:style w:type="paragraph" w:customStyle="1" w:styleId="Zakladnystyl">
    <w:name w:val="Zakladny styl"/>
    <w:uiPriority w:val="99"/>
    <w:rsid w:val="000D14ED"/>
    <w:rPr>
      <w:sz w:val="24"/>
      <w:szCs w:val="24"/>
      <w:lang w:val="sk-SK" w:eastAsia="sk-SK"/>
    </w:rPr>
  </w:style>
  <w:style w:type="paragraph" w:customStyle="1" w:styleId="BodyText22">
    <w:name w:val="Body Text 22"/>
    <w:basedOn w:val="Normlny"/>
    <w:uiPriority w:val="99"/>
    <w:rsid w:val="000D14ED"/>
    <w:pPr>
      <w:widowControl w:val="0"/>
      <w:spacing w:before="120"/>
      <w:ind w:firstLine="567"/>
    </w:pPr>
    <w:rPr>
      <w:lang w:val="cs-CZ"/>
    </w:rPr>
  </w:style>
  <w:style w:type="paragraph" w:styleId="Revzia">
    <w:name w:val="Revision"/>
    <w:hidden/>
    <w:uiPriority w:val="99"/>
    <w:semiHidden/>
    <w:rsid w:val="002300E0"/>
    <w:rPr>
      <w:rFonts w:ascii="Calibri" w:eastAsia="Calibri" w:hAnsi="Calibri"/>
      <w:lang w:val="sk-SK" w:eastAsia="sk-SK"/>
    </w:rPr>
  </w:style>
  <w:style w:type="character" w:customStyle="1" w:styleId="new">
    <w:name w:val="new"/>
    <w:basedOn w:val="Predvolenpsmoodseku"/>
    <w:rsid w:val="002300E0"/>
    <w:rPr>
      <w:rFonts w:cs="Times New Roman"/>
    </w:rPr>
  </w:style>
  <w:style w:type="character" w:customStyle="1" w:styleId="apple-style-span">
    <w:name w:val="apple-style-span"/>
    <w:basedOn w:val="Predvolenpsmoodseku"/>
    <w:uiPriority w:val="99"/>
    <w:rsid w:val="002300E0"/>
    <w:rPr>
      <w:rFonts w:cs="Times New Roman"/>
    </w:rPr>
  </w:style>
  <w:style w:type="character" w:customStyle="1" w:styleId="apple-converted-space">
    <w:name w:val="apple-converted-space"/>
    <w:basedOn w:val="Predvolenpsmoodseku"/>
    <w:uiPriority w:val="99"/>
    <w:rsid w:val="002300E0"/>
    <w:rPr>
      <w:rFonts w:cs="Times New Roman"/>
    </w:rPr>
  </w:style>
  <w:style w:type="paragraph" w:customStyle="1" w:styleId="titulok">
    <w:name w:val="titulok"/>
    <w:basedOn w:val="Normlny"/>
    <w:uiPriority w:val="99"/>
    <w:rsid w:val="002300E0"/>
    <w:pPr>
      <w:spacing w:before="100" w:beforeAutospacing="1" w:after="100" w:afterAutospacing="1"/>
    </w:pPr>
  </w:style>
  <w:style w:type="paragraph" w:customStyle="1" w:styleId="bullet1">
    <w:name w:val="bullet1"/>
    <w:basedOn w:val="Normlny"/>
    <w:link w:val="bullet1Char"/>
    <w:qFormat/>
    <w:rsid w:val="00AC69AB"/>
    <w:pPr>
      <w:numPr>
        <w:numId w:val="8"/>
      </w:numPr>
    </w:pPr>
  </w:style>
  <w:style w:type="paragraph" w:customStyle="1" w:styleId="zkladntext0">
    <w:name w:val="zkladntext"/>
    <w:basedOn w:val="Normlny"/>
    <w:uiPriority w:val="99"/>
    <w:rsid w:val="00B1124F"/>
    <w:pPr>
      <w:spacing w:after="120"/>
    </w:pPr>
    <w:rPr>
      <w:rFonts w:ascii="Calibri" w:eastAsia="Calibri" w:hAnsi="Calibri"/>
    </w:rPr>
  </w:style>
  <w:style w:type="table" w:customStyle="1" w:styleId="Svetlpodfarbenie1">
    <w:name w:val="Svetlé podfarbenie1"/>
    <w:basedOn w:val="Normlnatabuka"/>
    <w:uiPriority w:val="99"/>
    <w:rsid w:val="00C1036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Normlnatabuka"/>
    <w:uiPriority w:val="99"/>
    <w:rsid w:val="00B069D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zdroj">
    <w:name w:val="zdroj"/>
    <w:basedOn w:val="BodyText21"/>
    <w:link w:val="zdrojChar"/>
    <w:uiPriority w:val="99"/>
    <w:qFormat/>
    <w:rsid w:val="007C6881"/>
    <w:pPr>
      <w:widowControl/>
      <w:spacing w:before="60" w:after="120"/>
    </w:pPr>
    <w:rPr>
      <w:i/>
      <w:color w:val="000000"/>
      <w:sz w:val="20"/>
      <w:szCs w:val="20"/>
    </w:rPr>
  </w:style>
  <w:style w:type="paragraph" w:customStyle="1" w:styleId="123">
    <w:name w:val="123"/>
    <w:basedOn w:val="Odsekzoznamu"/>
    <w:link w:val="123Char"/>
    <w:uiPriority w:val="99"/>
    <w:qFormat/>
    <w:rsid w:val="00A848ED"/>
    <w:pPr>
      <w:spacing w:before="240" w:after="60"/>
      <w:ind w:left="0"/>
    </w:pPr>
    <w:rPr>
      <w:b/>
      <w:szCs w:val="22"/>
    </w:rPr>
  </w:style>
  <w:style w:type="character" w:customStyle="1" w:styleId="BodyText21Char">
    <w:name w:val="Body Text 21 Char"/>
    <w:basedOn w:val="Predvolenpsmoodseku"/>
    <w:link w:val="BodyText21"/>
    <w:uiPriority w:val="99"/>
    <w:rsid w:val="007C6881"/>
    <w:rPr>
      <w:sz w:val="22"/>
      <w:szCs w:val="24"/>
      <w:lang w:val="cs-CZ" w:eastAsia="sk-SK"/>
    </w:rPr>
  </w:style>
  <w:style w:type="character" w:customStyle="1" w:styleId="zdrojChar">
    <w:name w:val="zdroj Char"/>
    <w:basedOn w:val="BodyText21Char"/>
    <w:link w:val="zdroj"/>
    <w:uiPriority w:val="99"/>
    <w:rsid w:val="007C6881"/>
    <w:rPr>
      <w:i/>
      <w:color w:val="000000"/>
      <w:sz w:val="22"/>
      <w:szCs w:val="24"/>
      <w:lang w:val="cs-CZ" w:eastAsia="sk-SK"/>
    </w:rPr>
  </w:style>
  <w:style w:type="paragraph" w:styleId="Hlavikaobsahu">
    <w:name w:val="TOC Heading"/>
    <w:basedOn w:val="Nadpis1"/>
    <w:next w:val="Normlny"/>
    <w:uiPriority w:val="99"/>
    <w:unhideWhenUsed/>
    <w:qFormat/>
    <w:rsid w:val="009B1737"/>
    <w:pPr>
      <w:keepLines/>
      <w:tabs>
        <w:tab w:val="clear" w:pos="567"/>
      </w:tabs>
      <w:spacing w:before="480" w:line="276" w:lineRule="auto"/>
      <w:outlineLvl w:val="9"/>
    </w:pPr>
    <w:rPr>
      <w:rFonts w:ascii="Cambria" w:hAnsi="Cambria" w:cs="Times New Roman"/>
      <w:caps w:val="0"/>
      <w:color w:val="365F91"/>
      <w:kern w:val="0"/>
      <w:szCs w:val="28"/>
      <w:lang w:val="en-US" w:eastAsia="en-US"/>
    </w:rPr>
  </w:style>
  <w:style w:type="character" w:customStyle="1" w:styleId="OdsekzoznamuChar">
    <w:name w:val="Odsek zoznamu Char"/>
    <w:basedOn w:val="Predvolenpsmoodseku"/>
    <w:link w:val="Odsekzoznamu"/>
    <w:uiPriority w:val="99"/>
    <w:rsid w:val="00705255"/>
    <w:rPr>
      <w:sz w:val="22"/>
      <w:szCs w:val="24"/>
      <w:lang w:val="sk-SK" w:eastAsia="sk-SK"/>
    </w:rPr>
  </w:style>
  <w:style w:type="character" w:customStyle="1" w:styleId="123Char">
    <w:name w:val="123 Char"/>
    <w:basedOn w:val="OdsekzoznamuChar"/>
    <w:link w:val="123"/>
    <w:uiPriority w:val="99"/>
    <w:rsid w:val="00A848ED"/>
    <w:rPr>
      <w:b/>
      <w:sz w:val="22"/>
      <w:szCs w:val="22"/>
      <w:lang w:val="sk-SK" w:eastAsia="sk-SK"/>
    </w:rPr>
  </w:style>
  <w:style w:type="paragraph" w:styleId="Obsah3">
    <w:name w:val="toc 3"/>
    <w:basedOn w:val="Normlny"/>
    <w:next w:val="Normlny"/>
    <w:autoRedefine/>
    <w:uiPriority w:val="39"/>
    <w:unhideWhenUsed/>
    <w:qFormat/>
    <w:rsid w:val="009B1737"/>
    <w:pPr>
      <w:spacing w:after="100" w:line="276" w:lineRule="auto"/>
      <w:ind w:left="440"/>
      <w:jc w:val="left"/>
    </w:pPr>
    <w:rPr>
      <w:rFonts w:ascii="Calibri" w:hAnsi="Calibri"/>
      <w:szCs w:val="22"/>
      <w:lang w:val="en-US" w:eastAsia="en-US"/>
    </w:rPr>
  </w:style>
  <w:style w:type="paragraph" w:styleId="Obsah5">
    <w:name w:val="toc 5"/>
    <w:basedOn w:val="Normlny"/>
    <w:next w:val="Normlny"/>
    <w:autoRedefine/>
    <w:uiPriority w:val="39"/>
    <w:rsid w:val="00465009"/>
    <w:pPr>
      <w:tabs>
        <w:tab w:val="left" w:pos="1701"/>
        <w:tab w:val="right" w:leader="dot" w:pos="9061"/>
      </w:tabs>
      <w:spacing w:line="276" w:lineRule="auto"/>
      <w:ind w:left="567"/>
    </w:pPr>
  </w:style>
  <w:style w:type="paragraph" w:styleId="Obsah7">
    <w:name w:val="toc 7"/>
    <w:basedOn w:val="Normlny"/>
    <w:next w:val="Normlny"/>
    <w:autoRedefine/>
    <w:uiPriority w:val="39"/>
    <w:rsid w:val="009B1737"/>
    <w:pPr>
      <w:ind w:left="1320"/>
    </w:pPr>
  </w:style>
  <w:style w:type="paragraph" w:styleId="Obsah6">
    <w:name w:val="toc 6"/>
    <w:basedOn w:val="Normlny"/>
    <w:next w:val="Normlny"/>
    <w:autoRedefine/>
    <w:uiPriority w:val="39"/>
    <w:rsid w:val="00715E48"/>
    <w:pPr>
      <w:tabs>
        <w:tab w:val="left" w:pos="1815"/>
        <w:tab w:val="right" w:leader="dot" w:pos="9072"/>
      </w:tabs>
      <w:ind w:left="1701" w:right="565" w:hanging="601"/>
    </w:pPr>
  </w:style>
  <w:style w:type="paragraph" w:styleId="Obsah4">
    <w:name w:val="toc 4"/>
    <w:basedOn w:val="Normlny"/>
    <w:next w:val="Normlny"/>
    <w:autoRedefine/>
    <w:uiPriority w:val="39"/>
    <w:unhideWhenUsed/>
    <w:rsid w:val="009B1737"/>
    <w:pPr>
      <w:spacing w:after="100" w:line="276" w:lineRule="auto"/>
      <w:ind w:left="660"/>
      <w:jc w:val="left"/>
    </w:pPr>
    <w:rPr>
      <w:rFonts w:ascii="Calibri" w:hAnsi="Calibri"/>
      <w:szCs w:val="22"/>
      <w:lang w:val="en-US" w:eastAsia="en-US"/>
    </w:rPr>
  </w:style>
  <w:style w:type="paragraph" w:styleId="Obsah8">
    <w:name w:val="toc 8"/>
    <w:basedOn w:val="Normlny"/>
    <w:next w:val="Normlny"/>
    <w:autoRedefine/>
    <w:uiPriority w:val="39"/>
    <w:unhideWhenUsed/>
    <w:rsid w:val="009B1737"/>
    <w:pPr>
      <w:spacing w:after="100" w:line="276" w:lineRule="auto"/>
      <w:ind w:left="1540"/>
      <w:jc w:val="left"/>
    </w:pPr>
    <w:rPr>
      <w:rFonts w:ascii="Calibri" w:hAnsi="Calibri"/>
      <w:szCs w:val="22"/>
      <w:lang w:val="en-US" w:eastAsia="en-US"/>
    </w:rPr>
  </w:style>
  <w:style w:type="paragraph" w:styleId="Obsah9">
    <w:name w:val="toc 9"/>
    <w:basedOn w:val="Normlny"/>
    <w:next w:val="Normlny"/>
    <w:autoRedefine/>
    <w:uiPriority w:val="39"/>
    <w:unhideWhenUsed/>
    <w:rsid w:val="009B1737"/>
    <w:pPr>
      <w:spacing w:after="100" w:line="276" w:lineRule="auto"/>
      <w:ind w:left="1760"/>
      <w:jc w:val="left"/>
    </w:pPr>
    <w:rPr>
      <w:rFonts w:ascii="Calibri" w:hAnsi="Calibri"/>
      <w:szCs w:val="22"/>
      <w:lang w:val="en-US" w:eastAsia="en-US"/>
    </w:rPr>
  </w:style>
  <w:style w:type="character" w:customStyle="1" w:styleId="normalindentChar">
    <w:name w:val="normal indent Char"/>
    <w:basedOn w:val="Predvolenpsmoodseku"/>
    <w:link w:val="Normlnysozarkami1"/>
    <w:uiPriority w:val="99"/>
    <w:rsid w:val="000A5D03"/>
    <w:rPr>
      <w:sz w:val="22"/>
      <w:szCs w:val="24"/>
      <w:lang w:val="sk-SK" w:eastAsia="sk-SK"/>
    </w:rPr>
  </w:style>
  <w:style w:type="paragraph" w:customStyle="1" w:styleId="bullet2">
    <w:name w:val="bullet2"/>
    <w:basedOn w:val="Normlny"/>
    <w:link w:val="bullet2Char"/>
    <w:uiPriority w:val="99"/>
    <w:qFormat/>
    <w:rsid w:val="009924D9"/>
    <w:pPr>
      <w:numPr>
        <w:numId w:val="6"/>
      </w:numPr>
    </w:pPr>
  </w:style>
  <w:style w:type="character" w:customStyle="1" w:styleId="bullet1Char">
    <w:name w:val="bullet1 Char"/>
    <w:basedOn w:val="Predvolenpsmoodseku"/>
    <w:link w:val="bullet1"/>
    <w:rsid w:val="00AC69AB"/>
    <w:rPr>
      <w:sz w:val="22"/>
      <w:szCs w:val="24"/>
      <w:lang w:val="sk-SK" w:eastAsia="sk-SK"/>
    </w:rPr>
  </w:style>
  <w:style w:type="paragraph" w:customStyle="1" w:styleId="zlozenyzoznam">
    <w:name w:val="zlozeny zoznam"/>
    <w:basedOn w:val="bullet1"/>
    <w:link w:val="zlozenyzoznamChar"/>
    <w:qFormat/>
    <w:rsid w:val="00727107"/>
    <w:pPr>
      <w:numPr>
        <w:numId w:val="7"/>
      </w:numPr>
    </w:pPr>
  </w:style>
  <w:style w:type="character" w:customStyle="1" w:styleId="bullet2Char">
    <w:name w:val="bullet2 Char"/>
    <w:basedOn w:val="Predvolenpsmoodseku"/>
    <w:link w:val="bullet2"/>
    <w:uiPriority w:val="99"/>
    <w:rsid w:val="009924D9"/>
    <w:rPr>
      <w:sz w:val="22"/>
      <w:szCs w:val="24"/>
      <w:lang w:val="sk-SK" w:eastAsia="sk-SK"/>
    </w:rPr>
  </w:style>
  <w:style w:type="character" w:customStyle="1" w:styleId="zlozenyzoznamChar">
    <w:name w:val="zlozeny zoznam Char"/>
    <w:basedOn w:val="bullet1Char"/>
    <w:link w:val="zlozenyzoznam"/>
    <w:rsid w:val="00727107"/>
    <w:rPr>
      <w:sz w:val="22"/>
      <w:szCs w:val="24"/>
      <w:lang w:val="sk-SK" w:eastAsia="sk-SK"/>
    </w:rPr>
  </w:style>
  <w:style w:type="paragraph" w:customStyle="1" w:styleId="CharChar111">
    <w:name w:val="Char Char111"/>
    <w:basedOn w:val="Normlny"/>
    <w:uiPriority w:val="99"/>
    <w:rsid w:val="009A28BA"/>
    <w:pPr>
      <w:spacing w:after="160" w:line="240" w:lineRule="exact"/>
      <w:jc w:val="left"/>
    </w:pPr>
    <w:rPr>
      <w:rFonts w:ascii="Tahoma" w:hAnsi="Tahoma" w:cs="Tahoma"/>
      <w:sz w:val="20"/>
      <w:szCs w:val="20"/>
      <w:lang w:eastAsia="en-US"/>
    </w:rPr>
  </w:style>
  <w:style w:type="paragraph" w:customStyle="1" w:styleId="CharCharCharChar1">
    <w:name w:val="Char Char Char Char1"/>
    <w:basedOn w:val="Normlny"/>
    <w:uiPriority w:val="99"/>
    <w:rsid w:val="009A28BA"/>
    <w:pPr>
      <w:spacing w:after="160" w:line="240" w:lineRule="exact"/>
      <w:jc w:val="left"/>
    </w:pPr>
    <w:rPr>
      <w:rFonts w:ascii="Tahoma" w:hAnsi="Tahoma" w:cs="Tahoma"/>
      <w:sz w:val="20"/>
      <w:szCs w:val="20"/>
      <w:lang w:eastAsia="en-US"/>
    </w:rPr>
  </w:style>
  <w:style w:type="paragraph" w:customStyle="1" w:styleId="CharCharCharCharChar1">
    <w:name w:val="Char Char Char Char Char1"/>
    <w:basedOn w:val="Normlny"/>
    <w:uiPriority w:val="99"/>
    <w:rsid w:val="009A28BA"/>
    <w:pPr>
      <w:spacing w:after="160" w:line="240" w:lineRule="exact"/>
      <w:jc w:val="left"/>
    </w:pPr>
    <w:rPr>
      <w:rFonts w:ascii="Tahoma" w:hAnsi="Tahoma" w:cs="Tahoma"/>
      <w:sz w:val="20"/>
      <w:szCs w:val="20"/>
      <w:lang w:eastAsia="en-US"/>
    </w:rPr>
  </w:style>
  <w:style w:type="paragraph" w:customStyle="1" w:styleId="CharCharCharCharCharChar1CharChar1">
    <w:name w:val="Char Char Char Char Char Char1 Char Char1"/>
    <w:basedOn w:val="Normlny"/>
    <w:uiPriority w:val="99"/>
    <w:rsid w:val="009A28BA"/>
    <w:pPr>
      <w:spacing w:after="160" w:line="240" w:lineRule="exact"/>
      <w:jc w:val="left"/>
    </w:pPr>
    <w:rPr>
      <w:rFonts w:ascii="Tahoma" w:hAnsi="Tahoma" w:cs="Tahoma"/>
      <w:sz w:val="20"/>
      <w:szCs w:val="20"/>
      <w:lang w:eastAsia="en-US"/>
    </w:rPr>
  </w:style>
  <w:style w:type="table" w:styleId="Elegantntabuka">
    <w:name w:val="Table Elegant"/>
    <w:basedOn w:val="Normlnatabuka"/>
    <w:uiPriority w:val="99"/>
    <w:rsid w:val="009A28BA"/>
    <w:rPr>
      <w:lang w:val="sk-SK" w:eastAsia="sk-S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21">
    <w:name w:val="Char Char21"/>
    <w:basedOn w:val="Predvolenpsmoodseku"/>
    <w:uiPriority w:val="99"/>
    <w:semiHidden/>
    <w:rsid w:val="009A28BA"/>
    <w:rPr>
      <w:rFonts w:ascii="Arial" w:hAnsi="Arial"/>
      <w:sz w:val="16"/>
      <w:lang w:val="sk-SK" w:eastAsia="cs-CZ" w:bidi="ar-SA"/>
    </w:rPr>
  </w:style>
  <w:style w:type="character" w:customStyle="1" w:styleId="EmailStyle2821">
    <w:name w:val="EmailStyle2821"/>
    <w:basedOn w:val="Predvolenpsmoodseku"/>
    <w:uiPriority w:val="99"/>
    <w:semiHidden/>
    <w:rsid w:val="009A28BA"/>
    <w:rPr>
      <w:rFonts w:cs="Times New Roman"/>
      <w:color w:val="000000"/>
    </w:rPr>
  </w:style>
  <w:style w:type="paragraph" w:customStyle="1" w:styleId="xl99">
    <w:name w:val="xl99"/>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100">
    <w:name w:val="xl100"/>
    <w:basedOn w:val="Normlny"/>
    <w:uiPriority w:val="99"/>
    <w:rsid w:val="009A28BA"/>
    <w:pPr>
      <w:pBdr>
        <w:left w:val="single" w:sz="4" w:space="0" w:color="auto"/>
        <w:bottom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01">
    <w:name w:val="xl101"/>
    <w:basedOn w:val="Normlny"/>
    <w:uiPriority w:val="99"/>
    <w:rsid w:val="009A28BA"/>
    <w:pPr>
      <w:pBdr>
        <w:top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02">
    <w:name w:val="xl102"/>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3">
    <w:name w:val="xl103"/>
    <w:basedOn w:val="Normlny"/>
    <w:uiPriority w:val="99"/>
    <w:rsid w:val="009A28BA"/>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04">
    <w:name w:val="xl104"/>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4"/>
      <w:szCs w:val="14"/>
    </w:rPr>
  </w:style>
  <w:style w:type="paragraph" w:customStyle="1" w:styleId="xl105">
    <w:name w:val="xl105"/>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6"/>
      <w:szCs w:val="16"/>
    </w:rPr>
  </w:style>
  <w:style w:type="paragraph" w:customStyle="1" w:styleId="xl106">
    <w:name w:val="xl106"/>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4"/>
      <w:szCs w:val="14"/>
    </w:rPr>
  </w:style>
  <w:style w:type="paragraph" w:customStyle="1" w:styleId="xl107">
    <w:name w:val="xl107"/>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8">
    <w:name w:val="xl108"/>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9">
    <w:name w:val="xl109"/>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0">
    <w:name w:val="xl110"/>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1">
    <w:name w:val="xl111"/>
    <w:basedOn w:val="Normlny"/>
    <w:uiPriority w:val="99"/>
    <w:rsid w:val="009A28BA"/>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12">
    <w:name w:val="xl112"/>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3">
    <w:name w:val="xl113"/>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4">
    <w:name w:val="xl114"/>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5">
    <w:name w:val="xl115"/>
    <w:basedOn w:val="Normlny"/>
    <w:uiPriority w:val="99"/>
    <w:rsid w:val="009A28BA"/>
    <w:pPr>
      <w:pBdr>
        <w:top w:val="single" w:sz="4" w:space="0" w:color="auto"/>
      </w:pBdr>
      <w:spacing w:before="100" w:beforeAutospacing="1" w:after="100" w:afterAutospacing="1"/>
      <w:jc w:val="left"/>
    </w:pPr>
    <w:rPr>
      <w:rFonts w:ascii="Arial" w:hAnsi="Arial"/>
      <w:b/>
      <w:bCs/>
      <w:sz w:val="16"/>
      <w:szCs w:val="16"/>
    </w:rPr>
  </w:style>
  <w:style w:type="paragraph" w:customStyle="1" w:styleId="xl116">
    <w:name w:val="xl116"/>
    <w:basedOn w:val="Normlny"/>
    <w:uiPriority w:val="99"/>
    <w:rsid w:val="009A28BA"/>
    <w:pPr>
      <w:pBdr>
        <w:top w:val="single" w:sz="4" w:space="0" w:color="auto"/>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17">
    <w:name w:val="xl117"/>
    <w:basedOn w:val="Normlny"/>
    <w:uiPriority w:val="99"/>
    <w:rsid w:val="009A28BA"/>
    <w:pPr>
      <w:pBdr>
        <w:top w:val="single" w:sz="4" w:space="0" w:color="auto"/>
        <w:bottom w:val="single" w:sz="4" w:space="0" w:color="auto"/>
      </w:pBdr>
      <w:spacing w:before="100" w:beforeAutospacing="1" w:after="100" w:afterAutospacing="1"/>
      <w:jc w:val="center"/>
    </w:pPr>
    <w:rPr>
      <w:rFonts w:ascii="Arial" w:hAnsi="Arial"/>
      <w:sz w:val="16"/>
      <w:szCs w:val="16"/>
    </w:rPr>
  </w:style>
  <w:style w:type="paragraph" w:customStyle="1" w:styleId="xl118">
    <w:name w:val="xl118"/>
    <w:basedOn w:val="Normlny"/>
    <w:uiPriority w:val="99"/>
    <w:rsid w:val="009A28BA"/>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19">
    <w:name w:val="xl119"/>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20">
    <w:name w:val="xl120"/>
    <w:basedOn w:val="Normlny"/>
    <w:uiPriority w:val="99"/>
    <w:rsid w:val="009A28BA"/>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1">
    <w:name w:val="xl121"/>
    <w:basedOn w:val="Normlny"/>
    <w:uiPriority w:val="99"/>
    <w:rsid w:val="009A28BA"/>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2">
    <w:name w:val="xl122"/>
    <w:basedOn w:val="Normlny"/>
    <w:uiPriority w:val="99"/>
    <w:rsid w:val="009A28BA"/>
    <w:pPr>
      <w:pBdr>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23">
    <w:name w:val="xl123"/>
    <w:basedOn w:val="Normlny"/>
    <w:uiPriority w:val="99"/>
    <w:rsid w:val="009A28BA"/>
    <w:pPr>
      <w:spacing w:before="100" w:beforeAutospacing="1" w:after="100" w:afterAutospacing="1"/>
      <w:jc w:val="left"/>
    </w:pPr>
    <w:rPr>
      <w:rFonts w:ascii="Arial" w:hAnsi="Arial"/>
      <w:b/>
      <w:bCs/>
      <w:sz w:val="24"/>
    </w:rPr>
  </w:style>
  <w:style w:type="paragraph" w:customStyle="1" w:styleId="xl124">
    <w:name w:val="xl124"/>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5">
    <w:name w:val="xl125"/>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6">
    <w:name w:val="xl126"/>
    <w:basedOn w:val="Normlny"/>
    <w:uiPriority w:val="99"/>
    <w:rsid w:val="009A28BA"/>
    <w:pPr>
      <w:pBdr>
        <w:top w:val="single" w:sz="4" w:space="0" w:color="auto"/>
        <w:left w:val="single" w:sz="4" w:space="0" w:color="auto"/>
      </w:pBdr>
      <w:spacing w:before="100" w:beforeAutospacing="1" w:after="100" w:afterAutospacing="1"/>
      <w:jc w:val="left"/>
    </w:pPr>
    <w:rPr>
      <w:rFonts w:ascii="Arial" w:hAnsi="Arial"/>
      <w:b/>
      <w:bCs/>
      <w:sz w:val="16"/>
      <w:szCs w:val="16"/>
    </w:rPr>
  </w:style>
  <w:style w:type="paragraph" w:customStyle="1" w:styleId="xl127">
    <w:name w:val="xl127"/>
    <w:basedOn w:val="Normlny"/>
    <w:uiPriority w:val="99"/>
    <w:rsid w:val="009A28BA"/>
    <w:pPr>
      <w:pBdr>
        <w:top w:val="single" w:sz="4" w:space="0" w:color="auto"/>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28">
    <w:name w:val="xl128"/>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29">
    <w:name w:val="xl129"/>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0">
    <w:name w:val="xl130"/>
    <w:basedOn w:val="Normlny"/>
    <w:uiPriority w:val="99"/>
    <w:rsid w:val="009A28BA"/>
    <w:pPr>
      <w:pBdr>
        <w:top w:val="single" w:sz="4" w:space="0" w:color="auto"/>
        <w:left w:val="single" w:sz="4" w:space="0" w:color="auto"/>
        <w:bottom w:val="single" w:sz="4" w:space="0" w:color="auto"/>
      </w:pBdr>
      <w:spacing w:before="100" w:beforeAutospacing="1" w:after="100" w:afterAutospacing="1"/>
      <w:jc w:val="left"/>
    </w:pPr>
    <w:rPr>
      <w:rFonts w:ascii="Arial" w:hAnsi="Arial"/>
      <w:sz w:val="16"/>
      <w:szCs w:val="16"/>
    </w:rPr>
  </w:style>
  <w:style w:type="paragraph" w:customStyle="1" w:styleId="xl131">
    <w:name w:val="xl131"/>
    <w:basedOn w:val="Normlny"/>
    <w:uiPriority w:val="99"/>
    <w:rsid w:val="009A28BA"/>
    <w:pPr>
      <w:pBdr>
        <w:top w:val="single" w:sz="4" w:space="0" w:color="auto"/>
        <w:left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32">
    <w:name w:val="xl132"/>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3">
    <w:name w:val="xl133"/>
    <w:basedOn w:val="Normlny"/>
    <w:uiPriority w:val="99"/>
    <w:rsid w:val="009A28BA"/>
    <w:pPr>
      <w:pBdr>
        <w:top w:val="single" w:sz="4" w:space="0" w:color="auto"/>
        <w:left w:val="single" w:sz="4" w:space="0" w:color="auto"/>
        <w:right w:val="double" w:sz="6" w:space="0" w:color="auto"/>
      </w:pBdr>
      <w:spacing w:before="100" w:beforeAutospacing="1" w:after="100" w:afterAutospacing="1"/>
      <w:jc w:val="right"/>
    </w:pPr>
    <w:rPr>
      <w:rFonts w:ascii="Arial" w:hAnsi="Arial"/>
      <w:sz w:val="16"/>
      <w:szCs w:val="16"/>
    </w:rPr>
  </w:style>
  <w:style w:type="paragraph" w:customStyle="1" w:styleId="xl134">
    <w:name w:val="xl134"/>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5">
    <w:name w:val="xl135"/>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6">
    <w:name w:val="xl136"/>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7">
    <w:name w:val="xl137"/>
    <w:basedOn w:val="Normlny"/>
    <w:uiPriority w:val="99"/>
    <w:rsid w:val="009A28BA"/>
    <w:pPr>
      <w:pBdr>
        <w:top w:val="single" w:sz="4" w:space="0" w:color="auto"/>
        <w:left w:val="single" w:sz="4" w:space="0" w:color="auto"/>
      </w:pBdr>
      <w:spacing w:before="100" w:beforeAutospacing="1" w:after="100" w:afterAutospacing="1"/>
      <w:jc w:val="left"/>
    </w:pPr>
    <w:rPr>
      <w:rFonts w:ascii="Arial" w:hAnsi="Arial"/>
      <w:sz w:val="16"/>
      <w:szCs w:val="16"/>
    </w:rPr>
  </w:style>
  <w:style w:type="paragraph" w:customStyle="1" w:styleId="xl138">
    <w:name w:val="xl138"/>
    <w:basedOn w:val="Normlny"/>
    <w:uiPriority w:val="99"/>
    <w:rsid w:val="009A28BA"/>
    <w:pPr>
      <w:pBdr>
        <w:top w:val="single" w:sz="4" w:space="0" w:color="auto"/>
        <w:left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139">
    <w:name w:val="xl139"/>
    <w:basedOn w:val="Normlny"/>
    <w:uiPriority w:val="99"/>
    <w:rsid w:val="009A28BA"/>
    <w:pPr>
      <w:pBdr>
        <w:top w:val="single" w:sz="4" w:space="0" w:color="auto"/>
        <w:left w:val="single" w:sz="4" w:space="0" w:color="auto"/>
        <w:right w:val="double" w:sz="6" w:space="0" w:color="auto"/>
      </w:pBdr>
      <w:spacing w:before="100" w:beforeAutospacing="1" w:after="100" w:afterAutospacing="1"/>
      <w:jc w:val="right"/>
    </w:pPr>
    <w:rPr>
      <w:rFonts w:ascii="Arial" w:hAnsi="Arial"/>
      <w:b/>
      <w:bCs/>
      <w:sz w:val="16"/>
      <w:szCs w:val="16"/>
    </w:rPr>
  </w:style>
  <w:style w:type="paragraph" w:customStyle="1" w:styleId="xl140">
    <w:name w:val="xl140"/>
    <w:basedOn w:val="Normlny"/>
    <w:uiPriority w:val="99"/>
    <w:rsid w:val="009A28BA"/>
    <w:pPr>
      <w:pBdr>
        <w:top w:val="single" w:sz="4" w:space="0" w:color="auto"/>
      </w:pBdr>
      <w:spacing w:before="100" w:beforeAutospacing="1" w:after="100" w:afterAutospacing="1"/>
      <w:jc w:val="left"/>
    </w:pPr>
    <w:rPr>
      <w:rFonts w:ascii="Arial" w:hAnsi="Arial"/>
      <w:sz w:val="16"/>
      <w:szCs w:val="16"/>
    </w:rPr>
  </w:style>
  <w:style w:type="paragraph" w:customStyle="1" w:styleId="xl141">
    <w:name w:val="xl141"/>
    <w:basedOn w:val="Normlny"/>
    <w:uiPriority w:val="99"/>
    <w:rsid w:val="009A28BA"/>
    <w:pPr>
      <w:pBdr>
        <w:top w:val="single" w:sz="4" w:space="0" w:color="auto"/>
      </w:pBdr>
      <w:spacing w:before="100" w:beforeAutospacing="1" w:after="100" w:afterAutospacing="1"/>
      <w:jc w:val="right"/>
    </w:pPr>
    <w:rPr>
      <w:rFonts w:ascii="Arial" w:hAnsi="Arial"/>
      <w:sz w:val="16"/>
      <w:szCs w:val="16"/>
    </w:rPr>
  </w:style>
  <w:style w:type="paragraph" w:customStyle="1" w:styleId="xl142">
    <w:name w:val="xl142"/>
    <w:basedOn w:val="Normlny"/>
    <w:uiPriority w:val="99"/>
    <w:rsid w:val="009A28BA"/>
    <w:pPr>
      <w:spacing w:before="100" w:beforeAutospacing="1" w:after="100" w:afterAutospacing="1"/>
      <w:jc w:val="left"/>
    </w:pPr>
    <w:rPr>
      <w:rFonts w:ascii="Arial" w:hAnsi="Arial"/>
      <w:sz w:val="16"/>
      <w:szCs w:val="16"/>
    </w:rPr>
  </w:style>
  <w:style w:type="paragraph" w:customStyle="1" w:styleId="xl143">
    <w:name w:val="xl143"/>
    <w:basedOn w:val="Normlny"/>
    <w:uiPriority w:val="99"/>
    <w:rsid w:val="009A28BA"/>
    <w:pPr>
      <w:pBdr>
        <w:bottom w:val="single" w:sz="4" w:space="0" w:color="auto"/>
      </w:pBdr>
      <w:spacing w:before="100" w:beforeAutospacing="1" w:after="100" w:afterAutospacing="1"/>
      <w:jc w:val="left"/>
    </w:pPr>
    <w:rPr>
      <w:rFonts w:ascii="Arial" w:hAnsi="Arial"/>
      <w:sz w:val="16"/>
      <w:szCs w:val="16"/>
    </w:rPr>
  </w:style>
  <w:style w:type="paragraph" w:customStyle="1" w:styleId="xl144">
    <w:name w:val="xl144"/>
    <w:basedOn w:val="Normlny"/>
    <w:uiPriority w:val="99"/>
    <w:rsid w:val="009A28BA"/>
    <w:pPr>
      <w:pBdr>
        <w:bottom w:val="single" w:sz="4" w:space="0" w:color="auto"/>
      </w:pBdr>
      <w:spacing w:before="100" w:beforeAutospacing="1" w:after="100" w:afterAutospacing="1"/>
      <w:jc w:val="left"/>
    </w:pPr>
    <w:rPr>
      <w:rFonts w:ascii="Arial" w:hAnsi="Arial"/>
      <w:sz w:val="16"/>
      <w:szCs w:val="16"/>
    </w:rPr>
  </w:style>
  <w:style w:type="paragraph" w:customStyle="1" w:styleId="xl145">
    <w:name w:val="xl145"/>
    <w:basedOn w:val="Normlny"/>
    <w:uiPriority w:val="99"/>
    <w:rsid w:val="009A28BA"/>
    <w:pPr>
      <w:pBdr>
        <w:bottom w:val="single" w:sz="4" w:space="0" w:color="auto"/>
      </w:pBdr>
      <w:spacing w:before="100" w:beforeAutospacing="1" w:after="100" w:afterAutospacing="1"/>
      <w:jc w:val="left"/>
    </w:pPr>
    <w:rPr>
      <w:rFonts w:ascii="Arial" w:hAnsi="Arial"/>
      <w:sz w:val="16"/>
      <w:szCs w:val="16"/>
    </w:rPr>
  </w:style>
  <w:style w:type="paragraph" w:customStyle="1" w:styleId="xl146">
    <w:name w:val="xl146"/>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47">
    <w:name w:val="xl147"/>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48">
    <w:name w:val="xl148"/>
    <w:basedOn w:val="Normlny"/>
    <w:uiPriority w:val="99"/>
    <w:rsid w:val="009A28BA"/>
    <w:pPr>
      <w:pBdr>
        <w:top w:val="single" w:sz="4" w:space="0" w:color="auto"/>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49">
    <w:name w:val="xl149"/>
    <w:basedOn w:val="Normlny"/>
    <w:uiPriority w:val="99"/>
    <w:rsid w:val="009A28BA"/>
    <w:pPr>
      <w:pBdr>
        <w:top w:val="single" w:sz="4" w:space="0" w:color="auto"/>
        <w:left w:val="single" w:sz="4" w:space="0" w:color="auto"/>
        <w:bottom w:val="single" w:sz="4" w:space="0" w:color="auto"/>
      </w:pBdr>
      <w:spacing w:before="100" w:beforeAutospacing="1" w:after="100" w:afterAutospacing="1"/>
      <w:jc w:val="right"/>
    </w:pPr>
    <w:rPr>
      <w:rFonts w:ascii="Arial" w:hAnsi="Arial"/>
      <w:b/>
      <w:bCs/>
      <w:sz w:val="16"/>
      <w:szCs w:val="16"/>
    </w:rPr>
  </w:style>
  <w:style w:type="paragraph" w:customStyle="1" w:styleId="xl150">
    <w:name w:val="xl150"/>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1">
    <w:name w:val="xl151"/>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2">
    <w:name w:val="xl152"/>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3">
    <w:name w:val="xl153"/>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4">
    <w:name w:val="xl154"/>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5">
    <w:name w:val="xl155"/>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6">
    <w:name w:val="xl156"/>
    <w:basedOn w:val="Normlny"/>
    <w:uiPriority w:val="99"/>
    <w:rsid w:val="009A28BA"/>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7">
    <w:name w:val="xl157"/>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8">
    <w:name w:val="xl158"/>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9">
    <w:name w:val="xl159"/>
    <w:basedOn w:val="Normlny"/>
    <w:uiPriority w:val="99"/>
    <w:rsid w:val="009A28BA"/>
    <w:pPr>
      <w:pBdr>
        <w:top w:val="single" w:sz="4" w:space="0" w:color="auto"/>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60">
    <w:name w:val="xl160"/>
    <w:basedOn w:val="Normlny"/>
    <w:uiPriority w:val="99"/>
    <w:rsid w:val="009A28BA"/>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1">
    <w:name w:val="xl161"/>
    <w:basedOn w:val="Normlny"/>
    <w:uiPriority w:val="99"/>
    <w:rsid w:val="009A28BA"/>
    <w:pPr>
      <w:pBdr>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62">
    <w:name w:val="xl162"/>
    <w:basedOn w:val="Normlny"/>
    <w:uiPriority w:val="99"/>
    <w:rsid w:val="009A28BA"/>
    <w:pPr>
      <w:pBdr>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63">
    <w:name w:val="xl163"/>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4">
    <w:name w:val="xl164"/>
    <w:basedOn w:val="Normlny"/>
    <w:uiPriority w:val="99"/>
    <w:rsid w:val="009A28B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24"/>
    </w:rPr>
  </w:style>
  <w:style w:type="paragraph" w:customStyle="1" w:styleId="xl165">
    <w:name w:val="xl165"/>
    <w:basedOn w:val="Normlny"/>
    <w:uiPriority w:val="99"/>
    <w:rsid w:val="009A28BA"/>
    <w:pPr>
      <w:spacing w:before="100" w:beforeAutospacing="1" w:after="100" w:afterAutospacing="1"/>
      <w:jc w:val="left"/>
    </w:pPr>
    <w:rPr>
      <w:rFonts w:ascii="Arial" w:hAnsi="Arial"/>
      <w:b/>
      <w:bCs/>
      <w:sz w:val="16"/>
      <w:szCs w:val="16"/>
    </w:rPr>
  </w:style>
  <w:style w:type="paragraph" w:customStyle="1" w:styleId="xl166">
    <w:name w:val="xl166"/>
    <w:basedOn w:val="Normlny"/>
    <w:uiPriority w:val="99"/>
    <w:rsid w:val="009A28BA"/>
    <w:pPr>
      <w:spacing w:before="100" w:beforeAutospacing="1" w:after="100" w:afterAutospacing="1"/>
      <w:jc w:val="right"/>
    </w:pPr>
    <w:rPr>
      <w:rFonts w:ascii="Arial" w:hAnsi="Arial"/>
      <w:sz w:val="16"/>
      <w:szCs w:val="16"/>
    </w:rPr>
  </w:style>
  <w:style w:type="paragraph" w:customStyle="1" w:styleId="xl167">
    <w:name w:val="xl167"/>
    <w:basedOn w:val="Normlny"/>
    <w:uiPriority w:val="99"/>
    <w:rsid w:val="009A28BA"/>
    <w:pPr>
      <w:pBdr>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8">
    <w:name w:val="xl168"/>
    <w:basedOn w:val="Normlny"/>
    <w:uiPriority w:val="99"/>
    <w:rsid w:val="009A28BA"/>
    <w:pPr>
      <w:pBdr>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9">
    <w:name w:val="xl169"/>
    <w:basedOn w:val="Normlny"/>
    <w:uiPriority w:val="99"/>
    <w:rsid w:val="009A28BA"/>
    <w:pPr>
      <w:pBdr>
        <w:left w:val="single" w:sz="4" w:space="0" w:color="auto"/>
      </w:pBdr>
      <w:spacing w:before="100" w:beforeAutospacing="1" w:after="100" w:afterAutospacing="1"/>
      <w:jc w:val="left"/>
    </w:pPr>
    <w:rPr>
      <w:rFonts w:ascii="Arial" w:hAnsi="Arial"/>
      <w:b/>
      <w:bCs/>
      <w:sz w:val="16"/>
      <w:szCs w:val="16"/>
    </w:rPr>
  </w:style>
  <w:style w:type="paragraph" w:customStyle="1" w:styleId="xl170">
    <w:name w:val="xl170"/>
    <w:basedOn w:val="Normlny"/>
    <w:uiPriority w:val="99"/>
    <w:rsid w:val="009A28BA"/>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71">
    <w:name w:val="xl171"/>
    <w:basedOn w:val="Normlny"/>
    <w:uiPriority w:val="99"/>
    <w:rsid w:val="009A28BA"/>
    <w:pPr>
      <w:pBdr>
        <w:bottom w:val="single" w:sz="4" w:space="0" w:color="auto"/>
      </w:pBdr>
      <w:spacing w:before="100" w:beforeAutospacing="1" w:after="100" w:afterAutospacing="1"/>
      <w:jc w:val="right"/>
    </w:pPr>
    <w:rPr>
      <w:rFonts w:ascii="Arial" w:hAnsi="Arial"/>
      <w:sz w:val="16"/>
      <w:szCs w:val="16"/>
    </w:rPr>
  </w:style>
  <w:style w:type="paragraph" w:customStyle="1" w:styleId="xl172">
    <w:name w:val="xl172"/>
    <w:basedOn w:val="Normlny"/>
    <w:uiPriority w:val="99"/>
    <w:rsid w:val="009A28BA"/>
    <w:pPr>
      <w:pBdr>
        <w:bottom w:val="single" w:sz="4" w:space="0" w:color="auto"/>
      </w:pBdr>
      <w:spacing w:before="100" w:beforeAutospacing="1" w:after="100" w:afterAutospacing="1"/>
      <w:jc w:val="right"/>
    </w:pPr>
    <w:rPr>
      <w:rFonts w:ascii="Arial" w:hAnsi="Arial"/>
      <w:b/>
      <w:bCs/>
      <w:sz w:val="16"/>
      <w:szCs w:val="16"/>
    </w:rPr>
  </w:style>
  <w:style w:type="paragraph" w:customStyle="1" w:styleId="xl173">
    <w:name w:val="xl173"/>
    <w:basedOn w:val="Normlny"/>
    <w:uiPriority w:val="99"/>
    <w:rsid w:val="009A28BA"/>
    <w:pPr>
      <w:pBdr>
        <w:top w:val="single" w:sz="4" w:space="0" w:color="auto"/>
        <w:left w:val="single" w:sz="4" w:space="0" w:color="auto"/>
        <w:bottom w:val="single" w:sz="4" w:space="0" w:color="auto"/>
      </w:pBdr>
      <w:spacing w:before="100" w:beforeAutospacing="1" w:after="100" w:afterAutospacing="1"/>
      <w:jc w:val="right"/>
    </w:pPr>
    <w:rPr>
      <w:rFonts w:ascii="Arial" w:hAnsi="Arial"/>
      <w:sz w:val="16"/>
      <w:szCs w:val="16"/>
    </w:rPr>
  </w:style>
  <w:style w:type="paragraph" w:customStyle="1" w:styleId="xl174">
    <w:name w:val="xl174"/>
    <w:basedOn w:val="Normlny"/>
    <w:uiPriority w:val="99"/>
    <w:rsid w:val="009A28BA"/>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hAnsi="Arial"/>
      <w:sz w:val="16"/>
      <w:szCs w:val="16"/>
    </w:rPr>
  </w:style>
  <w:style w:type="paragraph" w:customStyle="1" w:styleId="xl175">
    <w:name w:val="xl175"/>
    <w:basedOn w:val="Normlny"/>
    <w:uiPriority w:val="99"/>
    <w:rsid w:val="009A28BA"/>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6">
    <w:name w:val="xl176"/>
    <w:basedOn w:val="Normlny"/>
    <w:uiPriority w:val="99"/>
    <w:rsid w:val="009A28BA"/>
    <w:pPr>
      <w:pBdr>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7">
    <w:name w:val="xl177"/>
    <w:basedOn w:val="Normlny"/>
    <w:uiPriority w:val="99"/>
    <w:rsid w:val="009A28BA"/>
    <w:pPr>
      <w:pBdr>
        <w:left w:val="single" w:sz="4" w:space="0" w:color="auto"/>
        <w:bottom w:val="single" w:sz="4" w:space="0" w:color="auto"/>
        <w:right w:val="double" w:sz="6" w:space="0" w:color="auto"/>
      </w:pBdr>
      <w:spacing w:before="100" w:beforeAutospacing="1" w:after="100" w:afterAutospacing="1"/>
      <w:jc w:val="right"/>
    </w:pPr>
    <w:rPr>
      <w:rFonts w:ascii="Arial" w:hAnsi="Arial"/>
      <w:b/>
      <w:bCs/>
      <w:sz w:val="16"/>
      <w:szCs w:val="16"/>
    </w:rPr>
  </w:style>
  <w:style w:type="paragraph" w:customStyle="1" w:styleId="xl178">
    <w:name w:val="xl178"/>
    <w:basedOn w:val="Normlny"/>
    <w:uiPriority w:val="99"/>
    <w:rsid w:val="009A28BA"/>
    <w:pPr>
      <w:pBdr>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9">
    <w:name w:val="xl179"/>
    <w:basedOn w:val="Normlny"/>
    <w:uiPriority w:val="99"/>
    <w:rsid w:val="009A28BA"/>
    <w:pPr>
      <w:pBdr>
        <w:top w:val="single" w:sz="4" w:space="0" w:color="auto"/>
        <w:left w:val="single" w:sz="4" w:space="0" w:color="auto"/>
      </w:pBdr>
      <w:spacing w:before="100" w:beforeAutospacing="1" w:after="100" w:afterAutospacing="1"/>
      <w:jc w:val="right"/>
    </w:pPr>
    <w:rPr>
      <w:rFonts w:ascii="Arial" w:hAnsi="Arial"/>
      <w:sz w:val="16"/>
      <w:szCs w:val="16"/>
    </w:rPr>
  </w:style>
  <w:style w:type="paragraph" w:customStyle="1" w:styleId="xl180">
    <w:name w:val="xl180"/>
    <w:basedOn w:val="Normlny"/>
    <w:uiPriority w:val="99"/>
    <w:rsid w:val="009A28BA"/>
    <w:pPr>
      <w:pBdr>
        <w:top w:val="single" w:sz="4" w:space="0" w:color="auto"/>
      </w:pBdr>
      <w:spacing w:before="100" w:beforeAutospacing="1" w:after="100" w:afterAutospacing="1"/>
      <w:jc w:val="left"/>
    </w:pPr>
    <w:rPr>
      <w:rFonts w:ascii="Arial" w:hAnsi="Arial"/>
      <w:sz w:val="16"/>
      <w:szCs w:val="16"/>
    </w:rPr>
  </w:style>
  <w:style w:type="paragraph" w:customStyle="1" w:styleId="xl181">
    <w:name w:val="xl181"/>
    <w:basedOn w:val="Normlny"/>
    <w:uiPriority w:val="99"/>
    <w:rsid w:val="009A28BA"/>
    <w:pPr>
      <w:pBdr>
        <w:top w:val="single" w:sz="4" w:space="0" w:color="auto"/>
      </w:pBdr>
      <w:spacing w:before="100" w:beforeAutospacing="1" w:after="100" w:afterAutospacing="1"/>
      <w:jc w:val="left"/>
    </w:pPr>
    <w:rPr>
      <w:rFonts w:ascii="Arial" w:hAnsi="Arial"/>
      <w:sz w:val="16"/>
      <w:szCs w:val="16"/>
    </w:rPr>
  </w:style>
  <w:style w:type="paragraph" w:customStyle="1" w:styleId="xl182">
    <w:name w:val="xl182"/>
    <w:basedOn w:val="Normlny"/>
    <w:uiPriority w:val="99"/>
    <w:rsid w:val="009A28BA"/>
    <w:pPr>
      <w:pBdr>
        <w:top w:val="single" w:sz="4" w:space="0" w:color="auto"/>
      </w:pBdr>
      <w:spacing w:before="100" w:beforeAutospacing="1" w:after="100" w:afterAutospacing="1"/>
      <w:jc w:val="right"/>
    </w:pPr>
    <w:rPr>
      <w:rFonts w:ascii="Arial" w:hAnsi="Arial"/>
      <w:sz w:val="16"/>
      <w:szCs w:val="16"/>
    </w:rPr>
  </w:style>
  <w:style w:type="paragraph" w:customStyle="1" w:styleId="xl183">
    <w:name w:val="xl183"/>
    <w:basedOn w:val="Normlny"/>
    <w:uiPriority w:val="99"/>
    <w:rsid w:val="009A28BA"/>
    <w:pPr>
      <w:spacing w:before="100" w:beforeAutospacing="1" w:after="100" w:afterAutospacing="1"/>
      <w:jc w:val="left"/>
    </w:pPr>
    <w:rPr>
      <w:rFonts w:ascii="Arial" w:hAnsi="Arial"/>
      <w:sz w:val="16"/>
      <w:szCs w:val="16"/>
    </w:rPr>
  </w:style>
  <w:style w:type="paragraph" w:customStyle="1" w:styleId="xl184">
    <w:name w:val="xl184"/>
    <w:basedOn w:val="Normlny"/>
    <w:uiPriority w:val="99"/>
    <w:rsid w:val="009A28BA"/>
    <w:pPr>
      <w:spacing w:before="100" w:beforeAutospacing="1" w:after="100" w:afterAutospacing="1"/>
      <w:jc w:val="left"/>
    </w:pPr>
    <w:rPr>
      <w:rFonts w:ascii="Arial" w:hAnsi="Arial"/>
      <w:sz w:val="16"/>
      <w:szCs w:val="16"/>
    </w:rPr>
  </w:style>
  <w:style w:type="paragraph" w:customStyle="1" w:styleId="xl185">
    <w:name w:val="xl185"/>
    <w:basedOn w:val="Normlny"/>
    <w:uiPriority w:val="99"/>
    <w:rsid w:val="009A28BA"/>
    <w:pPr>
      <w:spacing w:before="100" w:beforeAutospacing="1" w:after="100" w:afterAutospacing="1"/>
      <w:jc w:val="right"/>
    </w:pPr>
    <w:rPr>
      <w:rFonts w:ascii="Arial" w:hAnsi="Arial"/>
      <w:sz w:val="16"/>
      <w:szCs w:val="16"/>
    </w:rPr>
  </w:style>
  <w:style w:type="paragraph" w:customStyle="1" w:styleId="xl186">
    <w:name w:val="xl186"/>
    <w:basedOn w:val="Normlny"/>
    <w:uiPriority w:val="99"/>
    <w:rsid w:val="009A28BA"/>
    <w:pPr>
      <w:pBdr>
        <w:top w:val="single" w:sz="4" w:space="0" w:color="auto"/>
      </w:pBdr>
      <w:spacing w:before="100" w:beforeAutospacing="1" w:after="100" w:afterAutospacing="1"/>
      <w:jc w:val="left"/>
    </w:pPr>
    <w:rPr>
      <w:rFonts w:ascii="Arial" w:hAnsi="Arial"/>
      <w:b/>
      <w:bCs/>
      <w:sz w:val="16"/>
      <w:szCs w:val="16"/>
    </w:rPr>
  </w:style>
  <w:style w:type="paragraph" w:customStyle="1" w:styleId="xl187">
    <w:name w:val="xl187"/>
    <w:basedOn w:val="Normlny"/>
    <w:uiPriority w:val="99"/>
    <w:rsid w:val="009A28BA"/>
    <w:pPr>
      <w:pBdr>
        <w:top w:val="single" w:sz="4" w:space="0" w:color="auto"/>
      </w:pBdr>
      <w:spacing w:before="100" w:beforeAutospacing="1" w:after="100" w:afterAutospacing="1"/>
      <w:jc w:val="left"/>
    </w:pPr>
    <w:rPr>
      <w:rFonts w:ascii="Arial" w:hAnsi="Arial"/>
      <w:b/>
      <w:bCs/>
      <w:sz w:val="16"/>
      <w:szCs w:val="16"/>
    </w:rPr>
  </w:style>
  <w:style w:type="paragraph" w:customStyle="1" w:styleId="xl188">
    <w:name w:val="xl188"/>
    <w:basedOn w:val="Normlny"/>
    <w:uiPriority w:val="99"/>
    <w:rsid w:val="009A28BA"/>
    <w:pPr>
      <w:pBdr>
        <w:top w:val="single" w:sz="4" w:space="0" w:color="auto"/>
      </w:pBdr>
      <w:spacing w:before="100" w:beforeAutospacing="1" w:after="100" w:afterAutospacing="1"/>
      <w:jc w:val="left"/>
    </w:pPr>
    <w:rPr>
      <w:rFonts w:ascii="Arial" w:hAnsi="Arial"/>
      <w:b/>
      <w:bCs/>
      <w:sz w:val="16"/>
      <w:szCs w:val="16"/>
    </w:rPr>
  </w:style>
  <w:style w:type="paragraph" w:customStyle="1" w:styleId="xl189">
    <w:name w:val="xl189"/>
    <w:basedOn w:val="Normlny"/>
    <w:uiPriority w:val="99"/>
    <w:rsid w:val="009A28BA"/>
    <w:pPr>
      <w:spacing w:before="100" w:beforeAutospacing="1" w:after="100" w:afterAutospacing="1"/>
      <w:jc w:val="left"/>
    </w:pPr>
    <w:rPr>
      <w:rFonts w:ascii="Arial" w:hAnsi="Arial"/>
      <w:b/>
      <w:bCs/>
      <w:sz w:val="16"/>
      <w:szCs w:val="16"/>
    </w:rPr>
  </w:style>
  <w:style w:type="paragraph" w:customStyle="1" w:styleId="xl190">
    <w:name w:val="xl190"/>
    <w:basedOn w:val="Normlny"/>
    <w:uiPriority w:val="99"/>
    <w:rsid w:val="009A28BA"/>
    <w:pPr>
      <w:spacing w:before="100" w:beforeAutospacing="1" w:after="100" w:afterAutospacing="1"/>
      <w:jc w:val="left"/>
    </w:pPr>
    <w:rPr>
      <w:rFonts w:ascii="Arial" w:hAnsi="Arial"/>
      <w:b/>
      <w:bCs/>
      <w:sz w:val="16"/>
      <w:szCs w:val="16"/>
    </w:rPr>
  </w:style>
  <w:style w:type="paragraph" w:customStyle="1" w:styleId="xl191">
    <w:name w:val="xl191"/>
    <w:basedOn w:val="Normlny"/>
    <w:uiPriority w:val="99"/>
    <w:rsid w:val="009A28BA"/>
    <w:pPr>
      <w:spacing w:before="100" w:beforeAutospacing="1" w:after="100" w:afterAutospacing="1"/>
      <w:jc w:val="left"/>
    </w:pPr>
    <w:rPr>
      <w:rFonts w:ascii="Arial" w:hAnsi="Arial"/>
      <w:b/>
      <w:bCs/>
      <w:sz w:val="16"/>
      <w:szCs w:val="16"/>
    </w:rPr>
  </w:style>
  <w:style w:type="paragraph" w:customStyle="1" w:styleId="xl192">
    <w:name w:val="xl192"/>
    <w:basedOn w:val="Normlny"/>
    <w:uiPriority w:val="99"/>
    <w:rsid w:val="009A28BA"/>
    <w:pPr>
      <w:spacing w:before="100" w:beforeAutospacing="1" w:after="100" w:afterAutospacing="1"/>
      <w:jc w:val="left"/>
    </w:pPr>
    <w:rPr>
      <w:rFonts w:ascii="Arial" w:hAnsi="Arial"/>
      <w:szCs w:val="22"/>
    </w:rPr>
  </w:style>
  <w:style w:type="paragraph" w:customStyle="1" w:styleId="xl193">
    <w:name w:val="xl193"/>
    <w:basedOn w:val="Normlny"/>
    <w:uiPriority w:val="99"/>
    <w:rsid w:val="009A28BA"/>
    <w:pPr>
      <w:spacing w:before="100" w:beforeAutospacing="1" w:after="100" w:afterAutospacing="1"/>
      <w:jc w:val="left"/>
    </w:pPr>
    <w:rPr>
      <w:rFonts w:ascii="Arial" w:hAnsi="Arial"/>
      <w:szCs w:val="22"/>
    </w:rPr>
  </w:style>
  <w:style w:type="paragraph" w:customStyle="1" w:styleId="xl194">
    <w:name w:val="xl194"/>
    <w:basedOn w:val="Normlny"/>
    <w:uiPriority w:val="99"/>
    <w:rsid w:val="009A28BA"/>
    <w:pPr>
      <w:spacing w:before="100" w:beforeAutospacing="1" w:after="100" w:afterAutospacing="1"/>
      <w:jc w:val="center"/>
    </w:pPr>
    <w:rPr>
      <w:rFonts w:ascii="Arial" w:hAnsi="Arial"/>
      <w:szCs w:val="22"/>
    </w:rPr>
  </w:style>
  <w:style w:type="paragraph" w:customStyle="1" w:styleId="xl195">
    <w:name w:val="xl195"/>
    <w:basedOn w:val="Normlny"/>
    <w:uiPriority w:val="99"/>
    <w:rsid w:val="009A28BA"/>
    <w:pPr>
      <w:spacing w:before="100" w:beforeAutospacing="1" w:after="100" w:afterAutospacing="1"/>
      <w:jc w:val="left"/>
    </w:pPr>
    <w:rPr>
      <w:rFonts w:ascii="Arial" w:hAnsi="Arial"/>
      <w:szCs w:val="22"/>
    </w:rPr>
  </w:style>
  <w:style w:type="paragraph" w:customStyle="1" w:styleId="xl196">
    <w:name w:val="xl196"/>
    <w:basedOn w:val="Normlny"/>
    <w:uiPriority w:val="99"/>
    <w:rsid w:val="009A28B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rFonts w:ascii="Arial" w:hAnsi="Arial"/>
      <w:sz w:val="16"/>
      <w:szCs w:val="16"/>
    </w:rPr>
  </w:style>
  <w:style w:type="paragraph" w:customStyle="1" w:styleId="xl197">
    <w:name w:val="xl197"/>
    <w:basedOn w:val="Normlny"/>
    <w:uiPriority w:val="99"/>
    <w:rsid w:val="009A28BA"/>
    <w:pPr>
      <w:shd w:val="clear" w:color="000000" w:fill="000000"/>
      <w:spacing w:before="100" w:beforeAutospacing="1" w:after="100" w:afterAutospacing="1"/>
      <w:jc w:val="left"/>
    </w:pPr>
    <w:rPr>
      <w:rFonts w:ascii="Arial" w:hAnsi="Arial"/>
      <w:b/>
      <w:bCs/>
      <w:color w:val="FF0000"/>
      <w:szCs w:val="22"/>
    </w:rPr>
  </w:style>
  <w:style w:type="paragraph" w:customStyle="1" w:styleId="Normlnysozarkami12">
    <w:name w:val="Normálny so zarážkami12"/>
    <w:basedOn w:val="Normlny"/>
    <w:uiPriority w:val="99"/>
    <w:qFormat/>
    <w:rsid w:val="00732468"/>
    <w:pPr>
      <w:ind w:firstLine="357"/>
    </w:pPr>
  </w:style>
  <w:style w:type="paragraph" w:customStyle="1" w:styleId="Nadpis41">
    <w:name w:val="Nadpis 41"/>
    <w:basedOn w:val="123"/>
    <w:link w:val="heading4Char0"/>
    <w:uiPriority w:val="99"/>
    <w:qFormat/>
    <w:rsid w:val="00D326B8"/>
    <w:pPr>
      <w:tabs>
        <w:tab w:val="num" w:pos="2880"/>
      </w:tabs>
      <w:ind w:left="2880" w:hanging="720"/>
    </w:pPr>
    <w:rPr>
      <w:color w:val="95B3D7"/>
    </w:rPr>
  </w:style>
  <w:style w:type="character" w:customStyle="1" w:styleId="heading4Char0">
    <w:name w:val="heading 4 Char"/>
    <w:basedOn w:val="123Char"/>
    <w:link w:val="Nadpis41"/>
    <w:uiPriority w:val="99"/>
    <w:rsid w:val="00D326B8"/>
    <w:rPr>
      <w:b/>
      <w:color w:val="95B3D7"/>
      <w:sz w:val="22"/>
      <w:szCs w:val="22"/>
      <w:lang w:val="sk-SK" w:eastAsia="sk-SK"/>
    </w:rPr>
  </w:style>
  <w:style w:type="character" w:customStyle="1" w:styleId="EmailStyle3851">
    <w:name w:val="EmailStyle3851"/>
    <w:basedOn w:val="Predvolenpsmoodseku"/>
    <w:uiPriority w:val="99"/>
    <w:semiHidden/>
    <w:rsid w:val="0048658C"/>
    <w:rPr>
      <w:rFonts w:cs="Times New Roman"/>
      <w:color w:val="000000"/>
    </w:rPr>
  </w:style>
  <w:style w:type="character" w:customStyle="1" w:styleId="EmailStyle386">
    <w:name w:val="EmailStyle386"/>
    <w:basedOn w:val="Predvolenpsmoodseku"/>
    <w:uiPriority w:val="99"/>
    <w:semiHidden/>
    <w:rsid w:val="0048658C"/>
    <w:rPr>
      <w:rFonts w:cs="Times New Roman"/>
      <w:color w:val="000000"/>
    </w:rPr>
  </w:style>
  <w:style w:type="character" w:customStyle="1" w:styleId="EmailStyle387">
    <w:name w:val="EmailStyle387"/>
    <w:basedOn w:val="Predvolenpsmoodseku"/>
    <w:uiPriority w:val="99"/>
    <w:semiHidden/>
    <w:rsid w:val="00FE5AA8"/>
    <w:rPr>
      <w:rFonts w:cs="Times New Roman"/>
      <w:color w:val="000000"/>
    </w:rPr>
  </w:style>
  <w:style w:type="character" w:customStyle="1" w:styleId="EmailStyle388">
    <w:name w:val="EmailStyle388"/>
    <w:basedOn w:val="Predvolenpsmoodseku"/>
    <w:uiPriority w:val="99"/>
    <w:semiHidden/>
    <w:rsid w:val="00FE5AA8"/>
    <w:rPr>
      <w:rFonts w:cs="Times New Roman"/>
      <w:color w:val="000000"/>
    </w:rPr>
  </w:style>
  <w:style w:type="character" w:customStyle="1" w:styleId="EmailStyle241">
    <w:name w:val="EmailStyle241"/>
    <w:basedOn w:val="Predvolenpsmoodseku"/>
    <w:uiPriority w:val="99"/>
    <w:semiHidden/>
    <w:rsid w:val="00A255E2"/>
    <w:rPr>
      <w:rFonts w:cs="Times New Roman"/>
      <w:color w:val="000000"/>
    </w:rPr>
  </w:style>
  <w:style w:type="character" w:customStyle="1" w:styleId="EmailStyle282">
    <w:name w:val="EmailStyle282"/>
    <w:basedOn w:val="Predvolenpsmoodseku"/>
    <w:uiPriority w:val="99"/>
    <w:semiHidden/>
    <w:rsid w:val="00A255E2"/>
    <w:rPr>
      <w:rFonts w:cs="Times New Roman"/>
      <w:color w:val="000000"/>
    </w:rPr>
  </w:style>
  <w:style w:type="paragraph" w:customStyle="1" w:styleId="Normlnysozarkami11">
    <w:name w:val="Normálny so zarážkami11"/>
    <w:basedOn w:val="Normlny"/>
    <w:uiPriority w:val="99"/>
    <w:rsid w:val="00A255E2"/>
    <w:pPr>
      <w:ind w:firstLine="357"/>
    </w:pPr>
  </w:style>
  <w:style w:type="character" w:customStyle="1" w:styleId="EmailStyle3921">
    <w:name w:val="EmailStyle3921"/>
    <w:basedOn w:val="Predvolenpsmoodseku"/>
    <w:uiPriority w:val="99"/>
    <w:semiHidden/>
    <w:rsid w:val="00A255E2"/>
    <w:rPr>
      <w:rFonts w:cs="Times New Roman"/>
      <w:color w:val="000000"/>
    </w:rPr>
  </w:style>
  <w:style w:type="character" w:customStyle="1" w:styleId="EmailStyle3931">
    <w:name w:val="EmailStyle3931"/>
    <w:basedOn w:val="Predvolenpsmoodseku"/>
    <w:uiPriority w:val="99"/>
    <w:semiHidden/>
    <w:rsid w:val="00A255E2"/>
    <w:rPr>
      <w:rFonts w:cs="Times New Roman"/>
      <w:color w:val="000000"/>
    </w:rPr>
  </w:style>
  <w:style w:type="character" w:customStyle="1" w:styleId="EmailStyle3941">
    <w:name w:val="EmailStyle3941"/>
    <w:basedOn w:val="Predvolenpsmoodseku"/>
    <w:uiPriority w:val="99"/>
    <w:semiHidden/>
    <w:rsid w:val="00A255E2"/>
    <w:rPr>
      <w:rFonts w:cs="Times New Roman"/>
      <w:color w:val="000000"/>
    </w:rPr>
  </w:style>
  <w:style w:type="character" w:customStyle="1" w:styleId="EmailStyle3951">
    <w:name w:val="EmailStyle3951"/>
    <w:basedOn w:val="Predvolenpsmoodseku"/>
    <w:uiPriority w:val="99"/>
    <w:semiHidden/>
    <w:rsid w:val="00A255E2"/>
    <w:rPr>
      <w:rFonts w:cs="Times New Roman"/>
      <w:color w:val="000000"/>
    </w:rPr>
  </w:style>
  <w:style w:type="character" w:customStyle="1" w:styleId="EmailStyle3961">
    <w:name w:val="EmailStyle3961"/>
    <w:basedOn w:val="Predvolenpsmoodseku"/>
    <w:uiPriority w:val="99"/>
    <w:semiHidden/>
    <w:rsid w:val="00A255E2"/>
    <w:rPr>
      <w:rFonts w:cs="Times New Roman"/>
      <w:color w:val="000000"/>
    </w:rPr>
  </w:style>
  <w:style w:type="character" w:customStyle="1" w:styleId="EmailStyle3971">
    <w:name w:val="EmailStyle3971"/>
    <w:basedOn w:val="Predvolenpsmoodseku"/>
    <w:uiPriority w:val="99"/>
    <w:semiHidden/>
    <w:rsid w:val="00A255E2"/>
    <w:rPr>
      <w:rFonts w:cs="Times New Roman"/>
      <w:color w:val="000000"/>
    </w:rPr>
  </w:style>
  <w:style w:type="paragraph" w:styleId="Normlnysozarkami">
    <w:name w:val="Normal Indent"/>
    <w:basedOn w:val="Normlny"/>
    <w:link w:val="NormlnysozarkamiChar"/>
    <w:uiPriority w:val="99"/>
    <w:rsid w:val="00A255E2"/>
    <w:pPr>
      <w:ind w:firstLine="357"/>
    </w:pPr>
  </w:style>
  <w:style w:type="character" w:customStyle="1" w:styleId="NormlnysozarkamiChar">
    <w:name w:val="Normálny so zarážkami Char"/>
    <w:basedOn w:val="Predvolenpsmoodseku"/>
    <w:link w:val="Normlnysozarkami"/>
    <w:uiPriority w:val="99"/>
    <w:locked/>
    <w:rsid w:val="00A255E2"/>
    <w:rPr>
      <w:sz w:val="22"/>
      <w:szCs w:val="24"/>
      <w:lang w:val="sk-SK" w:eastAsia="sk-SK"/>
    </w:rPr>
  </w:style>
  <w:style w:type="paragraph" w:customStyle="1" w:styleId="Odsekzoznamu1">
    <w:name w:val="Odsek zoznamu1"/>
    <w:basedOn w:val="Normlny"/>
    <w:uiPriority w:val="99"/>
    <w:rsid w:val="00A255E2"/>
    <w:pPr>
      <w:spacing w:after="200" w:line="276" w:lineRule="auto"/>
      <w:ind w:left="720"/>
      <w:contextualSpacing/>
      <w:jc w:val="left"/>
    </w:pPr>
    <w:rPr>
      <w:rFonts w:ascii="Calibri" w:hAnsi="Calibri"/>
      <w:szCs w:val="22"/>
      <w:lang w:eastAsia="en-US"/>
    </w:rPr>
  </w:style>
  <w:style w:type="table" w:styleId="Farebnpodfarbenie2zvraznenie6">
    <w:name w:val="Medium Shading 2 Accent 6"/>
    <w:basedOn w:val="Normlnatabuka"/>
    <w:uiPriority w:val="64"/>
    <w:rsid w:val="00F85C9F"/>
    <w:rPr>
      <w:rFonts w:asciiTheme="majorHAnsi" w:eastAsiaTheme="majorEastAsia" w:hAnsiTheme="majorHAnsi" w:cstheme="majorBid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opis">
    <w:name w:val="caption"/>
    <w:aliases w:val="Caption Char3,Caption Char2 Char,Caption Char1 Char Char,Caption Char Char Char Char,Caption Char Char1 Char,Caption Char1 Char1,Caption Char Char Char1,Caption Char Char2"/>
    <w:basedOn w:val="Normlny"/>
    <w:next w:val="Normlny"/>
    <w:uiPriority w:val="35"/>
    <w:unhideWhenUsed/>
    <w:qFormat/>
    <w:rsid w:val="00F85C9F"/>
    <w:pPr>
      <w:spacing w:after="120"/>
    </w:pPr>
    <w:rPr>
      <w:rFonts w:ascii="Cambria" w:eastAsiaTheme="majorEastAsia" w:hAnsi="Cambria"/>
      <w:b/>
      <w:caps/>
      <w:spacing w:val="10"/>
      <w:sz w:val="18"/>
      <w:szCs w:val="18"/>
      <w:lang w:eastAsia="en-US" w:bidi="en-US"/>
    </w:rPr>
  </w:style>
  <w:style w:type="paragraph" w:styleId="Citcia">
    <w:name w:val="Quote"/>
    <w:basedOn w:val="Normlny"/>
    <w:next w:val="Normlny"/>
    <w:link w:val="CitciaChar"/>
    <w:uiPriority w:val="29"/>
    <w:qFormat/>
    <w:rsid w:val="00F85C9F"/>
    <w:pPr>
      <w:spacing w:after="120"/>
    </w:pPr>
    <w:rPr>
      <w:rFonts w:ascii="Cambria" w:hAnsi="Cambria"/>
      <w:i/>
      <w:sz w:val="20"/>
      <w:szCs w:val="22"/>
      <w:lang w:eastAsia="en-US"/>
    </w:rPr>
  </w:style>
  <w:style w:type="character" w:customStyle="1" w:styleId="CitciaChar">
    <w:name w:val="Citácia Char"/>
    <w:basedOn w:val="Predvolenpsmoodseku"/>
    <w:link w:val="Citcia"/>
    <w:uiPriority w:val="29"/>
    <w:rsid w:val="00F85C9F"/>
    <w:rPr>
      <w:rFonts w:ascii="Cambria" w:hAnsi="Cambria"/>
      <w:i/>
      <w:szCs w:val="22"/>
      <w:lang w:val="sk-SK"/>
    </w:rPr>
  </w:style>
  <w:style w:type="table" w:styleId="Profesionlnatabuka">
    <w:name w:val="Table Professional"/>
    <w:basedOn w:val="Normlnatabuka"/>
    <w:uiPriority w:val="99"/>
    <w:rsid w:val="00D62DDC"/>
    <w:rPr>
      <w:lang w:val="sk-SK" w:eastAsia="sk-S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Bezriadkovania">
    <w:name w:val="No Spacing"/>
    <w:uiPriority w:val="99"/>
    <w:qFormat/>
    <w:rsid w:val="00D62DDC"/>
    <w:rPr>
      <w:rFonts w:ascii="Calibri" w:hAnsi="Calibri"/>
      <w:sz w:val="22"/>
      <w:szCs w:val="22"/>
      <w:lang w:val="sk-SK"/>
    </w:rPr>
  </w:style>
  <w:style w:type="paragraph" w:customStyle="1" w:styleId="Nadpis20">
    <w:name w:val="Nadpis2"/>
    <w:basedOn w:val="Nadpis1"/>
    <w:uiPriority w:val="99"/>
    <w:rsid w:val="00D62DDC"/>
    <w:pPr>
      <w:tabs>
        <w:tab w:val="clear" w:pos="567"/>
        <w:tab w:val="clear" w:pos="720"/>
        <w:tab w:val="num" w:pos="2160"/>
      </w:tabs>
      <w:spacing w:before="120"/>
      <w:ind w:left="792" w:hanging="432"/>
    </w:pPr>
    <w:rPr>
      <w:rFonts w:ascii="Arial Narrow" w:hAnsi="Arial Narrow"/>
      <w:caps w:val="0"/>
      <w:color w:val="auto"/>
      <w:sz w:val="24"/>
    </w:rPr>
  </w:style>
  <w:style w:type="paragraph" w:customStyle="1" w:styleId="Nadpis3">
    <w:name w:val="Nadpis3"/>
    <w:basedOn w:val="Nadpis20"/>
    <w:link w:val="Nadpis3Char0"/>
    <w:uiPriority w:val="99"/>
    <w:rsid w:val="00D62DDC"/>
    <w:pPr>
      <w:tabs>
        <w:tab w:val="clear" w:pos="2160"/>
      </w:tabs>
      <w:ind w:left="360" w:hanging="360"/>
    </w:pPr>
    <w:rPr>
      <w:sz w:val="20"/>
    </w:rPr>
  </w:style>
  <w:style w:type="character" w:customStyle="1" w:styleId="Nadpis3Char0">
    <w:name w:val="Nadpis3 Char"/>
    <w:basedOn w:val="Predvolenpsmoodseku"/>
    <w:link w:val="Nadpis3"/>
    <w:uiPriority w:val="99"/>
    <w:locked/>
    <w:rsid w:val="00D62DDC"/>
    <w:rPr>
      <w:rFonts w:ascii="Arial Narrow" w:hAnsi="Arial Narrow" w:cs="Arial"/>
      <w:b/>
      <w:bCs/>
      <w:kern w:val="32"/>
      <w:szCs w:val="22"/>
      <w:lang w:val="sk-SK" w:eastAsia="sk-SK"/>
    </w:rPr>
  </w:style>
  <w:style w:type="paragraph" w:customStyle="1" w:styleId="nadpis31">
    <w:name w:val="nadpis3"/>
    <w:basedOn w:val="Normlny"/>
    <w:uiPriority w:val="99"/>
    <w:rsid w:val="00D62DDC"/>
    <w:pPr>
      <w:keepNext/>
      <w:spacing w:before="120" w:after="120"/>
      <w:ind w:left="1224" w:hanging="504"/>
      <w:jc w:val="left"/>
    </w:pPr>
    <w:rPr>
      <w:rFonts w:ascii="Arial Narrow" w:hAnsi="Arial Narrow"/>
      <w:b/>
      <w:bCs/>
      <w:sz w:val="20"/>
      <w:szCs w:val="20"/>
    </w:rPr>
  </w:style>
  <w:style w:type="paragraph" w:customStyle="1" w:styleId="nadpis2">
    <w:name w:val="nadpis 2"/>
    <w:basedOn w:val="Nadpis5"/>
    <w:next w:val="Normlny"/>
    <w:uiPriority w:val="39"/>
    <w:qFormat/>
    <w:rsid w:val="00A339B0"/>
    <w:pPr>
      <w:tabs>
        <w:tab w:val="num" w:pos="1440"/>
      </w:tabs>
      <w:ind w:left="1440" w:hanging="720"/>
    </w:pPr>
    <w:rPr>
      <w:szCs w:val="22"/>
    </w:rPr>
  </w:style>
  <w:style w:type="character" w:customStyle="1" w:styleId="EmailStyle385">
    <w:name w:val="EmailStyle385"/>
    <w:basedOn w:val="Predvolenpsmoodseku"/>
    <w:uiPriority w:val="99"/>
    <w:semiHidden/>
    <w:rsid w:val="00C00C40"/>
    <w:rPr>
      <w:rFonts w:cs="Times New Roman"/>
      <w:color w:val="000000"/>
    </w:rPr>
  </w:style>
  <w:style w:type="paragraph" w:customStyle="1" w:styleId="textpoznmkypodiarou0">
    <w:name w:val="textpoznmkypodiarou"/>
    <w:basedOn w:val="Normlny"/>
    <w:rsid w:val="0075187A"/>
    <w:rPr>
      <w:rFonts w:ascii="Calibri" w:eastAsiaTheme="minorHAnsi" w:hAnsi="Calibri" w:cs="Calibri"/>
      <w:sz w:val="18"/>
      <w:szCs w:val="18"/>
    </w:rPr>
  </w:style>
  <w:style w:type="character" w:customStyle="1" w:styleId="odkaznapoznmkupodiarou0">
    <w:name w:val="odkaznapoznmkupodiarou"/>
    <w:basedOn w:val="Predvolenpsmoodseku"/>
    <w:rsid w:val="0075187A"/>
    <w:rPr>
      <w:vertAlign w:val="superscript"/>
    </w:rPr>
  </w:style>
  <w:style w:type="paragraph" w:styleId="Obyajntext">
    <w:name w:val="Plain Text"/>
    <w:basedOn w:val="Normlny"/>
    <w:link w:val="ObyajntextChar"/>
    <w:uiPriority w:val="99"/>
    <w:unhideWhenUsed/>
    <w:rsid w:val="00AC21E5"/>
    <w:pPr>
      <w:jc w:val="left"/>
    </w:pPr>
    <w:rPr>
      <w:rFonts w:ascii="Calibri" w:eastAsiaTheme="minorHAnsi" w:hAnsi="Calibri" w:cstheme="minorBidi"/>
      <w:szCs w:val="21"/>
      <w:lang w:eastAsia="en-US"/>
    </w:rPr>
  </w:style>
  <w:style w:type="character" w:customStyle="1" w:styleId="ObyajntextChar">
    <w:name w:val="Obyčajný text Char"/>
    <w:basedOn w:val="Predvolenpsmoodseku"/>
    <w:link w:val="Obyajntext"/>
    <w:uiPriority w:val="99"/>
    <w:rsid w:val="00AC21E5"/>
    <w:rPr>
      <w:rFonts w:ascii="Calibri" w:eastAsiaTheme="minorHAnsi" w:hAnsi="Calibri" w:cstheme="minorBidi"/>
      <w:sz w:val="22"/>
      <w:szCs w:val="21"/>
      <w:lang w:val="sk-SK"/>
    </w:rPr>
  </w:style>
  <w:style w:type="paragraph" w:customStyle="1" w:styleId="Nadpis310">
    <w:name w:val="Nadpis 31"/>
    <w:basedOn w:val="Normlny"/>
    <w:rsid w:val="00A3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1050">
      <w:bodyDiv w:val="1"/>
      <w:marLeft w:val="0"/>
      <w:marRight w:val="0"/>
      <w:marTop w:val="0"/>
      <w:marBottom w:val="0"/>
      <w:divBdr>
        <w:top w:val="none" w:sz="0" w:space="0" w:color="auto"/>
        <w:left w:val="none" w:sz="0" w:space="0" w:color="auto"/>
        <w:bottom w:val="none" w:sz="0" w:space="0" w:color="auto"/>
        <w:right w:val="none" w:sz="0" w:space="0" w:color="auto"/>
      </w:divBdr>
    </w:div>
    <w:div w:id="105124311">
      <w:bodyDiv w:val="1"/>
      <w:marLeft w:val="0"/>
      <w:marRight w:val="0"/>
      <w:marTop w:val="0"/>
      <w:marBottom w:val="0"/>
      <w:divBdr>
        <w:top w:val="none" w:sz="0" w:space="0" w:color="auto"/>
        <w:left w:val="none" w:sz="0" w:space="0" w:color="auto"/>
        <w:bottom w:val="none" w:sz="0" w:space="0" w:color="auto"/>
        <w:right w:val="none" w:sz="0" w:space="0" w:color="auto"/>
      </w:divBdr>
    </w:div>
    <w:div w:id="105396960">
      <w:bodyDiv w:val="1"/>
      <w:marLeft w:val="0"/>
      <w:marRight w:val="0"/>
      <w:marTop w:val="0"/>
      <w:marBottom w:val="0"/>
      <w:divBdr>
        <w:top w:val="none" w:sz="0" w:space="0" w:color="auto"/>
        <w:left w:val="none" w:sz="0" w:space="0" w:color="auto"/>
        <w:bottom w:val="none" w:sz="0" w:space="0" w:color="auto"/>
        <w:right w:val="none" w:sz="0" w:space="0" w:color="auto"/>
      </w:divBdr>
    </w:div>
    <w:div w:id="184485511">
      <w:bodyDiv w:val="1"/>
      <w:marLeft w:val="0"/>
      <w:marRight w:val="0"/>
      <w:marTop w:val="0"/>
      <w:marBottom w:val="0"/>
      <w:divBdr>
        <w:top w:val="none" w:sz="0" w:space="0" w:color="auto"/>
        <w:left w:val="none" w:sz="0" w:space="0" w:color="auto"/>
        <w:bottom w:val="none" w:sz="0" w:space="0" w:color="auto"/>
        <w:right w:val="none" w:sz="0" w:space="0" w:color="auto"/>
      </w:divBdr>
    </w:div>
    <w:div w:id="242954569">
      <w:bodyDiv w:val="1"/>
      <w:marLeft w:val="0"/>
      <w:marRight w:val="0"/>
      <w:marTop w:val="0"/>
      <w:marBottom w:val="0"/>
      <w:divBdr>
        <w:top w:val="none" w:sz="0" w:space="0" w:color="auto"/>
        <w:left w:val="none" w:sz="0" w:space="0" w:color="auto"/>
        <w:bottom w:val="none" w:sz="0" w:space="0" w:color="auto"/>
        <w:right w:val="none" w:sz="0" w:space="0" w:color="auto"/>
      </w:divBdr>
    </w:div>
    <w:div w:id="341780883">
      <w:bodyDiv w:val="1"/>
      <w:marLeft w:val="0"/>
      <w:marRight w:val="0"/>
      <w:marTop w:val="0"/>
      <w:marBottom w:val="0"/>
      <w:divBdr>
        <w:top w:val="none" w:sz="0" w:space="0" w:color="auto"/>
        <w:left w:val="none" w:sz="0" w:space="0" w:color="auto"/>
        <w:bottom w:val="none" w:sz="0" w:space="0" w:color="auto"/>
        <w:right w:val="none" w:sz="0" w:space="0" w:color="auto"/>
      </w:divBdr>
    </w:div>
    <w:div w:id="397480950">
      <w:bodyDiv w:val="1"/>
      <w:marLeft w:val="0"/>
      <w:marRight w:val="0"/>
      <w:marTop w:val="0"/>
      <w:marBottom w:val="0"/>
      <w:divBdr>
        <w:top w:val="none" w:sz="0" w:space="0" w:color="auto"/>
        <w:left w:val="none" w:sz="0" w:space="0" w:color="auto"/>
        <w:bottom w:val="none" w:sz="0" w:space="0" w:color="auto"/>
        <w:right w:val="none" w:sz="0" w:space="0" w:color="auto"/>
      </w:divBdr>
    </w:div>
    <w:div w:id="400098513">
      <w:bodyDiv w:val="1"/>
      <w:marLeft w:val="0"/>
      <w:marRight w:val="0"/>
      <w:marTop w:val="0"/>
      <w:marBottom w:val="0"/>
      <w:divBdr>
        <w:top w:val="none" w:sz="0" w:space="0" w:color="auto"/>
        <w:left w:val="none" w:sz="0" w:space="0" w:color="auto"/>
        <w:bottom w:val="none" w:sz="0" w:space="0" w:color="auto"/>
        <w:right w:val="none" w:sz="0" w:space="0" w:color="auto"/>
      </w:divBdr>
    </w:div>
    <w:div w:id="511994633">
      <w:bodyDiv w:val="1"/>
      <w:marLeft w:val="0"/>
      <w:marRight w:val="0"/>
      <w:marTop w:val="0"/>
      <w:marBottom w:val="0"/>
      <w:divBdr>
        <w:top w:val="none" w:sz="0" w:space="0" w:color="auto"/>
        <w:left w:val="none" w:sz="0" w:space="0" w:color="auto"/>
        <w:bottom w:val="none" w:sz="0" w:space="0" w:color="auto"/>
        <w:right w:val="none" w:sz="0" w:space="0" w:color="auto"/>
      </w:divBdr>
    </w:div>
    <w:div w:id="515509114">
      <w:bodyDiv w:val="1"/>
      <w:marLeft w:val="0"/>
      <w:marRight w:val="0"/>
      <w:marTop w:val="0"/>
      <w:marBottom w:val="0"/>
      <w:divBdr>
        <w:top w:val="none" w:sz="0" w:space="0" w:color="auto"/>
        <w:left w:val="none" w:sz="0" w:space="0" w:color="auto"/>
        <w:bottom w:val="none" w:sz="0" w:space="0" w:color="auto"/>
        <w:right w:val="none" w:sz="0" w:space="0" w:color="auto"/>
      </w:divBdr>
    </w:div>
    <w:div w:id="547761798">
      <w:bodyDiv w:val="1"/>
      <w:marLeft w:val="0"/>
      <w:marRight w:val="0"/>
      <w:marTop w:val="0"/>
      <w:marBottom w:val="0"/>
      <w:divBdr>
        <w:top w:val="none" w:sz="0" w:space="0" w:color="auto"/>
        <w:left w:val="none" w:sz="0" w:space="0" w:color="auto"/>
        <w:bottom w:val="none" w:sz="0" w:space="0" w:color="auto"/>
        <w:right w:val="none" w:sz="0" w:space="0" w:color="auto"/>
      </w:divBdr>
    </w:div>
    <w:div w:id="581717755">
      <w:bodyDiv w:val="1"/>
      <w:marLeft w:val="0"/>
      <w:marRight w:val="0"/>
      <w:marTop w:val="0"/>
      <w:marBottom w:val="0"/>
      <w:divBdr>
        <w:top w:val="none" w:sz="0" w:space="0" w:color="auto"/>
        <w:left w:val="none" w:sz="0" w:space="0" w:color="auto"/>
        <w:bottom w:val="none" w:sz="0" w:space="0" w:color="auto"/>
        <w:right w:val="none" w:sz="0" w:space="0" w:color="auto"/>
      </w:divBdr>
    </w:div>
    <w:div w:id="623729398">
      <w:bodyDiv w:val="1"/>
      <w:marLeft w:val="0"/>
      <w:marRight w:val="0"/>
      <w:marTop w:val="0"/>
      <w:marBottom w:val="0"/>
      <w:divBdr>
        <w:top w:val="none" w:sz="0" w:space="0" w:color="auto"/>
        <w:left w:val="none" w:sz="0" w:space="0" w:color="auto"/>
        <w:bottom w:val="none" w:sz="0" w:space="0" w:color="auto"/>
        <w:right w:val="none" w:sz="0" w:space="0" w:color="auto"/>
      </w:divBdr>
    </w:div>
    <w:div w:id="645403309">
      <w:bodyDiv w:val="1"/>
      <w:marLeft w:val="0"/>
      <w:marRight w:val="0"/>
      <w:marTop w:val="0"/>
      <w:marBottom w:val="0"/>
      <w:divBdr>
        <w:top w:val="none" w:sz="0" w:space="0" w:color="auto"/>
        <w:left w:val="none" w:sz="0" w:space="0" w:color="auto"/>
        <w:bottom w:val="none" w:sz="0" w:space="0" w:color="auto"/>
        <w:right w:val="none" w:sz="0" w:space="0" w:color="auto"/>
      </w:divBdr>
    </w:div>
    <w:div w:id="699167507">
      <w:bodyDiv w:val="1"/>
      <w:marLeft w:val="0"/>
      <w:marRight w:val="0"/>
      <w:marTop w:val="0"/>
      <w:marBottom w:val="0"/>
      <w:divBdr>
        <w:top w:val="none" w:sz="0" w:space="0" w:color="auto"/>
        <w:left w:val="none" w:sz="0" w:space="0" w:color="auto"/>
        <w:bottom w:val="none" w:sz="0" w:space="0" w:color="auto"/>
        <w:right w:val="none" w:sz="0" w:space="0" w:color="auto"/>
      </w:divBdr>
    </w:div>
    <w:div w:id="699744355">
      <w:bodyDiv w:val="1"/>
      <w:marLeft w:val="0"/>
      <w:marRight w:val="0"/>
      <w:marTop w:val="0"/>
      <w:marBottom w:val="0"/>
      <w:divBdr>
        <w:top w:val="none" w:sz="0" w:space="0" w:color="auto"/>
        <w:left w:val="none" w:sz="0" w:space="0" w:color="auto"/>
        <w:bottom w:val="none" w:sz="0" w:space="0" w:color="auto"/>
        <w:right w:val="none" w:sz="0" w:space="0" w:color="auto"/>
      </w:divBdr>
    </w:div>
    <w:div w:id="707485408">
      <w:bodyDiv w:val="1"/>
      <w:marLeft w:val="0"/>
      <w:marRight w:val="0"/>
      <w:marTop w:val="0"/>
      <w:marBottom w:val="0"/>
      <w:divBdr>
        <w:top w:val="none" w:sz="0" w:space="0" w:color="auto"/>
        <w:left w:val="none" w:sz="0" w:space="0" w:color="auto"/>
        <w:bottom w:val="none" w:sz="0" w:space="0" w:color="auto"/>
        <w:right w:val="none" w:sz="0" w:space="0" w:color="auto"/>
      </w:divBdr>
    </w:div>
    <w:div w:id="743530685">
      <w:bodyDiv w:val="1"/>
      <w:marLeft w:val="0"/>
      <w:marRight w:val="0"/>
      <w:marTop w:val="0"/>
      <w:marBottom w:val="0"/>
      <w:divBdr>
        <w:top w:val="none" w:sz="0" w:space="0" w:color="auto"/>
        <w:left w:val="none" w:sz="0" w:space="0" w:color="auto"/>
        <w:bottom w:val="none" w:sz="0" w:space="0" w:color="auto"/>
        <w:right w:val="none" w:sz="0" w:space="0" w:color="auto"/>
      </w:divBdr>
    </w:div>
    <w:div w:id="748816471">
      <w:bodyDiv w:val="1"/>
      <w:marLeft w:val="0"/>
      <w:marRight w:val="0"/>
      <w:marTop w:val="0"/>
      <w:marBottom w:val="0"/>
      <w:divBdr>
        <w:top w:val="none" w:sz="0" w:space="0" w:color="auto"/>
        <w:left w:val="none" w:sz="0" w:space="0" w:color="auto"/>
        <w:bottom w:val="none" w:sz="0" w:space="0" w:color="auto"/>
        <w:right w:val="none" w:sz="0" w:space="0" w:color="auto"/>
      </w:divBdr>
    </w:div>
    <w:div w:id="798500411">
      <w:bodyDiv w:val="1"/>
      <w:marLeft w:val="0"/>
      <w:marRight w:val="0"/>
      <w:marTop w:val="0"/>
      <w:marBottom w:val="0"/>
      <w:divBdr>
        <w:top w:val="none" w:sz="0" w:space="0" w:color="auto"/>
        <w:left w:val="none" w:sz="0" w:space="0" w:color="auto"/>
        <w:bottom w:val="none" w:sz="0" w:space="0" w:color="auto"/>
        <w:right w:val="none" w:sz="0" w:space="0" w:color="auto"/>
      </w:divBdr>
    </w:div>
    <w:div w:id="850493281">
      <w:bodyDiv w:val="1"/>
      <w:marLeft w:val="0"/>
      <w:marRight w:val="0"/>
      <w:marTop w:val="0"/>
      <w:marBottom w:val="0"/>
      <w:divBdr>
        <w:top w:val="none" w:sz="0" w:space="0" w:color="auto"/>
        <w:left w:val="none" w:sz="0" w:space="0" w:color="auto"/>
        <w:bottom w:val="none" w:sz="0" w:space="0" w:color="auto"/>
        <w:right w:val="none" w:sz="0" w:space="0" w:color="auto"/>
      </w:divBdr>
    </w:div>
    <w:div w:id="852064904">
      <w:bodyDiv w:val="1"/>
      <w:marLeft w:val="0"/>
      <w:marRight w:val="0"/>
      <w:marTop w:val="0"/>
      <w:marBottom w:val="0"/>
      <w:divBdr>
        <w:top w:val="none" w:sz="0" w:space="0" w:color="auto"/>
        <w:left w:val="none" w:sz="0" w:space="0" w:color="auto"/>
        <w:bottom w:val="none" w:sz="0" w:space="0" w:color="auto"/>
        <w:right w:val="none" w:sz="0" w:space="0" w:color="auto"/>
      </w:divBdr>
    </w:div>
    <w:div w:id="947274655">
      <w:bodyDiv w:val="1"/>
      <w:marLeft w:val="0"/>
      <w:marRight w:val="0"/>
      <w:marTop w:val="0"/>
      <w:marBottom w:val="0"/>
      <w:divBdr>
        <w:top w:val="none" w:sz="0" w:space="0" w:color="auto"/>
        <w:left w:val="none" w:sz="0" w:space="0" w:color="auto"/>
        <w:bottom w:val="none" w:sz="0" w:space="0" w:color="auto"/>
        <w:right w:val="none" w:sz="0" w:space="0" w:color="auto"/>
      </w:divBdr>
    </w:div>
    <w:div w:id="965696848">
      <w:bodyDiv w:val="1"/>
      <w:marLeft w:val="0"/>
      <w:marRight w:val="0"/>
      <w:marTop w:val="0"/>
      <w:marBottom w:val="0"/>
      <w:divBdr>
        <w:top w:val="none" w:sz="0" w:space="0" w:color="auto"/>
        <w:left w:val="none" w:sz="0" w:space="0" w:color="auto"/>
        <w:bottom w:val="none" w:sz="0" w:space="0" w:color="auto"/>
        <w:right w:val="none" w:sz="0" w:space="0" w:color="auto"/>
      </w:divBdr>
    </w:div>
    <w:div w:id="982351415">
      <w:bodyDiv w:val="1"/>
      <w:marLeft w:val="0"/>
      <w:marRight w:val="0"/>
      <w:marTop w:val="0"/>
      <w:marBottom w:val="0"/>
      <w:divBdr>
        <w:top w:val="none" w:sz="0" w:space="0" w:color="auto"/>
        <w:left w:val="none" w:sz="0" w:space="0" w:color="auto"/>
        <w:bottom w:val="none" w:sz="0" w:space="0" w:color="auto"/>
        <w:right w:val="none" w:sz="0" w:space="0" w:color="auto"/>
      </w:divBdr>
    </w:div>
    <w:div w:id="1047559936">
      <w:bodyDiv w:val="1"/>
      <w:marLeft w:val="0"/>
      <w:marRight w:val="0"/>
      <w:marTop w:val="0"/>
      <w:marBottom w:val="0"/>
      <w:divBdr>
        <w:top w:val="none" w:sz="0" w:space="0" w:color="auto"/>
        <w:left w:val="none" w:sz="0" w:space="0" w:color="auto"/>
        <w:bottom w:val="none" w:sz="0" w:space="0" w:color="auto"/>
        <w:right w:val="none" w:sz="0" w:space="0" w:color="auto"/>
      </w:divBdr>
    </w:div>
    <w:div w:id="1207251705">
      <w:bodyDiv w:val="1"/>
      <w:marLeft w:val="0"/>
      <w:marRight w:val="0"/>
      <w:marTop w:val="0"/>
      <w:marBottom w:val="0"/>
      <w:divBdr>
        <w:top w:val="none" w:sz="0" w:space="0" w:color="auto"/>
        <w:left w:val="none" w:sz="0" w:space="0" w:color="auto"/>
        <w:bottom w:val="none" w:sz="0" w:space="0" w:color="auto"/>
        <w:right w:val="none" w:sz="0" w:space="0" w:color="auto"/>
      </w:divBdr>
    </w:div>
    <w:div w:id="1207988640">
      <w:bodyDiv w:val="1"/>
      <w:marLeft w:val="0"/>
      <w:marRight w:val="0"/>
      <w:marTop w:val="0"/>
      <w:marBottom w:val="0"/>
      <w:divBdr>
        <w:top w:val="none" w:sz="0" w:space="0" w:color="auto"/>
        <w:left w:val="none" w:sz="0" w:space="0" w:color="auto"/>
        <w:bottom w:val="none" w:sz="0" w:space="0" w:color="auto"/>
        <w:right w:val="none" w:sz="0" w:space="0" w:color="auto"/>
      </w:divBdr>
    </w:div>
    <w:div w:id="1237934090">
      <w:bodyDiv w:val="1"/>
      <w:marLeft w:val="0"/>
      <w:marRight w:val="0"/>
      <w:marTop w:val="0"/>
      <w:marBottom w:val="0"/>
      <w:divBdr>
        <w:top w:val="none" w:sz="0" w:space="0" w:color="auto"/>
        <w:left w:val="none" w:sz="0" w:space="0" w:color="auto"/>
        <w:bottom w:val="none" w:sz="0" w:space="0" w:color="auto"/>
        <w:right w:val="none" w:sz="0" w:space="0" w:color="auto"/>
      </w:divBdr>
    </w:div>
    <w:div w:id="1296645997">
      <w:bodyDiv w:val="1"/>
      <w:marLeft w:val="0"/>
      <w:marRight w:val="0"/>
      <w:marTop w:val="0"/>
      <w:marBottom w:val="0"/>
      <w:divBdr>
        <w:top w:val="none" w:sz="0" w:space="0" w:color="auto"/>
        <w:left w:val="none" w:sz="0" w:space="0" w:color="auto"/>
        <w:bottom w:val="none" w:sz="0" w:space="0" w:color="auto"/>
        <w:right w:val="none" w:sz="0" w:space="0" w:color="auto"/>
      </w:divBdr>
    </w:div>
    <w:div w:id="1411584716">
      <w:bodyDiv w:val="1"/>
      <w:marLeft w:val="0"/>
      <w:marRight w:val="0"/>
      <w:marTop w:val="0"/>
      <w:marBottom w:val="0"/>
      <w:divBdr>
        <w:top w:val="none" w:sz="0" w:space="0" w:color="auto"/>
        <w:left w:val="none" w:sz="0" w:space="0" w:color="auto"/>
        <w:bottom w:val="none" w:sz="0" w:space="0" w:color="auto"/>
        <w:right w:val="none" w:sz="0" w:space="0" w:color="auto"/>
      </w:divBdr>
    </w:div>
    <w:div w:id="1633705203">
      <w:bodyDiv w:val="1"/>
      <w:marLeft w:val="0"/>
      <w:marRight w:val="0"/>
      <w:marTop w:val="0"/>
      <w:marBottom w:val="0"/>
      <w:divBdr>
        <w:top w:val="none" w:sz="0" w:space="0" w:color="auto"/>
        <w:left w:val="none" w:sz="0" w:space="0" w:color="auto"/>
        <w:bottom w:val="none" w:sz="0" w:space="0" w:color="auto"/>
        <w:right w:val="none" w:sz="0" w:space="0" w:color="auto"/>
      </w:divBdr>
    </w:div>
    <w:div w:id="1732925423">
      <w:bodyDiv w:val="1"/>
      <w:marLeft w:val="0"/>
      <w:marRight w:val="0"/>
      <w:marTop w:val="0"/>
      <w:marBottom w:val="0"/>
      <w:divBdr>
        <w:top w:val="none" w:sz="0" w:space="0" w:color="auto"/>
        <w:left w:val="none" w:sz="0" w:space="0" w:color="auto"/>
        <w:bottom w:val="none" w:sz="0" w:space="0" w:color="auto"/>
        <w:right w:val="none" w:sz="0" w:space="0" w:color="auto"/>
      </w:divBdr>
    </w:div>
    <w:div w:id="1790782822">
      <w:bodyDiv w:val="1"/>
      <w:marLeft w:val="0"/>
      <w:marRight w:val="0"/>
      <w:marTop w:val="0"/>
      <w:marBottom w:val="0"/>
      <w:divBdr>
        <w:top w:val="none" w:sz="0" w:space="0" w:color="auto"/>
        <w:left w:val="none" w:sz="0" w:space="0" w:color="auto"/>
        <w:bottom w:val="none" w:sz="0" w:space="0" w:color="auto"/>
        <w:right w:val="none" w:sz="0" w:space="0" w:color="auto"/>
      </w:divBdr>
    </w:div>
    <w:div w:id="1841698592">
      <w:bodyDiv w:val="1"/>
      <w:marLeft w:val="0"/>
      <w:marRight w:val="0"/>
      <w:marTop w:val="0"/>
      <w:marBottom w:val="0"/>
      <w:divBdr>
        <w:top w:val="none" w:sz="0" w:space="0" w:color="auto"/>
        <w:left w:val="none" w:sz="0" w:space="0" w:color="auto"/>
        <w:bottom w:val="none" w:sz="0" w:space="0" w:color="auto"/>
        <w:right w:val="none" w:sz="0" w:space="0" w:color="auto"/>
      </w:divBdr>
    </w:div>
    <w:div w:id="1980375746">
      <w:bodyDiv w:val="1"/>
      <w:marLeft w:val="0"/>
      <w:marRight w:val="0"/>
      <w:marTop w:val="0"/>
      <w:marBottom w:val="0"/>
      <w:divBdr>
        <w:top w:val="none" w:sz="0" w:space="0" w:color="auto"/>
        <w:left w:val="none" w:sz="0" w:space="0" w:color="auto"/>
        <w:bottom w:val="none" w:sz="0" w:space="0" w:color="auto"/>
        <w:right w:val="none" w:sz="0" w:space="0" w:color="auto"/>
      </w:divBdr>
    </w:div>
    <w:div w:id="1989741497">
      <w:bodyDiv w:val="1"/>
      <w:marLeft w:val="0"/>
      <w:marRight w:val="0"/>
      <w:marTop w:val="0"/>
      <w:marBottom w:val="0"/>
      <w:divBdr>
        <w:top w:val="none" w:sz="0" w:space="0" w:color="auto"/>
        <w:left w:val="none" w:sz="0" w:space="0" w:color="auto"/>
        <w:bottom w:val="none" w:sz="0" w:space="0" w:color="auto"/>
        <w:right w:val="none" w:sz="0" w:space="0" w:color="auto"/>
      </w:divBdr>
    </w:div>
    <w:div w:id="2029137048">
      <w:bodyDiv w:val="1"/>
      <w:marLeft w:val="0"/>
      <w:marRight w:val="0"/>
      <w:marTop w:val="0"/>
      <w:marBottom w:val="0"/>
      <w:divBdr>
        <w:top w:val="none" w:sz="0" w:space="0" w:color="auto"/>
        <w:left w:val="none" w:sz="0" w:space="0" w:color="auto"/>
        <w:bottom w:val="none" w:sz="0" w:space="0" w:color="auto"/>
        <w:right w:val="none" w:sz="0" w:space="0" w:color="auto"/>
      </w:divBdr>
      <w:divsChild>
        <w:div w:id="367947770">
          <w:marLeft w:val="0"/>
          <w:marRight w:val="0"/>
          <w:marTop w:val="0"/>
          <w:marBottom w:val="0"/>
          <w:divBdr>
            <w:top w:val="none" w:sz="0" w:space="0" w:color="auto"/>
            <w:left w:val="none" w:sz="0" w:space="0" w:color="auto"/>
            <w:bottom w:val="none" w:sz="0" w:space="0" w:color="auto"/>
            <w:right w:val="none" w:sz="0" w:space="0" w:color="auto"/>
          </w:divBdr>
        </w:div>
        <w:div w:id="1855415620">
          <w:marLeft w:val="0"/>
          <w:marRight w:val="0"/>
          <w:marTop w:val="0"/>
          <w:marBottom w:val="0"/>
          <w:divBdr>
            <w:top w:val="none" w:sz="0" w:space="0" w:color="auto"/>
            <w:left w:val="none" w:sz="0" w:space="0" w:color="auto"/>
            <w:bottom w:val="none" w:sz="0" w:space="0" w:color="auto"/>
            <w:right w:val="none" w:sz="0" w:space="0" w:color="auto"/>
          </w:divBdr>
        </w:div>
      </w:divsChild>
    </w:div>
    <w:div w:id="2048949011">
      <w:bodyDiv w:val="1"/>
      <w:marLeft w:val="0"/>
      <w:marRight w:val="0"/>
      <w:marTop w:val="0"/>
      <w:marBottom w:val="0"/>
      <w:divBdr>
        <w:top w:val="none" w:sz="0" w:space="0" w:color="auto"/>
        <w:left w:val="none" w:sz="0" w:space="0" w:color="auto"/>
        <w:bottom w:val="none" w:sz="0" w:space="0" w:color="auto"/>
        <w:right w:val="none" w:sz="0" w:space="0" w:color="auto"/>
      </w:divBdr>
    </w:div>
    <w:div w:id="2119789559">
      <w:bodyDiv w:val="1"/>
      <w:marLeft w:val="0"/>
      <w:marRight w:val="0"/>
      <w:marTop w:val="0"/>
      <w:marBottom w:val="0"/>
      <w:divBdr>
        <w:top w:val="none" w:sz="0" w:space="0" w:color="auto"/>
        <w:left w:val="none" w:sz="0" w:space="0" w:color="auto"/>
        <w:bottom w:val="none" w:sz="0" w:space="0" w:color="auto"/>
        <w:right w:val="none" w:sz="0" w:space="0" w:color="auto"/>
      </w:divBdr>
    </w:div>
    <w:div w:id="21351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image" Target="media/image1.wmf"/><Relationship Id="rId47" Type="http://schemas.openxmlformats.org/officeDocument/2006/relationships/chart" Target="charts/chart24.xml"/><Relationship Id="rId50" Type="http://schemas.openxmlformats.org/officeDocument/2006/relationships/chart" Target="charts/chart27.xml"/><Relationship Id="rId55" Type="http://schemas.openxmlformats.org/officeDocument/2006/relationships/chart" Target="charts/chart32.xml"/><Relationship Id="rId63" Type="http://schemas.openxmlformats.org/officeDocument/2006/relationships/chart" Target="charts/chart40.xml"/><Relationship Id="rId68" Type="http://schemas.openxmlformats.org/officeDocument/2006/relationships/image" Target="media/image3.png"/><Relationship Id="rId76" Type="http://schemas.openxmlformats.org/officeDocument/2006/relationships/chart" Target="charts/chart48.xml"/><Relationship Id="rId84" Type="http://schemas.openxmlformats.org/officeDocument/2006/relationships/header" Target="header15.xml"/><Relationship Id="rId7" Type="http://schemas.openxmlformats.org/officeDocument/2006/relationships/footnotes" Target="foot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chart" Target="charts/chart10.xml"/><Relationship Id="rId11" Type="http://schemas.openxmlformats.org/officeDocument/2006/relationships/header" Target="header3.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header" Target="header8.xml"/><Relationship Id="rId45" Type="http://schemas.openxmlformats.org/officeDocument/2006/relationships/chart" Target="charts/chart22.xml"/><Relationship Id="rId53" Type="http://schemas.openxmlformats.org/officeDocument/2006/relationships/chart" Target="charts/chart30.xml"/><Relationship Id="rId58" Type="http://schemas.openxmlformats.org/officeDocument/2006/relationships/chart" Target="charts/chart35.xml"/><Relationship Id="rId66" Type="http://schemas.openxmlformats.org/officeDocument/2006/relationships/chart" Target="charts/chart43.xml"/><Relationship Id="rId74" Type="http://schemas.openxmlformats.org/officeDocument/2006/relationships/chart" Target="charts/chart46.xml"/><Relationship Id="rId79" Type="http://schemas.openxmlformats.org/officeDocument/2006/relationships/chart" Target="charts/chart51.xm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hart" Target="charts/chart38.xml"/><Relationship Id="rId82" Type="http://schemas.openxmlformats.org/officeDocument/2006/relationships/image" Target="media/image5.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image" Target="media/image2.wmf"/><Relationship Id="rId48" Type="http://schemas.openxmlformats.org/officeDocument/2006/relationships/chart" Target="charts/chart25.xml"/><Relationship Id="rId56" Type="http://schemas.openxmlformats.org/officeDocument/2006/relationships/chart" Target="charts/chart33.xml"/><Relationship Id="rId64" Type="http://schemas.openxmlformats.org/officeDocument/2006/relationships/chart" Target="charts/chart41.xml"/><Relationship Id="rId69" Type="http://schemas.openxmlformats.org/officeDocument/2006/relationships/hyperlink" Target="http://www.esf.gov.sk" TargetMode="External"/><Relationship Id="rId77" Type="http://schemas.openxmlformats.org/officeDocument/2006/relationships/chart" Target="charts/chart49.xml"/><Relationship Id="rId8" Type="http://schemas.openxmlformats.org/officeDocument/2006/relationships/endnotes" Target="endnotes.xml"/><Relationship Id="rId51" Type="http://schemas.openxmlformats.org/officeDocument/2006/relationships/chart" Target="charts/chart28.xml"/><Relationship Id="rId72" Type="http://schemas.openxmlformats.org/officeDocument/2006/relationships/image" Target="media/image4.png"/><Relationship Id="rId80" Type="http://schemas.openxmlformats.org/officeDocument/2006/relationships/header" Target="header12.xml"/><Relationship Id="rId85" Type="http://schemas.openxmlformats.org/officeDocument/2006/relationships/header" Target="header1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3.xml"/><Relationship Id="rId59" Type="http://schemas.openxmlformats.org/officeDocument/2006/relationships/chart" Target="charts/chart36.xml"/><Relationship Id="rId67" Type="http://schemas.openxmlformats.org/officeDocument/2006/relationships/chart" Target="charts/chart44.xml"/><Relationship Id="rId20" Type="http://schemas.openxmlformats.org/officeDocument/2006/relationships/header" Target="header7.xml"/><Relationship Id="rId41" Type="http://schemas.openxmlformats.org/officeDocument/2006/relationships/header" Target="header9.xml"/><Relationship Id="rId54" Type="http://schemas.openxmlformats.org/officeDocument/2006/relationships/chart" Target="charts/chart31.xml"/><Relationship Id="rId62" Type="http://schemas.openxmlformats.org/officeDocument/2006/relationships/chart" Target="charts/chart39.xml"/><Relationship Id="rId70" Type="http://schemas.openxmlformats.org/officeDocument/2006/relationships/header" Target="header10.xml"/><Relationship Id="rId75" Type="http://schemas.openxmlformats.org/officeDocument/2006/relationships/chart" Target="charts/chart47.xml"/><Relationship Id="rId83" Type="http://schemas.openxmlformats.org/officeDocument/2006/relationships/header" Target="header1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26.xml"/><Relationship Id="rId57" Type="http://schemas.openxmlformats.org/officeDocument/2006/relationships/chart" Target="charts/chart34.xml"/><Relationship Id="rId10" Type="http://schemas.openxmlformats.org/officeDocument/2006/relationships/header" Target="header2.xml"/><Relationship Id="rId31" Type="http://schemas.openxmlformats.org/officeDocument/2006/relationships/chart" Target="charts/chart12.xml"/><Relationship Id="rId44" Type="http://schemas.openxmlformats.org/officeDocument/2006/relationships/chart" Target="charts/chart21.xml"/><Relationship Id="rId52" Type="http://schemas.openxmlformats.org/officeDocument/2006/relationships/chart" Target="charts/chart29.xml"/><Relationship Id="rId60" Type="http://schemas.openxmlformats.org/officeDocument/2006/relationships/chart" Target="charts/chart37.xml"/><Relationship Id="rId65" Type="http://schemas.openxmlformats.org/officeDocument/2006/relationships/chart" Target="charts/chart42.xml"/><Relationship Id="rId73" Type="http://schemas.openxmlformats.org/officeDocument/2006/relationships/chart" Target="charts/chart45.xml"/><Relationship Id="rId78" Type="http://schemas.openxmlformats.org/officeDocument/2006/relationships/chart" Target="charts/chart50.xml"/><Relationship Id="rId81" Type="http://schemas.openxmlformats.org/officeDocument/2006/relationships/header" Target="header13.xml"/><Relationship Id="rId86" Type="http://schemas.openxmlformats.org/officeDocument/2006/relationships/header" Target="header17.xml"/></Relationships>
</file>

<file path=word/_rels/footnotes.xml.rels><?xml version="1.0" encoding="UTF-8" standalone="yes"?>
<Relationships xmlns="http://schemas.openxmlformats.org/package/2006/relationships"><Relationship Id="rId8" Type="http://schemas.openxmlformats.org/officeDocument/2006/relationships/hyperlink" Target="http://epp.eurostat.ec.europa.eu/cache/ITY_OFFPUB/KS-SF-09-102/EN/KS-SF-09-102-EN.PDF" TargetMode="External"/><Relationship Id="rId3" Type="http://schemas.openxmlformats.org/officeDocument/2006/relationships/hyperlink" Target="http://eur-lex.europa.eu/LexUriServ/LexUriServ.do?uri=OJ:L:2007:294:0005:01:SK:HTML" TargetMode="External"/><Relationship Id="rId7" Type="http://schemas.openxmlformats.org/officeDocument/2006/relationships/hyperlink" Target="http://epp.eurostat.ec.europa.eu/portal/page/portal/social_protection/data/database" TargetMode="External"/><Relationship Id="rId2" Type="http://schemas.openxmlformats.org/officeDocument/2006/relationships/hyperlink" Target="http://eur-lex.europa.eu/LexUriServ/LexUriServ.do?uri=OJ:L:2007:113:0003:0008:SK:PDF" TargetMode="External"/><Relationship Id="rId1" Type="http://schemas.openxmlformats.org/officeDocument/2006/relationships/hyperlink" Target="http://epp.eurostat.ec.europa.eu/cache/ITY_OFFPUB/KS-RA-11-014/EN/KS-RA-11-014-EN.PDF" TargetMode="External"/><Relationship Id="rId6" Type="http://schemas.openxmlformats.org/officeDocument/2006/relationships/hyperlink" Target="http://eur-lex.europa.eu/LexUriServ/LexUriServ.do?uri=OJ:L:2011:071:0004:0008:SK:PDF" TargetMode="External"/><Relationship Id="rId11" Type="http://schemas.openxmlformats.org/officeDocument/2006/relationships/hyperlink" Target="http://portal.statistics.sk/showdoc.do?docid=27711" TargetMode="External"/><Relationship Id="rId5" Type="http://schemas.openxmlformats.org/officeDocument/2006/relationships/hyperlink" Target="http://eur-lex.europa.eu/LexUriServ/LexUriServ.do?uri=OJ:L:2011:034:0029:0032:SK:PDF" TargetMode="External"/><Relationship Id="rId10" Type="http://schemas.openxmlformats.org/officeDocument/2006/relationships/hyperlink" Target="http://epp.Eurostat.ec.Eur&#243;pa.eu/portal/page/portal/product_details/publication?p_product_code=KS-SF-12-014" TargetMode="External"/><Relationship Id="rId4" Type="http://schemas.openxmlformats.org/officeDocument/2006/relationships/hyperlink" Target="http://eur-lex.europa.eu/LexUriServ/LexUriServ.do?uri=OJ:L:2008:005:0003:01:SK:HTML" TargetMode="External"/><Relationship Id="rId9" Type="http://schemas.openxmlformats.org/officeDocument/2006/relationships/hyperlink" Target="http://portal.statistics.sk/showdoc.do?docid=425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zova\Plocha\Sprava_vpk.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foldiova\Documents\sprava%20o%20socialnej%20situacii%202012\grafy%201_kapitol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rezova\Desktop\spr&#225;va%202011\SIT%20TP%20Grafy_30%20%2031%20_VPM_20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rezova\Desktop\spr&#225;va%202011\SIT%20TP%2017%20-%2024%20%20Znev&#253;hodn_grafy_2011r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rezova\Desktop\spr&#225;va%202011\SIT%20TP%2017%20-%2024%20%20Znev&#253;hodn_grafy_2011r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rezova\Desktop\spr&#225;va%202011\SIT%20TP%2017%20-%2024%20%20Znev&#253;hodn_grafy_2011r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rezova\Desktop\spr&#225;va%202011\SIT%20TP%2017%20-%2024%20%20Znev&#253;hodn_grafy_2011r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brezova\Desktop\spr&#225;va%202011\SIT%20TP%2017%20-%2024%20%20Znev&#253;hodn_grafy_2011r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ostatn&#233;%20oprav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rezova\Desktop\spr&#225;va%202011\SIT%20TP%2017%20-%2024%20%20Znev&#253;hodn_grafy_2011r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lukackova\Plocha\Martino&#269;ka\Podklady\podklady\Spr&#225;va%20o%20soci&#225;lnej%20situ&#225;cii%202010_13.4.2011\2010.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lukackova\Plocha\Martino&#269;ka\Podklady\podklady\Spr&#225;va%20o%20soci&#225;lnej%20situ&#225;cii%202010_13.4.2011\2009-CB.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pisiakova\My%20Documents\EXCEL\SPRAV_SO\2010_graf.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lukackova\Plocha\Martino&#269;ka\Podklady\podklady\Spr&#225;va%20o%20soci&#225;lnej%20situ&#225;cii%202010_13.4.2011\2009-CB.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odoliakova1\Local%20Settings\Temp\podklady%20ku%20grafom%20do%20sso%20201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kralikova\Local%20Settings\Temporary%20Internet%20Files\Content.Outlook\FPLTAIHV\K&#243;pia%20-%20K&#243;pia_-_podklady_ku_grafom_do_sso_20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jaburkova\Local%20Settings\Temporary%20Internet%20Files\Content.Outlook\XAVV63OE\Zo&#353;it-spr&#225;va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jaburkova\Local%20Settings\Temporary%20Internet%20Files\Content.Outlook\XAVV63OE\Zo&#353;it-spr&#225;va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jaburkova\Local%20Settings\Temporary%20Internet%20Files\Content.Outlook\XAVV63OE\Zo&#353;it-spr&#225;va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jaburkova\Local%20Settings\Temporary%20Internet%20Files\Content.Outlook\XAVV63OE\Zo&#353;it-spr&#225;va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jaburkova\Desktop\K&#243;pia%20-%20Zo&#353;it-spr&#225;va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jaburkova\Local%20Settings\Temporary%20Internet%20Files\Content.Outlook\XAVV63OE\Zo&#353;it-spr&#225;va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180;Tabu&#318;ky%20a%20graf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jaburkova\Desktop\K&#243;pia%20-%20Zo&#353;it-spr&#225;va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jaburkova\Desktop\K&#243;pia%20-%20Zo&#353;it-spr&#225;va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kralikova\My%20Documents\robota\spr&#225;va%20o%20soc%20sit%20obyv\sprava%20o%20soc%20sit%202010\podklady%20ku%20grafom%20do%20sso%20201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brezova\AppData\Local\Microsoft\Windows\Temporary%20Internet%20Files\Content.Outlook\22MJUCQR\K&#243;pia%20-%20Zo&#353;it-spr&#225;va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brezova\AppData\Local\Microsoft\Windows\Temporary%20Internet%20Files\Content.Outlook\22MJUCQR\K&#243;pia%20-%20Zo&#353;it-spr&#225;va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brezova\AppData\Local\Microsoft\Windows\Temporary%20Internet%20Files\Content.Outlook\22MJUCQR\K&#243;pia%20-%20Zo&#353;it-spr&#225;va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brezova\AppData\Local\Microsoft\Windows\Temporary%20Internet%20Files\Content.Outlook\22MJUCQR\K&#243;pia%20-%20Zo&#353;it-spr&#225;va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ESSPRO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ESSPR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2012\Spr&#225;va_o_soc_situ&#225;cii_obyv\FINAL\&#180;Tabu&#318;ky%20a%20grafy.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ESSPRO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ESSPRO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ESSPRO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ESSPRO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brezova\Desktop\Spr&#225;va%20po%20VPK-zapracovanie%20pripomienok\SSC11.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K&#243;pia%20-%20zdrojovy%20subor2010.xls"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K&#243;pia%20-%20zdrojovy%20subor2010.xls"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K&#243;pia%20-%20zdrojovy%20subor2010.xls"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K&#243;pia%20-%20zdrojovy%20subor2010.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brezova\Desktop\spr&#225;va%20o%20SSO%20za%20rok%202011\spr&#225;va%202011%20-%20pracovn&#233;%20verzie%20a%20zdroje\K&#243;pia%20-%20zdrojovy%20subor201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rezova\Desktop\spr&#225;va%202011\sit%20TP%20graf%206.xls"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brezova\Desktop\spr&#225;va%202011\ostatn&#233;%20opravy.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brezova\Desktop\spr&#225;va%202011\ostatn&#233;%20oprav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rezova\Desktop\spr&#225;va%202011\sit_sprava_2011_tab5_6%20grafy%2011%2013%2017.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rezova\Desktop\spr&#225;va%202011\sit_sprava_2011_tab5_6%20grafy%2011%2013%201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rezova\Desktop\spr&#225;va%202011\ostatn&#233;%20oprav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rezova\Desktop\spr&#225;va%202011\sit_sprava_2011_tab5_6%20grafy%2011%2013%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Hárok1!$B$15</c:f>
              <c:strCache>
                <c:ptCount val="1"/>
                <c:pt idx="0">
                  <c:v>HDP v b.c. (mld. EUR)</c:v>
                </c:pt>
              </c:strCache>
            </c:strRef>
          </c:tx>
          <c:spPr>
            <a:ln w="38100" cmpd="sng">
              <a:solidFill>
                <a:srgbClr val="1B1BA5"/>
              </a:solidFill>
            </a:ln>
          </c:spPr>
          <c:marker>
            <c:symbol val="none"/>
          </c:marker>
          <c:cat>
            <c:numRef>
              <c:f>Hárok1!$C$14:$I$14</c:f>
              <c:numCache>
                <c:formatCode>General</c:formatCode>
                <c:ptCount val="7"/>
                <c:pt idx="0">
                  <c:v>2005</c:v>
                </c:pt>
                <c:pt idx="1">
                  <c:v>2006</c:v>
                </c:pt>
                <c:pt idx="2">
                  <c:v>2007</c:v>
                </c:pt>
                <c:pt idx="3">
                  <c:v>2008</c:v>
                </c:pt>
                <c:pt idx="4">
                  <c:v>2009</c:v>
                </c:pt>
                <c:pt idx="5">
                  <c:v>2010</c:v>
                </c:pt>
                <c:pt idx="6">
                  <c:v>2011</c:v>
                </c:pt>
              </c:numCache>
            </c:numRef>
          </c:cat>
          <c:val>
            <c:numRef>
              <c:f>Hárok1!$C$15:$I$15</c:f>
              <c:numCache>
                <c:formatCode>General</c:formatCode>
                <c:ptCount val="7"/>
                <c:pt idx="0">
                  <c:v>49.31</c:v>
                </c:pt>
                <c:pt idx="1">
                  <c:v>55</c:v>
                </c:pt>
                <c:pt idx="2">
                  <c:v>61.45</c:v>
                </c:pt>
                <c:pt idx="3">
                  <c:v>66.84</c:v>
                </c:pt>
                <c:pt idx="4">
                  <c:v>62.8</c:v>
                </c:pt>
                <c:pt idx="5">
                  <c:v>65.739999999999995</c:v>
                </c:pt>
                <c:pt idx="6">
                  <c:v>69.06</c:v>
                </c:pt>
              </c:numCache>
            </c:numRef>
          </c:val>
          <c:smooth val="0"/>
        </c:ser>
        <c:ser>
          <c:idx val="1"/>
          <c:order val="1"/>
          <c:tx>
            <c:strRef>
              <c:f>Hárok1!$B$16</c:f>
              <c:strCache>
                <c:ptCount val="1"/>
                <c:pt idx="0">
                  <c:v>HDP v s.c.05 (mld. EUR)</c:v>
                </c:pt>
              </c:strCache>
            </c:strRef>
          </c:tx>
          <c:spPr>
            <a:ln w="38100" cmpd="sng">
              <a:solidFill>
                <a:srgbClr val="D23ABC"/>
              </a:solidFill>
              <a:prstDash val="dash"/>
            </a:ln>
          </c:spPr>
          <c:marker>
            <c:symbol val="none"/>
          </c:marker>
          <c:cat>
            <c:numRef>
              <c:f>Hárok1!$C$14:$I$14</c:f>
              <c:numCache>
                <c:formatCode>General</c:formatCode>
                <c:ptCount val="7"/>
                <c:pt idx="0">
                  <c:v>2005</c:v>
                </c:pt>
                <c:pt idx="1">
                  <c:v>2006</c:v>
                </c:pt>
                <c:pt idx="2">
                  <c:v>2007</c:v>
                </c:pt>
                <c:pt idx="3">
                  <c:v>2008</c:v>
                </c:pt>
                <c:pt idx="4">
                  <c:v>2009</c:v>
                </c:pt>
                <c:pt idx="5">
                  <c:v>2010</c:v>
                </c:pt>
                <c:pt idx="6">
                  <c:v>2011</c:v>
                </c:pt>
              </c:numCache>
            </c:numRef>
          </c:cat>
          <c:val>
            <c:numRef>
              <c:f>Hárok1!$C$16:$I$16</c:f>
              <c:numCache>
                <c:formatCode>General</c:formatCode>
                <c:ptCount val="7"/>
                <c:pt idx="0">
                  <c:v>49.31</c:v>
                </c:pt>
                <c:pt idx="1">
                  <c:v>53.43</c:v>
                </c:pt>
                <c:pt idx="2">
                  <c:v>59.04</c:v>
                </c:pt>
                <c:pt idx="3">
                  <c:v>62.43</c:v>
                </c:pt>
                <c:pt idx="4">
                  <c:v>59.35</c:v>
                </c:pt>
                <c:pt idx="5">
                  <c:v>61.84</c:v>
                </c:pt>
                <c:pt idx="6">
                  <c:v>63.91</c:v>
                </c:pt>
              </c:numCache>
            </c:numRef>
          </c:val>
          <c:smooth val="0"/>
        </c:ser>
        <c:dLbls>
          <c:showLegendKey val="0"/>
          <c:showVal val="0"/>
          <c:showCatName val="0"/>
          <c:showSerName val="0"/>
          <c:showPercent val="0"/>
          <c:showBubbleSize val="0"/>
        </c:dLbls>
        <c:marker val="1"/>
        <c:smooth val="0"/>
        <c:axId val="27586560"/>
        <c:axId val="27588096"/>
      </c:lineChart>
      <c:catAx>
        <c:axId val="27586560"/>
        <c:scaling>
          <c:orientation val="minMax"/>
        </c:scaling>
        <c:delete val="0"/>
        <c:axPos val="b"/>
        <c:numFmt formatCode="General" sourceLinked="1"/>
        <c:majorTickMark val="out"/>
        <c:minorTickMark val="none"/>
        <c:tickLblPos val="nextTo"/>
        <c:crossAx val="27588096"/>
        <c:crosses val="autoZero"/>
        <c:auto val="1"/>
        <c:lblAlgn val="ctr"/>
        <c:lblOffset val="100"/>
        <c:noMultiLvlLbl val="0"/>
      </c:catAx>
      <c:valAx>
        <c:axId val="27588096"/>
        <c:scaling>
          <c:orientation val="minMax"/>
          <c:max val="70"/>
          <c:min val="45"/>
        </c:scaling>
        <c:delete val="0"/>
        <c:axPos val="l"/>
        <c:majorGridlines/>
        <c:numFmt formatCode="General" sourceLinked="1"/>
        <c:majorTickMark val="out"/>
        <c:minorTickMark val="none"/>
        <c:tickLblPos val="nextTo"/>
        <c:crossAx val="27586560"/>
        <c:crosses val="autoZero"/>
        <c:crossBetween val="midCat"/>
      </c:valAx>
    </c:plotArea>
    <c:legend>
      <c:legendPos val="b"/>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420454060582984E-2"/>
          <c:y val="9.8831279754985693E-2"/>
          <c:w val="0.49397337473291036"/>
          <c:h val="0.76061753914265207"/>
        </c:manualLayout>
      </c:layout>
      <c:pieChart>
        <c:varyColors val="1"/>
        <c:ser>
          <c:idx val="0"/>
          <c:order val="0"/>
          <c:dLbls>
            <c:dLbl>
              <c:idx val="1"/>
              <c:layout>
                <c:manualLayout>
                  <c:x val="5.0666204724409483E-2"/>
                  <c:y val="1.4029323920716798E-2"/>
                </c:manualLayout>
              </c:layout>
              <c:showLegendKey val="0"/>
              <c:showVal val="1"/>
              <c:showCatName val="0"/>
              <c:showSerName val="0"/>
              <c:showPercent val="0"/>
              <c:showBubbleSize val="0"/>
              <c:separator> </c:separator>
            </c:dLbl>
            <c:dLbl>
              <c:idx val="2"/>
              <c:layout>
                <c:manualLayout>
                  <c:x val="-1.7123779527559061E-2"/>
                  <c:y val="3.5479590913204816E-2"/>
                </c:manualLayout>
              </c:layout>
              <c:showLegendKey val="0"/>
              <c:showVal val="1"/>
              <c:showCatName val="0"/>
              <c:showSerName val="0"/>
              <c:showPercent val="0"/>
              <c:showBubbleSize val="0"/>
              <c:separator> </c:separator>
            </c:dLbl>
            <c:dLbl>
              <c:idx val="3"/>
              <c:layout>
                <c:manualLayout>
                  <c:x val="3.6192755905511811E-2"/>
                  <c:y val="5.8531631821884707E-2"/>
                </c:manualLayout>
              </c:layout>
              <c:showLegendKey val="0"/>
              <c:showVal val="1"/>
              <c:showCatName val="0"/>
              <c:showSerName val="0"/>
              <c:showPercent val="0"/>
              <c:showBubbleSize val="0"/>
              <c:separator> </c:separator>
            </c:dLbl>
            <c:dLbl>
              <c:idx val="4"/>
              <c:layout>
                <c:manualLayout>
                  <c:x val="1.6934488188976381E-2"/>
                  <c:y val="6.4040184632093419E-2"/>
                </c:manualLayout>
              </c:layout>
              <c:showLegendKey val="0"/>
              <c:showVal val="1"/>
              <c:showCatName val="0"/>
              <c:showSerName val="0"/>
              <c:showPercent val="0"/>
              <c:showBubbleSize val="0"/>
              <c:separator> </c:separator>
            </c:dLbl>
            <c:dLbl>
              <c:idx val="5"/>
              <c:layout>
                <c:manualLayout>
                  <c:x val="4.1344881889763783E-3"/>
                  <c:y val="-2.0742148610734092E-3"/>
                </c:manualLayout>
              </c:layout>
              <c:showLegendKey val="0"/>
              <c:showVal val="1"/>
              <c:showCatName val="0"/>
              <c:showSerName val="0"/>
              <c:showPercent val="0"/>
              <c:showBubbleSize val="0"/>
              <c:separator> </c:separator>
            </c:dLbl>
            <c:dLbl>
              <c:idx val="6"/>
              <c:layout>
                <c:manualLayout>
                  <c:x val="7.5856377952756527E-3"/>
                  <c:y val="-3.6510091410987442E-4"/>
                </c:manualLayout>
              </c:layout>
              <c:showLegendKey val="0"/>
              <c:showVal val="1"/>
              <c:showCatName val="0"/>
              <c:showSerName val="0"/>
              <c:showPercent val="0"/>
              <c:showBubbleSize val="0"/>
              <c:separator> </c:separator>
            </c:dLbl>
            <c:dLbl>
              <c:idx val="8"/>
              <c:layout>
                <c:manualLayout>
                  <c:x val="-2.8957480314960628E-2"/>
                  <c:y val="5.9225269255136579E-3"/>
                </c:manualLayout>
              </c:layout>
              <c:showLegendKey val="0"/>
              <c:showVal val="1"/>
              <c:showCatName val="0"/>
              <c:showSerName val="0"/>
              <c:showPercent val="0"/>
              <c:showBubbleSize val="0"/>
              <c:separator> </c:separator>
            </c:dLbl>
            <c:showLegendKey val="0"/>
            <c:showVal val="1"/>
            <c:showCatName val="0"/>
            <c:showSerName val="0"/>
            <c:showPercent val="0"/>
            <c:showBubbleSize val="0"/>
            <c:separator> </c:separator>
            <c:showLeaderLines val="1"/>
          </c:dLbls>
          <c:cat>
            <c:strRef>
              <c:f>Grafy!$M$76:$M$85</c:f>
              <c:strCache>
                <c:ptCount val="10"/>
                <c:pt idx="0">
                  <c:v>Ukončená povinná školská dochádzka v nižšom ako 8. (9.) ročníku</c:v>
                </c:pt>
                <c:pt idx="1">
                  <c:v>Ukončené základné alebo stredné vzdelanie (okrem stredn. vzdelania uvedeného pod kódom 2 a 3)</c:v>
                </c:pt>
                <c:pt idx="2">
                  <c:v>Stredné odborné vzdelanie získané na stred. odborných učilištiach - SOU (str. vzdelanie, vyučenie)</c:v>
                </c:pt>
                <c:pt idx="3">
                  <c:v>Stredné vzdelanie (štúdium kratšie ako štvorročné - bez maturity)</c:v>
                </c:pt>
                <c:pt idx="4">
                  <c:v>Úplné stredné odborné vzdelanie (úplné stredné vzdelanie, štúdium na SOU ukončené maturitou)</c:v>
                </c:pt>
                <c:pt idx="5">
                  <c:v>Úplné stredné všeobecné vzdelanie na gymnáziu (úplné stredné vzdelanie, ukončené maturitou)</c:v>
                </c:pt>
                <c:pt idx="6">
                  <c:v>Úplné stredné odborné vzdelanie na strednej odbornej škole a konzervatóriu (úplné stredné vzdelanie, ukončené maturitou)</c:v>
                </c:pt>
                <c:pt idx="7">
                  <c:v>Vyššie odborné vzdelanie (vyššie vzdelanie ukončené absolutóriom alebo bakalárskym stupňom vysokoškolského štúdia)</c:v>
                </c:pt>
                <c:pt idx="8">
                  <c:v>Vysokoškolské vzdelanie</c:v>
                </c:pt>
                <c:pt idx="9">
                  <c:v>Vedecká výchova (kvalifikácia)</c:v>
                </c:pt>
              </c:strCache>
            </c:strRef>
          </c:cat>
          <c:val>
            <c:numRef>
              <c:f>Grafy!$N$76:$N$85</c:f>
              <c:numCache>
                <c:formatCode>0.00%</c:formatCode>
                <c:ptCount val="10"/>
                <c:pt idx="0" formatCode="0.0%">
                  <c:v>5.0000000000000114E-3</c:v>
                </c:pt>
                <c:pt idx="1">
                  <c:v>9.6000000000000002E-2</c:v>
                </c:pt>
                <c:pt idx="2" formatCode="0.0%">
                  <c:v>0.51600000000000001</c:v>
                </c:pt>
                <c:pt idx="3" formatCode="0.0%">
                  <c:v>6.8000000000000019E-2</c:v>
                </c:pt>
                <c:pt idx="4" formatCode="0.0%">
                  <c:v>8.3000000000000046E-2</c:v>
                </c:pt>
                <c:pt idx="5" formatCode="0.0%">
                  <c:v>1.0999999999999998E-2</c:v>
                </c:pt>
                <c:pt idx="6" formatCode="0.0%">
                  <c:v>0.112</c:v>
                </c:pt>
                <c:pt idx="7" formatCode="0.0%">
                  <c:v>1.0999999999999998E-2</c:v>
                </c:pt>
                <c:pt idx="8" formatCode="0.0%">
                  <c:v>9.7000000000000003E-2</c:v>
                </c:pt>
                <c:pt idx="9" formatCode="0.0%">
                  <c:v>1.0000000000000041E-3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366990332158612"/>
          <c:y val="0"/>
          <c:w val="0.37633006816016185"/>
          <c:h val="1"/>
        </c:manualLayout>
      </c:layout>
      <c:overlay val="0"/>
      <c:txPr>
        <a:bodyPr/>
        <a:lstStyle/>
        <a:p>
          <a:pPr>
            <a:defRPr sz="820" baseline="0"/>
          </a:pPr>
          <a:endParaRPr lang="sk-SK"/>
        </a:p>
      </c:txPr>
    </c:legend>
    <c:plotVisOnly val="1"/>
    <c:dispBlanksAs val="zero"/>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'17 ženy'!$C$26</c:f>
              <c:strCache>
                <c:ptCount val="1"/>
                <c:pt idx="0">
                  <c:v>rok 2010</c:v>
                </c:pt>
              </c:strCache>
            </c:strRef>
          </c:tx>
          <c:cat>
            <c:strRef>
              <c:f>'17 ženy'!$D$25:$O$25</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'17 ženy'!$D$26:$O$26</c:f>
              <c:numCache>
                <c:formatCode>General</c:formatCode>
                <c:ptCount val="12"/>
                <c:pt idx="0">
                  <c:v>179980</c:v>
                </c:pt>
                <c:pt idx="1">
                  <c:v>180872</c:v>
                </c:pt>
                <c:pt idx="2">
                  <c:v>179901</c:v>
                </c:pt>
                <c:pt idx="3">
                  <c:v>176889</c:v>
                </c:pt>
                <c:pt idx="4">
                  <c:v>175515</c:v>
                </c:pt>
                <c:pt idx="5">
                  <c:v>178908</c:v>
                </c:pt>
                <c:pt idx="6">
                  <c:v>180813</c:v>
                </c:pt>
                <c:pt idx="7">
                  <c:v>179742</c:v>
                </c:pt>
                <c:pt idx="8">
                  <c:v>182824</c:v>
                </c:pt>
                <c:pt idx="9">
                  <c:v>181471</c:v>
                </c:pt>
                <c:pt idx="10">
                  <c:v>180467</c:v>
                </c:pt>
                <c:pt idx="11">
                  <c:v>180922</c:v>
                </c:pt>
              </c:numCache>
            </c:numRef>
          </c:val>
          <c:smooth val="0"/>
        </c:ser>
        <c:ser>
          <c:idx val="1"/>
          <c:order val="1"/>
          <c:tx>
            <c:strRef>
              <c:f>'17 ženy'!$C$27</c:f>
              <c:strCache>
                <c:ptCount val="1"/>
                <c:pt idx="0">
                  <c:v>rok 2011</c:v>
                </c:pt>
              </c:strCache>
            </c:strRef>
          </c:tx>
          <c:cat>
            <c:strRef>
              <c:f>'17 ženy'!$D$25:$O$25</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'17 ženy'!$D$27:$O$27</c:f>
              <c:numCache>
                <c:formatCode>General</c:formatCode>
                <c:ptCount val="12"/>
                <c:pt idx="0">
                  <c:v>183425</c:v>
                </c:pt>
                <c:pt idx="1">
                  <c:v>184278</c:v>
                </c:pt>
                <c:pt idx="2">
                  <c:v>183561</c:v>
                </c:pt>
                <c:pt idx="3">
                  <c:v>182038</c:v>
                </c:pt>
                <c:pt idx="4">
                  <c:v>182824</c:v>
                </c:pt>
                <c:pt idx="5">
                  <c:v>187414</c:v>
                </c:pt>
                <c:pt idx="6">
                  <c:v>191311</c:v>
                </c:pt>
                <c:pt idx="7">
                  <c:v>191363</c:v>
                </c:pt>
                <c:pt idx="8">
                  <c:v>193385</c:v>
                </c:pt>
                <c:pt idx="9">
                  <c:v>193223</c:v>
                </c:pt>
                <c:pt idx="10">
                  <c:v>193123</c:v>
                </c:pt>
                <c:pt idx="11">
                  <c:v>193702</c:v>
                </c:pt>
              </c:numCache>
            </c:numRef>
          </c:val>
          <c:smooth val="0"/>
        </c:ser>
        <c:dLbls>
          <c:showLegendKey val="0"/>
          <c:showVal val="0"/>
          <c:showCatName val="0"/>
          <c:showSerName val="0"/>
          <c:showPercent val="0"/>
          <c:showBubbleSize val="0"/>
        </c:dLbls>
        <c:marker val="1"/>
        <c:smooth val="0"/>
        <c:axId val="27720704"/>
        <c:axId val="27984640"/>
      </c:lineChart>
      <c:catAx>
        <c:axId val="27720704"/>
        <c:scaling>
          <c:orientation val="minMax"/>
        </c:scaling>
        <c:delete val="0"/>
        <c:axPos val="b"/>
        <c:majorTickMark val="out"/>
        <c:minorTickMark val="none"/>
        <c:tickLblPos val="nextTo"/>
        <c:crossAx val="27984640"/>
        <c:crosses val="autoZero"/>
        <c:auto val="1"/>
        <c:lblAlgn val="ctr"/>
        <c:lblOffset val="100"/>
        <c:noMultiLvlLbl val="0"/>
      </c:catAx>
      <c:valAx>
        <c:axId val="27984640"/>
        <c:scaling>
          <c:orientation val="minMax"/>
        </c:scaling>
        <c:delete val="0"/>
        <c:axPos val="l"/>
        <c:majorGridlines/>
        <c:title>
          <c:tx>
            <c:rich>
              <a:bodyPr rot="-5400000" vert="horz"/>
              <a:lstStyle/>
              <a:p>
                <a:pPr>
                  <a:defRPr/>
                </a:pPr>
                <a:r>
                  <a:rPr lang="en-US"/>
                  <a:t>Počet UoZ - žien</a:t>
                </a:r>
              </a:p>
            </c:rich>
          </c:tx>
          <c:overlay val="0"/>
        </c:title>
        <c:numFmt formatCode="General" sourceLinked="1"/>
        <c:majorTickMark val="out"/>
        <c:minorTickMark val="none"/>
        <c:tickLblPos val="nextTo"/>
        <c:crossAx val="27720704"/>
        <c:crosses val="autoZero"/>
        <c:crossBetween val="between"/>
      </c:valAx>
    </c:plotArea>
    <c:legend>
      <c:legendPos val="t"/>
      <c:layout>
        <c:manualLayout>
          <c:xMode val="edge"/>
          <c:yMode val="edge"/>
          <c:x val="0.32538567571140259"/>
          <c:y val="6.9444444444444503E-2"/>
          <c:w val="0.34443229668233921"/>
          <c:h val="8.3717191601050026E-2"/>
        </c:manualLayout>
      </c:layout>
      <c:overlay val="1"/>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'18, 19 Znevyh_nad12 mes'!$L$7</c:f>
              <c:strCache>
                <c:ptCount val="1"/>
                <c:pt idx="0">
                  <c:v>rok 2010</c:v>
                </c:pt>
              </c:strCache>
            </c:strRef>
          </c:tx>
          <c:invertIfNegative val="0"/>
          <c:cat>
            <c:strRef>
              <c:f>'18, 19 Znevyh_nad12 mes'!$M$6:$X$6</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'18, 19 Znevyh_nad12 mes'!$M$7:$X$7</c:f>
              <c:numCache>
                <c:formatCode>General</c:formatCode>
                <c:ptCount val="12"/>
                <c:pt idx="0">
                  <c:v>149436</c:v>
                </c:pt>
                <c:pt idx="1">
                  <c:v>157312</c:v>
                </c:pt>
                <c:pt idx="2">
                  <c:v>164837</c:v>
                </c:pt>
                <c:pt idx="3">
                  <c:v>168063</c:v>
                </c:pt>
                <c:pt idx="4">
                  <c:v>170067</c:v>
                </c:pt>
                <c:pt idx="5">
                  <c:v>172379</c:v>
                </c:pt>
                <c:pt idx="6">
                  <c:v>174485</c:v>
                </c:pt>
                <c:pt idx="7">
                  <c:v>175672</c:v>
                </c:pt>
                <c:pt idx="8">
                  <c:v>182011</c:v>
                </c:pt>
                <c:pt idx="9">
                  <c:v>182700</c:v>
                </c:pt>
                <c:pt idx="10">
                  <c:v>183340</c:v>
                </c:pt>
                <c:pt idx="11">
                  <c:v>184694</c:v>
                </c:pt>
              </c:numCache>
            </c:numRef>
          </c:val>
        </c:ser>
        <c:ser>
          <c:idx val="1"/>
          <c:order val="1"/>
          <c:tx>
            <c:strRef>
              <c:f>'18, 19 Znevyh_nad12 mes'!$L$8</c:f>
              <c:strCache>
                <c:ptCount val="1"/>
                <c:pt idx="0">
                  <c:v>rok 2011</c:v>
                </c:pt>
              </c:strCache>
            </c:strRef>
          </c:tx>
          <c:invertIfNegative val="0"/>
          <c:cat>
            <c:strRef>
              <c:f>'18, 19 Znevyh_nad12 mes'!$M$6:$X$6</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'18, 19 Znevyh_nad12 mes'!$M$8:$X$8</c:f>
              <c:numCache>
                <c:formatCode>General</c:formatCode>
                <c:ptCount val="12"/>
                <c:pt idx="0">
                  <c:v>187812</c:v>
                </c:pt>
                <c:pt idx="1">
                  <c:v>188823</c:v>
                </c:pt>
                <c:pt idx="2">
                  <c:v>188500</c:v>
                </c:pt>
                <c:pt idx="3">
                  <c:v>186448</c:v>
                </c:pt>
                <c:pt idx="4">
                  <c:v>184693</c:v>
                </c:pt>
                <c:pt idx="5">
                  <c:v>184565</c:v>
                </c:pt>
                <c:pt idx="6">
                  <c:v>184139</c:v>
                </c:pt>
                <c:pt idx="7">
                  <c:v>185001</c:v>
                </c:pt>
                <c:pt idx="8">
                  <c:v>190095</c:v>
                </c:pt>
                <c:pt idx="9">
                  <c:v>188354</c:v>
                </c:pt>
                <c:pt idx="10">
                  <c:v>187338</c:v>
                </c:pt>
                <c:pt idx="11">
                  <c:v>188566</c:v>
                </c:pt>
              </c:numCache>
            </c:numRef>
          </c:val>
        </c:ser>
        <c:dLbls>
          <c:showLegendKey val="0"/>
          <c:showVal val="0"/>
          <c:showCatName val="0"/>
          <c:showSerName val="0"/>
          <c:showPercent val="0"/>
          <c:showBubbleSize val="0"/>
        </c:dLbls>
        <c:gapWidth val="150"/>
        <c:axId val="27993600"/>
        <c:axId val="27995136"/>
      </c:barChart>
      <c:catAx>
        <c:axId val="27993600"/>
        <c:scaling>
          <c:orientation val="minMax"/>
        </c:scaling>
        <c:delete val="0"/>
        <c:axPos val="b"/>
        <c:majorTickMark val="out"/>
        <c:minorTickMark val="none"/>
        <c:tickLblPos val="nextTo"/>
        <c:crossAx val="27995136"/>
        <c:crosses val="autoZero"/>
        <c:auto val="1"/>
        <c:lblAlgn val="ctr"/>
        <c:lblOffset val="100"/>
        <c:noMultiLvlLbl val="0"/>
      </c:catAx>
      <c:valAx>
        <c:axId val="27995136"/>
        <c:scaling>
          <c:orientation val="minMax"/>
          <c:min val="135000"/>
        </c:scaling>
        <c:delete val="0"/>
        <c:axPos val="l"/>
        <c:majorGridlines/>
        <c:title>
          <c:tx>
            <c:rich>
              <a:bodyPr rot="-5400000" vert="horz"/>
              <a:lstStyle/>
              <a:p>
                <a:pPr>
                  <a:defRPr/>
                </a:pPr>
                <a:r>
                  <a:rPr lang="en-US"/>
                  <a:t>Počet UoZ</a:t>
                </a:r>
              </a:p>
            </c:rich>
          </c:tx>
          <c:overlay val="0"/>
        </c:title>
        <c:numFmt formatCode="General" sourceLinked="1"/>
        <c:majorTickMark val="out"/>
        <c:minorTickMark val="none"/>
        <c:tickLblPos val="nextTo"/>
        <c:crossAx val="27993600"/>
        <c:crosses val="autoZero"/>
        <c:crossBetween val="between"/>
      </c:valAx>
    </c:plotArea>
    <c:legend>
      <c:legendPos val="t"/>
      <c:layout>
        <c:manualLayout>
          <c:xMode val="edge"/>
          <c:yMode val="edge"/>
          <c:x val="0.34390135608048994"/>
          <c:y val="6.0185185185185147E-2"/>
          <c:w val="0.31219728783902184"/>
          <c:h val="8.3717191601050026E-2"/>
        </c:manualLayout>
      </c:layout>
      <c:overlay val="1"/>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'18, 19 Znevyh_nad12 mes'!$C$49</c:f>
              <c:strCache>
                <c:ptCount val="1"/>
                <c:pt idx="0">
                  <c:v>rok 2010</c:v>
                </c:pt>
              </c:strCache>
            </c:strRef>
          </c:tx>
          <c:cat>
            <c:strRef>
              <c:f>'18, 19 Znevyh_nad12 mes'!$D$48:$O$48</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'18, 19 Znevyh_nad12 mes'!$D$49:$O$49</c:f>
              <c:numCache>
                <c:formatCode>0.0%</c:formatCode>
                <c:ptCount val="12"/>
                <c:pt idx="0">
                  <c:v>0.38200000000000167</c:v>
                </c:pt>
                <c:pt idx="1">
                  <c:v>0.39700000000000196</c:v>
                </c:pt>
                <c:pt idx="2">
                  <c:v>0.41900000000000032</c:v>
                </c:pt>
                <c:pt idx="3">
                  <c:v>0.4390000000000015</c:v>
                </c:pt>
                <c:pt idx="4">
                  <c:v>0.45300000000000001</c:v>
                </c:pt>
                <c:pt idx="5">
                  <c:v>0.45800000000000002</c:v>
                </c:pt>
                <c:pt idx="6">
                  <c:v>0.46500000000000002</c:v>
                </c:pt>
                <c:pt idx="7">
                  <c:v>0.47400000000000031</c:v>
                </c:pt>
                <c:pt idx="8">
                  <c:v>0.48300000000000032</c:v>
                </c:pt>
                <c:pt idx="9">
                  <c:v>0.48800000000000032</c:v>
                </c:pt>
                <c:pt idx="10">
                  <c:v>0.49000000000000032</c:v>
                </c:pt>
                <c:pt idx="11">
                  <c:v>0.48400000000000032</c:v>
                </c:pt>
              </c:numCache>
            </c:numRef>
          </c:val>
          <c:smooth val="0"/>
        </c:ser>
        <c:ser>
          <c:idx val="1"/>
          <c:order val="1"/>
          <c:tx>
            <c:strRef>
              <c:f>'18, 19 Znevyh_nad12 mes'!$C$50</c:f>
              <c:strCache>
                <c:ptCount val="1"/>
                <c:pt idx="0">
                  <c:v>rok 2011</c:v>
                </c:pt>
              </c:strCache>
            </c:strRef>
          </c:tx>
          <c:cat>
            <c:strRef>
              <c:f>'18, 19 Znevyh_nad12 mes'!$D$48:$O$48</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'18, 19 Znevyh_nad12 mes'!$D$50:$O$50</c:f>
              <c:numCache>
                <c:formatCode>0.0%</c:formatCode>
                <c:ptCount val="12"/>
                <c:pt idx="0">
                  <c:v>0.48000000000000032</c:v>
                </c:pt>
                <c:pt idx="1">
                  <c:v>0.47700000000000031</c:v>
                </c:pt>
                <c:pt idx="2">
                  <c:v>0.48000000000000032</c:v>
                </c:pt>
                <c:pt idx="3">
                  <c:v>0.48500000000000032</c:v>
                </c:pt>
                <c:pt idx="4">
                  <c:v>0.48600000000000032</c:v>
                </c:pt>
                <c:pt idx="5">
                  <c:v>0.48200000000000032</c:v>
                </c:pt>
                <c:pt idx="6">
                  <c:v>0.47700000000000031</c:v>
                </c:pt>
                <c:pt idx="7">
                  <c:v>0.48100000000000032</c:v>
                </c:pt>
                <c:pt idx="8">
                  <c:v>0.48700000000000032</c:v>
                </c:pt>
                <c:pt idx="9">
                  <c:v>0.48300000000000032</c:v>
                </c:pt>
                <c:pt idx="10">
                  <c:v>0.47700000000000031</c:v>
                </c:pt>
                <c:pt idx="11">
                  <c:v>0.47200000000000031</c:v>
                </c:pt>
              </c:numCache>
            </c:numRef>
          </c:val>
          <c:smooth val="0"/>
        </c:ser>
        <c:dLbls>
          <c:showLegendKey val="0"/>
          <c:showVal val="0"/>
          <c:showCatName val="0"/>
          <c:showSerName val="0"/>
          <c:showPercent val="0"/>
          <c:showBubbleSize val="0"/>
        </c:dLbls>
        <c:marker val="1"/>
        <c:smooth val="0"/>
        <c:axId val="28008448"/>
        <c:axId val="28009984"/>
      </c:lineChart>
      <c:catAx>
        <c:axId val="28008448"/>
        <c:scaling>
          <c:orientation val="minMax"/>
        </c:scaling>
        <c:delete val="0"/>
        <c:axPos val="b"/>
        <c:majorTickMark val="out"/>
        <c:minorTickMark val="none"/>
        <c:tickLblPos val="nextTo"/>
        <c:crossAx val="28009984"/>
        <c:crosses val="autoZero"/>
        <c:auto val="1"/>
        <c:lblAlgn val="ctr"/>
        <c:lblOffset val="100"/>
        <c:noMultiLvlLbl val="0"/>
      </c:catAx>
      <c:valAx>
        <c:axId val="28009984"/>
        <c:scaling>
          <c:orientation val="minMax"/>
          <c:min val="0.35000000000000031"/>
        </c:scaling>
        <c:delete val="0"/>
        <c:axPos val="l"/>
        <c:majorGridlines/>
        <c:numFmt formatCode="0%" sourceLinked="0"/>
        <c:majorTickMark val="out"/>
        <c:minorTickMark val="none"/>
        <c:tickLblPos val="nextTo"/>
        <c:crossAx val="28008448"/>
        <c:crosses val="autoZero"/>
        <c:crossBetween val="between"/>
      </c:valAx>
    </c:plotArea>
    <c:legend>
      <c:legendPos val="t"/>
      <c:layout>
        <c:manualLayout>
          <c:xMode val="edge"/>
          <c:yMode val="edge"/>
          <c:x val="0.47459752811999911"/>
          <c:y val="0.6006957330446564"/>
          <c:w val="0.33305105557457498"/>
          <c:h val="6.8012828239422174E-2"/>
        </c:manualLayout>
      </c:layout>
      <c:overlay val="1"/>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'20 21 starší ako 50 r.'!$L$3</c:f>
              <c:strCache>
                <c:ptCount val="1"/>
                <c:pt idx="0">
                  <c:v>rok 2010</c:v>
                </c:pt>
              </c:strCache>
            </c:strRef>
          </c:tx>
          <c:invertIfNegative val="0"/>
          <c:cat>
            <c:strRef>
              <c:f>'20 21 starší ako 50 r.'!$M$2:$X$2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'20 21 starší ako 50 r.'!$M$3:$X$3</c:f>
              <c:numCache>
                <c:formatCode>General</c:formatCode>
                <c:ptCount val="12"/>
                <c:pt idx="0">
                  <c:v>86973</c:v>
                </c:pt>
                <c:pt idx="1">
                  <c:v>88293</c:v>
                </c:pt>
                <c:pt idx="2">
                  <c:v>88664</c:v>
                </c:pt>
                <c:pt idx="3">
                  <c:v>86912</c:v>
                </c:pt>
                <c:pt idx="4">
                  <c:v>85228</c:v>
                </c:pt>
                <c:pt idx="5">
                  <c:v>84098</c:v>
                </c:pt>
                <c:pt idx="6">
                  <c:v>83588</c:v>
                </c:pt>
                <c:pt idx="7">
                  <c:v>83009</c:v>
                </c:pt>
                <c:pt idx="8">
                  <c:v>81752</c:v>
                </c:pt>
                <c:pt idx="9">
                  <c:v>81154</c:v>
                </c:pt>
                <c:pt idx="10">
                  <c:v>81535</c:v>
                </c:pt>
                <c:pt idx="11">
                  <c:v>83731</c:v>
                </c:pt>
              </c:numCache>
            </c:numRef>
          </c:val>
        </c:ser>
        <c:ser>
          <c:idx val="1"/>
          <c:order val="1"/>
          <c:tx>
            <c:strRef>
              <c:f>'20 21 starší ako 50 r.'!$L$4</c:f>
              <c:strCache>
                <c:ptCount val="1"/>
                <c:pt idx="0">
                  <c:v>rok 2011</c:v>
                </c:pt>
              </c:strCache>
            </c:strRef>
          </c:tx>
          <c:invertIfNegative val="0"/>
          <c:cat>
            <c:strRef>
              <c:f>'20 21 starší ako 50 r.'!$M$2:$X$2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'20 21 starší ako 50 r.'!$M$4:$X$4</c:f>
              <c:numCache>
                <c:formatCode>General</c:formatCode>
                <c:ptCount val="12"/>
                <c:pt idx="0">
                  <c:v>87023</c:v>
                </c:pt>
                <c:pt idx="1">
                  <c:v>88263</c:v>
                </c:pt>
                <c:pt idx="2">
                  <c:v>87729</c:v>
                </c:pt>
                <c:pt idx="3">
                  <c:v>86503</c:v>
                </c:pt>
                <c:pt idx="4">
                  <c:v>85389</c:v>
                </c:pt>
                <c:pt idx="5">
                  <c:v>85035</c:v>
                </c:pt>
                <c:pt idx="6">
                  <c:v>86087</c:v>
                </c:pt>
                <c:pt idx="7">
                  <c:v>86209</c:v>
                </c:pt>
                <c:pt idx="8">
                  <c:v>85650</c:v>
                </c:pt>
                <c:pt idx="9">
                  <c:v>86055</c:v>
                </c:pt>
                <c:pt idx="10">
                  <c:v>87657</c:v>
                </c:pt>
                <c:pt idx="11">
                  <c:v>90390</c:v>
                </c:pt>
              </c:numCache>
            </c:numRef>
          </c:val>
        </c:ser>
        <c:dLbls>
          <c:showLegendKey val="0"/>
          <c:showVal val="0"/>
          <c:showCatName val="0"/>
          <c:showSerName val="0"/>
          <c:showPercent val="0"/>
          <c:showBubbleSize val="0"/>
        </c:dLbls>
        <c:gapWidth val="150"/>
        <c:axId val="28030848"/>
        <c:axId val="28032384"/>
      </c:barChart>
      <c:catAx>
        <c:axId val="28030848"/>
        <c:scaling>
          <c:orientation val="minMax"/>
        </c:scaling>
        <c:delete val="0"/>
        <c:axPos val="b"/>
        <c:majorTickMark val="out"/>
        <c:minorTickMark val="none"/>
        <c:tickLblPos val="nextTo"/>
        <c:crossAx val="28032384"/>
        <c:crosses val="autoZero"/>
        <c:auto val="1"/>
        <c:lblAlgn val="ctr"/>
        <c:lblOffset val="100"/>
        <c:noMultiLvlLbl val="0"/>
      </c:catAx>
      <c:valAx>
        <c:axId val="28032384"/>
        <c:scaling>
          <c:orientation val="minMax"/>
          <c:min val="65000"/>
        </c:scaling>
        <c:delete val="0"/>
        <c:axPos val="l"/>
        <c:majorGridlines/>
        <c:title>
          <c:tx>
            <c:rich>
              <a:bodyPr rot="-5400000" vert="horz"/>
              <a:lstStyle/>
              <a:p>
                <a:pPr>
                  <a:defRPr/>
                </a:pPr>
                <a:r>
                  <a:rPr lang="en-US"/>
                  <a:t>Počet UoZ</a:t>
                </a:r>
              </a:p>
            </c:rich>
          </c:tx>
          <c:overlay val="0"/>
        </c:title>
        <c:numFmt formatCode="General" sourceLinked="1"/>
        <c:majorTickMark val="out"/>
        <c:minorTickMark val="none"/>
        <c:tickLblPos val="nextTo"/>
        <c:crossAx val="28030848"/>
        <c:crosses val="autoZero"/>
        <c:crossBetween val="between"/>
      </c:valAx>
    </c:plotArea>
    <c:legend>
      <c:legendPos val="t"/>
      <c:layout>
        <c:manualLayout>
          <c:xMode val="edge"/>
          <c:yMode val="edge"/>
          <c:x val="0.34901599774189446"/>
          <c:y val="7.8752938491384233E-2"/>
          <c:w val="0.31219728783902184"/>
          <c:h val="8.3717191601050026E-2"/>
        </c:manualLayout>
      </c:layout>
      <c:overlay val="1"/>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'22 ABS'!$B$23</c:f>
              <c:strCache>
                <c:ptCount val="1"/>
                <c:pt idx="0">
                  <c:v>rok 2010</c:v>
                </c:pt>
              </c:strCache>
            </c:strRef>
          </c:tx>
          <c:cat>
            <c:strRef>
              <c:f>'22 ABS'!$C$22:$N$22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'22 ABS'!$C$23:$N$23</c:f>
              <c:numCache>
                <c:formatCode>General</c:formatCode>
                <c:ptCount val="12"/>
                <c:pt idx="0">
                  <c:v>28322</c:v>
                </c:pt>
                <c:pt idx="1">
                  <c:v>28282</c:v>
                </c:pt>
                <c:pt idx="2">
                  <c:v>27625</c:v>
                </c:pt>
                <c:pt idx="3">
                  <c:v>25709</c:v>
                </c:pt>
                <c:pt idx="4">
                  <c:v>23219</c:v>
                </c:pt>
                <c:pt idx="5">
                  <c:v>25802</c:v>
                </c:pt>
                <c:pt idx="6">
                  <c:v>25407</c:v>
                </c:pt>
                <c:pt idx="7">
                  <c:v>23674</c:v>
                </c:pt>
                <c:pt idx="8">
                  <c:v>35246</c:v>
                </c:pt>
                <c:pt idx="9">
                  <c:v>34123</c:v>
                </c:pt>
                <c:pt idx="10">
                  <c:v>32038</c:v>
                </c:pt>
                <c:pt idx="11">
                  <c:v>31013</c:v>
                </c:pt>
              </c:numCache>
            </c:numRef>
          </c:val>
          <c:smooth val="0"/>
        </c:ser>
        <c:ser>
          <c:idx val="1"/>
          <c:order val="1"/>
          <c:tx>
            <c:strRef>
              <c:f>'22 ABS'!$B$24</c:f>
              <c:strCache>
                <c:ptCount val="1"/>
                <c:pt idx="0">
                  <c:v>rok 2011</c:v>
                </c:pt>
              </c:strCache>
            </c:strRef>
          </c:tx>
          <c:cat>
            <c:strRef>
              <c:f>'22 ABS'!$C$22:$N$22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'22 ABS'!$C$24:$N$24</c:f>
              <c:numCache>
                <c:formatCode>General</c:formatCode>
                <c:ptCount val="12"/>
                <c:pt idx="0">
                  <c:v>29936</c:v>
                </c:pt>
                <c:pt idx="1">
                  <c:v>29723</c:v>
                </c:pt>
                <c:pt idx="2">
                  <c:v>28971</c:v>
                </c:pt>
                <c:pt idx="3">
                  <c:v>27401</c:v>
                </c:pt>
                <c:pt idx="4">
                  <c:v>24877</c:v>
                </c:pt>
                <c:pt idx="5">
                  <c:v>26986</c:v>
                </c:pt>
                <c:pt idx="6">
                  <c:v>26440</c:v>
                </c:pt>
                <c:pt idx="7">
                  <c:v>23872</c:v>
                </c:pt>
                <c:pt idx="8">
                  <c:v>34025</c:v>
                </c:pt>
                <c:pt idx="9">
                  <c:v>33736</c:v>
                </c:pt>
                <c:pt idx="10">
                  <c:v>31927</c:v>
                </c:pt>
                <c:pt idx="11">
                  <c:v>30798</c:v>
                </c:pt>
              </c:numCache>
            </c:numRef>
          </c:val>
          <c:smooth val="0"/>
        </c:ser>
        <c:dLbls>
          <c:showLegendKey val="0"/>
          <c:showVal val="0"/>
          <c:showCatName val="0"/>
          <c:showSerName val="0"/>
          <c:showPercent val="0"/>
          <c:showBubbleSize val="0"/>
        </c:dLbls>
        <c:marker val="1"/>
        <c:smooth val="0"/>
        <c:axId val="28045696"/>
        <c:axId val="28047232"/>
      </c:lineChart>
      <c:catAx>
        <c:axId val="28045696"/>
        <c:scaling>
          <c:orientation val="minMax"/>
        </c:scaling>
        <c:delete val="0"/>
        <c:axPos val="b"/>
        <c:majorTickMark val="out"/>
        <c:minorTickMark val="none"/>
        <c:tickLblPos val="nextTo"/>
        <c:crossAx val="28047232"/>
        <c:crosses val="autoZero"/>
        <c:auto val="1"/>
        <c:lblAlgn val="ctr"/>
        <c:lblOffset val="100"/>
        <c:noMultiLvlLbl val="0"/>
      </c:catAx>
      <c:valAx>
        <c:axId val="28047232"/>
        <c:scaling>
          <c:orientation val="minMax"/>
          <c:min val="20000"/>
        </c:scaling>
        <c:delete val="0"/>
        <c:axPos val="l"/>
        <c:majorGridlines/>
        <c:title>
          <c:tx>
            <c:rich>
              <a:bodyPr rot="-5400000" vert="horz"/>
              <a:lstStyle/>
              <a:p>
                <a:pPr>
                  <a:defRPr/>
                </a:pPr>
                <a:r>
                  <a:rPr lang="en-US"/>
                  <a:t>Počet UoZ</a:t>
                </a:r>
              </a:p>
            </c:rich>
          </c:tx>
          <c:overlay val="0"/>
        </c:title>
        <c:numFmt formatCode="General" sourceLinked="1"/>
        <c:majorTickMark val="out"/>
        <c:minorTickMark val="none"/>
        <c:tickLblPos val="nextTo"/>
        <c:crossAx val="28045696"/>
        <c:crosses val="autoZero"/>
        <c:crossBetween val="between"/>
      </c:valAx>
    </c:plotArea>
    <c:legend>
      <c:legendPos val="t"/>
      <c:layout>
        <c:manualLayout>
          <c:xMode val="edge"/>
          <c:yMode val="edge"/>
          <c:x val="0.33604070039190537"/>
          <c:y val="5.9925103731433074E-2"/>
          <c:w val="0.32791841944414818"/>
          <c:h val="0.17335010269000997"/>
        </c:manualLayout>
      </c:layout>
      <c:overlay val="1"/>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3840769903756"/>
          <c:y val="3.7188852090269231E-2"/>
          <c:w val="0.77289807524059551"/>
          <c:h val="0.66913298821072753"/>
        </c:manualLayout>
      </c:layout>
      <c:barChart>
        <c:barDir val="col"/>
        <c:grouping val="clustered"/>
        <c:varyColors val="0"/>
        <c:ser>
          <c:idx val="0"/>
          <c:order val="0"/>
          <c:tx>
            <c:strRef>
              <c:f>Hárok1!$D$33</c:f>
              <c:strCache>
                <c:ptCount val="1"/>
                <c:pt idx="0">
                  <c:v>počet UoZ so ZP</c:v>
                </c:pt>
              </c:strCache>
            </c:strRef>
          </c:tx>
          <c:invertIfNegative val="0"/>
          <c:cat>
            <c:strRef>
              <c:f>Hárok1!$E$32:$AB$32</c:f>
              <c:strCache>
                <c:ptCount val="24"/>
                <c:pt idx="0">
                  <c:v>január 2010</c:v>
                </c:pt>
                <c:pt idx="1">
                  <c:v>február 2010</c:v>
                </c:pt>
                <c:pt idx="2">
                  <c:v>marec 2010</c:v>
                </c:pt>
                <c:pt idx="3">
                  <c:v>apríl 2010</c:v>
                </c:pt>
                <c:pt idx="4">
                  <c:v>máj 2010</c:v>
                </c:pt>
                <c:pt idx="5">
                  <c:v>jún 2010</c:v>
                </c:pt>
                <c:pt idx="6">
                  <c:v>júl 2010</c:v>
                </c:pt>
                <c:pt idx="7">
                  <c:v>august 2010</c:v>
                </c:pt>
                <c:pt idx="8">
                  <c:v>september 2010</c:v>
                </c:pt>
                <c:pt idx="9">
                  <c:v>október 2010</c:v>
                </c:pt>
                <c:pt idx="10">
                  <c:v>november 2010</c:v>
                </c:pt>
                <c:pt idx="11">
                  <c:v>december 2010</c:v>
                </c:pt>
                <c:pt idx="12">
                  <c:v>január 2011</c:v>
                </c:pt>
                <c:pt idx="13">
                  <c:v>február 2011</c:v>
                </c:pt>
                <c:pt idx="14">
                  <c:v>marec 2011</c:v>
                </c:pt>
                <c:pt idx="15">
                  <c:v>apríl 2011</c:v>
                </c:pt>
                <c:pt idx="16">
                  <c:v>máj 2011</c:v>
                </c:pt>
                <c:pt idx="17">
                  <c:v>jún 2011</c:v>
                </c:pt>
                <c:pt idx="18">
                  <c:v>júl 2011</c:v>
                </c:pt>
                <c:pt idx="19">
                  <c:v>august 2011</c:v>
                </c:pt>
                <c:pt idx="20">
                  <c:v>september 2011</c:v>
                </c:pt>
                <c:pt idx="21">
                  <c:v>október 2011</c:v>
                </c:pt>
                <c:pt idx="22">
                  <c:v>november 2011</c:v>
                </c:pt>
                <c:pt idx="23">
                  <c:v>december 2011</c:v>
                </c:pt>
              </c:strCache>
            </c:strRef>
          </c:cat>
          <c:val>
            <c:numRef>
              <c:f>Hárok1!$E$33:$AB$33</c:f>
              <c:numCache>
                <c:formatCode>General</c:formatCode>
                <c:ptCount val="24"/>
                <c:pt idx="0">
                  <c:v>10665</c:v>
                </c:pt>
                <c:pt idx="1">
                  <c:v>10815</c:v>
                </c:pt>
                <c:pt idx="2">
                  <c:v>11003</c:v>
                </c:pt>
                <c:pt idx="3">
                  <c:v>10978</c:v>
                </c:pt>
                <c:pt idx="4">
                  <c:v>10982</c:v>
                </c:pt>
                <c:pt idx="5">
                  <c:v>10982</c:v>
                </c:pt>
                <c:pt idx="6">
                  <c:v>10978</c:v>
                </c:pt>
                <c:pt idx="7">
                  <c:v>10969</c:v>
                </c:pt>
                <c:pt idx="8">
                  <c:v>11018</c:v>
                </c:pt>
                <c:pt idx="9">
                  <c:v>10978</c:v>
                </c:pt>
                <c:pt idx="10">
                  <c:v>11051</c:v>
                </c:pt>
                <c:pt idx="11">
                  <c:v>11208</c:v>
                </c:pt>
                <c:pt idx="12">
                  <c:v>11672</c:v>
                </c:pt>
                <c:pt idx="13">
                  <c:v>12016</c:v>
                </c:pt>
                <c:pt idx="14">
                  <c:v>12267</c:v>
                </c:pt>
                <c:pt idx="15">
                  <c:v>12255</c:v>
                </c:pt>
                <c:pt idx="16">
                  <c:v>12449</c:v>
                </c:pt>
                <c:pt idx="17">
                  <c:v>12458</c:v>
                </c:pt>
                <c:pt idx="18">
                  <c:v>12499</c:v>
                </c:pt>
                <c:pt idx="19">
                  <c:v>12592</c:v>
                </c:pt>
                <c:pt idx="20">
                  <c:v>12528</c:v>
                </c:pt>
                <c:pt idx="21">
                  <c:v>12561</c:v>
                </c:pt>
                <c:pt idx="22">
                  <c:v>12712</c:v>
                </c:pt>
                <c:pt idx="23">
                  <c:v>12755</c:v>
                </c:pt>
              </c:numCache>
            </c:numRef>
          </c:val>
        </c:ser>
        <c:dLbls>
          <c:showLegendKey val="0"/>
          <c:showVal val="0"/>
          <c:showCatName val="0"/>
          <c:showSerName val="0"/>
          <c:showPercent val="0"/>
          <c:showBubbleSize val="0"/>
        </c:dLbls>
        <c:gapWidth val="150"/>
        <c:axId val="28189440"/>
        <c:axId val="28190976"/>
      </c:barChart>
      <c:lineChart>
        <c:grouping val="standard"/>
        <c:varyColors val="0"/>
        <c:ser>
          <c:idx val="1"/>
          <c:order val="1"/>
          <c:tx>
            <c:strRef>
              <c:f>Hárok1!$D$35</c:f>
              <c:strCache>
                <c:ptCount val="1"/>
                <c:pt idx="0">
                  <c:v>podiel na celkovom počte UoZ</c:v>
                </c:pt>
              </c:strCache>
            </c:strRef>
          </c:tx>
          <c:marker>
            <c:symbol val="diamond"/>
            <c:size val="7"/>
          </c:marker>
          <c:cat>
            <c:strRef>
              <c:f>Hárok1!$E$32:$AB$32</c:f>
              <c:strCache>
                <c:ptCount val="24"/>
                <c:pt idx="0">
                  <c:v>január 2010</c:v>
                </c:pt>
                <c:pt idx="1">
                  <c:v>február 2010</c:v>
                </c:pt>
                <c:pt idx="2">
                  <c:v>marec 2010</c:v>
                </c:pt>
                <c:pt idx="3">
                  <c:v>apríl 2010</c:v>
                </c:pt>
                <c:pt idx="4">
                  <c:v>máj 2010</c:v>
                </c:pt>
                <c:pt idx="5">
                  <c:v>jún 2010</c:v>
                </c:pt>
                <c:pt idx="6">
                  <c:v>júl 2010</c:v>
                </c:pt>
                <c:pt idx="7">
                  <c:v>august 2010</c:v>
                </c:pt>
                <c:pt idx="8">
                  <c:v>september 2010</c:v>
                </c:pt>
                <c:pt idx="9">
                  <c:v>október 2010</c:v>
                </c:pt>
                <c:pt idx="10">
                  <c:v>november 2010</c:v>
                </c:pt>
                <c:pt idx="11">
                  <c:v>december 2010</c:v>
                </c:pt>
                <c:pt idx="12">
                  <c:v>január 2011</c:v>
                </c:pt>
                <c:pt idx="13">
                  <c:v>február 2011</c:v>
                </c:pt>
                <c:pt idx="14">
                  <c:v>marec 2011</c:v>
                </c:pt>
                <c:pt idx="15">
                  <c:v>apríl 2011</c:v>
                </c:pt>
                <c:pt idx="16">
                  <c:v>máj 2011</c:v>
                </c:pt>
                <c:pt idx="17">
                  <c:v>jún 2011</c:v>
                </c:pt>
                <c:pt idx="18">
                  <c:v>júl 2011</c:v>
                </c:pt>
                <c:pt idx="19">
                  <c:v>august 2011</c:v>
                </c:pt>
                <c:pt idx="20">
                  <c:v>september 2011</c:v>
                </c:pt>
                <c:pt idx="21">
                  <c:v>október 2011</c:v>
                </c:pt>
                <c:pt idx="22">
                  <c:v>november 2011</c:v>
                </c:pt>
                <c:pt idx="23">
                  <c:v>december 2011</c:v>
                </c:pt>
              </c:strCache>
            </c:strRef>
          </c:cat>
          <c:val>
            <c:numRef>
              <c:f>Hárok1!$E$35:$AB$35</c:f>
              <c:numCache>
                <c:formatCode>0.00%</c:formatCode>
                <c:ptCount val="24"/>
                <c:pt idx="0">
                  <c:v>2.7241448892589781E-2</c:v>
                </c:pt>
                <c:pt idx="1">
                  <c:v>2.7296475309498868E-2</c:v>
                </c:pt>
                <c:pt idx="2">
                  <c:v>2.7945049614336484E-2</c:v>
                </c:pt>
                <c:pt idx="3">
                  <c:v>2.8652113543591512E-2</c:v>
                </c:pt>
                <c:pt idx="4">
                  <c:v>2.9272765559319885E-2</c:v>
                </c:pt>
                <c:pt idx="5">
                  <c:v>2.9147833287770496E-2</c:v>
                </c:pt>
                <c:pt idx="6">
                  <c:v>2.9227279504163931E-2</c:v>
                </c:pt>
                <c:pt idx="7">
                  <c:v>2.9592279946367532E-2</c:v>
                </c:pt>
                <c:pt idx="8">
                  <c:v>2.9224921553180707E-2</c:v>
                </c:pt>
                <c:pt idx="9">
                  <c:v>2.9337252805986112E-2</c:v>
                </c:pt>
                <c:pt idx="10">
                  <c:v>2.9525944410750217E-2</c:v>
                </c:pt>
                <c:pt idx="11">
                  <c:v>2.9401194620273942E-2</c:v>
                </c:pt>
                <c:pt idx="12">
                  <c:v>2.9803108490770808E-2</c:v>
                </c:pt>
                <c:pt idx="13">
                  <c:v>3.0386020811996609E-2</c:v>
                </c:pt>
                <c:pt idx="14">
                  <c:v>3.1254856898260575E-2</c:v>
                </c:pt>
                <c:pt idx="15">
                  <c:v>3.1875463306152714E-2</c:v>
                </c:pt>
                <c:pt idx="16">
                  <c:v>3.2759146983284929E-2</c:v>
                </c:pt>
                <c:pt idx="17">
                  <c:v>3.2528774048002009E-2</c:v>
                </c:pt>
                <c:pt idx="18">
                  <c:v>3.2355095817575161E-2</c:v>
                </c:pt>
                <c:pt idx="19">
                  <c:v>3.2772890531466363E-2</c:v>
                </c:pt>
                <c:pt idx="20">
                  <c:v>3.2077099746773238E-2</c:v>
                </c:pt>
                <c:pt idx="21">
                  <c:v>3.2197372636975349E-2</c:v>
                </c:pt>
                <c:pt idx="22">
                  <c:v>3.2336017826527161E-2</c:v>
                </c:pt>
                <c:pt idx="23">
                  <c:v>3.1903451725862932E-2</c:v>
                </c:pt>
              </c:numCache>
            </c:numRef>
          </c:val>
          <c:smooth val="0"/>
        </c:ser>
        <c:dLbls>
          <c:showLegendKey val="0"/>
          <c:showVal val="0"/>
          <c:showCatName val="0"/>
          <c:showSerName val="0"/>
          <c:showPercent val="0"/>
          <c:showBubbleSize val="0"/>
        </c:dLbls>
        <c:marker val="1"/>
        <c:smooth val="0"/>
        <c:axId val="28198784"/>
        <c:axId val="28197248"/>
      </c:lineChart>
      <c:catAx>
        <c:axId val="28189440"/>
        <c:scaling>
          <c:orientation val="minMax"/>
        </c:scaling>
        <c:delete val="0"/>
        <c:axPos val="b"/>
        <c:majorTickMark val="out"/>
        <c:minorTickMark val="none"/>
        <c:tickLblPos val="nextTo"/>
        <c:crossAx val="28190976"/>
        <c:crosses val="autoZero"/>
        <c:auto val="1"/>
        <c:lblAlgn val="ctr"/>
        <c:lblOffset val="100"/>
        <c:noMultiLvlLbl val="0"/>
      </c:catAx>
      <c:valAx>
        <c:axId val="28190976"/>
        <c:scaling>
          <c:orientation val="minMax"/>
          <c:max val="13500"/>
          <c:min val="8500"/>
        </c:scaling>
        <c:delete val="0"/>
        <c:axPos val="l"/>
        <c:majorGridlines/>
        <c:title>
          <c:tx>
            <c:rich>
              <a:bodyPr rot="-5400000" vert="horz"/>
              <a:lstStyle/>
              <a:p>
                <a:pPr>
                  <a:defRPr/>
                </a:pPr>
                <a:r>
                  <a:rPr lang="en-US"/>
                  <a:t>Počet UoZ</a:t>
                </a:r>
              </a:p>
            </c:rich>
          </c:tx>
          <c:overlay val="0"/>
        </c:title>
        <c:numFmt formatCode="General" sourceLinked="1"/>
        <c:majorTickMark val="out"/>
        <c:minorTickMark val="none"/>
        <c:tickLblPos val="nextTo"/>
        <c:crossAx val="28189440"/>
        <c:crosses val="autoZero"/>
        <c:crossBetween val="between"/>
      </c:valAx>
      <c:valAx>
        <c:axId val="28197248"/>
        <c:scaling>
          <c:orientation val="minMax"/>
          <c:max val="4.0000000000000022E-2"/>
        </c:scaling>
        <c:delete val="0"/>
        <c:axPos val="r"/>
        <c:numFmt formatCode="0.00%" sourceLinked="1"/>
        <c:majorTickMark val="out"/>
        <c:minorTickMark val="none"/>
        <c:tickLblPos val="nextTo"/>
        <c:crossAx val="28198784"/>
        <c:crosses val="max"/>
        <c:crossBetween val="between"/>
      </c:valAx>
      <c:catAx>
        <c:axId val="28198784"/>
        <c:scaling>
          <c:orientation val="minMax"/>
        </c:scaling>
        <c:delete val="1"/>
        <c:axPos val="b"/>
        <c:majorTickMark val="out"/>
        <c:minorTickMark val="none"/>
        <c:tickLblPos val="none"/>
        <c:crossAx val="28197248"/>
        <c:crosses val="autoZero"/>
        <c:auto val="1"/>
        <c:lblAlgn val="ctr"/>
        <c:lblOffset val="100"/>
        <c:noMultiLvlLbl val="0"/>
      </c:catAx>
    </c:plotArea>
    <c:legend>
      <c:legendPos val="t"/>
      <c:layout>
        <c:manualLayout>
          <c:xMode val="edge"/>
          <c:yMode val="edge"/>
          <c:x val="0.10621478565179356"/>
          <c:y val="4.1308096965246309E-2"/>
          <c:w val="0.63005616797900266"/>
          <c:h val="7.1227636396117872E-2"/>
        </c:manualLayout>
      </c:layout>
      <c:overlay val="1"/>
    </c:legend>
    <c:plotVisOnly val="1"/>
    <c:dispBlanksAs val="gap"/>
    <c:showDLblsOverMax val="0"/>
  </c:chart>
  <c:spPr>
    <a:ln>
      <a:noFill/>
    </a:ln>
  </c:spPr>
  <c:txPr>
    <a:bodyPr/>
    <a:lstStyle/>
    <a:p>
      <a:pPr>
        <a:defRPr sz="950" baseline="0">
          <a:latin typeface="Times New Roman" pitchFamily="18" charset="0"/>
        </a:defRPr>
      </a:pPr>
      <a:endParaRPr lang="sk-SK"/>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'24 mlad'!$B$23</c:f>
              <c:strCache>
                <c:ptCount val="1"/>
                <c:pt idx="0">
                  <c:v>rok 2010</c:v>
                </c:pt>
              </c:strCache>
            </c:strRef>
          </c:tx>
          <c:invertIfNegative val="0"/>
          <c:cat>
            <c:strRef>
              <c:f>'24 mlad'!$C$22:$N$22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'24 mlad'!$C$23:$N$23</c:f>
              <c:numCache>
                <c:formatCode>General</c:formatCode>
                <c:ptCount val="12"/>
                <c:pt idx="0">
                  <c:v>3770</c:v>
                </c:pt>
                <c:pt idx="1">
                  <c:v>3720</c:v>
                </c:pt>
                <c:pt idx="2">
                  <c:v>3623</c:v>
                </c:pt>
                <c:pt idx="3">
                  <c:v>3401</c:v>
                </c:pt>
                <c:pt idx="4">
                  <c:v>3131</c:v>
                </c:pt>
                <c:pt idx="5">
                  <c:v>2920</c:v>
                </c:pt>
                <c:pt idx="6">
                  <c:v>2692</c:v>
                </c:pt>
                <c:pt idx="7">
                  <c:v>2495</c:v>
                </c:pt>
                <c:pt idx="8">
                  <c:v>3684</c:v>
                </c:pt>
                <c:pt idx="9">
                  <c:v>4049</c:v>
                </c:pt>
                <c:pt idx="10">
                  <c:v>4094</c:v>
                </c:pt>
                <c:pt idx="11">
                  <c:v>3902</c:v>
                </c:pt>
              </c:numCache>
            </c:numRef>
          </c:val>
        </c:ser>
        <c:ser>
          <c:idx val="1"/>
          <c:order val="1"/>
          <c:tx>
            <c:strRef>
              <c:f>'24 mlad'!$B$24</c:f>
              <c:strCache>
                <c:ptCount val="1"/>
                <c:pt idx="0">
                  <c:v>rok 2011</c:v>
                </c:pt>
              </c:strCache>
            </c:strRef>
          </c:tx>
          <c:invertIfNegative val="0"/>
          <c:cat>
            <c:strRef>
              <c:f>'24 mlad'!$C$22:$N$22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'24 mlad'!$C$24:$N$24</c:f>
              <c:numCache>
                <c:formatCode>General</c:formatCode>
                <c:ptCount val="12"/>
                <c:pt idx="0">
                  <c:v>3772</c:v>
                </c:pt>
                <c:pt idx="1">
                  <c:v>3714</c:v>
                </c:pt>
                <c:pt idx="2">
                  <c:v>3562</c:v>
                </c:pt>
                <c:pt idx="3">
                  <c:v>3343</c:v>
                </c:pt>
                <c:pt idx="4">
                  <c:v>3120</c:v>
                </c:pt>
                <c:pt idx="5">
                  <c:v>2916</c:v>
                </c:pt>
                <c:pt idx="6">
                  <c:v>2653</c:v>
                </c:pt>
                <c:pt idx="7">
                  <c:v>2465</c:v>
                </c:pt>
                <c:pt idx="8">
                  <c:v>3623</c:v>
                </c:pt>
                <c:pt idx="9">
                  <c:v>3934</c:v>
                </c:pt>
                <c:pt idx="10">
                  <c:v>3910</c:v>
                </c:pt>
                <c:pt idx="11">
                  <c:v>3775</c:v>
                </c:pt>
              </c:numCache>
            </c:numRef>
          </c:val>
        </c:ser>
        <c:dLbls>
          <c:showLegendKey val="0"/>
          <c:showVal val="0"/>
          <c:showCatName val="0"/>
          <c:showSerName val="0"/>
          <c:showPercent val="0"/>
          <c:showBubbleSize val="0"/>
        </c:dLbls>
        <c:gapWidth val="150"/>
        <c:axId val="28206592"/>
        <c:axId val="28208128"/>
      </c:barChart>
      <c:catAx>
        <c:axId val="28206592"/>
        <c:scaling>
          <c:orientation val="minMax"/>
        </c:scaling>
        <c:delete val="0"/>
        <c:axPos val="b"/>
        <c:majorTickMark val="out"/>
        <c:minorTickMark val="none"/>
        <c:tickLblPos val="nextTo"/>
        <c:crossAx val="28208128"/>
        <c:crosses val="autoZero"/>
        <c:auto val="1"/>
        <c:lblAlgn val="ctr"/>
        <c:lblOffset val="100"/>
        <c:noMultiLvlLbl val="0"/>
      </c:catAx>
      <c:valAx>
        <c:axId val="28208128"/>
        <c:scaling>
          <c:orientation val="minMax"/>
          <c:min val="2000"/>
        </c:scaling>
        <c:delete val="0"/>
        <c:axPos val="l"/>
        <c:majorGridlines/>
        <c:title>
          <c:tx>
            <c:rich>
              <a:bodyPr rot="-5400000" vert="horz"/>
              <a:lstStyle/>
              <a:p>
                <a:pPr>
                  <a:defRPr/>
                </a:pPr>
                <a:r>
                  <a:rPr lang="en-US"/>
                  <a:t>Počet UoZ</a:t>
                </a:r>
              </a:p>
            </c:rich>
          </c:tx>
          <c:overlay val="0"/>
        </c:title>
        <c:numFmt formatCode="General" sourceLinked="1"/>
        <c:majorTickMark val="out"/>
        <c:minorTickMark val="none"/>
        <c:tickLblPos val="nextTo"/>
        <c:crossAx val="28206592"/>
        <c:crosses val="autoZero"/>
        <c:crossBetween val="between"/>
      </c:valAx>
    </c:plotArea>
    <c:legend>
      <c:legendPos val="t"/>
      <c:layout>
        <c:manualLayout>
          <c:xMode val="edge"/>
          <c:yMode val="edge"/>
          <c:x val="0.34390128317293822"/>
          <c:y val="8.4767962534631286E-2"/>
          <c:w val="0.26016440653251677"/>
          <c:h val="7.5463396376949932E-2"/>
        </c:manualLayout>
      </c:layout>
      <c:overlay val="1"/>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86351706036739"/>
          <c:y val="5.1400554097404488E-2"/>
          <c:w val="0.84358092738407764"/>
          <c:h val="0.70254994167395768"/>
        </c:manualLayout>
      </c:layout>
      <c:lineChart>
        <c:grouping val="standard"/>
        <c:varyColors val="0"/>
        <c:ser>
          <c:idx val="0"/>
          <c:order val="0"/>
          <c:tx>
            <c:strRef>
              <c:f>'vyvoj nom.mzdy 1999-2009'!$A$4</c:f>
              <c:strCache>
                <c:ptCount val="1"/>
                <c:pt idx="0">
                  <c:v>Priemerná mesačná mzda nominálna</c:v>
                </c:pt>
              </c:strCache>
            </c:strRef>
          </c:tx>
          <c:dLbls>
            <c:dLbl>
              <c:idx val="0"/>
              <c:layout>
                <c:manualLayout>
                  <c:x val="-3.9408866995073982E-2"/>
                  <c:y val="-5.4982817869416535E-2"/>
                </c:manualLayout>
              </c:layout>
              <c:showLegendKey val="0"/>
              <c:showVal val="1"/>
              <c:showCatName val="0"/>
              <c:showSerName val="0"/>
              <c:showPercent val="0"/>
              <c:showBubbleSize val="0"/>
            </c:dLbl>
            <c:dLbl>
              <c:idx val="1"/>
              <c:layout>
                <c:manualLayout>
                  <c:x val="-5.0355774493705527E-2"/>
                  <c:y val="-5.0400916380297874E-2"/>
                </c:manualLayout>
              </c:layout>
              <c:showLegendKey val="0"/>
              <c:showVal val="1"/>
              <c:showCatName val="0"/>
              <c:showSerName val="0"/>
              <c:showPercent val="0"/>
              <c:showBubbleSize val="0"/>
            </c:dLbl>
            <c:dLbl>
              <c:idx val="2"/>
              <c:layout>
                <c:manualLayout>
                  <c:x val="-4.1598248494800205E-2"/>
                  <c:y val="-3.2073310423826655E-2"/>
                </c:manualLayout>
              </c:layout>
              <c:showLegendKey val="0"/>
              <c:showVal val="1"/>
              <c:showCatName val="0"/>
              <c:showSerName val="0"/>
              <c:showPercent val="0"/>
              <c:showBubbleSize val="0"/>
            </c:dLbl>
            <c:dLbl>
              <c:idx val="3"/>
              <c:layout>
                <c:manualLayout>
                  <c:x val="-2.4083196496989642E-2"/>
                  <c:y val="-4.1237113402061855E-2"/>
                </c:manualLayout>
              </c:layout>
              <c:showLegendKey val="0"/>
              <c:showVal val="1"/>
              <c:showCatName val="0"/>
              <c:showSerName val="0"/>
              <c:showPercent val="0"/>
              <c:showBubbleSize val="0"/>
            </c:dLbl>
            <c:dLbl>
              <c:idx val="4"/>
              <c:layout>
                <c:manualLayout>
                  <c:x val="-4.1598248494800205E-2"/>
                  <c:y val="-6.4146620847652561E-2"/>
                </c:manualLayout>
              </c:layout>
              <c:showLegendKey val="0"/>
              <c:showVal val="1"/>
              <c:showCatName val="0"/>
              <c:showSerName val="0"/>
              <c:showPercent val="0"/>
              <c:showBubbleSize val="0"/>
            </c:dLbl>
            <c:dLbl>
              <c:idx val="5"/>
              <c:layout>
                <c:manualLayout>
                  <c:x val="-4.1598248494800205E-2"/>
                  <c:y val="-5.0400916380297825E-2"/>
                </c:manualLayout>
              </c:layout>
              <c:showLegendKey val="0"/>
              <c:showVal val="1"/>
              <c:showCatName val="0"/>
              <c:showSerName val="0"/>
              <c:showPercent val="0"/>
              <c:showBubbleSize val="0"/>
            </c:dLbl>
            <c:dLbl>
              <c:idx val="6"/>
              <c:layout>
                <c:manualLayout>
                  <c:x val="-2.8461959496442188E-2"/>
                  <c:y val="-4.1237113402061855E-2"/>
                </c:manualLayout>
              </c:layout>
              <c:showLegendKey val="0"/>
              <c:showVal val="1"/>
              <c:showCatName val="0"/>
              <c:showSerName val="0"/>
              <c:showPercent val="0"/>
              <c:showBubbleSize val="0"/>
            </c:dLbl>
            <c:dLbl>
              <c:idx val="7"/>
              <c:layout>
                <c:manualLayout>
                  <c:x val="-3.065134099616891E-2"/>
                  <c:y val="-4.1237113402061855E-2"/>
                </c:manualLayout>
              </c:layout>
              <c:showLegendKey val="0"/>
              <c:showVal val="1"/>
              <c:showCatName val="0"/>
              <c:showSerName val="0"/>
              <c:showPercent val="0"/>
              <c:showBubbleSize val="0"/>
            </c:dLbl>
            <c:dLbl>
              <c:idx val="8"/>
              <c:layout>
                <c:manualLayout>
                  <c:x val="-3.9408866995073982E-2"/>
                  <c:y val="-4.5819014891179892E-2"/>
                </c:manualLayout>
              </c:layout>
              <c:showLegendKey val="0"/>
              <c:showVal val="1"/>
              <c:showCatName val="0"/>
              <c:showSerName val="0"/>
              <c:showPercent val="0"/>
              <c:showBubbleSize val="0"/>
            </c:dLbl>
            <c:dLbl>
              <c:idx val="9"/>
              <c:layout>
                <c:manualLayout>
                  <c:x val="-3.0651340996168692E-2"/>
                  <c:y val="-4.1237113402061855E-2"/>
                </c:manualLayout>
              </c:layout>
              <c:showLegendKey val="0"/>
              <c:showVal val="1"/>
              <c:showCatName val="0"/>
              <c:showSerName val="0"/>
              <c:showPercent val="0"/>
              <c:showBubbleSize val="0"/>
            </c:dLbl>
            <c:dLbl>
              <c:idx val="10"/>
              <c:layout>
                <c:manualLayout>
                  <c:x val="-2.6272577996716215E-2"/>
                  <c:y val="-4.5819014891179913E-2"/>
                </c:manualLayout>
              </c:layout>
              <c:showLegendKey val="0"/>
              <c:showVal val="1"/>
              <c:showCatName val="0"/>
              <c:showSerName val="0"/>
              <c:showPercent val="0"/>
              <c:showBubbleSize val="0"/>
            </c:dLbl>
            <c:dLbl>
              <c:idx val="11"/>
              <c:layout>
                <c:manualLayout>
                  <c:x val="-3.5030103995621356E-2"/>
                  <c:y val="-4.5819014891179913E-2"/>
                </c:manualLayout>
              </c:layout>
              <c:showLegendKey val="0"/>
              <c:showVal val="1"/>
              <c:showCatName val="0"/>
              <c:showSerName val="0"/>
              <c:showPercent val="0"/>
              <c:showBubbleSize val="0"/>
            </c:dLbl>
            <c:dLbl>
              <c:idx val="12"/>
              <c:layout>
                <c:manualLayout>
                  <c:x val="-2.1893814997263589E-2"/>
                  <c:y val="-4.58190148911799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'vyvoj nom.mzdy 1999-2009'!$B$3:$N$3</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'vyvoj nom.mzdy 1999-2009'!$B$4:$N$4</c:f>
              <c:numCache>
                <c:formatCode>0.0__</c:formatCode>
                <c:ptCount val="13"/>
                <c:pt idx="0">
                  <c:v>107.2</c:v>
                </c:pt>
                <c:pt idx="1">
                  <c:v>106.5</c:v>
                </c:pt>
                <c:pt idx="2">
                  <c:v>108.2</c:v>
                </c:pt>
                <c:pt idx="3">
                  <c:v>109.3</c:v>
                </c:pt>
                <c:pt idx="4">
                  <c:v>106.3</c:v>
                </c:pt>
                <c:pt idx="5">
                  <c:v>110.2</c:v>
                </c:pt>
                <c:pt idx="6">
                  <c:v>109.2</c:v>
                </c:pt>
                <c:pt idx="7">
                  <c:v>108</c:v>
                </c:pt>
                <c:pt idx="8">
                  <c:v>107.2</c:v>
                </c:pt>
                <c:pt idx="9">
                  <c:v>108.1</c:v>
                </c:pt>
                <c:pt idx="10">
                  <c:v>103</c:v>
                </c:pt>
                <c:pt idx="11">
                  <c:v>103.2</c:v>
                </c:pt>
                <c:pt idx="12">
                  <c:v>102.2</c:v>
                </c:pt>
              </c:numCache>
            </c:numRef>
          </c:val>
          <c:smooth val="0"/>
        </c:ser>
        <c:ser>
          <c:idx val="1"/>
          <c:order val="1"/>
          <c:tx>
            <c:strRef>
              <c:f>'vyvoj nom.mzdy 1999-2009'!$A$5</c:f>
              <c:strCache>
                <c:ptCount val="1"/>
                <c:pt idx="0">
                  <c:v>Priemerná mesačná mzda reálna</c:v>
                </c:pt>
              </c:strCache>
            </c:strRef>
          </c:tx>
          <c:dLbls>
            <c:dLbl>
              <c:idx val="0"/>
              <c:layout>
                <c:manualLayout>
                  <c:x val="-3.72194854953476E-2"/>
                  <c:y val="-5.0400916380297825E-2"/>
                </c:manualLayout>
              </c:layout>
              <c:showLegendKey val="0"/>
              <c:showVal val="1"/>
              <c:showCatName val="0"/>
              <c:showSerName val="0"/>
              <c:showPercent val="0"/>
              <c:showBubbleSize val="0"/>
            </c:dLbl>
            <c:dLbl>
              <c:idx val="1"/>
              <c:layout>
                <c:manualLayout>
                  <c:x val="-4.1598248494800205E-2"/>
                  <c:y val="-5.0400916380297825E-2"/>
                </c:manualLayout>
              </c:layout>
              <c:showLegendKey val="0"/>
              <c:showVal val="1"/>
              <c:showCatName val="0"/>
              <c:showSerName val="0"/>
              <c:showPercent val="0"/>
              <c:showBubbleSize val="0"/>
            </c:dLbl>
            <c:dLbl>
              <c:idx val="2"/>
              <c:layout>
                <c:manualLayout>
                  <c:x val="-6.7870826491516184E-2"/>
                  <c:y val="-3.6655211912944269E-2"/>
                </c:manualLayout>
              </c:layout>
              <c:showLegendKey val="0"/>
              <c:showVal val="1"/>
              <c:showCatName val="0"/>
              <c:showSerName val="0"/>
              <c:showPercent val="0"/>
              <c:showBubbleSize val="0"/>
            </c:dLbl>
            <c:dLbl>
              <c:idx val="3"/>
              <c:layout>
                <c:manualLayout>
                  <c:x val="-3.9408866995073899E-2"/>
                  <c:y val="-4.1237113402061855E-2"/>
                </c:manualLayout>
              </c:layout>
              <c:showLegendKey val="0"/>
              <c:showVal val="1"/>
              <c:showCatName val="0"/>
              <c:showSerName val="0"/>
              <c:showPercent val="0"/>
              <c:showBubbleSize val="0"/>
            </c:dLbl>
            <c:dLbl>
              <c:idx val="4"/>
              <c:layout>
                <c:manualLayout>
                  <c:x val="-3.2840722495895251E-2"/>
                  <c:y val="-8.2474226804123682E-2"/>
                </c:manualLayout>
              </c:layout>
              <c:showLegendKey val="0"/>
              <c:showVal val="1"/>
              <c:showCatName val="0"/>
              <c:showSerName val="0"/>
              <c:showPercent val="0"/>
              <c:showBubbleSize val="0"/>
            </c:dLbl>
            <c:dLbl>
              <c:idx val="5"/>
              <c:layout>
                <c:manualLayout>
                  <c:x val="-4.5977011494252866E-2"/>
                  <c:y val="-4.1237113402061855E-2"/>
                </c:manualLayout>
              </c:layout>
              <c:showLegendKey val="0"/>
              <c:showVal val="1"/>
              <c:showCatName val="0"/>
              <c:showSerName val="0"/>
              <c:showPercent val="0"/>
              <c:showBubbleSize val="0"/>
            </c:dLbl>
            <c:dLbl>
              <c:idx val="6"/>
              <c:layout>
                <c:manualLayout>
                  <c:x val="-4.3787629994527316E-2"/>
                  <c:y val="-4.1237113402061855E-2"/>
                </c:manualLayout>
              </c:layout>
              <c:showLegendKey val="0"/>
              <c:showVal val="1"/>
              <c:showCatName val="0"/>
              <c:showSerName val="0"/>
              <c:showPercent val="0"/>
              <c:showBubbleSize val="0"/>
            </c:dLbl>
            <c:dLbl>
              <c:idx val="7"/>
              <c:layout>
                <c:manualLayout>
                  <c:x val="-3.2840722495895321E-2"/>
                  <c:y val="-5.0400916380297825E-2"/>
                </c:manualLayout>
              </c:layout>
              <c:showLegendKey val="0"/>
              <c:showVal val="1"/>
              <c:showCatName val="0"/>
              <c:showSerName val="0"/>
              <c:showPercent val="0"/>
              <c:showBubbleSize val="0"/>
            </c:dLbl>
            <c:dLbl>
              <c:idx val="8"/>
              <c:layout>
                <c:manualLayout>
                  <c:x val="-3.7219485495347614E-2"/>
                  <c:y val="-4.1237113402061876E-2"/>
                </c:manualLayout>
              </c:layout>
              <c:showLegendKey val="0"/>
              <c:showVal val="1"/>
              <c:showCatName val="0"/>
              <c:showSerName val="0"/>
              <c:showPercent val="0"/>
              <c:showBubbleSize val="0"/>
            </c:dLbl>
            <c:dLbl>
              <c:idx val="9"/>
              <c:layout>
                <c:manualLayout>
                  <c:x val="-3.9408866995073982E-2"/>
                  <c:y val="-5.4982817869416549E-2"/>
                </c:manualLayout>
              </c:layout>
              <c:showLegendKey val="0"/>
              <c:showVal val="1"/>
              <c:showCatName val="0"/>
              <c:showSerName val="0"/>
              <c:showPercent val="0"/>
              <c:showBubbleSize val="0"/>
            </c:dLbl>
            <c:dLbl>
              <c:idx val="10"/>
              <c:layout>
                <c:manualLayout>
                  <c:x val="-3.7219485495347614E-2"/>
                  <c:y val="-4.1237113402061855E-2"/>
                </c:manualLayout>
              </c:layout>
              <c:showLegendKey val="0"/>
              <c:showVal val="1"/>
              <c:showCatName val="0"/>
              <c:showSerName val="0"/>
              <c:showPercent val="0"/>
              <c:showBubbleSize val="0"/>
            </c:dLbl>
            <c:dLbl>
              <c:idx val="11"/>
              <c:layout>
                <c:manualLayout>
                  <c:x val="-5.0355774493705527E-2"/>
                  <c:y val="5.0400916380297825E-2"/>
                </c:manualLayout>
              </c:layout>
              <c:showLegendKey val="0"/>
              <c:showVal val="1"/>
              <c:showCatName val="0"/>
              <c:showSerName val="0"/>
              <c:showPercent val="0"/>
              <c:showBubbleSize val="0"/>
            </c:dLbl>
            <c:dLbl>
              <c:idx val="12"/>
              <c:layout>
                <c:manualLayout>
                  <c:x val="-2.6272577996716215E-2"/>
                  <c:y val="-5.04009163802978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'vyvoj nom.mzdy 1999-2009'!$B$3:$N$3</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'vyvoj nom.mzdy 1999-2009'!$B$5:$N$5</c:f>
              <c:numCache>
                <c:formatCode>0.0__</c:formatCode>
                <c:ptCount val="13"/>
                <c:pt idx="0">
                  <c:v>96.9</c:v>
                </c:pt>
                <c:pt idx="1">
                  <c:v>95.1</c:v>
                </c:pt>
                <c:pt idx="2">
                  <c:v>101</c:v>
                </c:pt>
                <c:pt idx="3">
                  <c:v>105.8</c:v>
                </c:pt>
                <c:pt idx="4">
                  <c:v>98</c:v>
                </c:pt>
                <c:pt idx="5">
                  <c:v>102.5</c:v>
                </c:pt>
                <c:pt idx="6">
                  <c:v>106.3</c:v>
                </c:pt>
                <c:pt idx="7">
                  <c:v>103.3</c:v>
                </c:pt>
                <c:pt idx="8">
                  <c:v>104.3</c:v>
                </c:pt>
                <c:pt idx="9">
                  <c:v>103.3</c:v>
                </c:pt>
                <c:pt idx="10">
                  <c:v>101.4</c:v>
                </c:pt>
                <c:pt idx="11">
                  <c:v>102.2</c:v>
                </c:pt>
                <c:pt idx="12">
                  <c:v>98.4</c:v>
                </c:pt>
              </c:numCache>
            </c:numRef>
          </c:val>
          <c:smooth val="0"/>
        </c:ser>
        <c:dLbls>
          <c:showLegendKey val="0"/>
          <c:showVal val="0"/>
          <c:showCatName val="0"/>
          <c:showSerName val="0"/>
          <c:showPercent val="0"/>
          <c:showBubbleSize val="0"/>
        </c:dLbls>
        <c:marker val="1"/>
        <c:smooth val="0"/>
        <c:axId val="28226304"/>
        <c:axId val="28227840"/>
      </c:lineChart>
      <c:catAx>
        <c:axId val="28226304"/>
        <c:scaling>
          <c:orientation val="minMax"/>
        </c:scaling>
        <c:delete val="0"/>
        <c:axPos val="b"/>
        <c:numFmt formatCode="General" sourceLinked="1"/>
        <c:majorTickMark val="out"/>
        <c:minorTickMark val="none"/>
        <c:tickLblPos val="nextTo"/>
        <c:crossAx val="28227840"/>
        <c:crossesAt val="94"/>
        <c:auto val="0"/>
        <c:lblAlgn val="ctr"/>
        <c:lblOffset val="100"/>
        <c:noMultiLvlLbl val="0"/>
      </c:catAx>
      <c:valAx>
        <c:axId val="28227840"/>
        <c:scaling>
          <c:orientation val="minMax"/>
          <c:max val="111"/>
          <c:min val="94"/>
        </c:scaling>
        <c:delete val="0"/>
        <c:axPos val="l"/>
        <c:majorGridlines/>
        <c:title>
          <c:tx>
            <c:rich>
              <a:bodyPr rot="-5400000" vert="horz"/>
              <a:lstStyle/>
              <a:p>
                <a:pPr>
                  <a:defRPr/>
                </a:pPr>
                <a:r>
                  <a:rPr lang="sk-SK"/>
                  <a:t>index</a:t>
                </a:r>
              </a:p>
            </c:rich>
          </c:tx>
          <c:layout>
            <c:manualLayout>
              <c:xMode val="edge"/>
              <c:yMode val="edge"/>
              <c:x val="1.6480191284989901E-2"/>
              <c:y val="0.36262304878791063"/>
            </c:manualLayout>
          </c:layout>
          <c:overlay val="0"/>
        </c:title>
        <c:numFmt formatCode="#,##0.0" sourceLinked="0"/>
        <c:majorTickMark val="out"/>
        <c:minorTickMark val="none"/>
        <c:tickLblPos val="nextTo"/>
        <c:spPr>
          <a:ln w="9525">
            <a:solidFill>
              <a:sysClr val="windowText" lastClr="000000"/>
            </a:solidFill>
          </a:ln>
        </c:spPr>
        <c:crossAx val="28226304"/>
        <c:crossesAt val="1"/>
        <c:crossBetween val="between"/>
        <c:majorUnit val="1"/>
      </c:valAx>
    </c:plotArea>
    <c:legend>
      <c:legendPos val="b"/>
      <c:layout>
        <c:manualLayout>
          <c:xMode val="edge"/>
          <c:yMode val="edge"/>
          <c:x val="0.15448172426722656"/>
          <c:y val="0.89969524642753806"/>
          <c:w val="0.79367768684086903"/>
          <c:h val="7.2526975794692319E-2"/>
        </c:manualLayout>
      </c:layout>
      <c:overlay val="0"/>
      <c:spPr>
        <a:ln>
          <a:noFill/>
        </a:ln>
      </c:spPr>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248356671235011E-2"/>
          <c:y val="2.3698848115880002E-2"/>
          <c:w val="0.88926174496642629"/>
          <c:h val="0.65830437451942658"/>
        </c:manualLayout>
      </c:layout>
      <c:barChart>
        <c:barDir val="col"/>
        <c:grouping val="clustered"/>
        <c:varyColors val="0"/>
        <c:ser>
          <c:idx val="1"/>
          <c:order val="0"/>
          <c:tx>
            <c:strRef>
              <c:f>'rast nom.mzdy-kraje_2008,2009'!$B$3</c:f>
              <c:strCache>
                <c:ptCount val="1"/>
                <c:pt idx="0">
                  <c:v>2010</c:v>
                </c:pt>
              </c:strCache>
            </c:strRef>
          </c:tx>
          <c:invertIfNegative val="0"/>
          <c:dLbls>
            <c:dLbl>
              <c:idx val="0"/>
              <c:layout>
                <c:manualLayout>
                  <c:x val="-5.4732668905898402E-4"/>
                  <c:y val="6.0215549979329508E-3"/>
                </c:manualLayout>
              </c:layout>
              <c:dLblPos val="outEnd"/>
              <c:showLegendKey val="0"/>
              <c:showVal val="1"/>
              <c:showCatName val="0"/>
              <c:showSerName val="0"/>
              <c:showPercent val="0"/>
              <c:showBubbleSize val="0"/>
            </c:dLbl>
            <c:dLbl>
              <c:idx val="1"/>
              <c:layout>
                <c:manualLayout>
                  <c:x val="-4.3264871611328314E-3"/>
                  <c:y val="1.0082585830617526E-2"/>
                </c:manualLayout>
              </c:layout>
              <c:dLblPos val="outEnd"/>
              <c:showLegendKey val="0"/>
              <c:showVal val="1"/>
              <c:showCatName val="0"/>
              <c:showSerName val="0"/>
              <c:showPercent val="0"/>
              <c:showBubbleSize val="0"/>
            </c:dLbl>
            <c:dLbl>
              <c:idx val="2"/>
              <c:layout>
                <c:manualLayout>
                  <c:x val="-1.1045647266119721E-3"/>
                  <c:y val="9.2330766346514371E-3"/>
                </c:manualLayout>
              </c:layout>
              <c:dLblPos val="outEnd"/>
              <c:showLegendKey val="0"/>
              <c:showVal val="1"/>
              <c:showCatName val="0"/>
              <c:showSerName val="0"/>
              <c:showPercent val="0"/>
              <c:showBubbleSize val="0"/>
            </c:dLbl>
            <c:dLbl>
              <c:idx val="3"/>
              <c:layout>
                <c:manualLayout>
                  <c:x val="3.0440687921002882E-3"/>
                  <c:y val="1.7328603155374798E-2"/>
                </c:manualLayout>
              </c:layout>
              <c:dLblPos val="outEnd"/>
              <c:showLegendKey val="0"/>
              <c:showVal val="1"/>
              <c:showCatName val="0"/>
              <c:showSerName val="0"/>
              <c:showPercent val="0"/>
              <c:showBubbleSize val="0"/>
            </c:dLbl>
            <c:dLbl>
              <c:idx val="4"/>
              <c:layout>
                <c:manualLayout>
                  <c:x val="-1.9475417921753081E-3"/>
                  <c:y val="1.1192214111922141E-2"/>
                </c:manualLayout>
              </c:layout>
              <c:dLblPos val="outEnd"/>
              <c:showLegendKey val="0"/>
              <c:showVal val="1"/>
              <c:showCatName val="0"/>
              <c:showSerName val="0"/>
              <c:showPercent val="0"/>
              <c:showBubbleSize val="0"/>
            </c:dLbl>
            <c:dLbl>
              <c:idx val="5"/>
              <c:layout>
                <c:manualLayout>
                  <c:x val="-1.0197125708936761E-2"/>
                  <c:y val="1.6719448530472157E-2"/>
                </c:manualLayout>
              </c:layout>
              <c:dLblPos val="outEnd"/>
              <c:showLegendKey val="0"/>
              <c:showVal val="1"/>
              <c:showCatName val="0"/>
              <c:showSerName val="0"/>
              <c:showPercent val="0"/>
              <c:showBubbleSize val="0"/>
            </c:dLbl>
            <c:dLbl>
              <c:idx val="6"/>
              <c:layout>
                <c:manualLayout>
                  <c:x val="-8.844777269974121E-3"/>
                  <c:y val="2.1603837981791125E-2"/>
                </c:manualLayout>
              </c:layout>
              <c:dLblPos val="outEnd"/>
              <c:showLegendKey val="0"/>
              <c:showVal val="1"/>
              <c:showCatName val="0"/>
              <c:showSerName val="0"/>
              <c:showPercent val="0"/>
              <c:showBubbleSize val="0"/>
            </c:dLbl>
            <c:dLbl>
              <c:idx val="7"/>
              <c:layout>
                <c:manualLayout>
                  <c:x val="-1.1035735917625683E-2"/>
                  <c:y val="1.4912751290704141E-2"/>
                </c:manualLayout>
              </c:layout>
              <c:dLblPos val="outEnd"/>
              <c:showLegendKey val="0"/>
              <c:showVal val="1"/>
              <c:showCatName val="0"/>
              <c:showSerName val="0"/>
              <c:showPercent val="0"/>
              <c:showBubbleSize val="0"/>
            </c:dLbl>
            <c:spPr>
              <a:noFill/>
              <a:ln w="25400">
                <a:noFill/>
              </a:ln>
            </c:spPr>
            <c:txPr>
              <a:bodyPr/>
              <a:lstStyle/>
              <a:p>
                <a:pPr>
                  <a:defRPr sz="900"/>
                </a:pPr>
                <a:endParaRPr lang="sk-SK"/>
              </a:p>
            </c:txPr>
            <c:showLegendKey val="0"/>
            <c:showVal val="1"/>
            <c:showCatName val="0"/>
            <c:showSerName val="0"/>
            <c:showPercent val="0"/>
            <c:showBubbleSize val="0"/>
            <c:showLeaderLines val="0"/>
          </c:dLbls>
          <c:cat>
            <c:strRef>
              <c:f>'rast nom.mzdy-kraje_2008,2009'!$A$4:$A$11</c:f>
              <c:strCache>
                <c:ptCount val="8"/>
                <c:pt idx="0">
                  <c:v>Bratislavský</c:v>
                </c:pt>
                <c:pt idx="1">
                  <c:v>Košický</c:v>
                </c:pt>
                <c:pt idx="2">
                  <c:v>Prešovský</c:v>
                </c:pt>
                <c:pt idx="3">
                  <c:v>Banskobystrický</c:v>
                </c:pt>
                <c:pt idx="4">
                  <c:v>Žilinský</c:v>
                </c:pt>
                <c:pt idx="5">
                  <c:v>Nitriansky</c:v>
                </c:pt>
                <c:pt idx="6">
                  <c:v>Trnavský</c:v>
                </c:pt>
                <c:pt idx="7">
                  <c:v>Trenčiansky</c:v>
                </c:pt>
              </c:strCache>
            </c:strRef>
          </c:cat>
          <c:val>
            <c:numRef>
              <c:f>'rast nom.mzdy-kraje_2008,2009'!$B$4:$B$11</c:f>
              <c:numCache>
                <c:formatCode>0.0__</c:formatCode>
                <c:ptCount val="8"/>
                <c:pt idx="0">
                  <c:v>102.2</c:v>
                </c:pt>
                <c:pt idx="1">
                  <c:v>104.7</c:v>
                </c:pt>
                <c:pt idx="2">
                  <c:v>103.7</c:v>
                </c:pt>
                <c:pt idx="3">
                  <c:v>105</c:v>
                </c:pt>
                <c:pt idx="4">
                  <c:v>104.4</c:v>
                </c:pt>
                <c:pt idx="5">
                  <c:v>101.8</c:v>
                </c:pt>
                <c:pt idx="6">
                  <c:v>102.3</c:v>
                </c:pt>
                <c:pt idx="7">
                  <c:v>103.5</c:v>
                </c:pt>
              </c:numCache>
            </c:numRef>
          </c:val>
        </c:ser>
        <c:ser>
          <c:idx val="0"/>
          <c:order val="1"/>
          <c:tx>
            <c:strRef>
              <c:f>'rast nom.mzdy-kraje_2008,2009'!$C$3</c:f>
              <c:strCache>
                <c:ptCount val="1"/>
                <c:pt idx="0">
                  <c:v>2011</c:v>
                </c:pt>
              </c:strCache>
            </c:strRef>
          </c:tx>
          <c:invertIfNegative val="0"/>
          <c:dLbls>
            <c:dLbl>
              <c:idx val="0"/>
              <c:layout>
                <c:manualLayout>
                  <c:x val="9.9174054292164547E-3"/>
                  <c:y val="1.4438964360224198E-2"/>
                </c:manualLayout>
              </c:layout>
              <c:spPr>
                <a:noFill/>
                <a:ln w="25400">
                  <a:noFill/>
                </a:ln>
              </c:spPr>
              <c:txPr>
                <a:bodyPr/>
                <a:lstStyle/>
                <a:p>
                  <a:pPr>
                    <a:defRPr sz="900"/>
                  </a:pPr>
                  <a:endParaRPr lang="sk-SK"/>
                </a:p>
              </c:txPr>
              <c:dLblPos val="outEnd"/>
              <c:showLegendKey val="0"/>
              <c:showVal val="1"/>
              <c:showCatName val="0"/>
              <c:showSerName val="0"/>
              <c:showPercent val="0"/>
              <c:showBubbleSize val="0"/>
            </c:dLbl>
            <c:dLbl>
              <c:idx val="1"/>
              <c:layout>
                <c:manualLayout>
                  <c:x val="1.8821834333645534E-2"/>
                  <c:y val="1.7784315422110702E-2"/>
                </c:manualLayout>
              </c:layout>
              <c:spPr>
                <a:noFill/>
                <a:ln w="25400">
                  <a:noFill/>
                </a:ln>
              </c:spPr>
              <c:txPr>
                <a:bodyPr/>
                <a:lstStyle/>
                <a:p>
                  <a:pPr>
                    <a:defRPr sz="900"/>
                  </a:pPr>
                  <a:endParaRPr lang="sk-SK"/>
                </a:p>
              </c:txPr>
              <c:dLblPos val="outEnd"/>
              <c:showLegendKey val="0"/>
              <c:showVal val="1"/>
              <c:showCatName val="0"/>
              <c:showSerName val="0"/>
              <c:showPercent val="0"/>
              <c:showBubbleSize val="0"/>
            </c:dLbl>
            <c:dLbl>
              <c:idx val="2"/>
              <c:layout>
                <c:manualLayout>
                  <c:x val="1.467485270634877E-2"/>
                  <c:y val="1.1683924124869021E-2"/>
                </c:manualLayout>
              </c:layout>
              <c:spPr>
                <a:noFill/>
                <a:ln w="25400">
                  <a:noFill/>
                </a:ln>
              </c:spPr>
              <c:txPr>
                <a:bodyPr/>
                <a:lstStyle/>
                <a:p>
                  <a:pPr>
                    <a:defRPr sz="900"/>
                  </a:pPr>
                  <a:endParaRPr lang="sk-SK"/>
                </a:p>
              </c:txPr>
              <c:dLblPos val="outEnd"/>
              <c:showLegendKey val="0"/>
              <c:showVal val="1"/>
              <c:showCatName val="0"/>
              <c:showSerName val="0"/>
              <c:showPercent val="0"/>
              <c:showBubbleSize val="0"/>
            </c:dLbl>
            <c:dLbl>
              <c:idx val="3"/>
              <c:layout>
                <c:manualLayout>
                  <c:x val="1.7052107996989887E-2"/>
                  <c:y val="9.707248132444982E-3"/>
                </c:manualLayout>
              </c:layout>
              <c:spPr>
                <a:noFill/>
                <a:ln w="25400">
                  <a:noFill/>
                </a:ln>
              </c:spPr>
              <c:txPr>
                <a:bodyPr/>
                <a:lstStyle/>
                <a:p>
                  <a:pPr>
                    <a:defRPr sz="900"/>
                  </a:pPr>
                  <a:endParaRPr lang="sk-SK"/>
                </a:p>
              </c:txPr>
              <c:dLblPos val="outEnd"/>
              <c:showLegendKey val="0"/>
              <c:showVal val="1"/>
              <c:showCatName val="0"/>
              <c:showSerName val="0"/>
              <c:showPercent val="0"/>
              <c:showBubbleSize val="0"/>
            </c:dLbl>
            <c:dLbl>
              <c:idx val="4"/>
              <c:layout>
                <c:manualLayout>
                  <c:x val="1.6910412422223447E-2"/>
                  <c:y val="2.9681289838770202E-2"/>
                </c:manualLayout>
              </c:layout>
              <c:spPr>
                <a:noFill/>
                <a:ln w="25400">
                  <a:noFill/>
                </a:ln>
              </c:spPr>
              <c:txPr>
                <a:bodyPr/>
                <a:lstStyle/>
                <a:p>
                  <a:pPr>
                    <a:defRPr sz="900"/>
                  </a:pPr>
                  <a:endParaRPr lang="sk-SK"/>
                </a:p>
              </c:txPr>
              <c:dLblPos val="outEnd"/>
              <c:showLegendKey val="0"/>
              <c:showVal val="1"/>
              <c:showCatName val="0"/>
              <c:showSerName val="0"/>
              <c:showPercent val="0"/>
              <c:showBubbleSize val="0"/>
            </c:dLbl>
            <c:dLbl>
              <c:idx val="5"/>
              <c:layout>
                <c:manualLayout>
                  <c:x val="2.227116715305818E-3"/>
                  <c:y val="2.2820224395027545E-2"/>
                </c:manualLayout>
              </c:layout>
              <c:spPr>
                <a:noFill/>
                <a:ln w="25400">
                  <a:noFill/>
                </a:ln>
              </c:spPr>
              <c:txPr>
                <a:bodyPr/>
                <a:lstStyle/>
                <a:p>
                  <a:pPr>
                    <a:defRPr sz="900"/>
                  </a:pPr>
                  <a:endParaRPr lang="sk-SK"/>
                </a:p>
              </c:txPr>
              <c:dLblPos val="outEnd"/>
              <c:showLegendKey val="0"/>
              <c:showVal val="1"/>
              <c:showCatName val="0"/>
              <c:showSerName val="0"/>
              <c:showPercent val="0"/>
              <c:showBubbleSize val="0"/>
            </c:dLbl>
            <c:dLbl>
              <c:idx val="6"/>
              <c:layout>
                <c:manualLayout>
                  <c:x val="6.890222638254223E-4"/>
                  <c:y val="1.1532020035957206E-2"/>
                </c:manualLayout>
              </c:layout>
              <c:spPr>
                <a:noFill/>
                <a:ln w="25400">
                  <a:noFill/>
                </a:ln>
              </c:spPr>
              <c:txPr>
                <a:bodyPr/>
                <a:lstStyle/>
                <a:p>
                  <a:pPr>
                    <a:defRPr sz="900"/>
                  </a:pPr>
                  <a:endParaRPr lang="sk-SK"/>
                </a:p>
              </c:txPr>
              <c:dLblPos val="outEnd"/>
              <c:showLegendKey val="0"/>
              <c:showVal val="1"/>
              <c:showCatName val="0"/>
              <c:showSerName val="0"/>
              <c:showPercent val="0"/>
              <c:showBubbleSize val="0"/>
            </c:dLbl>
            <c:dLbl>
              <c:idx val="7"/>
              <c:layout>
                <c:manualLayout>
                  <c:x val="2.5068259085064292E-3"/>
                  <c:y val="2.3721669827767881E-3"/>
                </c:manualLayout>
              </c:layout>
              <c:spPr>
                <a:noFill/>
                <a:ln w="25400">
                  <a:noFill/>
                </a:ln>
              </c:spPr>
              <c:txPr>
                <a:bodyPr/>
                <a:lstStyle/>
                <a:p>
                  <a:pPr>
                    <a:defRPr sz="900"/>
                  </a:pPr>
                  <a:endParaRPr lang="sk-SK"/>
                </a:p>
              </c:txPr>
              <c:dLblPos val="outEnd"/>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'rast nom.mzdy-kraje_2008,2009'!$A$4:$A$11</c:f>
              <c:strCache>
                <c:ptCount val="8"/>
                <c:pt idx="0">
                  <c:v>Bratislavský</c:v>
                </c:pt>
                <c:pt idx="1">
                  <c:v>Košický</c:v>
                </c:pt>
                <c:pt idx="2">
                  <c:v>Prešovský</c:v>
                </c:pt>
                <c:pt idx="3">
                  <c:v>Banskobystrický</c:v>
                </c:pt>
                <c:pt idx="4">
                  <c:v>Žilinský</c:v>
                </c:pt>
                <c:pt idx="5">
                  <c:v>Nitriansky</c:v>
                </c:pt>
                <c:pt idx="6">
                  <c:v>Trnavský</c:v>
                </c:pt>
                <c:pt idx="7">
                  <c:v>Trenčiansky</c:v>
                </c:pt>
              </c:strCache>
            </c:strRef>
          </c:cat>
          <c:val>
            <c:numRef>
              <c:f>'rast nom.mzdy-kraje_2008,2009'!$C$4:$C$11</c:f>
              <c:numCache>
                <c:formatCode>0.0__</c:formatCode>
                <c:ptCount val="8"/>
                <c:pt idx="0">
                  <c:v>101</c:v>
                </c:pt>
                <c:pt idx="1">
                  <c:v>101.4</c:v>
                </c:pt>
                <c:pt idx="2">
                  <c:v>102.4</c:v>
                </c:pt>
                <c:pt idx="3">
                  <c:v>102.7</c:v>
                </c:pt>
                <c:pt idx="4">
                  <c:v>103.1</c:v>
                </c:pt>
                <c:pt idx="5">
                  <c:v>104.1</c:v>
                </c:pt>
                <c:pt idx="6">
                  <c:v>104.3</c:v>
                </c:pt>
                <c:pt idx="7">
                  <c:v>104.6</c:v>
                </c:pt>
              </c:numCache>
            </c:numRef>
          </c:val>
        </c:ser>
        <c:dLbls>
          <c:showLegendKey val="0"/>
          <c:showVal val="1"/>
          <c:showCatName val="0"/>
          <c:showSerName val="0"/>
          <c:showPercent val="0"/>
          <c:showBubbleSize val="0"/>
        </c:dLbls>
        <c:gapWidth val="150"/>
        <c:axId val="28259840"/>
        <c:axId val="28261376"/>
      </c:barChart>
      <c:lineChart>
        <c:grouping val="standard"/>
        <c:varyColors val="0"/>
        <c:ser>
          <c:idx val="2"/>
          <c:order val="2"/>
          <c:tx>
            <c:strRef>
              <c:f>'rast nom.mzdy-kraje_2008,2009'!$D$3</c:f>
              <c:strCache>
                <c:ptCount val="1"/>
                <c:pt idx="0">
                  <c:v>Priemer za SR 2011</c:v>
                </c:pt>
              </c:strCache>
            </c:strRef>
          </c:tx>
          <c:marker>
            <c:symbol val="none"/>
          </c:marker>
          <c:dLbls>
            <c:delete val="1"/>
          </c:dLbls>
          <c:cat>
            <c:strRef>
              <c:f>'rast nom.mzdy-kraje_2008,2009'!$A$4:$A$11</c:f>
              <c:strCache>
                <c:ptCount val="8"/>
                <c:pt idx="0">
                  <c:v>Bratislavský</c:v>
                </c:pt>
                <c:pt idx="1">
                  <c:v>Košický</c:v>
                </c:pt>
                <c:pt idx="2">
                  <c:v>Prešovský</c:v>
                </c:pt>
                <c:pt idx="3">
                  <c:v>Banskobystrický</c:v>
                </c:pt>
                <c:pt idx="4">
                  <c:v>Žilinský</c:v>
                </c:pt>
                <c:pt idx="5">
                  <c:v>Nitriansky</c:v>
                </c:pt>
                <c:pt idx="6">
                  <c:v>Trnavský</c:v>
                </c:pt>
                <c:pt idx="7">
                  <c:v>Trenčiansky</c:v>
                </c:pt>
              </c:strCache>
            </c:strRef>
          </c:cat>
          <c:val>
            <c:numRef>
              <c:f>'rast nom.mzdy-kraje_2008,2009'!$D$4:$D$11</c:f>
              <c:numCache>
                <c:formatCode>0.0__</c:formatCode>
                <c:ptCount val="8"/>
                <c:pt idx="0">
                  <c:v>102.2</c:v>
                </c:pt>
                <c:pt idx="1">
                  <c:v>102.2</c:v>
                </c:pt>
                <c:pt idx="2">
                  <c:v>102.2</c:v>
                </c:pt>
                <c:pt idx="3">
                  <c:v>102.2</c:v>
                </c:pt>
                <c:pt idx="4">
                  <c:v>102.2</c:v>
                </c:pt>
                <c:pt idx="5">
                  <c:v>102.2</c:v>
                </c:pt>
                <c:pt idx="6">
                  <c:v>102.2</c:v>
                </c:pt>
                <c:pt idx="7">
                  <c:v>102.2</c:v>
                </c:pt>
              </c:numCache>
            </c:numRef>
          </c:val>
          <c:smooth val="0"/>
        </c:ser>
        <c:dLbls>
          <c:showLegendKey val="0"/>
          <c:showVal val="1"/>
          <c:showCatName val="0"/>
          <c:showSerName val="0"/>
          <c:showPercent val="0"/>
          <c:showBubbleSize val="0"/>
        </c:dLbls>
        <c:marker val="1"/>
        <c:smooth val="0"/>
        <c:axId val="28263168"/>
        <c:axId val="28264704"/>
      </c:lineChart>
      <c:catAx>
        <c:axId val="2825984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a:pPr>
            <a:endParaRPr lang="sk-SK"/>
          </a:p>
        </c:txPr>
        <c:crossAx val="28261376"/>
        <c:crossesAt val="100"/>
        <c:auto val="0"/>
        <c:lblAlgn val="ctr"/>
        <c:lblOffset val="100"/>
        <c:tickLblSkip val="1"/>
        <c:tickMarkSkip val="1"/>
        <c:noMultiLvlLbl val="0"/>
      </c:catAx>
      <c:valAx>
        <c:axId val="28261376"/>
        <c:scaling>
          <c:orientation val="minMax"/>
          <c:min val="100"/>
        </c:scaling>
        <c:delete val="0"/>
        <c:axPos val="l"/>
        <c:numFmt formatCode="0.0__" sourceLinked="1"/>
        <c:majorTickMark val="cross"/>
        <c:minorTickMark val="none"/>
        <c:tickLblPos val="nextTo"/>
        <c:spPr>
          <a:ln w="3175">
            <a:solidFill>
              <a:srgbClr val="000000"/>
            </a:solidFill>
            <a:prstDash val="solid"/>
          </a:ln>
        </c:spPr>
        <c:txPr>
          <a:bodyPr rot="0" vert="horz"/>
          <a:lstStyle/>
          <a:p>
            <a:pPr>
              <a:defRPr/>
            </a:pPr>
            <a:endParaRPr lang="sk-SK"/>
          </a:p>
        </c:txPr>
        <c:crossAx val="28259840"/>
        <c:crosses val="autoZero"/>
        <c:crossBetween val="between"/>
      </c:valAx>
      <c:catAx>
        <c:axId val="28263168"/>
        <c:scaling>
          <c:orientation val="minMax"/>
        </c:scaling>
        <c:delete val="1"/>
        <c:axPos val="b"/>
        <c:majorTickMark val="out"/>
        <c:minorTickMark val="none"/>
        <c:tickLblPos val="none"/>
        <c:crossAx val="28264704"/>
        <c:crosses val="autoZero"/>
        <c:auto val="0"/>
        <c:lblAlgn val="ctr"/>
        <c:lblOffset val="100"/>
        <c:noMultiLvlLbl val="0"/>
      </c:catAx>
      <c:valAx>
        <c:axId val="28264704"/>
        <c:scaling>
          <c:orientation val="minMax"/>
        </c:scaling>
        <c:delete val="1"/>
        <c:axPos val="l"/>
        <c:numFmt formatCode="0.0__" sourceLinked="1"/>
        <c:majorTickMark val="out"/>
        <c:minorTickMark val="none"/>
        <c:tickLblPos val="none"/>
        <c:crossAx val="28263168"/>
        <c:crosses val="autoZero"/>
        <c:crossBetween val="between"/>
      </c:valAx>
      <c:spPr>
        <a:solidFill>
          <a:srgbClr val="FFFFFF"/>
        </a:solidFill>
        <a:ln w="25400">
          <a:noFill/>
        </a:ln>
      </c:spPr>
    </c:plotArea>
    <c:legend>
      <c:legendPos val="b"/>
      <c:layout>
        <c:manualLayout>
          <c:xMode val="edge"/>
          <c:yMode val="edge"/>
          <c:x val="0.22875998017730562"/>
          <c:y val="0.94502162839401771"/>
          <c:w val="0.53781803498338965"/>
          <c:h val="5.3549075596319655E-2"/>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Times New Roman" pitchFamily="18" charset="0"/>
          <a:ea typeface="Arial"/>
          <a:cs typeface="Arial"/>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List1!$A$2</c:f>
              <c:strCache>
                <c:ptCount val="1"/>
                <c:pt idx="0">
                  <c:v>Nezamestnaní spolu</c:v>
                </c:pt>
              </c:strCache>
            </c:strRef>
          </c:tx>
          <c:cat>
            <c:numRef>
              <c:f>List1!$B$1:$L$1</c:f>
              <c:numCache>
                <c:formatCode>General</c:formatCode>
                <c:ptCount val="11"/>
                <c:pt idx="0">
                  <c:v>2001</c:v>
                </c:pt>
                <c:pt idx="1">
                  <c:v>2002</c:v>
                </c:pt>
                <c:pt idx="2">
                  <c:v>2003</c:v>
                </c:pt>
                <c:pt idx="3">
                  <c:v>2004</c:v>
                </c:pt>
                <c:pt idx="4">
                  <c:v>2005</c:v>
                </c:pt>
                <c:pt idx="5">
                  <c:v>2006</c:v>
                </c:pt>
                <c:pt idx="6">
                  <c:v>2007</c:v>
                </c:pt>
                <c:pt idx="7" formatCode="0_)">
                  <c:v>2008</c:v>
                </c:pt>
                <c:pt idx="8">
                  <c:v>2009</c:v>
                </c:pt>
                <c:pt idx="9">
                  <c:v>2010</c:v>
                </c:pt>
                <c:pt idx="10">
                  <c:v>2011</c:v>
                </c:pt>
              </c:numCache>
            </c:numRef>
          </c:cat>
          <c:val>
            <c:numRef>
              <c:f>List1!$B$2:$L$2</c:f>
              <c:numCache>
                <c:formatCode>0.0_)</c:formatCode>
                <c:ptCount val="11"/>
                <c:pt idx="0">
                  <c:v>508</c:v>
                </c:pt>
                <c:pt idx="1">
                  <c:v>486.9</c:v>
                </c:pt>
                <c:pt idx="2">
                  <c:v>459.2</c:v>
                </c:pt>
                <c:pt idx="3">
                  <c:v>480.7</c:v>
                </c:pt>
                <c:pt idx="4">
                  <c:v>427.5</c:v>
                </c:pt>
                <c:pt idx="5">
                  <c:v>353.4</c:v>
                </c:pt>
                <c:pt idx="6">
                  <c:v>291.89999999999969</c:v>
                </c:pt>
                <c:pt idx="7">
                  <c:v>257.5</c:v>
                </c:pt>
                <c:pt idx="8">
                  <c:v>324.2</c:v>
                </c:pt>
                <c:pt idx="9">
                  <c:v>389</c:v>
                </c:pt>
                <c:pt idx="10">
                  <c:v>367.9</c:v>
                </c:pt>
              </c:numCache>
            </c:numRef>
          </c:val>
          <c:smooth val="0"/>
        </c:ser>
        <c:ser>
          <c:idx val="1"/>
          <c:order val="1"/>
          <c:tx>
            <c:strRef>
              <c:f>List1!$A$3</c:f>
              <c:strCache>
                <c:ptCount val="1"/>
                <c:pt idx="0">
                  <c:v>viac ako 1 rok</c:v>
                </c:pt>
              </c:strCache>
            </c:strRef>
          </c:tx>
          <c:cat>
            <c:numRef>
              <c:f>List1!$B$1:$L$1</c:f>
              <c:numCache>
                <c:formatCode>General</c:formatCode>
                <c:ptCount val="11"/>
                <c:pt idx="0">
                  <c:v>2001</c:v>
                </c:pt>
                <c:pt idx="1">
                  <c:v>2002</c:v>
                </c:pt>
                <c:pt idx="2">
                  <c:v>2003</c:v>
                </c:pt>
                <c:pt idx="3">
                  <c:v>2004</c:v>
                </c:pt>
                <c:pt idx="4">
                  <c:v>2005</c:v>
                </c:pt>
                <c:pt idx="5">
                  <c:v>2006</c:v>
                </c:pt>
                <c:pt idx="6">
                  <c:v>2007</c:v>
                </c:pt>
                <c:pt idx="7" formatCode="0_)">
                  <c:v>2008</c:v>
                </c:pt>
                <c:pt idx="8">
                  <c:v>2009</c:v>
                </c:pt>
                <c:pt idx="9">
                  <c:v>2010</c:v>
                </c:pt>
                <c:pt idx="10">
                  <c:v>2011</c:v>
                </c:pt>
              </c:numCache>
            </c:numRef>
          </c:cat>
          <c:val>
            <c:numRef>
              <c:f>List1!$B$3:$L$3</c:f>
              <c:numCache>
                <c:formatCode>0.0_)</c:formatCode>
                <c:ptCount val="11"/>
                <c:pt idx="0">
                  <c:v>282.8</c:v>
                </c:pt>
                <c:pt idx="1">
                  <c:v>291.39999999999969</c:v>
                </c:pt>
                <c:pt idx="2">
                  <c:v>280.89999999999969</c:v>
                </c:pt>
                <c:pt idx="3">
                  <c:v>291.2</c:v>
                </c:pt>
                <c:pt idx="4">
                  <c:v>291.2</c:v>
                </c:pt>
                <c:pt idx="5">
                  <c:v>258.2</c:v>
                </c:pt>
                <c:pt idx="6">
                  <c:v>206.9</c:v>
                </c:pt>
                <c:pt idx="7">
                  <c:v>169.9</c:v>
                </c:pt>
                <c:pt idx="8">
                  <c:v>165.1</c:v>
                </c:pt>
                <c:pt idx="9">
                  <c:v>230.8</c:v>
                </c:pt>
                <c:pt idx="10">
                  <c:v>235.1</c:v>
                </c:pt>
              </c:numCache>
            </c:numRef>
          </c:val>
          <c:smooth val="0"/>
        </c:ser>
        <c:ser>
          <c:idx val="2"/>
          <c:order val="2"/>
          <c:tx>
            <c:strRef>
              <c:f>List1!$A$4</c:f>
              <c:strCache>
                <c:ptCount val="1"/>
                <c:pt idx="0">
                  <c:v>   z toho viac ako 2 roky</c:v>
                </c:pt>
              </c:strCache>
            </c:strRef>
          </c:tx>
          <c:cat>
            <c:numRef>
              <c:f>List1!$B$1:$L$1</c:f>
              <c:numCache>
                <c:formatCode>General</c:formatCode>
                <c:ptCount val="11"/>
                <c:pt idx="0">
                  <c:v>2001</c:v>
                </c:pt>
                <c:pt idx="1">
                  <c:v>2002</c:v>
                </c:pt>
                <c:pt idx="2">
                  <c:v>2003</c:v>
                </c:pt>
                <c:pt idx="3">
                  <c:v>2004</c:v>
                </c:pt>
                <c:pt idx="4">
                  <c:v>2005</c:v>
                </c:pt>
                <c:pt idx="5">
                  <c:v>2006</c:v>
                </c:pt>
                <c:pt idx="6">
                  <c:v>2007</c:v>
                </c:pt>
                <c:pt idx="7" formatCode="0_)">
                  <c:v>2008</c:v>
                </c:pt>
                <c:pt idx="8">
                  <c:v>2009</c:v>
                </c:pt>
                <c:pt idx="9">
                  <c:v>2010</c:v>
                </c:pt>
                <c:pt idx="10">
                  <c:v>2011</c:v>
                </c:pt>
              </c:numCache>
            </c:numRef>
          </c:cat>
          <c:val>
            <c:numRef>
              <c:f>List1!$B$4:$L$4</c:f>
              <c:numCache>
                <c:formatCode>0.0_)</c:formatCode>
                <c:ptCount val="11"/>
                <c:pt idx="0">
                  <c:v>181.2</c:v>
                </c:pt>
                <c:pt idx="1">
                  <c:v>188</c:v>
                </c:pt>
                <c:pt idx="2">
                  <c:v>190.8</c:v>
                </c:pt>
                <c:pt idx="3">
                  <c:v>209</c:v>
                </c:pt>
                <c:pt idx="4">
                  <c:v>213</c:v>
                </c:pt>
                <c:pt idx="5">
                  <c:v>204.1</c:v>
                </c:pt>
                <c:pt idx="6">
                  <c:v>167.4</c:v>
                </c:pt>
                <c:pt idx="7">
                  <c:v>135.80000000000001</c:v>
                </c:pt>
                <c:pt idx="8">
                  <c:v>124</c:v>
                </c:pt>
                <c:pt idx="9">
                  <c:v>145.6</c:v>
                </c:pt>
                <c:pt idx="10">
                  <c:v>159.9</c:v>
                </c:pt>
              </c:numCache>
            </c:numRef>
          </c:val>
          <c:smooth val="0"/>
        </c:ser>
        <c:dLbls>
          <c:showLegendKey val="0"/>
          <c:showVal val="0"/>
          <c:showCatName val="0"/>
          <c:showSerName val="0"/>
          <c:showPercent val="0"/>
          <c:showBubbleSize val="0"/>
        </c:dLbls>
        <c:marker val="1"/>
        <c:smooth val="0"/>
        <c:axId val="27597440"/>
        <c:axId val="27599232"/>
      </c:lineChart>
      <c:catAx>
        <c:axId val="27597440"/>
        <c:scaling>
          <c:orientation val="minMax"/>
        </c:scaling>
        <c:delete val="0"/>
        <c:axPos val="b"/>
        <c:numFmt formatCode="General" sourceLinked="1"/>
        <c:majorTickMark val="out"/>
        <c:minorTickMark val="none"/>
        <c:tickLblPos val="nextTo"/>
        <c:crossAx val="27599232"/>
        <c:crosses val="autoZero"/>
        <c:auto val="1"/>
        <c:lblAlgn val="ctr"/>
        <c:lblOffset val="100"/>
        <c:noMultiLvlLbl val="0"/>
      </c:catAx>
      <c:valAx>
        <c:axId val="27599232"/>
        <c:scaling>
          <c:orientation val="minMax"/>
        </c:scaling>
        <c:delete val="0"/>
        <c:axPos val="l"/>
        <c:majorGridlines/>
        <c:numFmt formatCode="0.0_)" sourceLinked="1"/>
        <c:majorTickMark val="out"/>
        <c:minorTickMark val="none"/>
        <c:tickLblPos val="nextTo"/>
        <c:crossAx val="27597440"/>
        <c:crosses val="autoZero"/>
        <c:crossBetween val="between"/>
        <c:majorUnit val="50"/>
      </c:valAx>
      <c:spPr>
        <a:ln>
          <a:noFill/>
        </a:ln>
      </c:spPr>
    </c:plotArea>
    <c:legend>
      <c:legendPos val="b"/>
      <c:layout>
        <c:manualLayout>
          <c:xMode val="edge"/>
          <c:yMode val="edge"/>
          <c:x val="5.9688469742120824E-3"/>
          <c:y val="0.81833325747576369"/>
          <c:w val="0.96369217218874637"/>
          <c:h val="0.14698833563161917"/>
        </c:manualLayout>
      </c:layout>
      <c:overlay val="0"/>
      <c:txPr>
        <a:bodyPr/>
        <a:lstStyle/>
        <a:p>
          <a:pPr>
            <a:defRPr sz="900" baseline="0"/>
          </a:pPr>
          <a:endParaRPr lang="sk-SK"/>
        </a:p>
      </c:txPr>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741971207087505E-2"/>
          <c:y val="1.5775034293552821E-2"/>
          <c:w val="0.86540781884582263"/>
          <c:h val="0.83998076816974454"/>
        </c:manualLayout>
      </c:layout>
      <c:barChart>
        <c:barDir val="col"/>
        <c:grouping val="clustered"/>
        <c:varyColors val="0"/>
        <c:ser>
          <c:idx val="1"/>
          <c:order val="0"/>
          <c:tx>
            <c:strRef>
              <c:f>'vyvoj nom.mzdy-odvetvia_2008-09'!$B$3</c:f>
              <c:strCache>
                <c:ptCount val="1"/>
                <c:pt idx="0">
                  <c:v>2010</c:v>
                </c:pt>
              </c:strCache>
            </c:strRef>
          </c:tx>
          <c:invertIfNegative val="0"/>
          <c:dLbls>
            <c:dLbl>
              <c:idx val="0"/>
              <c:layout>
                <c:manualLayout>
                  <c:x val="2.3099904974170611E-3"/>
                  <c:y val="4.1517537580529574E-3"/>
                </c:manualLayout>
              </c:layout>
              <c:dLblPos val="outEnd"/>
              <c:showLegendKey val="0"/>
              <c:showVal val="1"/>
              <c:showCatName val="0"/>
              <c:showSerName val="0"/>
              <c:showPercent val="0"/>
              <c:showBubbleSize val="0"/>
            </c:dLbl>
            <c:dLbl>
              <c:idx val="1"/>
              <c:layout>
                <c:manualLayout>
                  <c:x val="1.1021142623485621E-3"/>
                  <c:y val="1.0443126427378361E-2"/>
                </c:manualLayout>
              </c:layout>
              <c:dLblPos val="outEnd"/>
              <c:showLegendKey val="0"/>
              <c:showVal val="1"/>
              <c:showCatName val="0"/>
              <c:showSerName val="0"/>
              <c:showPercent val="0"/>
              <c:showBubbleSize val="0"/>
            </c:dLbl>
            <c:dLbl>
              <c:idx val="2"/>
              <c:layout>
                <c:manualLayout>
                  <c:x val="-2.8333292194275381E-3"/>
                  <c:y val="1.3510471684866706E-2"/>
                </c:manualLayout>
              </c:layout>
              <c:dLblPos val="outEnd"/>
              <c:showLegendKey val="0"/>
              <c:showVal val="1"/>
              <c:showCatName val="0"/>
              <c:showSerName val="0"/>
              <c:showPercent val="0"/>
              <c:showBubbleSize val="0"/>
            </c:dLbl>
            <c:dLbl>
              <c:idx val="3"/>
              <c:layout>
                <c:manualLayout>
                  <c:x val="-1.3408041863105721E-3"/>
                  <c:y val="5.9408314701402823E-3"/>
                </c:manualLayout>
              </c:layout>
              <c:dLblPos val="outEnd"/>
              <c:showLegendKey val="0"/>
              <c:showVal val="1"/>
              <c:showCatName val="0"/>
              <c:showSerName val="0"/>
              <c:showPercent val="0"/>
              <c:showBubbleSize val="0"/>
            </c:dLbl>
            <c:dLbl>
              <c:idx val="4"/>
              <c:layout>
                <c:manualLayout>
                  <c:x val="3.3816434102761947E-3"/>
                  <c:y val="8.4357637113542747E-3"/>
                </c:manualLayout>
              </c:layout>
              <c:dLblPos val="outEnd"/>
              <c:showLegendKey val="0"/>
              <c:showVal val="1"/>
              <c:showCatName val="0"/>
              <c:showSerName val="0"/>
              <c:showPercent val="0"/>
              <c:showBubbleSize val="0"/>
            </c:dLbl>
            <c:dLbl>
              <c:idx val="5"/>
              <c:layout>
                <c:manualLayout>
                  <c:x val="-2.3044454866339198E-3"/>
                  <c:y val="1.1149779117116725E-2"/>
                </c:manualLayout>
              </c:layout>
              <c:dLblPos val="outEnd"/>
              <c:showLegendKey val="0"/>
              <c:showVal val="1"/>
              <c:showCatName val="0"/>
              <c:showSerName val="0"/>
              <c:showPercent val="0"/>
              <c:showBubbleSize val="0"/>
            </c:dLbl>
            <c:dLbl>
              <c:idx val="6"/>
              <c:layout>
                <c:manualLayout>
                  <c:x val="3.2730234739466492E-3"/>
                  <c:y val="1.4682177073544819E-2"/>
                </c:manualLayout>
              </c:layout>
              <c:dLblPos val="outEnd"/>
              <c:showLegendKey val="0"/>
              <c:showVal val="1"/>
              <c:showCatName val="0"/>
              <c:showSerName val="0"/>
              <c:showPercent val="0"/>
              <c:showBubbleSize val="0"/>
            </c:dLbl>
            <c:dLbl>
              <c:idx val="7"/>
              <c:layout>
                <c:manualLayout>
                  <c:x val="9.3868620128943357E-4"/>
                  <c:y val="4.6562361522990972E-3"/>
                </c:manualLayout>
              </c:layout>
              <c:dLblPos val="outEnd"/>
              <c:showLegendKey val="0"/>
              <c:showVal val="1"/>
              <c:showCatName val="0"/>
              <c:showSerName val="0"/>
              <c:showPercent val="0"/>
              <c:showBubbleSize val="0"/>
            </c:dLbl>
            <c:dLbl>
              <c:idx val="8"/>
              <c:layout>
                <c:manualLayout>
                  <c:x val="-3.8548943137593802E-3"/>
                  <c:y val="9.5719516541913734E-3"/>
                </c:manualLayout>
              </c:layout>
              <c:dLblPos val="outEnd"/>
              <c:showLegendKey val="0"/>
              <c:showVal val="1"/>
              <c:showCatName val="0"/>
              <c:showSerName val="0"/>
              <c:showPercent val="0"/>
              <c:showBubbleSize val="0"/>
            </c:dLbl>
            <c:dLbl>
              <c:idx val="9"/>
              <c:layout>
                <c:manualLayout>
                  <c:x val="8.8402172868888226E-4"/>
                  <c:y val="-1.5516242287895818E-3"/>
                </c:manualLayout>
              </c:layout>
              <c:dLblPos val="outEnd"/>
              <c:showLegendKey val="0"/>
              <c:showVal val="1"/>
              <c:showCatName val="0"/>
              <c:showSerName val="0"/>
              <c:showPercent val="0"/>
              <c:showBubbleSize val="0"/>
            </c:dLbl>
            <c:dLbl>
              <c:idx val="10"/>
              <c:layout>
                <c:manualLayout>
                  <c:x val="1.2233110359637681E-3"/>
                  <c:y val="1.2998498644459601E-2"/>
                </c:manualLayout>
              </c:layout>
              <c:dLblPos val="outEnd"/>
              <c:showLegendKey val="0"/>
              <c:showVal val="1"/>
              <c:showCatName val="0"/>
              <c:showSerName val="0"/>
              <c:showPercent val="0"/>
              <c:showBubbleSize val="0"/>
            </c:dLbl>
            <c:dLbl>
              <c:idx val="11"/>
              <c:layout>
                <c:manualLayout>
                  <c:x val="-3.7708060787072849E-3"/>
                  <c:y val="1.1264054956093453E-2"/>
                </c:manualLayout>
              </c:layout>
              <c:dLblPos val="outEnd"/>
              <c:showLegendKey val="0"/>
              <c:showVal val="1"/>
              <c:showCatName val="0"/>
              <c:showSerName val="0"/>
              <c:showPercent val="0"/>
              <c:showBubbleSize val="0"/>
            </c:dLbl>
            <c:dLbl>
              <c:idx val="12"/>
              <c:layout>
                <c:manualLayout>
                  <c:x val="-3.9201807006094738E-3"/>
                  <c:y val="7.0613900535160534E-3"/>
                </c:manualLayout>
              </c:layout>
              <c:dLblPos val="outEnd"/>
              <c:showLegendKey val="0"/>
              <c:showVal val="1"/>
              <c:showCatName val="0"/>
              <c:showSerName val="0"/>
              <c:showPercent val="0"/>
              <c:showBubbleSize val="0"/>
            </c:dLbl>
            <c:dLbl>
              <c:idx val="13"/>
              <c:layout>
                <c:manualLayout>
                  <c:x val="1.1687382052450101E-3"/>
                  <c:y val="1.2074854279578691E-2"/>
                </c:manualLayout>
              </c:layout>
              <c:dLblPos val="outEnd"/>
              <c:showLegendKey val="0"/>
              <c:showVal val="1"/>
              <c:showCatName val="0"/>
              <c:showSerName val="0"/>
              <c:showPercent val="0"/>
              <c:showBubbleSize val="0"/>
            </c:dLbl>
            <c:dLbl>
              <c:idx val="14"/>
              <c:layout>
                <c:manualLayout>
                  <c:x val="-5.1552176667571696E-3"/>
                  <c:y val="2.7033040623009085E-3"/>
                </c:manualLayout>
              </c:layout>
              <c:dLblPos val="outEnd"/>
              <c:showLegendKey val="0"/>
              <c:showVal val="1"/>
              <c:showCatName val="0"/>
              <c:showSerName val="0"/>
              <c:showPercent val="0"/>
              <c:showBubbleSize val="0"/>
            </c:dLbl>
            <c:dLbl>
              <c:idx val="15"/>
              <c:layout>
                <c:manualLayout>
                  <c:x val="1.1140456972659001E-3"/>
                  <c:y val="6.5448300443926447E-3"/>
                </c:manualLayout>
              </c:layout>
              <c:dLblPos val="outEnd"/>
              <c:showLegendKey val="0"/>
              <c:showVal val="1"/>
              <c:showCatName val="0"/>
              <c:showSerName val="0"/>
              <c:showPercent val="0"/>
              <c:showBubbleSize val="0"/>
            </c:dLbl>
            <c:spPr>
              <a:noFill/>
              <a:ln w="25400">
                <a:noFill/>
              </a:ln>
            </c:spPr>
            <c:txPr>
              <a:bodyPr/>
              <a:lstStyle/>
              <a:p>
                <a:pPr>
                  <a:defRPr sz="800"/>
                </a:pPr>
                <a:endParaRPr lang="sk-SK"/>
              </a:p>
            </c:txPr>
            <c:showLegendKey val="0"/>
            <c:showVal val="1"/>
            <c:showCatName val="0"/>
            <c:showSerName val="0"/>
            <c:showPercent val="0"/>
            <c:showBubbleSize val="0"/>
            <c:showLeaderLines val="0"/>
          </c:dLbls>
          <c:cat>
            <c:strRef>
              <c:f>'vyvoj nom.mzdy-odvetvia_2008-09'!$A$4:$A$50</c:f>
              <c:strCache>
                <c:ptCount val="16"/>
                <c:pt idx="0">
                  <c:v>Verejná sp. a obrana, povin. soc. zabez.</c:v>
                </c:pt>
                <c:pt idx="1">
                  <c:v>Odb., ved. a technické činnosti</c:v>
                </c:pt>
                <c:pt idx="2">
                  <c:v>Administratívne služby</c:v>
                </c:pt>
                <c:pt idx="3">
                  <c:v>Ostatné činnosti</c:v>
                </c:pt>
                <c:pt idx="4">
                  <c:v>Vzdelávanie</c:v>
                </c:pt>
                <c:pt idx="5">
                  <c:v>Ubytovacie a stravovacie služby</c:v>
                </c:pt>
                <c:pt idx="6">
                  <c:v>Veľkoobchod a maloobchod</c:v>
                </c:pt>
                <c:pt idx="7">
                  <c:v>Doprava a skladovanie</c:v>
                </c:pt>
                <c:pt idx="8">
                  <c:v>Činnosti v obl. nehnut.</c:v>
                </c:pt>
                <c:pt idx="9">
                  <c:v>Zdravotníctvo a sociálna pomoc</c:v>
                </c:pt>
                <c:pt idx="10">
                  <c:v>Priemysel</c:v>
                </c:pt>
                <c:pt idx="11">
                  <c:v>Stavebníctvo</c:v>
                </c:pt>
                <c:pt idx="12">
                  <c:v>Umenie, zábava a rekreácia</c:v>
                </c:pt>
                <c:pt idx="13">
                  <c:v>Pôdohospodárstvo</c:v>
                </c:pt>
                <c:pt idx="14">
                  <c:v>Finanč. a poisťovacie činnosti</c:v>
                </c:pt>
                <c:pt idx="15">
                  <c:v>Informácie a komunikácia</c:v>
                </c:pt>
              </c:strCache>
            </c:strRef>
          </c:cat>
          <c:val>
            <c:numRef>
              <c:f>'vyvoj nom.mzdy-odvetvia_2008-09'!$B$4:$B$19</c:f>
              <c:numCache>
                <c:formatCode>0.0__</c:formatCode>
                <c:ptCount val="16"/>
                <c:pt idx="0">
                  <c:v>101.9</c:v>
                </c:pt>
                <c:pt idx="1">
                  <c:v>102.1</c:v>
                </c:pt>
                <c:pt idx="2">
                  <c:v>99.3</c:v>
                </c:pt>
                <c:pt idx="3">
                  <c:v>97</c:v>
                </c:pt>
                <c:pt idx="4">
                  <c:v>102.5</c:v>
                </c:pt>
                <c:pt idx="5">
                  <c:v>104.7</c:v>
                </c:pt>
                <c:pt idx="6">
                  <c:v>102.9</c:v>
                </c:pt>
                <c:pt idx="7">
                  <c:v>102.1</c:v>
                </c:pt>
                <c:pt idx="8">
                  <c:v>106</c:v>
                </c:pt>
                <c:pt idx="9">
                  <c:v>104</c:v>
                </c:pt>
                <c:pt idx="10">
                  <c:v>105.4</c:v>
                </c:pt>
                <c:pt idx="11">
                  <c:v>103.6</c:v>
                </c:pt>
                <c:pt idx="12">
                  <c:v>100.5</c:v>
                </c:pt>
                <c:pt idx="13">
                  <c:v>101.2</c:v>
                </c:pt>
                <c:pt idx="14">
                  <c:v>102.1</c:v>
                </c:pt>
                <c:pt idx="15">
                  <c:v>102.6</c:v>
                </c:pt>
              </c:numCache>
            </c:numRef>
          </c:val>
        </c:ser>
        <c:ser>
          <c:idx val="0"/>
          <c:order val="1"/>
          <c:tx>
            <c:strRef>
              <c:f>'vyvoj nom.mzdy-odvetvia_2008-09'!$C$3</c:f>
              <c:strCache>
                <c:ptCount val="1"/>
                <c:pt idx="0">
                  <c:v>2011</c:v>
                </c:pt>
              </c:strCache>
            </c:strRef>
          </c:tx>
          <c:invertIfNegative val="0"/>
          <c:dLbls>
            <c:dLbl>
              <c:idx val="0"/>
              <c:layout>
                <c:manualLayout>
                  <c:x val="0"/>
                  <c:y val="2.7434842249657448E-3"/>
                </c:manualLayout>
              </c:layout>
              <c:dLblPos val="outEnd"/>
              <c:showLegendKey val="0"/>
              <c:showVal val="1"/>
              <c:showCatName val="0"/>
              <c:showSerName val="0"/>
              <c:showPercent val="0"/>
              <c:showBubbleSize val="0"/>
            </c:dLbl>
            <c:dLbl>
              <c:idx val="1"/>
              <c:layout>
                <c:manualLayout>
                  <c:x val="-6.2695924764890314E-3"/>
                  <c:y val="8.2311007420367999E-3"/>
                </c:manualLayout>
              </c:layout>
              <c:dLblPos val="outEnd"/>
              <c:showLegendKey val="0"/>
              <c:showVal val="1"/>
              <c:showCatName val="0"/>
              <c:showSerName val="0"/>
              <c:showPercent val="0"/>
              <c:showBubbleSize val="0"/>
            </c:dLbl>
            <c:dLbl>
              <c:idx val="2"/>
              <c:layout>
                <c:manualLayout>
                  <c:x val="2.0898641588296802E-3"/>
                  <c:y val="-2.1947441754965841E-2"/>
                </c:manualLayout>
              </c:layout>
              <c:dLblPos val="outEnd"/>
              <c:showLegendKey val="0"/>
              <c:showVal val="1"/>
              <c:showCatName val="0"/>
              <c:showSerName val="0"/>
              <c:showPercent val="0"/>
              <c:showBubbleSize val="0"/>
            </c:dLbl>
            <c:dLbl>
              <c:idx val="4"/>
              <c:layout>
                <c:manualLayout>
                  <c:x val="6.2695924764890314E-3"/>
                  <c:y val="5.4869684499314801E-3"/>
                </c:manualLayout>
              </c:layout>
              <c:dLblPos val="outEnd"/>
              <c:showLegendKey val="0"/>
              <c:showVal val="1"/>
              <c:showCatName val="0"/>
              <c:showSerName val="0"/>
              <c:showPercent val="0"/>
              <c:showBubbleSize val="0"/>
            </c:dLbl>
            <c:dLbl>
              <c:idx val="5"/>
              <c:layout>
                <c:manualLayout>
                  <c:x val="4.1797283176593534E-3"/>
                  <c:y val="1.3717421124828533E-2"/>
                </c:manualLayout>
              </c:layout>
              <c:dLblPos val="outEnd"/>
              <c:showLegendKey val="0"/>
              <c:showVal val="1"/>
              <c:showCatName val="0"/>
              <c:showSerName val="0"/>
              <c:showPercent val="0"/>
              <c:showBubbleSize val="0"/>
            </c:dLbl>
            <c:dLbl>
              <c:idx val="6"/>
              <c:layout>
                <c:manualLayout>
                  <c:x val="2.0898641588296802E-3"/>
                  <c:y val="1.3717421124828533E-2"/>
                </c:manualLayout>
              </c:layout>
              <c:dLblPos val="outEnd"/>
              <c:showLegendKey val="0"/>
              <c:showVal val="1"/>
              <c:showCatName val="0"/>
              <c:showSerName val="0"/>
              <c:showPercent val="0"/>
              <c:showBubbleSize val="0"/>
            </c:dLbl>
            <c:dLbl>
              <c:idx val="7"/>
              <c:layout>
                <c:manualLayout>
                  <c:x val="8.359456635318922E-3"/>
                  <c:y val="-2.4691358024691412E-2"/>
                </c:manualLayout>
              </c:layout>
              <c:dLblPos val="outEnd"/>
              <c:showLegendKey val="0"/>
              <c:showVal val="1"/>
              <c:showCatName val="0"/>
              <c:showSerName val="0"/>
              <c:showPercent val="0"/>
              <c:showBubbleSize val="0"/>
            </c:dLbl>
            <c:dLbl>
              <c:idx val="8"/>
              <c:layout>
                <c:manualLayout>
                  <c:x val="1.253918495297798E-2"/>
                  <c:y val="5.4869684499314801E-3"/>
                </c:manualLayout>
              </c:layout>
              <c:dLblPos val="outEnd"/>
              <c:showLegendKey val="0"/>
              <c:showVal val="1"/>
              <c:showCatName val="0"/>
              <c:showSerName val="0"/>
              <c:showPercent val="0"/>
              <c:showBubbleSize val="0"/>
            </c:dLbl>
            <c:dLbl>
              <c:idx val="9"/>
              <c:layout>
                <c:manualLayout>
                  <c:x val="4.1797283176594324E-3"/>
                  <c:y val="1.0973936899862825E-2"/>
                </c:manualLayout>
              </c:layout>
              <c:dLblPos val="outEnd"/>
              <c:showLegendKey val="0"/>
              <c:showVal val="1"/>
              <c:showCatName val="0"/>
              <c:showSerName val="0"/>
              <c:showPercent val="0"/>
              <c:showBubbleSize val="0"/>
            </c:dLbl>
            <c:dLbl>
              <c:idx val="10"/>
              <c:layout>
                <c:manualLayout>
                  <c:x val="-2.0898641588296052E-3"/>
                  <c:y val="1.6460905349794389E-2"/>
                </c:manualLayout>
              </c:layout>
              <c:dLblPos val="outEnd"/>
              <c:showLegendKey val="0"/>
              <c:showVal val="1"/>
              <c:showCatName val="0"/>
              <c:showSerName val="0"/>
              <c:showPercent val="0"/>
              <c:showBubbleSize val="0"/>
            </c:dLbl>
            <c:dLbl>
              <c:idx val="11"/>
              <c:layout>
                <c:manualLayout>
                  <c:x val="4.1797283176593534E-3"/>
                  <c:y val="0"/>
                </c:manualLayout>
              </c:layout>
              <c:dLblPos val="outEnd"/>
              <c:showLegendKey val="0"/>
              <c:showVal val="1"/>
              <c:showCatName val="0"/>
              <c:showSerName val="0"/>
              <c:showPercent val="0"/>
              <c:showBubbleSize val="0"/>
            </c:dLbl>
            <c:dLbl>
              <c:idx val="12"/>
              <c:layout>
                <c:manualLayout>
                  <c:x val="0"/>
                  <c:y val="8.23045267489712E-3"/>
                </c:manualLayout>
              </c:layout>
              <c:dLblPos val="outEnd"/>
              <c:showLegendKey val="0"/>
              <c:showVal val="1"/>
              <c:showCatName val="0"/>
              <c:showSerName val="0"/>
              <c:showPercent val="0"/>
              <c:showBubbleSize val="0"/>
            </c:dLbl>
            <c:dLbl>
              <c:idx val="13"/>
              <c:layout>
                <c:manualLayout>
                  <c:x val="0"/>
                  <c:y val="8.2304526748971547E-3"/>
                </c:manualLayout>
              </c:layout>
              <c:dLblPos val="outEnd"/>
              <c:showLegendKey val="0"/>
              <c:showVal val="1"/>
              <c:showCatName val="0"/>
              <c:showSerName val="0"/>
              <c:showPercent val="0"/>
              <c:showBubbleSize val="0"/>
            </c:dLbl>
            <c:dLbl>
              <c:idx val="14"/>
              <c:layout>
                <c:manualLayout>
                  <c:x val="0"/>
                  <c:y val="5.4869684499314801E-3"/>
                </c:manualLayout>
              </c:layout>
              <c:dLblPos val="outEnd"/>
              <c:showLegendKey val="0"/>
              <c:showVal val="1"/>
              <c:showCatName val="0"/>
              <c:showSerName val="0"/>
              <c:showPercent val="0"/>
              <c:showBubbleSize val="0"/>
            </c:dLbl>
            <c:dLbl>
              <c:idx val="15"/>
              <c:layout>
                <c:manualLayout>
                  <c:x val="0"/>
                  <c:y val="1.0973936899862825E-2"/>
                </c:manualLayout>
              </c:layout>
              <c:dLblPos val="outEnd"/>
              <c:showLegendKey val="0"/>
              <c:showVal val="1"/>
              <c:showCatName val="0"/>
              <c:showSerName val="0"/>
              <c:showPercent val="0"/>
              <c:showBubbleSize val="0"/>
            </c:dLbl>
            <c:spPr>
              <a:noFill/>
              <a:ln w="25400">
                <a:noFill/>
              </a:ln>
            </c:spPr>
            <c:txPr>
              <a:bodyPr/>
              <a:lstStyle/>
              <a:p>
                <a:pPr>
                  <a:defRPr sz="800"/>
                </a:pPr>
                <a:endParaRPr lang="sk-SK"/>
              </a:p>
            </c:txPr>
            <c:dLblPos val="outEnd"/>
            <c:showLegendKey val="0"/>
            <c:showVal val="1"/>
            <c:showCatName val="0"/>
            <c:showSerName val="0"/>
            <c:showPercent val="0"/>
            <c:showBubbleSize val="0"/>
            <c:showLeaderLines val="0"/>
          </c:dLbls>
          <c:cat>
            <c:strRef>
              <c:f>'vyvoj nom.mzdy-odvetvia_2008-09'!$A$4:$A$50</c:f>
              <c:strCache>
                <c:ptCount val="16"/>
                <c:pt idx="0">
                  <c:v>Verejná sp. a obrana, povin. soc. zabez.</c:v>
                </c:pt>
                <c:pt idx="1">
                  <c:v>Odb., ved. a technické činnosti</c:v>
                </c:pt>
                <c:pt idx="2">
                  <c:v>Administratívne služby</c:v>
                </c:pt>
                <c:pt idx="3">
                  <c:v>Ostatné činnosti</c:v>
                </c:pt>
                <c:pt idx="4">
                  <c:v>Vzdelávanie</c:v>
                </c:pt>
                <c:pt idx="5">
                  <c:v>Ubytovacie a stravovacie služby</c:v>
                </c:pt>
                <c:pt idx="6">
                  <c:v>Veľkoobchod a maloobchod</c:v>
                </c:pt>
                <c:pt idx="7">
                  <c:v>Doprava a skladovanie</c:v>
                </c:pt>
                <c:pt idx="8">
                  <c:v>Činnosti v obl. nehnut.</c:v>
                </c:pt>
                <c:pt idx="9">
                  <c:v>Zdravotníctvo a sociálna pomoc</c:v>
                </c:pt>
                <c:pt idx="10">
                  <c:v>Priemysel</c:v>
                </c:pt>
                <c:pt idx="11">
                  <c:v>Stavebníctvo</c:v>
                </c:pt>
                <c:pt idx="12">
                  <c:v>Umenie, zábava a rekreácia</c:v>
                </c:pt>
                <c:pt idx="13">
                  <c:v>Pôdohospodárstvo</c:v>
                </c:pt>
                <c:pt idx="14">
                  <c:v>Finanč. a poisťovacie činnosti</c:v>
                </c:pt>
                <c:pt idx="15">
                  <c:v>Informácie a komunikácia</c:v>
                </c:pt>
              </c:strCache>
            </c:strRef>
          </c:cat>
          <c:val>
            <c:numRef>
              <c:f>'vyvoj nom.mzdy-odvetvia_2008-09'!$C$4:$C$19</c:f>
              <c:numCache>
                <c:formatCode>0.0__</c:formatCode>
                <c:ptCount val="16"/>
                <c:pt idx="0">
                  <c:v>99</c:v>
                </c:pt>
                <c:pt idx="1">
                  <c:v>99.4</c:v>
                </c:pt>
                <c:pt idx="2">
                  <c:v>99.6</c:v>
                </c:pt>
                <c:pt idx="3">
                  <c:v>100</c:v>
                </c:pt>
                <c:pt idx="4">
                  <c:v>100.5</c:v>
                </c:pt>
                <c:pt idx="5">
                  <c:v>101</c:v>
                </c:pt>
                <c:pt idx="6">
                  <c:v>101.3</c:v>
                </c:pt>
                <c:pt idx="7">
                  <c:v>101.8</c:v>
                </c:pt>
                <c:pt idx="8">
                  <c:v>102</c:v>
                </c:pt>
                <c:pt idx="9">
                  <c:v>103.4</c:v>
                </c:pt>
                <c:pt idx="10">
                  <c:v>103.6</c:v>
                </c:pt>
                <c:pt idx="11">
                  <c:v>104.1</c:v>
                </c:pt>
                <c:pt idx="12">
                  <c:v>104.5</c:v>
                </c:pt>
                <c:pt idx="13">
                  <c:v>104.7</c:v>
                </c:pt>
                <c:pt idx="14">
                  <c:v>108.4</c:v>
                </c:pt>
                <c:pt idx="15">
                  <c:v>108.7</c:v>
                </c:pt>
              </c:numCache>
            </c:numRef>
          </c:val>
        </c:ser>
        <c:dLbls>
          <c:showLegendKey val="0"/>
          <c:showVal val="1"/>
          <c:showCatName val="0"/>
          <c:showSerName val="0"/>
          <c:showPercent val="0"/>
          <c:showBubbleSize val="0"/>
        </c:dLbls>
        <c:gapWidth val="150"/>
        <c:axId val="28280704"/>
        <c:axId val="28282240"/>
      </c:barChart>
      <c:lineChart>
        <c:grouping val="standard"/>
        <c:varyColors val="0"/>
        <c:ser>
          <c:idx val="2"/>
          <c:order val="2"/>
          <c:tx>
            <c:strRef>
              <c:f>'vyvoj nom.mzdy-odvetvia_2008-09'!$D$3</c:f>
              <c:strCache>
                <c:ptCount val="1"/>
                <c:pt idx="0">
                  <c:v>Priemer za SR 2011</c:v>
                </c:pt>
              </c:strCache>
            </c:strRef>
          </c:tx>
          <c:marker>
            <c:symbol val="none"/>
          </c:marker>
          <c:dLbls>
            <c:delete val="1"/>
          </c:dLbls>
          <c:cat>
            <c:strRef>
              <c:f>'vyvoj nom.mzdy-odvetvia_2008-09'!$A$4:$A$50</c:f>
              <c:strCache>
                <c:ptCount val="16"/>
                <c:pt idx="0">
                  <c:v>Verejná sp. a obrana, povin. soc. zabez.</c:v>
                </c:pt>
                <c:pt idx="1">
                  <c:v>Odb., ved. a technické činnosti</c:v>
                </c:pt>
                <c:pt idx="2">
                  <c:v>Administratívne služby</c:v>
                </c:pt>
                <c:pt idx="3">
                  <c:v>Ostatné činnosti</c:v>
                </c:pt>
                <c:pt idx="4">
                  <c:v>Vzdelávanie</c:v>
                </c:pt>
                <c:pt idx="5">
                  <c:v>Ubytovacie a stravovacie služby</c:v>
                </c:pt>
                <c:pt idx="6">
                  <c:v>Veľkoobchod a maloobchod</c:v>
                </c:pt>
                <c:pt idx="7">
                  <c:v>Doprava a skladovanie</c:v>
                </c:pt>
                <c:pt idx="8">
                  <c:v>Činnosti v obl. nehnut.</c:v>
                </c:pt>
                <c:pt idx="9">
                  <c:v>Zdravotníctvo a sociálna pomoc</c:v>
                </c:pt>
                <c:pt idx="10">
                  <c:v>Priemysel</c:v>
                </c:pt>
                <c:pt idx="11">
                  <c:v>Stavebníctvo</c:v>
                </c:pt>
                <c:pt idx="12">
                  <c:v>Umenie, zábava a rekreácia</c:v>
                </c:pt>
                <c:pt idx="13">
                  <c:v>Pôdohospodárstvo</c:v>
                </c:pt>
                <c:pt idx="14">
                  <c:v>Finanč. a poisťovacie činnosti</c:v>
                </c:pt>
                <c:pt idx="15">
                  <c:v>Informácie a komunikácia</c:v>
                </c:pt>
              </c:strCache>
            </c:strRef>
          </c:cat>
          <c:val>
            <c:numRef>
              <c:f>'vyvoj nom.mzdy-odvetvia_2008-09'!$D$4:$D$19</c:f>
              <c:numCache>
                <c:formatCode>0.0__</c:formatCode>
                <c:ptCount val="16"/>
                <c:pt idx="0">
                  <c:v>102.2</c:v>
                </c:pt>
                <c:pt idx="1">
                  <c:v>102.2</c:v>
                </c:pt>
                <c:pt idx="2">
                  <c:v>102.2</c:v>
                </c:pt>
                <c:pt idx="3">
                  <c:v>102.2</c:v>
                </c:pt>
                <c:pt idx="4">
                  <c:v>102.2</c:v>
                </c:pt>
                <c:pt idx="5">
                  <c:v>102.2</c:v>
                </c:pt>
                <c:pt idx="6">
                  <c:v>102.2</c:v>
                </c:pt>
                <c:pt idx="7">
                  <c:v>102.2</c:v>
                </c:pt>
                <c:pt idx="8">
                  <c:v>102.2</c:v>
                </c:pt>
                <c:pt idx="9">
                  <c:v>102.2</c:v>
                </c:pt>
                <c:pt idx="10">
                  <c:v>102.2</c:v>
                </c:pt>
                <c:pt idx="11">
                  <c:v>102.2</c:v>
                </c:pt>
                <c:pt idx="12">
                  <c:v>102.2</c:v>
                </c:pt>
                <c:pt idx="13">
                  <c:v>102.2</c:v>
                </c:pt>
                <c:pt idx="14">
                  <c:v>102.2</c:v>
                </c:pt>
                <c:pt idx="15">
                  <c:v>102.2</c:v>
                </c:pt>
              </c:numCache>
            </c:numRef>
          </c:val>
          <c:smooth val="0"/>
        </c:ser>
        <c:dLbls>
          <c:showLegendKey val="0"/>
          <c:showVal val="1"/>
          <c:showCatName val="0"/>
          <c:showSerName val="0"/>
          <c:showPercent val="0"/>
          <c:showBubbleSize val="0"/>
        </c:dLbls>
        <c:marker val="1"/>
        <c:smooth val="0"/>
        <c:axId val="28292224"/>
        <c:axId val="28293760"/>
      </c:lineChart>
      <c:catAx>
        <c:axId val="28280704"/>
        <c:scaling>
          <c:orientation val="minMax"/>
        </c:scaling>
        <c:delete val="0"/>
        <c:axPos val="b"/>
        <c:numFmt formatCode="General" sourceLinked="1"/>
        <c:majorTickMark val="cross"/>
        <c:minorTickMark val="none"/>
        <c:tickLblPos val="low"/>
        <c:txPr>
          <a:bodyPr rot="-5400000" vert="horz" anchor="t" anchorCtr="1"/>
          <a:lstStyle/>
          <a:p>
            <a:pPr>
              <a:defRPr/>
            </a:pPr>
            <a:endParaRPr lang="sk-SK"/>
          </a:p>
        </c:txPr>
        <c:crossAx val="28282240"/>
        <c:crossesAt val="100"/>
        <c:auto val="0"/>
        <c:lblAlgn val="ctr"/>
        <c:lblOffset val="100"/>
        <c:tickLblSkip val="1"/>
        <c:tickMarkSkip val="1"/>
        <c:noMultiLvlLbl val="0"/>
      </c:catAx>
      <c:valAx>
        <c:axId val="28282240"/>
        <c:scaling>
          <c:orientation val="minMax"/>
          <c:max val="110"/>
          <c:min val="94"/>
        </c:scaling>
        <c:delete val="0"/>
        <c:axPos val="l"/>
        <c:numFmt formatCode="0.0__" sourceLinked="1"/>
        <c:majorTickMark val="cross"/>
        <c:minorTickMark val="none"/>
        <c:tickLblPos val="nextTo"/>
        <c:spPr>
          <a:ln w="3175">
            <a:solidFill>
              <a:srgbClr val="000000"/>
            </a:solidFill>
            <a:prstDash val="solid"/>
          </a:ln>
        </c:spPr>
        <c:txPr>
          <a:bodyPr rot="0" vert="horz"/>
          <a:lstStyle/>
          <a:p>
            <a:pPr>
              <a:defRPr/>
            </a:pPr>
            <a:endParaRPr lang="sk-SK"/>
          </a:p>
        </c:txPr>
        <c:crossAx val="28280704"/>
        <c:crosses val="autoZero"/>
        <c:crossBetween val="between"/>
        <c:majorUnit val="2"/>
      </c:valAx>
      <c:catAx>
        <c:axId val="28292224"/>
        <c:scaling>
          <c:orientation val="minMax"/>
        </c:scaling>
        <c:delete val="1"/>
        <c:axPos val="b"/>
        <c:majorTickMark val="out"/>
        <c:minorTickMark val="none"/>
        <c:tickLblPos val="none"/>
        <c:crossAx val="28293760"/>
        <c:crosses val="autoZero"/>
        <c:auto val="0"/>
        <c:lblAlgn val="ctr"/>
        <c:lblOffset val="100"/>
        <c:noMultiLvlLbl val="0"/>
      </c:catAx>
      <c:valAx>
        <c:axId val="28293760"/>
        <c:scaling>
          <c:orientation val="minMax"/>
        </c:scaling>
        <c:delete val="1"/>
        <c:axPos val="l"/>
        <c:numFmt formatCode="0.0__" sourceLinked="1"/>
        <c:majorTickMark val="out"/>
        <c:minorTickMark val="none"/>
        <c:tickLblPos val="none"/>
        <c:crossAx val="28292224"/>
        <c:crosses val="autoZero"/>
        <c:crossBetween val="between"/>
      </c:valAx>
      <c:spPr>
        <a:solidFill>
          <a:srgbClr val="FFFFFF"/>
        </a:solidFill>
        <a:ln w="25400">
          <a:noFill/>
        </a:ln>
      </c:spPr>
    </c:plotArea>
    <c:legend>
      <c:legendPos val="b"/>
      <c:layout>
        <c:manualLayout>
          <c:xMode val="edge"/>
          <c:yMode val="edge"/>
          <c:x val="0.31161750549207085"/>
          <c:y val="2.9175982631800646E-2"/>
          <c:w val="0.45200009873373975"/>
          <c:h val="4.3526349329790555E-2"/>
        </c:manualLayout>
      </c:layout>
      <c:overlay val="1"/>
      <c:spPr>
        <a:solidFill>
          <a:srgbClr val="FFFFFF"/>
        </a:solidFill>
        <a:ln w="25400">
          <a:noFill/>
        </a:ln>
      </c:sp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Times New Roman" pitchFamily="18" charset="0"/>
          <a:ea typeface="Arial"/>
          <a:cs typeface="Arial"/>
        </a:defRPr>
      </a:pPr>
      <a:endParaRPr lang="sk-SK"/>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5180111571916174"/>
          <c:y val="6.7623519493217349E-2"/>
          <c:w val="0.77856680498731357"/>
          <c:h val="0.52248975485993587"/>
        </c:manualLayout>
      </c:layout>
      <c:bar3DChart>
        <c:barDir val="col"/>
        <c:grouping val="clustered"/>
        <c:varyColors val="0"/>
        <c:ser>
          <c:idx val="0"/>
          <c:order val="0"/>
          <c:invertIfNegative val="0"/>
          <c:cat>
            <c:strRef>
              <c:f>'C:\Documents and Settings\kralikova\My Documents\robota\správa o soc sit obyv\[grafy sprava o soc sit 2010 (automaticky uložené).xlsx]Okresy 2011'!$O$7:$O$14</c:f>
              <c:strCache>
                <c:ptCount val="8"/>
                <c:pt idx="0">
                  <c:v>Bratislavský kraj</c:v>
                </c:pt>
                <c:pt idx="1">
                  <c:v>Trnavský kraj</c:v>
                </c:pt>
                <c:pt idx="2">
                  <c:v>Trenčiansky kraj</c:v>
                </c:pt>
                <c:pt idx="3">
                  <c:v>Nitriansky kraj</c:v>
                </c:pt>
                <c:pt idx="4">
                  <c:v>Žilinský kraj</c:v>
                </c:pt>
                <c:pt idx="5">
                  <c:v>Banskobystrický kraj</c:v>
                </c:pt>
                <c:pt idx="6">
                  <c:v>Prešovský kraj</c:v>
                </c:pt>
                <c:pt idx="7">
                  <c:v>Košický kraj</c:v>
                </c:pt>
              </c:strCache>
            </c:strRef>
          </c:cat>
          <c:val>
            <c:numRef>
              <c:f>'C:\Documents and Settings\kralikova\My Documents\robota\správa o soc sit obyv\[grafy sprava o soc sit 2010 (automaticky uložené).xlsx]Okresy 2011'!$P$7:$P$14</c:f>
              <c:numCache>
                <c:formatCode>General</c:formatCode>
                <c:ptCount val="8"/>
                <c:pt idx="0">
                  <c:v>79888.166666666672</c:v>
                </c:pt>
                <c:pt idx="1">
                  <c:v>72088.666666666672</c:v>
                </c:pt>
                <c:pt idx="2">
                  <c:v>75513.916666666308</c:v>
                </c:pt>
                <c:pt idx="3">
                  <c:v>88039</c:v>
                </c:pt>
                <c:pt idx="4">
                  <c:v>93373.166666666672</c:v>
                </c:pt>
                <c:pt idx="5">
                  <c:v>82163</c:v>
                </c:pt>
                <c:pt idx="6">
                  <c:v>107111.83333333333</c:v>
                </c:pt>
                <c:pt idx="7">
                  <c:v>99473.583333333328</c:v>
                </c:pt>
              </c:numCache>
            </c:numRef>
          </c:val>
        </c:ser>
        <c:dLbls>
          <c:showLegendKey val="0"/>
          <c:showVal val="0"/>
          <c:showCatName val="0"/>
          <c:showSerName val="0"/>
          <c:showPercent val="0"/>
          <c:showBubbleSize val="0"/>
        </c:dLbls>
        <c:gapWidth val="150"/>
        <c:shape val="box"/>
        <c:axId val="28306048"/>
        <c:axId val="28307840"/>
        <c:axId val="0"/>
      </c:bar3DChart>
      <c:catAx>
        <c:axId val="28306048"/>
        <c:scaling>
          <c:orientation val="minMax"/>
        </c:scaling>
        <c:delete val="0"/>
        <c:axPos val="b"/>
        <c:majorTickMark val="out"/>
        <c:minorTickMark val="none"/>
        <c:tickLblPos val="nextTo"/>
        <c:crossAx val="28307840"/>
        <c:crosses val="autoZero"/>
        <c:auto val="1"/>
        <c:lblAlgn val="ctr"/>
        <c:lblOffset val="100"/>
        <c:noMultiLvlLbl val="0"/>
      </c:catAx>
      <c:valAx>
        <c:axId val="28307840"/>
        <c:scaling>
          <c:orientation val="minMax"/>
        </c:scaling>
        <c:delete val="0"/>
        <c:axPos val="l"/>
        <c:majorGridlines/>
        <c:title>
          <c:tx>
            <c:rich>
              <a:bodyPr rot="-5400000" vert="horz"/>
              <a:lstStyle/>
              <a:p>
                <a:pPr>
                  <a:defRPr/>
                </a:pPr>
                <a:r>
                  <a:rPr lang="en-US"/>
                  <a:t>Počet poberateľov</a:t>
                </a:r>
              </a:p>
            </c:rich>
          </c:tx>
          <c:overlay val="0"/>
        </c:title>
        <c:numFmt formatCode="General" sourceLinked="1"/>
        <c:majorTickMark val="out"/>
        <c:minorTickMark val="none"/>
        <c:tickLblPos val="nextTo"/>
        <c:crossAx val="28306048"/>
        <c:crosses val="autoZero"/>
        <c:crossBetween val="between"/>
      </c:valAx>
    </c:plotArea>
    <c:plotVisOnly val="1"/>
    <c:dispBlanksAs val="gap"/>
    <c:showDLblsOverMax val="0"/>
  </c:chart>
  <c:spPr>
    <a:ln>
      <a:noFill/>
    </a:ln>
  </c:spPr>
  <c:txPr>
    <a:bodyPr/>
    <a:lstStyle/>
    <a:p>
      <a:pPr>
        <a:defRPr baseline="0">
          <a:solidFill>
            <a:sysClr val="windowText" lastClr="000000"/>
          </a:solidFill>
          <a:latin typeface="Times New Roman" pitchFamily="18" charset="0"/>
        </a:defRPr>
      </a:pPr>
      <a:endParaRPr lang="sk-SK"/>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31515659430579"/>
          <c:y val="5.4222744286055585E-2"/>
          <c:w val="0.75934406134102184"/>
          <c:h val="0.63151436718860388"/>
        </c:manualLayout>
      </c:layout>
      <c:barChart>
        <c:barDir val="col"/>
        <c:grouping val="clustered"/>
        <c:varyColors val="0"/>
        <c:ser>
          <c:idx val="0"/>
          <c:order val="0"/>
          <c:invertIfNegative val="0"/>
          <c:cat>
            <c:strRef>
              <c:f>'PnD financie'!$A$31:$A$38</c:f>
              <c:strCache>
                <c:ptCount val="8"/>
                <c:pt idx="0">
                  <c:v>Bratislavský kraj</c:v>
                </c:pt>
                <c:pt idx="1">
                  <c:v>Trnavský kraj</c:v>
                </c:pt>
                <c:pt idx="2">
                  <c:v>Trenčiansky kraj</c:v>
                </c:pt>
                <c:pt idx="3">
                  <c:v>Nitriansky kraj</c:v>
                </c:pt>
                <c:pt idx="4">
                  <c:v>Žilinský kraj</c:v>
                </c:pt>
                <c:pt idx="5">
                  <c:v>Banskobystrický kraj</c:v>
                </c:pt>
                <c:pt idx="6">
                  <c:v>Prešovský kraj</c:v>
                </c:pt>
                <c:pt idx="7">
                  <c:v>Košický kraj</c:v>
                </c:pt>
              </c:strCache>
            </c:strRef>
          </c:cat>
          <c:val>
            <c:numRef>
              <c:f>'PnD financie'!$B$31:$B$38</c:f>
              <c:numCache>
                <c:formatCode>#,##0</c:formatCode>
                <c:ptCount val="8"/>
                <c:pt idx="0">
                  <c:v>2650904.1408333327</c:v>
                </c:pt>
                <c:pt idx="1">
                  <c:v>2479812.2925</c:v>
                </c:pt>
                <c:pt idx="2">
                  <c:v>2673658.3625000003</c:v>
                </c:pt>
                <c:pt idx="3">
                  <c:v>3047946.4824999967</c:v>
                </c:pt>
                <c:pt idx="4">
                  <c:v>3584016.4033333287</c:v>
                </c:pt>
                <c:pt idx="5">
                  <c:v>2976169.8366666441</c:v>
                </c:pt>
                <c:pt idx="6">
                  <c:v>4544767.9691666598</c:v>
                </c:pt>
                <c:pt idx="7">
                  <c:v>3892068.7933333307</c:v>
                </c:pt>
              </c:numCache>
            </c:numRef>
          </c:val>
        </c:ser>
        <c:dLbls>
          <c:showLegendKey val="0"/>
          <c:showVal val="0"/>
          <c:showCatName val="0"/>
          <c:showSerName val="0"/>
          <c:showPercent val="0"/>
          <c:showBubbleSize val="0"/>
        </c:dLbls>
        <c:gapWidth val="150"/>
        <c:axId val="28340608"/>
        <c:axId val="28342144"/>
      </c:barChart>
      <c:catAx>
        <c:axId val="28340608"/>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sk-SK"/>
          </a:p>
        </c:txPr>
        <c:crossAx val="28342144"/>
        <c:crosses val="autoZero"/>
        <c:auto val="1"/>
        <c:lblAlgn val="ctr"/>
        <c:lblOffset val="100"/>
        <c:noMultiLvlLbl val="0"/>
      </c:catAx>
      <c:valAx>
        <c:axId val="28342144"/>
        <c:scaling>
          <c:orientation val="minMax"/>
        </c:scaling>
        <c:delete val="0"/>
        <c:axPos val="l"/>
        <c:majorGridlines/>
        <c:title>
          <c:tx>
            <c:rich>
              <a:bodyPr rot="-5400000" vert="horz"/>
              <a:lstStyle/>
              <a:p>
                <a:pPr>
                  <a:defRPr baseline="0">
                    <a:latin typeface="Times New Roman" pitchFamily="18" charset="0"/>
                  </a:defRPr>
                </a:pPr>
                <a:r>
                  <a:rPr lang="en-US" baseline="0">
                    <a:latin typeface="Times New Roman" pitchFamily="18" charset="0"/>
                  </a:rPr>
                  <a:t>Vyplatená suma v €</a:t>
                </a:r>
              </a:p>
            </c:rich>
          </c:tx>
          <c:layout>
            <c:manualLayout>
              <c:xMode val="edge"/>
              <c:yMode val="edge"/>
              <c:x val="1.9576917851624898E-2"/>
              <c:y val="0.1702999961464863"/>
            </c:manualLayout>
          </c:layout>
          <c:overlay val="0"/>
        </c:title>
        <c:numFmt formatCode="#,##0" sourceLinked="1"/>
        <c:majorTickMark val="out"/>
        <c:minorTickMark val="none"/>
        <c:tickLblPos val="nextTo"/>
        <c:txPr>
          <a:bodyPr/>
          <a:lstStyle/>
          <a:p>
            <a:pPr>
              <a:defRPr>
                <a:latin typeface="Times New Roman" pitchFamily="18" charset="0"/>
                <a:cs typeface="Times New Roman" pitchFamily="18" charset="0"/>
              </a:defRPr>
            </a:pPr>
            <a:endParaRPr lang="sk-SK"/>
          </a:p>
        </c:txPr>
        <c:crossAx val="28340608"/>
        <c:crosses val="autoZero"/>
        <c:crossBetween val="between"/>
      </c:valAx>
      <c:spPr>
        <a:solidFill>
          <a:schemeClr val="bg1"/>
        </a:solidFill>
      </c:spPr>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4615048118994"/>
          <c:y val="3.8799301036918185E-2"/>
          <c:w val="0.77039829396325465"/>
          <c:h val="0.71371315686019765"/>
        </c:manualLayout>
      </c:layout>
      <c:lineChart>
        <c:grouping val="standard"/>
        <c:varyColors val="0"/>
        <c:ser>
          <c:idx val="0"/>
          <c:order val="0"/>
          <c:tx>
            <c:strRef>
              <c:f>RP!$A$2</c:f>
              <c:strCache>
                <c:ptCount val="1"/>
                <c:pt idx="0">
                  <c:v>2011</c:v>
                </c:pt>
              </c:strCache>
            </c:strRef>
          </c:tx>
          <c:cat>
            <c:strRef>
              <c:f>RP!$B$1:$M$1</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RP!$B$2:$M$2</c:f>
              <c:numCache>
                <c:formatCode>#,##0</c:formatCode>
                <c:ptCount val="12"/>
                <c:pt idx="0">
                  <c:v>138356</c:v>
                </c:pt>
                <c:pt idx="1">
                  <c:v>142846</c:v>
                </c:pt>
                <c:pt idx="2">
                  <c:v>142308</c:v>
                </c:pt>
                <c:pt idx="3">
                  <c:v>142546</c:v>
                </c:pt>
                <c:pt idx="4">
                  <c:v>142273</c:v>
                </c:pt>
                <c:pt idx="5">
                  <c:v>142298</c:v>
                </c:pt>
                <c:pt idx="6">
                  <c:v>141866</c:v>
                </c:pt>
                <c:pt idx="7">
                  <c:v>142141</c:v>
                </c:pt>
                <c:pt idx="8">
                  <c:v>141899</c:v>
                </c:pt>
                <c:pt idx="9">
                  <c:v>141919</c:v>
                </c:pt>
                <c:pt idx="10">
                  <c:v>141672</c:v>
                </c:pt>
                <c:pt idx="11">
                  <c:v>142022</c:v>
                </c:pt>
              </c:numCache>
            </c:numRef>
          </c:val>
          <c:smooth val="0"/>
        </c:ser>
        <c:ser>
          <c:idx val="1"/>
          <c:order val="1"/>
          <c:tx>
            <c:strRef>
              <c:f>RP!$A$3</c:f>
              <c:strCache>
                <c:ptCount val="1"/>
                <c:pt idx="0">
                  <c:v>2010</c:v>
                </c:pt>
              </c:strCache>
            </c:strRef>
          </c:tx>
          <c:cat>
            <c:strRef>
              <c:f>RP!$B$1:$M$1</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RP!$B$3:$M$3</c:f>
              <c:numCache>
                <c:formatCode>#,##0</c:formatCode>
                <c:ptCount val="12"/>
                <c:pt idx="0">
                  <c:v>135725</c:v>
                </c:pt>
                <c:pt idx="1">
                  <c:v>137546</c:v>
                </c:pt>
                <c:pt idx="2">
                  <c:v>138258</c:v>
                </c:pt>
                <c:pt idx="3">
                  <c:v>139487</c:v>
                </c:pt>
                <c:pt idx="4">
                  <c:v>139856</c:v>
                </c:pt>
                <c:pt idx="5">
                  <c:v>140311</c:v>
                </c:pt>
                <c:pt idx="6">
                  <c:v>140419</c:v>
                </c:pt>
                <c:pt idx="7">
                  <c:v>140589</c:v>
                </c:pt>
                <c:pt idx="8">
                  <c:v>140448</c:v>
                </c:pt>
                <c:pt idx="9">
                  <c:v>139607</c:v>
                </c:pt>
                <c:pt idx="10">
                  <c:v>136361</c:v>
                </c:pt>
                <c:pt idx="11">
                  <c:v>137351</c:v>
                </c:pt>
              </c:numCache>
            </c:numRef>
          </c:val>
          <c:smooth val="0"/>
        </c:ser>
        <c:dLbls>
          <c:showLegendKey val="0"/>
          <c:showVal val="0"/>
          <c:showCatName val="0"/>
          <c:showSerName val="0"/>
          <c:showPercent val="0"/>
          <c:showBubbleSize val="0"/>
        </c:dLbls>
        <c:marker val="1"/>
        <c:smooth val="0"/>
        <c:axId val="28362240"/>
        <c:axId val="28363776"/>
      </c:lineChart>
      <c:catAx>
        <c:axId val="2836224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sk-SK"/>
          </a:p>
        </c:txPr>
        <c:crossAx val="28363776"/>
        <c:crosses val="autoZero"/>
        <c:auto val="1"/>
        <c:lblAlgn val="ctr"/>
        <c:lblOffset val="100"/>
        <c:noMultiLvlLbl val="0"/>
      </c:catAx>
      <c:valAx>
        <c:axId val="28363776"/>
        <c:scaling>
          <c:orientation val="minMax"/>
          <c:max val="144000"/>
          <c:min val="135000"/>
        </c:scaling>
        <c:delete val="0"/>
        <c:axPos val="l"/>
        <c:majorGridlines/>
        <c:numFmt formatCode="#,##0" sourceLinked="1"/>
        <c:majorTickMark val="out"/>
        <c:minorTickMark val="none"/>
        <c:tickLblPos val="nextTo"/>
        <c:txPr>
          <a:bodyPr/>
          <a:lstStyle/>
          <a:p>
            <a:pPr>
              <a:defRPr sz="800">
                <a:latin typeface="Times New Roman" pitchFamily="18" charset="0"/>
                <a:cs typeface="Times New Roman" pitchFamily="18" charset="0"/>
              </a:defRPr>
            </a:pPr>
            <a:endParaRPr lang="sk-SK"/>
          </a:p>
        </c:txPr>
        <c:crossAx val="28362240"/>
        <c:crosses val="autoZero"/>
        <c:crossBetween val="between"/>
        <c:majorUnit val="2000"/>
      </c:valAx>
    </c:plotArea>
    <c:legend>
      <c:legendPos val="r"/>
      <c:layout>
        <c:manualLayout>
          <c:xMode val="edge"/>
          <c:yMode val="edge"/>
          <c:x val="0.45457750498256333"/>
          <c:y val="0.53443857955190044"/>
          <c:w val="0.12777777777777777"/>
          <c:h val="0.13258859383408123"/>
        </c:manualLayout>
      </c:layout>
      <c:overlay val="0"/>
      <c:txPr>
        <a:bodyPr/>
        <a:lstStyle/>
        <a:p>
          <a:pPr>
            <a:defRPr sz="800">
              <a:latin typeface="Times New Roman" pitchFamily="18" charset="0"/>
              <a:cs typeface="Times New Roman" pitchFamily="18" charset="0"/>
            </a:defRPr>
          </a:pPr>
          <a:endParaRPr lang="sk-SK"/>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28682087946102"/>
          <c:y val="0.117067159581023"/>
          <c:w val="0.79294446563543564"/>
          <c:h val="0.50225401584506157"/>
        </c:manualLayout>
      </c:layout>
      <c:lineChart>
        <c:grouping val="standard"/>
        <c:varyColors val="0"/>
        <c:ser>
          <c:idx val="0"/>
          <c:order val="0"/>
          <c:tx>
            <c:v>2010-2011</c:v>
          </c:tx>
          <c:cat>
            <c:strRef>
              <c:f>Hárok2!$Z$3:$AW$3</c:f>
              <c:strCache>
                <c:ptCount val="24"/>
                <c:pt idx="0">
                  <c:v>I.10</c:v>
                </c:pt>
                <c:pt idx="1">
                  <c:v>II.10</c:v>
                </c:pt>
                <c:pt idx="2">
                  <c:v>III.10</c:v>
                </c:pt>
                <c:pt idx="3">
                  <c:v>IV.10</c:v>
                </c:pt>
                <c:pt idx="4">
                  <c:v>V.10</c:v>
                </c:pt>
                <c:pt idx="5">
                  <c:v>VI.10</c:v>
                </c:pt>
                <c:pt idx="6">
                  <c:v>VII.10</c:v>
                </c:pt>
                <c:pt idx="7">
                  <c:v>VIII.10</c:v>
                </c:pt>
                <c:pt idx="8">
                  <c:v>IX.10</c:v>
                </c:pt>
                <c:pt idx="9">
                  <c:v>X.10</c:v>
                </c:pt>
                <c:pt idx="10">
                  <c:v>XI.10</c:v>
                </c:pt>
                <c:pt idx="11">
                  <c:v>XII.10</c:v>
                </c:pt>
                <c:pt idx="12">
                  <c:v>I.11</c:v>
                </c:pt>
                <c:pt idx="13">
                  <c:v>II.11</c:v>
                </c:pt>
                <c:pt idx="14">
                  <c:v>III.11</c:v>
                </c:pt>
                <c:pt idx="15">
                  <c:v>IV.11</c:v>
                </c:pt>
                <c:pt idx="16">
                  <c:v>V.11</c:v>
                </c:pt>
                <c:pt idx="17">
                  <c:v>VI.11</c:v>
                </c:pt>
                <c:pt idx="18">
                  <c:v>VII.11</c:v>
                </c:pt>
                <c:pt idx="19">
                  <c:v>VIII.11</c:v>
                </c:pt>
                <c:pt idx="20">
                  <c:v>IX.11</c:v>
                </c:pt>
                <c:pt idx="21">
                  <c:v>X.11</c:v>
                </c:pt>
                <c:pt idx="22">
                  <c:v>XI.11</c:v>
                </c:pt>
                <c:pt idx="23">
                  <c:v>XII.11</c:v>
                </c:pt>
              </c:strCache>
            </c:strRef>
          </c:cat>
          <c:val>
            <c:numRef>
              <c:f>Hárok2!$Z$4:$AW$4</c:f>
              <c:numCache>
                <c:formatCode>#,##0</c:formatCode>
                <c:ptCount val="24"/>
                <c:pt idx="0">
                  <c:v>181990</c:v>
                </c:pt>
                <c:pt idx="1">
                  <c:v>183328</c:v>
                </c:pt>
                <c:pt idx="2">
                  <c:v>189628</c:v>
                </c:pt>
                <c:pt idx="3">
                  <c:v>192642</c:v>
                </c:pt>
                <c:pt idx="4">
                  <c:v>192629</c:v>
                </c:pt>
                <c:pt idx="5">
                  <c:v>191638</c:v>
                </c:pt>
                <c:pt idx="6">
                  <c:v>190920</c:v>
                </c:pt>
                <c:pt idx="7">
                  <c:v>190570</c:v>
                </c:pt>
                <c:pt idx="8">
                  <c:v>191181</c:v>
                </c:pt>
                <c:pt idx="9">
                  <c:v>190762</c:v>
                </c:pt>
                <c:pt idx="10">
                  <c:v>190153</c:v>
                </c:pt>
                <c:pt idx="11">
                  <c:v>190391</c:v>
                </c:pt>
                <c:pt idx="12">
                  <c:v>189903</c:v>
                </c:pt>
                <c:pt idx="13">
                  <c:v>186676</c:v>
                </c:pt>
                <c:pt idx="14">
                  <c:v>188831</c:v>
                </c:pt>
                <c:pt idx="15">
                  <c:v>190013</c:v>
                </c:pt>
                <c:pt idx="16">
                  <c:v>188637</c:v>
                </c:pt>
                <c:pt idx="17">
                  <c:v>187223</c:v>
                </c:pt>
                <c:pt idx="18">
                  <c:v>186224</c:v>
                </c:pt>
                <c:pt idx="19">
                  <c:v>186420</c:v>
                </c:pt>
                <c:pt idx="20">
                  <c:v>186569</c:v>
                </c:pt>
                <c:pt idx="21">
                  <c:v>185841</c:v>
                </c:pt>
                <c:pt idx="22">
                  <c:v>184674</c:v>
                </c:pt>
                <c:pt idx="23">
                  <c:v>185253</c:v>
                </c:pt>
              </c:numCache>
            </c:numRef>
          </c:val>
          <c:smooth val="0"/>
        </c:ser>
        <c:dLbls>
          <c:showLegendKey val="0"/>
          <c:showVal val="0"/>
          <c:showCatName val="0"/>
          <c:showSerName val="0"/>
          <c:showPercent val="0"/>
          <c:showBubbleSize val="0"/>
        </c:dLbls>
        <c:marker val="1"/>
        <c:smooth val="0"/>
        <c:axId val="28371968"/>
        <c:axId val="28443392"/>
      </c:lineChart>
      <c:catAx>
        <c:axId val="28371968"/>
        <c:scaling>
          <c:orientation val="minMax"/>
        </c:scaling>
        <c:delete val="0"/>
        <c:axPos val="b"/>
        <c:majorTickMark val="none"/>
        <c:minorTickMark val="none"/>
        <c:tickLblPos val="nextTo"/>
        <c:txPr>
          <a:bodyPr rot="-5400000" vert="horz"/>
          <a:lstStyle/>
          <a:p>
            <a:pPr>
              <a:defRPr/>
            </a:pPr>
            <a:endParaRPr lang="sk-SK"/>
          </a:p>
        </c:txPr>
        <c:crossAx val="28443392"/>
        <c:crosses val="autoZero"/>
        <c:auto val="1"/>
        <c:lblAlgn val="ctr"/>
        <c:lblOffset val="100"/>
        <c:tickLblSkip val="2"/>
        <c:tickMarkSkip val="1"/>
        <c:noMultiLvlLbl val="0"/>
      </c:catAx>
      <c:valAx>
        <c:axId val="28443392"/>
        <c:scaling>
          <c:orientation val="minMax"/>
          <c:min val="180000"/>
        </c:scaling>
        <c:delete val="0"/>
        <c:axPos val="l"/>
        <c:majorGridlines/>
        <c:title>
          <c:tx>
            <c:rich>
              <a:bodyPr rot="-5400000" vert="horz"/>
              <a:lstStyle/>
              <a:p>
                <a:pPr>
                  <a:defRPr/>
                </a:pPr>
                <a:r>
                  <a:rPr lang="sk-SK"/>
                  <a:t>počet poberateľov</a:t>
                </a:r>
              </a:p>
            </c:rich>
          </c:tx>
          <c:overlay val="0"/>
        </c:title>
        <c:numFmt formatCode="#,##0" sourceLinked="1"/>
        <c:majorTickMark val="none"/>
        <c:minorTickMark val="none"/>
        <c:tickLblPos val="nextTo"/>
        <c:crossAx val="28371968"/>
        <c:crosses val="autoZero"/>
        <c:crossBetween val="between"/>
        <c:majorUnit val="10000"/>
      </c:valAx>
    </c:plotArea>
    <c:legend>
      <c:legendPos val="b"/>
      <c:layout>
        <c:manualLayout>
          <c:xMode val="edge"/>
          <c:yMode val="edge"/>
          <c:x val="0.33210564304462248"/>
          <c:y val="0.8861327972301335"/>
          <c:w val="0.43578871391076568"/>
          <c:h val="8.5498408443625398E-2"/>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70"/>
      <c:rAngAx val="1"/>
    </c:view3D>
    <c:floor>
      <c:thickness val="0"/>
    </c:floor>
    <c:sideWall>
      <c:thickness val="0"/>
    </c:sideWall>
    <c:backWall>
      <c:thickness val="0"/>
    </c:backWall>
    <c:plotArea>
      <c:layout/>
      <c:bar3DChart>
        <c:barDir val="col"/>
        <c:grouping val="clustered"/>
        <c:varyColors val="0"/>
        <c:ser>
          <c:idx val="0"/>
          <c:order val="0"/>
          <c:tx>
            <c:v>2010</c:v>
          </c:tx>
          <c:invertIfNegative val="0"/>
          <c:cat>
            <c:strRef>
              <c:f>Hárok3!$B$40:$B$47</c:f>
              <c:strCache>
                <c:ptCount val="8"/>
                <c:pt idx="0">
                  <c:v>KE</c:v>
                </c:pt>
                <c:pt idx="1">
                  <c:v>PO</c:v>
                </c:pt>
                <c:pt idx="2">
                  <c:v>BB</c:v>
                </c:pt>
                <c:pt idx="3">
                  <c:v>NR</c:v>
                </c:pt>
                <c:pt idx="4">
                  <c:v>TT</c:v>
                </c:pt>
                <c:pt idx="5">
                  <c:v>ZA</c:v>
                </c:pt>
                <c:pt idx="6">
                  <c:v>TN</c:v>
                </c:pt>
                <c:pt idx="7">
                  <c:v>BA</c:v>
                </c:pt>
              </c:strCache>
            </c:strRef>
          </c:cat>
          <c:val>
            <c:numRef>
              <c:f>Hárok3!$C$40:$C$47</c:f>
              <c:numCache>
                <c:formatCode>#,##0.00</c:formatCode>
                <c:ptCount val="8"/>
                <c:pt idx="0">
                  <c:v>12.24</c:v>
                </c:pt>
                <c:pt idx="1">
                  <c:v>11.32</c:v>
                </c:pt>
                <c:pt idx="2">
                  <c:v>11.08</c:v>
                </c:pt>
                <c:pt idx="3">
                  <c:v>6.22</c:v>
                </c:pt>
                <c:pt idx="4">
                  <c:v>3.9299999999999997</c:v>
                </c:pt>
                <c:pt idx="5">
                  <c:v>3.73</c:v>
                </c:pt>
                <c:pt idx="6">
                  <c:v>3.07</c:v>
                </c:pt>
                <c:pt idx="7">
                  <c:v>1.129999999999993</c:v>
                </c:pt>
              </c:numCache>
            </c:numRef>
          </c:val>
        </c:ser>
        <c:ser>
          <c:idx val="1"/>
          <c:order val="1"/>
          <c:tx>
            <c:v>2011</c:v>
          </c:tx>
          <c:invertIfNegative val="0"/>
          <c:cat>
            <c:strRef>
              <c:f>Hárok3!$B$40:$B$47</c:f>
              <c:strCache>
                <c:ptCount val="8"/>
                <c:pt idx="0">
                  <c:v>KE</c:v>
                </c:pt>
                <c:pt idx="1">
                  <c:v>PO</c:v>
                </c:pt>
                <c:pt idx="2">
                  <c:v>BB</c:v>
                </c:pt>
                <c:pt idx="3">
                  <c:v>NR</c:v>
                </c:pt>
                <c:pt idx="4">
                  <c:v>TT</c:v>
                </c:pt>
                <c:pt idx="5">
                  <c:v>ZA</c:v>
                </c:pt>
                <c:pt idx="6">
                  <c:v>TN</c:v>
                </c:pt>
                <c:pt idx="7">
                  <c:v>BA</c:v>
                </c:pt>
              </c:strCache>
            </c:strRef>
          </c:cat>
          <c:val>
            <c:numRef>
              <c:f>Hárok3!$D$40:$D$47</c:f>
              <c:numCache>
                <c:formatCode>#,##0.00</c:formatCode>
                <c:ptCount val="8"/>
                <c:pt idx="0">
                  <c:v>11.83</c:v>
                </c:pt>
                <c:pt idx="1">
                  <c:v>10.9</c:v>
                </c:pt>
                <c:pt idx="2">
                  <c:v>10.77</c:v>
                </c:pt>
                <c:pt idx="3">
                  <c:v>5.95</c:v>
                </c:pt>
                <c:pt idx="4">
                  <c:v>3.62</c:v>
                </c:pt>
                <c:pt idx="5">
                  <c:v>3.57</c:v>
                </c:pt>
                <c:pt idx="6">
                  <c:v>2.88</c:v>
                </c:pt>
                <c:pt idx="7">
                  <c:v>1.06</c:v>
                </c:pt>
              </c:numCache>
            </c:numRef>
          </c:val>
        </c:ser>
        <c:dLbls>
          <c:showLegendKey val="0"/>
          <c:showVal val="0"/>
          <c:showCatName val="0"/>
          <c:showSerName val="0"/>
          <c:showPercent val="0"/>
          <c:showBubbleSize val="0"/>
        </c:dLbls>
        <c:gapWidth val="117"/>
        <c:shape val="cylinder"/>
        <c:axId val="28452352"/>
        <c:axId val="28453888"/>
        <c:axId val="0"/>
      </c:bar3DChart>
      <c:catAx>
        <c:axId val="28452352"/>
        <c:scaling>
          <c:orientation val="minMax"/>
        </c:scaling>
        <c:delete val="0"/>
        <c:axPos val="b"/>
        <c:majorTickMark val="out"/>
        <c:minorTickMark val="none"/>
        <c:tickLblPos val="nextTo"/>
        <c:crossAx val="28453888"/>
        <c:crosses val="autoZero"/>
        <c:auto val="1"/>
        <c:lblAlgn val="ctr"/>
        <c:lblOffset val="100"/>
        <c:noMultiLvlLbl val="0"/>
      </c:catAx>
      <c:valAx>
        <c:axId val="28453888"/>
        <c:scaling>
          <c:orientation val="minMax"/>
        </c:scaling>
        <c:delete val="0"/>
        <c:axPos val="l"/>
        <c:majorGridlines/>
        <c:numFmt formatCode="#,##0.00" sourceLinked="1"/>
        <c:majorTickMark val="out"/>
        <c:minorTickMark val="none"/>
        <c:tickLblPos val="nextTo"/>
        <c:crossAx val="28452352"/>
        <c:crosses val="autoZero"/>
        <c:crossBetween val="between"/>
      </c:valAx>
    </c:plotArea>
    <c:legend>
      <c:legendPos val="b"/>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5018275617605588E-2"/>
          <c:y val="0.11989655305166268"/>
          <c:w val="0.92490613784744358"/>
          <c:h val="0.42915990117283787"/>
        </c:manualLayout>
      </c:layout>
      <c:pie3DChart>
        <c:varyColors val="1"/>
        <c:ser>
          <c:idx val="0"/>
          <c:order val="0"/>
          <c:dLbls>
            <c:dLbl>
              <c:idx val="0"/>
              <c:layout>
                <c:manualLayout>
                  <c:x val="-3.7039973618106313E-2"/>
                  <c:y val="9.5642663882931134E-2"/>
                </c:manualLayout>
              </c:layout>
              <c:dLblPos val="bestFit"/>
              <c:showLegendKey val="0"/>
              <c:showVal val="0"/>
              <c:showCatName val="0"/>
              <c:showSerName val="0"/>
              <c:showPercent val="1"/>
              <c:showBubbleSize val="0"/>
            </c:dLbl>
            <c:dLbl>
              <c:idx val="1"/>
              <c:dLblPos val="bestFit"/>
              <c:showLegendKey val="0"/>
              <c:showVal val="0"/>
              <c:showCatName val="0"/>
              <c:showSerName val="0"/>
              <c:showPercent val="1"/>
              <c:showBubbleSize val="0"/>
            </c:dLbl>
            <c:dLbl>
              <c:idx val="2"/>
              <c:dLblPos val="bestFit"/>
              <c:showLegendKey val="0"/>
              <c:showVal val="0"/>
              <c:showCatName val="0"/>
              <c:showSerName val="0"/>
              <c:showPercent val="1"/>
              <c:showBubbleSize val="0"/>
            </c:dLbl>
            <c:dLbl>
              <c:idx val="3"/>
              <c:dLblPos val="bestFit"/>
              <c:showLegendKey val="0"/>
              <c:showVal val="0"/>
              <c:showCatName val="0"/>
              <c:showSerName val="0"/>
              <c:showPercent val="1"/>
              <c:showBubbleSize val="0"/>
            </c:dLbl>
            <c:dLbl>
              <c:idx val="4"/>
              <c:layout>
                <c:manualLayout>
                  <c:x val="3.5412011966524028E-2"/>
                  <c:y val="-5.2088751471095075E-2"/>
                </c:manualLayout>
              </c:layout>
              <c:dLblPos val="bestFit"/>
              <c:showLegendKey val="0"/>
              <c:showVal val="0"/>
              <c:showCatName val="0"/>
              <c:showSerName val="0"/>
              <c:showPercent val="1"/>
              <c:showBubbleSize val="0"/>
            </c:dLbl>
            <c:dLbl>
              <c:idx val="5"/>
              <c:dLblPos val="bestFit"/>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'[Zošit-správa1.xlsx]Hárok6'!$B$4:$G$4</c:f>
              <c:strCache>
                <c:ptCount val="6"/>
                <c:pt idx="0">
                  <c:v>jednotlivec</c:v>
                </c:pt>
                <c:pt idx="1">
                  <c:v>jednotlivec s 1-4 deťmi</c:v>
                </c:pt>
                <c:pt idx="2">
                  <c:v>jednotlivec s viac ako 4 deťmi</c:v>
                </c:pt>
                <c:pt idx="3">
                  <c:v>dvojica</c:v>
                </c:pt>
                <c:pt idx="4">
                  <c:v>dvojica s 1-4 deťmi</c:v>
                </c:pt>
                <c:pt idx="5">
                  <c:v>dvojica s viac ako 4 deťmi</c:v>
                </c:pt>
              </c:strCache>
            </c:strRef>
          </c:cat>
          <c:val>
            <c:numRef>
              <c:f>'[Zošit-správa1.xlsx]Hárok6'!$B$5:$G$5</c:f>
              <c:numCache>
                <c:formatCode>#,##0</c:formatCode>
                <c:ptCount val="6"/>
                <c:pt idx="0">
                  <c:v>116410</c:v>
                </c:pt>
                <c:pt idx="1">
                  <c:v>20116</c:v>
                </c:pt>
                <c:pt idx="2" formatCode="General">
                  <c:v>414</c:v>
                </c:pt>
                <c:pt idx="3">
                  <c:v>14520</c:v>
                </c:pt>
                <c:pt idx="4">
                  <c:v>30120</c:v>
                </c:pt>
                <c:pt idx="5">
                  <c:v>5505</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1.804712309840922E-2"/>
          <c:y val="0.63551439221313566"/>
          <c:w val="0.97937260415919336"/>
          <c:h val="0.32225982170045286"/>
        </c:manualLayout>
      </c:layout>
      <c:overlay val="0"/>
    </c:legend>
    <c:plotVisOnly val="1"/>
    <c:dispBlanksAs val="zero"/>
    <c:showDLblsOverMax val="0"/>
  </c:chart>
  <c:spPr>
    <a:ln>
      <a:noFill/>
    </a:ln>
  </c:spPr>
  <c:txPr>
    <a:bodyPr/>
    <a:lstStyle/>
    <a:p>
      <a:pPr>
        <a:defRPr cap="none" baseline="0">
          <a:latin typeface="Times New Roman" pitchFamily="18" charset="0"/>
        </a:defRPr>
      </a:pPr>
      <a:endParaRPr lang="sk-SK"/>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80"/>
      <c:rAngAx val="1"/>
    </c:view3D>
    <c:floor>
      <c:thickness val="0"/>
    </c:floor>
    <c:sideWall>
      <c:thickness val="0"/>
    </c:sideWall>
    <c:backWall>
      <c:thickness val="0"/>
    </c:backWall>
    <c:plotArea>
      <c:layout>
        <c:manualLayout>
          <c:layoutTarget val="inner"/>
          <c:xMode val="edge"/>
          <c:yMode val="edge"/>
          <c:x val="0.11206464360494264"/>
          <c:y val="6.7003739801082707E-2"/>
          <c:w val="0.83618650729487964"/>
          <c:h val="0.64255152324426568"/>
        </c:manualLayout>
      </c:layout>
      <c:bar3DChart>
        <c:barDir val="col"/>
        <c:grouping val="clustered"/>
        <c:varyColors val="0"/>
        <c:ser>
          <c:idx val="0"/>
          <c:order val="0"/>
          <c:tx>
            <c:strRef>
              <c:f>Hárok4!$B$19</c:f>
              <c:strCache>
                <c:ptCount val="1"/>
                <c:pt idx="0">
                  <c:v>Ženy</c:v>
                </c:pt>
              </c:strCache>
            </c:strRef>
          </c:tx>
          <c:invertIfNegative val="0"/>
          <c:cat>
            <c:strRef>
              <c:f>Hárok4!$A$20:$A$32</c:f>
              <c:strCache>
                <c:ptCount val="13"/>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a viac</c:v>
                </c:pt>
              </c:strCache>
            </c:strRef>
          </c:cat>
          <c:val>
            <c:numRef>
              <c:f>Hárok4!$B$20:$B$32</c:f>
              <c:numCache>
                <c:formatCode>#,##0</c:formatCode>
                <c:ptCount val="13"/>
                <c:pt idx="0">
                  <c:v>10674.666666666661</c:v>
                </c:pt>
                <c:pt idx="1">
                  <c:v>15560.25</c:v>
                </c:pt>
                <c:pt idx="2">
                  <c:v>15967.166666666661</c:v>
                </c:pt>
                <c:pt idx="3">
                  <c:v>12962.5</c:v>
                </c:pt>
                <c:pt idx="4">
                  <c:v>9399.5</c:v>
                </c:pt>
                <c:pt idx="5">
                  <c:v>14278.833333333327</c:v>
                </c:pt>
                <c:pt idx="6">
                  <c:v>13112</c:v>
                </c:pt>
                <c:pt idx="7">
                  <c:v>12649.333333333327</c:v>
                </c:pt>
                <c:pt idx="8">
                  <c:v>11073.583333333327</c:v>
                </c:pt>
                <c:pt idx="9">
                  <c:v>11133.25</c:v>
                </c:pt>
                <c:pt idx="10">
                  <c:v>10676.666666666661</c:v>
                </c:pt>
                <c:pt idx="11">
                  <c:v>8509.9166666666097</c:v>
                </c:pt>
                <c:pt idx="12">
                  <c:v>20900.416666666657</c:v>
                </c:pt>
              </c:numCache>
            </c:numRef>
          </c:val>
        </c:ser>
        <c:ser>
          <c:idx val="1"/>
          <c:order val="1"/>
          <c:tx>
            <c:strRef>
              <c:f>Hárok4!$C$19</c:f>
              <c:strCache>
                <c:ptCount val="1"/>
                <c:pt idx="0">
                  <c:v>Muži</c:v>
                </c:pt>
              </c:strCache>
            </c:strRef>
          </c:tx>
          <c:invertIfNegative val="0"/>
          <c:cat>
            <c:strRef>
              <c:f>Hárok4!$A$20:$A$32</c:f>
              <c:strCache>
                <c:ptCount val="13"/>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a viac</c:v>
                </c:pt>
              </c:strCache>
            </c:strRef>
          </c:cat>
          <c:val>
            <c:numRef>
              <c:f>Hárok4!$C$20:$C$32</c:f>
              <c:numCache>
                <c:formatCode>#,##0</c:formatCode>
                <c:ptCount val="13"/>
                <c:pt idx="0">
                  <c:v>11121.583333333327</c:v>
                </c:pt>
                <c:pt idx="1">
                  <c:v>16254.416666666661</c:v>
                </c:pt>
                <c:pt idx="2">
                  <c:v>16751.666666666657</c:v>
                </c:pt>
                <c:pt idx="3">
                  <c:v>14251.75</c:v>
                </c:pt>
                <c:pt idx="4">
                  <c:v>9322.5</c:v>
                </c:pt>
                <c:pt idx="5">
                  <c:v>14738.416666666661</c:v>
                </c:pt>
                <c:pt idx="6">
                  <c:v>14182.166666666661</c:v>
                </c:pt>
                <c:pt idx="7">
                  <c:v>13541.166666666661</c:v>
                </c:pt>
                <c:pt idx="8">
                  <c:v>12495.083333333327</c:v>
                </c:pt>
                <c:pt idx="9">
                  <c:v>13564.166666666661</c:v>
                </c:pt>
                <c:pt idx="10">
                  <c:v>13805</c:v>
                </c:pt>
                <c:pt idx="11">
                  <c:v>12102.416666666661</c:v>
                </c:pt>
                <c:pt idx="12">
                  <c:v>7434</c:v>
                </c:pt>
              </c:numCache>
            </c:numRef>
          </c:val>
        </c:ser>
        <c:dLbls>
          <c:showLegendKey val="0"/>
          <c:showVal val="0"/>
          <c:showCatName val="0"/>
          <c:showSerName val="0"/>
          <c:showPercent val="0"/>
          <c:showBubbleSize val="0"/>
        </c:dLbls>
        <c:gapWidth val="150"/>
        <c:shape val="box"/>
        <c:axId val="28494080"/>
        <c:axId val="28504448"/>
        <c:axId val="0"/>
      </c:bar3DChart>
      <c:catAx>
        <c:axId val="28494080"/>
        <c:scaling>
          <c:orientation val="minMax"/>
        </c:scaling>
        <c:delete val="0"/>
        <c:axPos val="b"/>
        <c:title>
          <c:tx>
            <c:rich>
              <a:bodyPr/>
              <a:lstStyle/>
              <a:p>
                <a:pPr>
                  <a:defRPr/>
                </a:pPr>
                <a:r>
                  <a:rPr lang="sk-SK"/>
                  <a:t>Vek</a:t>
                </a:r>
              </a:p>
            </c:rich>
          </c:tx>
          <c:overlay val="0"/>
        </c:title>
        <c:majorTickMark val="none"/>
        <c:minorTickMark val="none"/>
        <c:tickLblPos val="nextTo"/>
        <c:txPr>
          <a:bodyPr rot="-5400000" vert="horz"/>
          <a:lstStyle/>
          <a:p>
            <a:pPr>
              <a:defRPr/>
            </a:pPr>
            <a:endParaRPr lang="sk-SK"/>
          </a:p>
        </c:txPr>
        <c:crossAx val="28504448"/>
        <c:crosses val="autoZero"/>
        <c:auto val="1"/>
        <c:lblAlgn val="ctr"/>
        <c:lblOffset val="100"/>
        <c:noMultiLvlLbl val="0"/>
      </c:catAx>
      <c:valAx>
        <c:axId val="28504448"/>
        <c:scaling>
          <c:orientation val="minMax"/>
        </c:scaling>
        <c:delete val="0"/>
        <c:axPos val="l"/>
        <c:majorGridlines/>
        <c:title>
          <c:tx>
            <c:rich>
              <a:bodyPr rot="-5400000" vert="horz"/>
              <a:lstStyle/>
              <a:p>
                <a:pPr>
                  <a:defRPr/>
                </a:pPr>
                <a:r>
                  <a:rPr lang="sk-SK"/>
                  <a:t>Počet osôb</a:t>
                </a:r>
              </a:p>
            </c:rich>
          </c:tx>
          <c:layout>
            <c:manualLayout>
              <c:xMode val="edge"/>
              <c:yMode val="edge"/>
              <c:x val="2.2468525882153891E-2"/>
              <c:y val="0.28289242963519118"/>
            </c:manualLayout>
          </c:layout>
          <c:overlay val="0"/>
        </c:title>
        <c:numFmt formatCode="#,##0" sourceLinked="1"/>
        <c:majorTickMark val="none"/>
        <c:minorTickMark val="none"/>
        <c:tickLblPos val="nextTo"/>
        <c:crossAx val="28494080"/>
        <c:crosses val="autoZero"/>
        <c:crossBetween val="between"/>
      </c:valAx>
    </c:plotArea>
    <c:legend>
      <c:legendPos val="r"/>
      <c:layout>
        <c:manualLayout>
          <c:xMode val="edge"/>
          <c:yMode val="edge"/>
          <c:x val="0.61297591541332996"/>
          <c:y val="0.10111422066217626"/>
          <c:w val="8.4794900973249196E-2"/>
          <c:h val="0.21821369269471189"/>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14100486989241"/>
          <c:y val="0.20044296788482974"/>
          <c:w val="0.84272306541210562"/>
          <c:h val="0.49471385844211324"/>
        </c:manualLayout>
      </c:layout>
      <c:lineChart>
        <c:grouping val="standard"/>
        <c:varyColors val="0"/>
        <c:ser>
          <c:idx val="0"/>
          <c:order val="0"/>
          <c:marker>
            <c:symbol val="none"/>
          </c:marker>
          <c:cat>
            <c:strRef>
              <c:f>Hárok7!$A$31:$L$31</c:f>
              <c:strCache>
                <c:ptCount val="12"/>
                <c:pt idx="0">
                  <c:v>I.11</c:v>
                </c:pt>
                <c:pt idx="1">
                  <c:v>II.11</c:v>
                </c:pt>
                <c:pt idx="2">
                  <c:v>III.11</c:v>
                </c:pt>
                <c:pt idx="3">
                  <c:v>IV.11</c:v>
                </c:pt>
                <c:pt idx="4">
                  <c:v>V.11</c:v>
                </c:pt>
                <c:pt idx="5">
                  <c:v>VI.11</c:v>
                </c:pt>
                <c:pt idx="6">
                  <c:v>VII.11</c:v>
                </c:pt>
                <c:pt idx="7">
                  <c:v>VIII.11</c:v>
                </c:pt>
                <c:pt idx="8">
                  <c:v>IX.11</c:v>
                </c:pt>
                <c:pt idx="9">
                  <c:v>X.11</c:v>
                </c:pt>
                <c:pt idx="10">
                  <c:v>XI.11</c:v>
                </c:pt>
                <c:pt idx="11">
                  <c:v>XII.11</c:v>
                </c:pt>
              </c:strCache>
            </c:strRef>
          </c:cat>
          <c:val>
            <c:numRef>
              <c:f>Hárok7!$A$32:$L$32</c:f>
              <c:numCache>
                <c:formatCode>#,##0</c:formatCode>
                <c:ptCount val="12"/>
                <c:pt idx="0">
                  <c:v>55287</c:v>
                </c:pt>
                <c:pt idx="1">
                  <c:v>53020</c:v>
                </c:pt>
                <c:pt idx="2">
                  <c:v>55510</c:v>
                </c:pt>
                <c:pt idx="3">
                  <c:v>57345</c:v>
                </c:pt>
                <c:pt idx="4">
                  <c:v>61882</c:v>
                </c:pt>
                <c:pt idx="5">
                  <c:v>64438</c:v>
                </c:pt>
                <c:pt idx="6">
                  <c:v>64797</c:v>
                </c:pt>
                <c:pt idx="7">
                  <c:v>64965</c:v>
                </c:pt>
                <c:pt idx="8">
                  <c:v>64876</c:v>
                </c:pt>
                <c:pt idx="9">
                  <c:v>64712</c:v>
                </c:pt>
                <c:pt idx="10">
                  <c:v>62119</c:v>
                </c:pt>
                <c:pt idx="11">
                  <c:v>62291</c:v>
                </c:pt>
              </c:numCache>
            </c:numRef>
          </c:val>
          <c:smooth val="0"/>
        </c:ser>
        <c:dLbls>
          <c:showLegendKey val="0"/>
          <c:showVal val="0"/>
          <c:showCatName val="0"/>
          <c:showSerName val="0"/>
          <c:showPercent val="0"/>
          <c:showBubbleSize val="0"/>
        </c:dLbls>
        <c:marker val="1"/>
        <c:smooth val="0"/>
        <c:axId val="28512640"/>
        <c:axId val="28514176"/>
      </c:lineChart>
      <c:catAx>
        <c:axId val="28512640"/>
        <c:scaling>
          <c:orientation val="minMax"/>
        </c:scaling>
        <c:delete val="0"/>
        <c:axPos val="b"/>
        <c:numFmt formatCode="[$-41B]mmmm\ yy;@" sourceLinked="0"/>
        <c:majorTickMark val="none"/>
        <c:minorTickMark val="none"/>
        <c:tickLblPos val="nextTo"/>
        <c:txPr>
          <a:bodyPr rot="-5400000" vert="horz"/>
          <a:lstStyle/>
          <a:p>
            <a:pPr>
              <a:defRPr/>
            </a:pPr>
            <a:endParaRPr lang="sk-SK"/>
          </a:p>
        </c:txPr>
        <c:crossAx val="28514176"/>
        <c:crosses val="autoZero"/>
        <c:auto val="1"/>
        <c:lblAlgn val="ctr"/>
        <c:lblOffset val="100"/>
        <c:noMultiLvlLbl val="0"/>
      </c:catAx>
      <c:valAx>
        <c:axId val="28514176"/>
        <c:scaling>
          <c:orientation val="minMax"/>
          <c:max val="75000"/>
          <c:min val="45000"/>
        </c:scaling>
        <c:delete val="0"/>
        <c:axPos val="l"/>
        <c:majorGridlines/>
        <c:title>
          <c:tx>
            <c:rich>
              <a:bodyPr rot="-5400000" vert="horz"/>
              <a:lstStyle/>
              <a:p>
                <a:pPr>
                  <a:defRPr/>
                </a:pPr>
                <a:r>
                  <a:rPr lang="sk-SK"/>
                  <a:t>Počet poberateľov</a:t>
                </a:r>
              </a:p>
            </c:rich>
          </c:tx>
          <c:overlay val="0"/>
        </c:title>
        <c:numFmt formatCode="#,##0" sourceLinked="0"/>
        <c:majorTickMark val="none"/>
        <c:minorTickMark val="none"/>
        <c:tickLblPos val="nextTo"/>
        <c:crossAx val="28512640"/>
        <c:crosses val="autoZero"/>
        <c:crossBetween val="midCat"/>
      </c:valAx>
    </c:plotArea>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strRef>
              <c:f>Hárok7!$B$3:$M$3</c:f>
              <c:strCache>
                <c:ptCount val="12"/>
                <c:pt idx="0">
                  <c:v>I.11</c:v>
                </c:pt>
                <c:pt idx="1">
                  <c:v>II.11</c:v>
                </c:pt>
                <c:pt idx="2">
                  <c:v>III.11</c:v>
                </c:pt>
                <c:pt idx="3">
                  <c:v>IV.11</c:v>
                </c:pt>
                <c:pt idx="4">
                  <c:v>V.11</c:v>
                </c:pt>
                <c:pt idx="5">
                  <c:v>VI.11</c:v>
                </c:pt>
                <c:pt idx="6">
                  <c:v>VII.11</c:v>
                </c:pt>
                <c:pt idx="7">
                  <c:v>VIII.11</c:v>
                </c:pt>
                <c:pt idx="8">
                  <c:v>IX.11</c:v>
                </c:pt>
                <c:pt idx="9">
                  <c:v>X.11</c:v>
                </c:pt>
                <c:pt idx="10">
                  <c:v>XI.11</c:v>
                </c:pt>
                <c:pt idx="11">
                  <c:v>XII.11</c:v>
                </c:pt>
              </c:strCache>
            </c:strRef>
          </c:cat>
          <c:val>
            <c:numRef>
              <c:f>Hárok7!$B$4:$M$4</c:f>
              <c:numCache>
                <c:formatCode>#,##0</c:formatCode>
                <c:ptCount val="12"/>
                <c:pt idx="0">
                  <c:v>69125</c:v>
                </c:pt>
                <c:pt idx="1">
                  <c:v>63609</c:v>
                </c:pt>
                <c:pt idx="2">
                  <c:v>63520</c:v>
                </c:pt>
                <c:pt idx="3">
                  <c:v>63154</c:v>
                </c:pt>
                <c:pt idx="4">
                  <c:v>60536</c:v>
                </c:pt>
                <c:pt idx="5">
                  <c:v>59045</c:v>
                </c:pt>
                <c:pt idx="6">
                  <c:v>58176</c:v>
                </c:pt>
                <c:pt idx="7">
                  <c:v>57665</c:v>
                </c:pt>
                <c:pt idx="8">
                  <c:v>56996</c:v>
                </c:pt>
                <c:pt idx="9">
                  <c:v>56037</c:v>
                </c:pt>
                <c:pt idx="10">
                  <c:v>55868</c:v>
                </c:pt>
                <c:pt idx="11">
                  <c:v>56283</c:v>
                </c:pt>
              </c:numCache>
            </c:numRef>
          </c:val>
          <c:smooth val="0"/>
        </c:ser>
        <c:dLbls>
          <c:showLegendKey val="0"/>
          <c:showVal val="0"/>
          <c:showCatName val="0"/>
          <c:showSerName val="0"/>
          <c:showPercent val="0"/>
          <c:showBubbleSize val="0"/>
        </c:dLbls>
        <c:marker val="1"/>
        <c:smooth val="0"/>
        <c:axId val="28521984"/>
        <c:axId val="28523520"/>
      </c:lineChart>
      <c:catAx>
        <c:axId val="28521984"/>
        <c:scaling>
          <c:orientation val="minMax"/>
        </c:scaling>
        <c:delete val="0"/>
        <c:axPos val="b"/>
        <c:majorTickMark val="none"/>
        <c:minorTickMark val="none"/>
        <c:tickLblPos val="nextTo"/>
        <c:crossAx val="28523520"/>
        <c:crosses val="autoZero"/>
        <c:auto val="1"/>
        <c:lblAlgn val="ctr"/>
        <c:lblOffset val="100"/>
        <c:noMultiLvlLbl val="0"/>
      </c:catAx>
      <c:valAx>
        <c:axId val="28523520"/>
        <c:scaling>
          <c:orientation val="minMax"/>
          <c:min val="54000"/>
        </c:scaling>
        <c:delete val="0"/>
        <c:axPos val="l"/>
        <c:majorGridlines/>
        <c:title>
          <c:tx>
            <c:rich>
              <a:bodyPr rot="-5400000" vert="horz"/>
              <a:lstStyle/>
              <a:p>
                <a:pPr>
                  <a:defRPr/>
                </a:pPr>
                <a:r>
                  <a:rPr lang="sk-SK"/>
                  <a:t>počet poberateľov</a:t>
                </a:r>
              </a:p>
            </c:rich>
          </c:tx>
          <c:overlay val="0"/>
        </c:title>
        <c:numFmt formatCode="#,##0" sourceLinked="1"/>
        <c:majorTickMark val="none"/>
        <c:minorTickMark val="none"/>
        <c:tickLblPos val="nextTo"/>
        <c:crossAx val="28521984"/>
        <c:crosses val="autoZero"/>
        <c:crossBetween val="between"/>
        <c:majorUnit val="4000"/>
        <c:minorUnit val="500"/>
      </c:valAx>
    </c:plotArea>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35411198600178"/>
          <c:y val="4.8611111111111112E-2"/>
          <c:w val="0.86805555555555591"/>
          <c:h val="0.73958333333333359"/>
        </c:manualLayout>
      </c:layout>
      <c:lineChart>
        <c:grouping val="standard"/>
        <c:varyColors val="0"/>
        <c:ser>
          <c:idx val="0"/>
          <c:order val="0"/>
          <c:tx>
            <c:strRef>
              <c:f>'[´Tabuľky a grafy.xlsx]Hárok2'!$B$5</c:f>
              <c:strCache>
                <c:ptCount val="1"/>
                <c:pt idx="0">
                  <c:v>Miera evidovanej nezamestnanosti v %</c:v>
                </c:pt>
              </c:strCache>
            </c:strRef>
          </c:tx>
          <c:cat>
            <c:strRef>
              <c:f>'[´Tabuľky a grafy.xlsx]Hárok2'!$C$4:$J$4</c:f>
              <c:strCache>
                <c:ptCount val="8"/>
                <c:pt idx="0">
                  <c:v>I. Q   2010</c:v>
                </c:pt>
                <c:pt idx="1">
                  <c:v>II. Q 2010</c:v>
                </c:pt>
                <c:pt idx="2">
                  <c:v>III. Q 2010</c:v>
                </c:pt>
                <c:pt idx="3">
                  <c:v>IV. Q 2010</c:v>
                </c:pt>
                <c:pt idx="4">
                  <c:v>I. Q   2011</c:v>
                </c:pt>
                <c:pt idx="5">
                  <c:v>II. Q 2011</c:v>
                </c:pt>
                <c:pt idx="6">
                  <c:v>III. Q 2011</c:v>
                </c:pt>
                <c:pt idx="7">
                  <c:v>IV. Q 2011</c:v>
                </c:pt>
              </c:strCache>
            </c:strRef>
          </c:cat>
          <c:val>
            <c:numRef>
              <c:f>'[´Tabuľky a grafy.xlsx]Hárok2'!$C$5:$J$5</c:f>
              <c:numCache>
                <c:formatCode>General</c:formatCode>
                <c:ptCount val="8"/>
                <c:pt idx="0">
                  <c:v>12.9</c:v>
                </c:pt>
                <c:pt idx="1">
                  <c:v>12.4</c:v>
                </c:pt>
                <c:pt idx="2">
                  <c:v>12.3</c:v>
                </c:pt>
                <c:pt idx="3">
                  <c:v>12.3</c:v>
                </c:pt>
                <c:pt idx="4">
                  <c:v>13.1</c:v>
                </c:pt>
                <c:pt idx="5">
                  <c:v>12.9</c:v>
                </c:pt>
                <c:pt idx="6">
                  <c:v>13.2</c:v>
                </c:pt>
                <c:pt idx="7">
                  <c:v>13.4</c:v>
                </c:pt>
              </c:numCache>
            </c:numRef>
          </c:val>
          <c:smooth val="0"/>
        </c:ser>
        <c:ser>
          <c:idx val="1"/>
          <c:order val="1"/>
          <c:tx>
            <c:strRef>
              <c:f>'[´Tabuľky a grafy.xlsx]Hárok2'!$B$6</c:f>
              <c:strCache>
                <c:ptCount val="1"/>
                <c:pt idx="0">
                  <c:v>Miera nezamestnanosti (VZPS) v %</c:v>
                </c:pt>
              </c:strCache>
            </c:strRef>
          </c:tx>
          <c:val>
            <c:numRef>
              <c:f>'[´Tabuľky a grafy.xlsx]Hárok2'!$C$6:$J$6</c:f>
              <c:numCache>
                <c:formatCode>General</c:formatCode>
                <c:ptCount val="8"/>
                <c:pt idx="0">
                  <c:v>15.1</c:v>
                </c:pt>
                <c:pt idx="1">
                  <c:v>14.4</c:v>
                </c:pt>
                <c:pt idx="2">
                  <c:v>14.1</c:v>
                </c:pt>
                <c:pt idx="3">
                  <c:v>13.9</c:v>
                </c:pt>
                <c:pt idx="4">
                  <c:v>13.9</c:v>
                </c:pt>
                <c:pt idx="5">
                  <c:v>13.1</c:v>
                </c:pt>
                <c:pt idx="6">
                  <c:v>13.1</c:v>
                </c:pt>
                <c:pt idx="7">
                  <c:v>14</c:v>
                </c:pt>
              </c:numCache>
            </c:numRef>
          </c:val>
          <c:smooth val="0"/>
        </c:ser>
        <c:dLbls>
          <c:showLegendKey val="0"/>
          <c:showVal val="0"/>
          <c:showCatName val="0"/>
          <c:showSerName val="0"/>
          <c:showPercent val="0"/>
          <c:showBubbleSize val="0"/>
        </c:dLbls>
        <c:marker val="1"/>
        <c:smooth val="0"/>
        <c:axId val="27607808"/>
        <c:axId val="27609344"/>
      </c:lineChart>
      <c:catAx>
        <c:axId val="27607808"/>
        <c:scaling>
          <c:orientation val="minMax"/>
        </c:scaling>
        <c:delete val="0"/>
        <c:axPos val="b"/>
        <c:numFmt formatCode="General" sourceLinked="1"/>
        <c:majorTickMark val="out"/>
        <c:minorTickMark val="none"/>
        <c:tickLblPos val="nextTo"/>
        <c:crossAx val="27609344"/>
        <c:crosses val="autoZero"/>
        <c:auto val="1"/>
        <c:lblAlgn val="ctr"/>
        <c:lblOffset val="100"/>
        <c:noMultiLvlLbl val="0"/>
      </c:catAx>
      <c:valAx>
        <c:axId val="27609344"/>
        <c:scaling>
          <c:orientation val="minMax"/>
          <c:min val="10"/>
        </c:scaling>
        <c:delete val="0"/>
        <c:axPos val="l"/>
        <c:majorGridlines/>
        <c:title>
          <c:tx>
            <c:rich>
              <a:bodyPr rot="0" vert="wordArtVert"/>
              <a:lstStyle/>
              <a:p>
                <a:pPr>
                  <a:defRPr/>
                </a:pPr>
                <a:r>
                  <a:rPr lang="en-US"/>
                  <a:t>%</a:t>
                </a:r>
              </a:p>
            </c:rich>
          </c:tx>
          <c:overlay val="0"/>
        </c:title>
        <c:numFmt formatCode="General" sourceLinked="1"/>
        <c:majorTickMark val="out"/>
        <c:minorTickMark val="none"/>
        <c:tickLblPos val="nextTo"/>
        <c:crossAx val="27607808"/>
        <c:crosses val="autoZero"/>
        <c:crossBetween val="between"/>
      </c:valAx>
    </c:plotArea>
    <c:legend>
      <c:legendPos val="b"/>
      <c:layout>
        <c:manualLayout>
          <c:xMode val="edge"/>
          <c:yMode val="edge"/>
          <c:x val="0.44556933508311453"/>
          <c:y val="0.58597987751531078"/>
          <c:w val="0.51997222222222217"/>
          <c:h val="0.18253864100320794"/>
        </c:manualLayout>
      </c:layout>
      <c:overlay val="1"/>
    </c:legend>
    <c:plotVisOnly val="1"/>
    <c:dispBlanksAs val="gap"/>
    <c:showDLblsOverMax val="0"/>
  </c:chart>
  <c:spPr>
    <a:ln>
      <a:noFill/>
    </a:ln>
  </c:spPr>
  <c:txPr>
    <a:bodyPr/>
    <a:lstStyle/>
    <a:p>
      <a:pPr>
        <a:defRPr sz="920" baseline="0">
          <a:latin typeface="Times New Roman" pitchFamily="18" charset="0"/>
        </a:defRPr>
      </a:pPr>
      <a:endParaRPr lang="sk-SK"/>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30"/>
    </c:view3D>
    <c:floor>
      <c:thickness val="0"/>
    </c:floor>
    <c:sideWall>
      <c:thickness val="0"/>
    </c:sideWall>
    <c:backWall>
      <c:thickness val="0"/>
    </c:backWall>
    <c:plotArea>
      <c:layout>
        <c:manualLayout>
          <c:layoutTarget val="inner"/>
          <c:xMode val="edge"/>
          <c:yMode val="edge"/>
          <c:x val="0.122407687775955"/>
          <c:y val="8.7905935748530242E-2"/>
          <c:w val="0.84218141276186065"/>
          <c:h val="0.71374367990224497"/>
        </c:manualLayout>
      </c:layout>
      <c:bar3DChart>
        <c:barDir val="col"/>
        <c:grouping val="clustered"/>
        <c:varyColors val="0"/>
        <c:ser>
          <c:idx val="0"/>
          <c:order val="0"/>
          <c:tx>
            <c:strRef>
              <c:f>Dotácie!$A$3</c:f>
              <c:strCache>
                <c:ptCount val="1"/>
                <c:pt idx="0">
                  <c:v>počet detí</c:v>
                </c:pt>
              </c:strCache>
            </c:strRef>
          </c:tx>
          <c:invertIfNegative val="0"/>
          <c:cat>
            <c:strRef>
              <c:f>Dotácie!$B$2:$I$2</c:f>
              <c:strCache>
                <c:ptCount val="8"/>
                <c:pt idx="0">
                  <c:v>BA</c:v>
                </c:pt>
                <c:pt idx="1">
                  <c:v>TA</c:v>
                </c:pt>
                <c:pt idx="2">
                  <c:v>TC</c:v>
                </c:pt>
                <c:pt idx="3">
                  <c:v>NI</c:v>
                </c:pt>
                <c:pt idx="4">
                  <c:v>ZI</c:v>
                </c:pt>
                <c:pt idx="5">
                  <c:v>BC</c:v>
                </c:pt>
                <c:pt idx="6">
                  <c:v>PV</c:v>
                </c:pt>
                <c:pt idx="7">
                  <c:v>KI</c:v>
                </c:pt>
              </c:strCache>
            </c:strRef>
          </c:cat>
          <c:val>
            <c:numRef>
              <c:f>Dotácie!$B$3:$I$3</c:f>
              <c:numCache>
                <c:formatCode>#,##0_ ;\-#,##0\ </c:formatCode>
                <c:ptCount val="8"/>
                <c:pt idx="0">
                  <c:v>787.66666666666663</c:v>
                </c:pt>
                <c:pt idx="1">
                  <c:v>2589</c:v>
                </c:pt>
                <c:pt idx="2">
                  <c:v>2086.5833333333567</c:v>
                </c:pt>
                <c:pt idx="3">
                  <c:v>6668.3333333333285</c:v>
                </c:pt>
                <c:pt idx="4">
                  <c:v>4123.25</c:v>
                </c:pt>
                <c:pt idx="5">
                  <c:v>16378.25</c:v>
                </c:pt>
                <c:pt idx="6">
                  <c:v>24764.416666666657</c:v>
                </c:pt>
                <c:pt idx="7">
                  <c:v>22863.833333333296</c:v>
                </c:pt>
              </c:numCache>
            </c:numRef>
          </c:val>
        </c:ser>
        <c:dLbls>
          <c:showLegendKey val="0"/>
          <c:showVal val="0"/>
          <c:showCatName val="0"/>
          <c:showSerName val="0"/>
          <c:showPercent val="0"/>
          <c:showBubbleSize val="0"/>
        </c:dLbls>
        <c:gapWidth val="150"/>
        <c:shape val="box"/>
        <c:axId val="28539904"/>
        <c:axId val="28541696"/>
        <c:axId val="0"/>
      </c:bar3DChart>
      <c:catAx>
        <c:axId val="28539904"/>
        <c:scaling>
          <c:orientation val="minMax"/>
        </c:scaling>
        <c:delete val="0"/>
        <c:axPos val="b"/>
        <c:majorTickMark val="out"/>
        <c:minorTickMark val="none"/>
        <c:tickLblPos val="nextTo"/>
        <c:crossAx val="28541696"/>
        <c:crosses val="autoZero"/>
        <c:auto val="1"/>
        <c:lblAlgn val="ctr"/>
        <c:lblOffset val="100"/>
        <c:noMultiLvlLbl val="0"/>
      </c:catAx>
      <c:valAx>
        <c:axId val="28541696"/>
        <c:scaling>
          <c:orientation val="minMax"/>
        </c:scaling>
        <c:delete val="0"/>
        <c:axPos val="l"/>
        <c:majorGridlines/>
        <c:numFmt formatCode="#,##0_ ;\-#,##0\ " sourceLinked="1"/>
        <c:majorTickMark val="out"/>
        <c:minorTickMark val="none"/>
        <c:tickLblPos val="nextTo"/>
        <c:crossAx val="28539904"/>
        <c:crosses val="autoZero"/>
        <c:crossBetween val="between"/>
      </c:valAx>
    </c:plotArea>
    <c:legend>
      <c:legendPos val="r"/>
      <c:layout>
        <c:manualLayout>
          <c:xMode val="edge"/>
          <c:yMode val="edge"/>
          <c:x val="0.34231782932796362"/>
          <c:y val="0.14421914444465367"/>
          <c:w val="0.23975875650827441"/>
          <c:h val="0.1431294106062089"/>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50"/>
      <c:rAngAx val="1"/>
    </c:view3D>
    <c:floor>
      <c:thickness val="0"/>
    </c:floor>
    <c:sideWall>
      <c:thickness val="0"/>
    </c:sideWall>
    <c:backWall>
      <c:thickness val="0"/>
    </c:backWall>
    <c:plotArea>
      <c:layout>
        <c:manualLayout>
          <c:layoutTarget val="inner"/>
          <c:xMode val="edge"/>
          <c:yMode val="edge"/>
          <c:x val="0.1036752758034917"/>
          <c:y val="7.6024974658701436E-2"/>
          <c:w val="0.88052794874006546"/>
          <c:h val="0.752432764681778"/>
        </c:manualLayout>
      </c:layout>
      <c:bar3DChart>
        <c:barDir val="col"/>
        <c:grouping val="clustered"/>
        <c:varyColors val="0"/>
        <c:ser>
          <c:idx val="0"/>
          <c:order val="0"/>
          <c:tx>
            <c:strRef>
              <c:f>Dotácie!$A$9</c:f>
              <c:strCache>
                <c:ptCount val="1"/>
                <c:pt idx="0">
                  <c:v>I. polrok</c:v>
                </c:pt>
              </c:strCache>
            </c:strRef>
          </c:tx>
          <c:invertIfNegative val="0"/>
          <c:cat>
            <c:strRef>
              <c:f>Dotácie!$B$8:$I$8</c:f>
              <c:strCache>
                <c:ptCount val="8"/>
                <c:pt idx="0">
                  <c:v>BA</c:v>
                </c:pt>
                <c:pt idx="1">
                  <c:v>TA</c:v>
                </c:pt>
                <c:pt idx="2">
                  <c:v>TC</c:v>
                </c:pt>
                <c:pt idx="3">
                  <c:v>NI</c:v>
                </c:pt>
                <c:pt idx="4">
                  <c:v>ZI</c:v>
                </c:pt>
                <c:pt idx="5">
                  <c:v>BC</c:v>
                </c:pt>
                <c:pt idx="6">
                  <c:v>PV</c:v>
                </c:pt>
                <c:pt idx="7">
                  <c:v>KI</c:v>
                </c:pt>
              </c:strCache>
            </c:strRef>
          </c:cat>
          <c:val>
            <c:numRef>
              <c:f>Dotácie!$B$9:$I$9</c:f>
              <c:numCache>
                <c:formatCode>General</c:formatCode>
                <c:ptCount val="8"/>
                <c:pt idx="0">
                  <c:v>868</c:v>
                </c:pt>
                <c:pt idx="1">
                  <c:v>2369</c:v>
                </c:pt>
                <c:pt idx="2">
                  <c:v>1997</c:v>
                </c:pt>
                <c:pt idx="3">
                  <c:v>8076</c:v>
                </c:pt>
                <c:pt idx="4">
                  <c:v>4117</c:v>
                </c:pt>
                <c:pt idx="5">
                  <c:v>16542</c:v>
                </c:pt>
                <c:pt idx="6">
                  <c:v>26291</c:v>
                </c:pt>
                <c:pt idx="7">
                  <c:v>25261</c:v>
                </c:pt>
              </c:numCache>
            </c:numRef>
          </c:val>
        </c:ser>
        <c:ser>
          <c:idx val="1"/>
          <c:order val="1"/>
          <c:tx>
            <c:strRef>
              <c:f>Dotácie!$A$10</c:f>
              <c:strCache>
                <c:ptCount val="1"/>
                <c:pt idx="0">
                  <c:v>II. polrok</c:v>
                </c:pt>
              </c:strCache>
            </c:strRef>
          </c:tx>
          <c:invertIfNegative val="0"/>
          <c:cat>
            <c:strRef>
              <c:f>Dotácie!$B$8:$I$8</c:f>
              <c:strCache>
                <c:ptCount val="8"/>
                <c:pt idx="0">
                  <c:v>BA</c:v>
                </c:pt>
                <c:pt idx="1">
                  <c:v>TA</c:v>
                </c:pt>
                <c:pt idx="2">
                  <c:v>TC</c:v>
                </c:pt>
                <c:pt idx="3">
                  <c:v>NI</c:v>
                </c:pt>
                <c:pt idx="4">
                  <c:v>ZI</c:v>
                </c:pt>
                <c:pt idx="5">
                  <c:v>BC</c:v>
                </c:pt>
                <c:pt idx="6">
                  <c:v>PV</c:v>
                </c:pt>
                <c:pt idx="7">
                  <c:v>KI</c:v>
                </c:pt>
              </c:strCache>
            </c:strRef>
          </c:cat>
          <c:val>
            <c:numRef>
              <c:f>Dotácie!$B$10:$I$10</c:f>
              <c:numCache>
                <c:formatCode>General</c:formatCode>
                <c:ptCount val="8"/>
                <c:pt idx="0">
                  <c:v>787</c:v>
                </c:pt>
                <c:pt idx="1">
                  <c:v>2436</c:v>
                </c:pt>
                <c:pt idx="2">
                  <c:v>1985</c:v>
                </c:pt>
                <c:pt idx="3">
                  <c:v>6290</c:v>
                </c:pt>
                <c:pt idx="4">
                  <c:v>3773</c:v>
                </c:pt>
                <c:pt idx="5">
                  <c:v>16653</c:v>
                </c:pt>
                <c:pt idx="6">
                  <c:v>25904</c:v>
                </c:pt>
                <c:pt idx="7">
                  <c:v>24843</c:v>
                </c:pt>
              </c:numCache>
            </c:numRef>
          </c:val>
        </c:ser>
        <c:dLbls>
          <c:showLegendKey val="0"/>
          <c:showVal val="0"/>
          <c:showCatName val="0"/>
          <c:showSerName val="0"/>
          <c:showPercent val="0"/>
          <c:showBubbleSize val="0"/>
        </c:dLbls>
        <c:gapWidth val="150"/>
        <c:shape val="box"/>
        <c:axId val="28558848"/>
        <c:axId val="28560384"/>
        <c:axId val="0"/>
      </c:bar3DChart>
      <c:catAx>
        <c:axId val="28558848"/>
        <c:scaling>
          <c:orientation val="minMax"/>
        </c:scaling>
        <c:delete val="0"/>
        <c:axPos val="b"/>
        <c:majorTickMark val="out"/>
        <c:minorTickMark val="none"/>
        <c:tickLblPos val="nextTo"/>
        <c:crossAx val="28560384"/>
        <c:crosses val="autoZero"/>
        <c:auto val="1"/>
        <c:lblAlgn val="ctr"/>
        <c:lblOffset val="100"/>
        <c:noMultiLvlLbl val="0"/>
      </c:catAx>
      <c:valAx>
        <c:axId val="28560384"/>
        <c:scaling>
          <c:orientation val="minMax"/>
        </c:scaling>
        <c:delete val="0"/>
        <c:axPos val="l"/>
        <c:majorGridlines/>
        <c:numFmt formatCode="General" sourceLinked="1"/>
        <c:majorTickMark val="out"/>
        <c:minorTickMark val="none"/>
        <c:tickLblPos val="nextTo"/>
        <c:crossAx val="28558848"/>
        <c:crosses val="autoZero"/>
        <c:crossBetween val="between"/>
      </c:valAx>
    </c:plotArea>
    <c:legend>
      <c:legendPos val="r"/>
      <c:layout>
        <c:manualLayout>
          <c:xMode val="edge"/>
          <c:yMode val="edge"/>
          <c:x val="0.17832910465744592"/>
          <c:y val="0.10907586756994186"/>
          <c:w val="0.24068605425698716"/>
          <c:h val="0.21342010481592583"/>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50933856040268"/>
          <c:y val="0.22847099798371917"/>
          <c:w val="0.88024689991476757"/>
          <c:h val="0.60002964247053447"/>
        </c:manualLayout>
      </c:layout>
      <c:lineChart>
        <c:grouping val="standard"/>
        <c:varyColors val="0"/>
        <c:ser>
          <c:idx val="0"/>
          <c:order val="0"/>
          <c:tx>
            <c:strRef>
              <c:f>PnD!$B$2</c:f>
              <c:strCache>
                <c:ptCount val="1"/>
                <c:pt idx="0">
                  <c:v>2011 neplatené výživné (deti)</c:v>
                </c:pt>
              </c:strCache>
            </c:strRef>
          </c:tx>
          <c:cat>
            <c:strRef>
              <c:f>PnD!$C$1:$N$1</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PnD!$C$2:$N$2</c:f>
              <c:numCache>
                <c:formatCode>#,##0</c:formatCode>
                <c:ptCount val="12"/>
                <c:pt idx="0">
                  <c:v>11639</c:v>
                </c:pt>
                <c:pt idx="1">
                  <c:v>11854</c:v>
                </c:pt>
                <c:pt idx="2">
                  <c:v>11972</c:v>
                </c:pt>
                <c:pt idx="3">
                  <c:v>11905</c:v>
                </c:pt>
                <c:pt idx="4">
                  <c:v>11939</c:v>
                </c:pt>
                <c:pt idx="5">
                  <c:v>12131</c:v>
                </c:pt>
                <c:pt idx="6">
                  <c:v>12179</c:v>
                </c:pt>
                <c:pt idx="7">
                  <c:v>12151</c:v>
                </c:pt>
                <c:pt idx="8">
                  <c:v>12227</c:v>
                </c:pt>
                <c:pt idx="9">
                  <c:v>12033</c:v>
                </c:pt>
                <c:pt idx="10">
                  <c:v>12156</c:v>
                </c:pt>
                <c:pt idx="11">
                  <c:v>12441</c:v>
                </c:pt>
              </c:numCache>
            </c:numRef>
          </c:val>
          <c:smooth val="0"/>
        </c:ser>
        <c:ser>
          <c:idx val="1"/>
          <c:order val="1"/>
          <c:tx>
            <c:strRef>
              <c:f>PnD!$B$3</c:f>
              <c:strCache>
                <c:ptCount val="1"/>
                <c:pt idx="0">
                  <c:v>2011 sirotský dôchodok (deti)</c:v>
                </c:pt>
              </c:strCache>
            </c:strRef>
          </c:tx>
          <c:cat>
            <c:strRef>
              <c:f>PnD!$C$1:$N$1</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PnD!$C$3:$N$3</c:f>
              <c:numCache>
                <c:formatCode>#,##0</c:formatCode>
                <c:ptCount val="12"/>
                <c:pt idx="0">
                  <c:v>1293</c:v>
                </c:pt>
                <c:pt idx="1">
                  <c:v>1279</c:v>
                </c:pt>
                <c:pt idx="2">
                  <c:v>1291</c:v>
                </c:pt>
                <c:pt idx="3">
                  <c:v>1287</c:v>
                </c:pt>
                <c:pt idx="4">
                  <c:v>1282</c:v>
                </c:pt>
                <c:pt idx="5">
                  <c:v>1271</c:v>
                </c:pt>
                <c:pt idx="6">
                  <c:v>1282</c:v>
                </c:pt>
                <c:pt idx="7">
                  <c:v>1265</c:v>
                </c:pt>
                <c:pt idx="8">
                  <c:v>1287</c:v>
                </c:pt>
                <c:pt idx="9">
                  <c:v>1231</c:v>
                </c:pt>
                <c:pt idx="10">
                  <c:v>1246</c:v>
                </c:pt>
                <c:pt idx="11">
                  <c:v>1266</c:v>
                </c:pt>
              </c:numCache>
            </c:numRef>
          </c:val>
          <c:smooth val="0"/>
        </c:ser>
        <c:ser>
          <c:idx val="2"/>
          <c:order val="2"/>
          <c:tx>
            <c:strRef>
              <c:f>PnD!$B$4</c:f>
              <c:strCache>
                <c:ptCount val="1"/>
                <c:pt idx="0">
                  <c:v>2010 neplatené výživné (deti)</c:v>
                </c:pt>
              </c:strCache>
            </c:strRef>
          </c:tx>
          <c:cat>
            <c:strRef>
              <c:f>PnD!$C$1:$N$1</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PnD!$C$4:$N$4</c:f>
              <c:numCache>
                <c:formatCode>#,##0</c:formatCode>
                <c:ptCount val="12"/>
                <c:pt idx="0">
                  <c:v>9709</c:v>
                </c:pt>
                <c:pt idx="1">
                  <c:v>9981</c:v>
                </c:pt>
                <c:pt idx="2">
                  <c:v>10228</c:v>
                </c:pt>
                <c:pt idx="3">
                  <c:v>10377</c:v>
                </c:pt>
                <c:pt idx="4">
                  <c:v>10655</c:v>
                </c:pt>
                <c:pt idx="5">
                  <c:v>10926</c:v>
                </c:pt>
                <c:pt idx="6">
                  <c:v>11111</c:v>
                </c:pt>
                <c:pt idx="7">
                  <c:v>11068</c:v>
                </c:pt>
                <c:pt idx="8">
                  <c:v>11276</c:v>
                </c:pt>
                <c:pt idx="9">
                  <c:v>11038</c:v>
                </c:pt>
                <c:pt idx="10">
                  <c:v>11266</c:v>
                </c:pt>
                <c:pt idx="11">
                  <c:v>11629</c:v>
                </c:pt>
              </c:numCache>
            </c:numRef>
          </c:val>
          <c:smooth val="0"/>
        </c:ser>
        <c:ser>
          <c:idx val="3"/>
          <c:order val="3"/>
          <c:tx>
            <c:strRef>
              <c:f>PnD!$B$5</c:f>
              <c:strCache>
                <c:ptCount val="1"/>
                <c:pt idx="0">
                  <c:v>2010 sirotský dôchodok (deti)</c:v>
                </c:pt>
              </c:strCache>
            </c:strRef>
          </c:tx>
          <c:cat>
            <c:strRef>
              <c:f>PnD!$C$1:$N$1</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PnD!$C$5:$N$5</c:f>
              <c:numCache>
                <c:formatCode>#,##0</c:formatCode>
                <c:ptCount val="12"/>
                <c:pt idx="0">
                  <c:v>1119</c:v>
                </c:pt>
                <c:pt idx="1">
                  <c:v>1156</c:v>
                </c:pt>
                <c:pt idx="2">
                  <c:v>1177</c:v>
                </c:pt>
                <c:pt idx="3">
                  <c:v>1207</c:v>
                </c:pt>
                <c:pt idx="4">
                  <c:v>1259</c:v>
                </c:pt>
                <c:pt idx="5">
                  <c:v>1270</c:v>
                </c:pt>
                <c:pt idx="6">
                  <c:v>1293</c:v>
                </c:pt>
                <c:pt idx="7">
                  <c:v>1285</c:v>
                </c:pt>
                <c:pt idx="8">
                  <c:v>1329</c:v>
                </c:pt>
                <c:pt idx="9">
                  <c:v>1292</c:v>
                </c:pt>
                <c:pt idx="10">
                  <c:v>1301</c:v>
                </c:pt>
                <c:pt idx="11">
                  <c:v>1289</c:v>
                </c:pt>
              </c:numCache>
            </c:numRef>
          </c:val>
          <c:smooth val="0"/>
        </c:ser>
        <c:dLbls>
          <c:showLegendKey val="0"/>
          <c:showVal val="0"/>
          <c:showCatName val="0"/>
          <c:showSerName val="0"/>
          <c:showPercent val="0"/>
          <c:showBubbleSize val="0"/>
        </c:dLbls>
        <c:marker val="1"/>
        <c:smooth val="0"/>
        <c:axId val="28583040"/>
        <c:axId val="28584576"/>
      </c:lineChart>
      <c:catAx>
        <c:axId val="2858304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sk-SK"/>
          </a:p>
        </c:txPr>
        <c:crossAx val="28584576"/>
        <c:crosses val="autoZero"/>
        <c:auto val="1"/>
        <c:lblAlgn val="ctr"/>
        <c:lblOffset val="100"/>
        <c:noMultiLvlLbl val="0"/>
      </c:catAx>
      <c:valAx>
        <c:axId val="28584576"/>
        <c:scaling>
          <c:orientation val="minMax"/>
        </c:scaling>
        <c:delete val="0"/>
        <c:axPos val="l"/>
        <c:majorGridlines/>
        <c:numFmt formatCode="#,##0" sourceLinked="1"/>
        <c:majorTickMark val="out"/>
        <c:minorTickMark val="none"/>
        <c:tickLblPos val="nextTo"/>
        <c:txPr>
          <a:bodyPr/>
          <a:lstStyle/>
          <a:p>
            <a:pPr>
              <a:defRPr sz="800">
                <a:latin typeface="Times New Roman" pitchFamily="18" charset="0"/>
                <a:cs typeface="Times New Roman" pitchFamily="18" charset="0"/>
              </a:defRPr>
            </a:pPr>
            <a:endParaRPr lang="sk-SK"/>
          </a:p>
        </c:txPr>
        <c:crossAx val="28583040"/>
        <c:crosses val="autoZero"/>
        <c:crossBetween val="between"/>
      </c:valAx>
    </c:plotArea>
    <c:legend>
      <c:legendPos val="t"/>
      <c:overlay val="0"/>
      <c:txPr>
        <a:bodyPr/>
        <a:lstStyle/>
        <a:p>
          <a:pPr>
            <a:defRPr sz="800">
              <a:latin typeface="Times New Roman" pitchFamily="18" charset="0"/>
              <a:cs typeface="Times New Roman" pitchFamily="18" charset="0"/>
            </a:defRPr>
          </a:pPr>
          <a:endParaRPr lang="sk-SK"/>
        </a:p>
      </c:txPr>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15165633881748E-2"/>
          <c:y val="6.5289718353058857E-2"/>
          <c:w val="0.87912733541443855"/>
          <c:h val="0.73321497049349338"/>
        </c:manualLayout>
      </c:layout>
      <c:barChart>
        <c:barDir val="col"/>
        <c:grouping val="clustered"/>
        <c:varyColors val="0"/>
        <c:ser>
          <c:idx val="1"/>
          <c:order val="0"/>
          <c:tx>
            <c:strRef>
              <c:f>'nahradna starostlivost'!$A$4</c:f>
              <c:strCache>
                <c:ptCount val="1"/>
                <c:pt idx="0">
                  <c:v>počet</c:v>
                </c:pt>
              </c:strCache>
            </c:strRef>
          </c:tx>
          <c:spPr>
            <a:solidFill>
              <a:schemeClr val="tx2">
                <a:lumMod val="60000"/>
                <a:lumOff val="40000"/>
              </a:schemeClr>
            </a:solidFill>
          </c:spPr>
          <c:invertIfNegative val="0"/>
          <c:val>
            <c:numRef>
              <c:f>'nahradna starostlivost'!$B$4:$Z$4</c:f>
              <c:numCache>
                <c:formatCode>0</c:formatCode>
                <c:ptCount val="25"/>
                <c:pt idx="0">
                  <c:v>36.75</c:v>
                </c:pt>
                <c:pt idx="1">
                  <c:v>137.91666666666652</c:v>
                </c:pt>
                <c:pt idx="2">
                  <c:v>223.41666666666652</c:v>
                </c:pt>
                <c:pt idx="3">
                  <c:v>283.83333333333331</c:v>
                </c:pt>
                <c:pt idx="4">
                  <c:v>319.41666666666674</c:v>
                </c:pt>
                <c:pt idx="5">
                  <c:v>350.33333333333331</c:v>
                </c:pt>
                <c:pt idx="6">
                  <c:v>425.08333333333331</c:v>
                </c:pt>
                <c:pt idx="7">
                  <c:v>471.25</c:v>
                </c:pt>
                <c:pt idx="8">
                  <c:v>458.83333333333331</c:v>
                </c:pt>
                <c:pt idx="9">
                  <c:v>466.5</c:v>
                </c:pt>
                <c:pt idx="10">
                  <c:v>539.25</c:v>
                </c:pt>
                <c:pt idx="11">
                  <c:v>514.58333333333985</c:v>
                </c:pt>
                <c:pt idx="12">
                  <c:v>490.33333333333331</c:v>
                </c:pt>
                <c:pt idx="13">
                  <c:v>523.16666666666663</c:v>
                </c:pt>
                <c:pt idx="14">
                  <c:v>545</c:v>
                </c:pt>
                <c:pt idx="15">
                  <c:v>480</c:v>
                </c:pt>
                <c:pt idx="16">
                  <c:v>442.41666666666674</c:v>
                </c:pt>
                <c:pt idx="17">
                  <c:v>416.75</c:v>
                </c:pt>
                <c:pt idx="18">
                  <c:v>326.41666666666674</c:v>
                </c:pt>
                <c:pt idx="19">
                  <c:v>207.91666666666652</c:v>
                </c:pt>
                <c:pt idx="20">
                  <c:v>106.75</c:v>
                </c:pt>
                <c:pt idx="21">
                  <c:v>57.916666666665954</c:v>
                </c:pt>
                <c:pt idx="22">
                  <c:v>33.25</c:v>
                </c:pt>
                <c:pt idx="23">
                  <c:v>22.25</c:v>
                </c:pt>
                <c:pt idx="24">
                  <c:v>17.333333333333108</c:v>
                </c:pt>
              </c:numCache>
            </c:numRef>
          </c:val>
        </c:ser>
        <c:dLbls>
          <c:showLegendKey val="0"/>
          <c:showVal val="0"/>
          <c:showCatName val="0"/>
          <c:showSerName val="0"/>
          <c:showPercent val="0"/>
          <c:showBubbleSize val="0"/>
        </c:dLbls>
        <c:gapWidth val="150"/>
        <c:axId val="28592768"/>
        <c:axId val="28603136"/>
      </c:barChart>
      <c:catAx>
        <c:axId val="28592768"/>
        <c:scaling>
          <c:orientation val="minMax"/>
        </c:scaling>
        <c:delete val="0"/>
        <c:axPos val="b"/>
        <c:title>
          <c:tx>
            <c:rich>
              <a:bodyPr/>
              <a:lstStyle/>
              <a:p>
                <a:pPr>
                  <a:defRPr/>
                </a:pPr>
                <a:r>
                  <a:rPr lang="en-US"/>
                  <a:t>vek</a:t>
                </a:r>
              </a:p>
            </c:rich>
          </c:tx>
          <c:overlay val="0"/>
        </c:title>
        <c:majorTickMark val="out"/>
        <c:minorTickMark val="none"/>
        <c:tickLblPos val="nextTo"/>
        <c:crossAx val="28603136"/>
        <c:crossesAt val="-1"/>
        <c:auto val="1"/>
        <c:lblAlgn val="ctr"/>
        <c:lblOffset val="100"/>
        <c:tickLblSkip val="1"/>
        <c:noMultiLvlLbl val="0"/>
      </c:catAx>
      <c:valAx>
        <c:axId val="28603136"/>
        <c:scaling>
          <c:orientation val="minMax"/>
          <c:max val="550"/>
          <c:min val="0"/>
        </c:scaling>
        <c:delete val="0"/>
        <c:axPos val="l"/>
        <c:majorGridlines/>
        <c:title>
          <c:tx>
            <c:rich>
              <a:bodyPr rot="-5400000" vert="horz"/>
              <a:lstStyle/>
              <a:p>
                <a:pPr>
                  <a:defRPr/>
                </a:pPr>
                <a:r>
                  <a:rPr lang="en-US"/>
                  <a:t>počet detí</a:t>
                </a:r>
              </a:p>
            </c:rich>
          </c:tx>
          <c:overlay val="0"/>
        </c:title>
        <c:numFmt formatCode="0" sourceLinked="1"/>
        <c:majorTickMark val="out"/>
        <c:minorTickMark val="none"/>
        <c:tickLblPos val="nextTo"/>
        <c:crossAx val="28592768"/>
        <c:crosses val="autoZero"/>
        <c:crossBetween val="between"/>
      </c:valAx>
    </c:plotArea>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2693285214348221"/>
          <c:y val="7.4548702245552642E-2"/>
          <c:w val="0.8549140349970682"/>
          <c:h val="0.79822506561679785"/>
        </c:manualLayout>
      </c:layout>
      <c:bar3DChart>
        <c:barDir val="col"/>
        <c:grouping val="clustered"/>
        <c:varyColors val="0"/>
        <c:ser>
          <c:idx val="0"/>
          <c:order val="0"/>
          <c:tx>
            <c:v>2010</c:v>
          </c:tx>
          <c:invertIfNegative val="0"/>
          <c:cat>
            <c:strRef>
              <c:f>'[Kópia - Zošit-správa1.xlsx]Hárok14'!$B$27:$M$27</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'[Kópia - Zošit-správa1.xlsx]Hárok14'!$B$28:$M$28</c:f>
              <c:numCache>
                <c:formatCode>#,##0</c:formatCode>
                <c:ptCount val="12"/>
                <c:pt idx="0">
                  <c:v>153210</c:v>
                </c:pt>
                <c:pt idx="1">
                  <c:v>154380</c:v>
                </c:pt>
                <c:pt idx="2">
                  <c:v>155256</c:v>
                </c:pt>
                <c:pt idx="3">
                  <c:v>156134</c:v>
                </c:pt>
                <c:pt idx="4">
                  <c:v>157062</c:v>
                </c:pt>
                <c:pt idx="5">
                  <c:v>158078</c:v>
                </c:pt>
                <c:pt idx="6">
                  <c:v>158925</c:v>
                </c:pt>
                <c:pt idx="7">
                  <c:v>154432</c:v>
                </c:pt>
                <c:pt idx="8">
                  <c:v>157696</c:v>
                </c:pt>
                <c:pt idx="9">
                  <c:v>158536</c:v>
                </c:pt>
                <c:pt idx="10">
                  <c:v>159245</c:v>
                </c:pt>
                <c:pt idx="11">
                  <c:v>159859</c:v>
                </c:pt>
              </c:numCache>
            </c:numRef>
          </c:val>
        </c:ser>
        <c:ser>
          <c:idx val="1"/>
          <c:order val="1"/>
          <c:tx>
            <c:v>2011</c:v>
          </c:tx>
          <c:invertIfNegative val="0"/>
          <c:cat>
            <c:strRef>
              <c:f>'[Kópia - Zošit-správa1.xlsx]Hárok14'!$B$27:$M$27</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'[Kópia - Zošit-správa1.xlsx]Hárok14'!$B$29:$M$29</c:f>
              <c:numCache>
                <c:formatCode>#,##0</c:formatCode>
                <c:ptCount val="12"/>
                <c:pt idx="0">
                  <c:v>160098</c:v>
                </c:pt>
                <c:pt idx="1">
                  <c:v>160972</c:v>
                </c:pt>
                <c:pt idx="2">
                  <c:v>161499</c:v>
                </c:pt>
                <c:pt idx="3">
                  <c:v>162013</c:v>
                </c:pt>
                <c:pt idx="4">
                  <c:v>162411</c:v>
                </c:pt>
                <c:pt idx="5">
                  <c:v>163263</c:v>
                </c:pt>
                <c:pt idx="6">
                  <c:v>163786</c:v>
                </c:pt>
                <c:pt idx="7">
                  <c:v>160768</c:v>
                </c:pt>
                <c:pt idx="8">
                  <c:v>162085</c:v>
                </c:pt>
                <c:pt idx="9">
                  <c:v>163264</c:v>
                </c:pt>
                <c:pt idx="10">
                  <c:v>164021</c:v>
                </c:pt>
                <c:pt idx="11">
                  <c:v>164537</c:v>
                </c:pt>
              </c:numCache>
            </c:numRef>
          </c:val>
        </c:ser>
        <c:dLbls>
          <c:showLegendKey val="0"/>
          <c:showVal val="0"/>
          <c:showCatName val="0"/>
          <c:showSerName val="0"/>
          <c:showPercent val="0"/>
          <c:showBubbleSize val="0"/>
        </c:dLbls>
        <c:gapWidth val="150"/>
        <c:shape val="cylinder"/>
        <c:axId val="28615808"/>
        <c:axId val="28617344"/>
        <c:axId val="0"/>
      </c:bar3DChart>
      <c:catAx>
        <c:axId val="28615808"/>
        <c:scaling>
          <c:orientation val="minMax"/>
        </c:scaling>
        <c:delete val="0"/>
        <c:axPos val="b"/>
        <c:numFmt formatCode="General" sourceLinked="0"/>
        <c:majorTickMark val="out"/>
        <c:minorTickMark val="none"/>
        <c:tickLblPos val="nextTo"/>
        <c:crossAx val="28617344"/>
        <c:crosses val="autoZero"/>
        <c:auto val="1"/>
        <c:lblAlgn val="ctr"/>
        <c:lblOffset val="100"/>
        <c:noMultiLvlLbl val="0"/>
      </c:catAx>
      <c:valAx>
        <c:axId val="28617344"/>
        <c:scaling>
          <c:orientation val="minMax"/>
        </c:scaling>
        <c:delete val="0"/>
        <c:axPos val="l"/>
        <c:majorGridlines/>
        <c:numFmt formatCode="#,##0" sourceLinked="1"/>
        <c:majorTickMark val="out"/>
        <c:minorTickMark val="none"/>
        <c:tickLblPos val="nextTo"/>
        <c:crossAx val="28615808"/>
        <c:crosses val="autoZero"/>
        <c:crossBetween val="between"/>
      </c:valAx>
    </c:plotArea>
    <c:legend>
      <c:legendPos val="r"/>
      <c:layout>
        <c:manualLayout>
          <c:xMode val="edge"/>
          <c:yMode val="edge"/>
          <c:x val="0.15172547812627099"/>
          <c:y val="8.7600976961213245E-2"/>
          <c:w val="9.8578158777890362E-2"/>
          <c:h val="0.160330271216098"/>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196522309711309"/>
          <c:y val="5.0925925925925923E-2"/>
          <c:w val="0.8403473315835529"/>
          <c:h val="0.79070246427529889"/>
        </c:manualLayout>
      </c:layout>
      <c:bar3DChart>
        <c:barDir val="col"/>
        <c:grouping val="clustered"/>
        <c:varyColors val="0"/>
        <c:ser>
          <c:idx val="0"/>
          <c:order val="0"/>
          <c:tx>
            <c:strRef>
              <c:f>'[Kópia - Zošit-správa1.xlsx]Hárok14'!$A$51</c:f>
              <c:strCache>
                <c:ptCount val="1"/>
                <c:pt idx="0">
                  <c:v>2010</c:v>
                </c:pt>
              </c:strCache>
            </c:strRef>
          </c:tx>
          <c:invertIfNegative val="0"/>
          <c:cat>
            <c:strRef>
              <c:f>'[Kópia - Zošit-správa1.xlsx]Hárok14'!$B$50:$M$50</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'[Kópia - Zošit-správa1.xlsx]Hárok14'!$B$51:$M$51</c:f>
              <c:numCache>
                <c:formatCode>#,##0</c:formatCode>
                <c:ptCount val="12"/>
                <c:pt idx="0">
                  <c:v>153210</c:v>
                </c:pt>
                <c:pt idx="1">
                  <c:v>154380</c:v>
                </c:pt>
                <c:pt idx="2">
                  <c:v>155256</c:v>
                </c:pt>
                <c:pt idx="3">
                  <c:v>156134</c:v>
                </c:pt>
                <c:pt idx="4">
                  <c:v>157062</c:v>
                </c:pt>
                <c:pt idx="5">
                  <c:v>158078</c:v>
                </c:pt>
                <c:pt idx="6">
                  <c:v>158925</c:v>
                </c:pt>
                <c:pt idx="7">
                  <c:v>154432</c:v>
                </c:pt>
                <c:pt idx="8">
                  <c:v>157696</c:v>
                </c:pt>
                <c:pt idx="9">
                  <c:v>158536</c:v>
                </c:pt>
                <c:pt idx="10">
                  <c:v>159245</c:v>
                </c:pt>
                <c:pt idx="11">
                  <c:v>159859</c:v>
                </c:pt>
              </c:numCache>
            </c:numRef>
          </c:val>
        </c:ser>
        <c:ser>
          <c:idx val="1"/>
          <c:order val="1"/>
          <c:tx>
            <c:strRef>
              <c:f>'[Kópia - Zošit-správa1.xlsx]Hárok14'!$A$52</c:f>
              <c:strCache>
                <c:ptCount val="1"/>
                <c:pt idx="0">
                  <c:v>2011</c:v>
                </c:pt>
              </c:strCache>
            </c:strRef>
          </c:tx>
          <c:invertIfNegative val="0"/>
          <c:cat>
            <c:strRef>
              <c:f>'[Kópia - Zošit-správa1.xlsx]Hárok14'!$B$50:$M$50</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'[Kópia - Zošit-správa1.xlsx]Hárok14'!$B$52:$M$52</c:f>
              <c:numCache>
                <c:formatCode>#,##0</c:formatCode>
                <c:ptCount val="12"/>
                <c:pt idx="0">
                  <c:v>157271</c:v>
                </c:pt>
                <c:pt idx="1">
                  <c:v>157839</c:v>
                </c:pt>
                <c:pt idx="2">
                  <c:v>158364</c:v>
                </c:pt>
                <c:pt idx="3">
                  <c:v>158887</c:v>
                </c:pt>
                <c:pt idx="4">
                  <c:v>159312</c:v>
                </c:pt>
                <c:pt idx="5">
                  <c:v>160120</c:v>
                </c:pt>
                <c:pt idx="6">
                  <c:v>160680</c:v>
                </c:pt>
                <c:pt idx="7">
                  <c:v>157596</c:v>
                </c:pt>
                <c:pt idx="8">
                  <c:v>158903</c:v>
                </c:pt>
                <c:pt idx="9">
                  <c:v>160024</c:v>
                </c:pt>
                <c:pt idx="10">
                  <c:v>160792</c:v>
                </c:pt>
                <c:pt idx="11">
                  <c:v>161356</c:v>
                </c:pt>
              </c:numCache>
            </c:numRef>
          </c:val>
        </c:ser>
        <c:dLbls>
          <c:showLegendKey val="0"/>
          <c:showVal val="0"/>
          <c:showCatName val="0"/>
          <c:showSerName val="0"/>
          <c:showPercent val="0"/>
          <c:showBubbleSize val="0"/>
        </c:dLbls>
        <c:gapWidth val="150"/>
        <c:shape val="cylinder"/>
        <c:axId val="28638592"/>
        <c:axId val="28640384"/>
        <c:axId val="0"/>
      </c:bar3DChart>
      <c:catAx>
        <c:axId val="28638592"/>
        <c:scaling>
          <c:orientation val="minMax"/>
        </c:scaling>
        <c:delete val="0"/>
        <c:axPos val="b"/>
        <c:majorTickMark val="out"/>
        <c:minorTickMark val="none"/>
        <c:tickLblPos val="nextTo"/>
        <c:crossAx val="28640384"/>
        <c:crosses val="autoZero"/>
        <c:auto val="1"/>
        <c:lblAlgn val="ctr"/>
        <c:lblOffset val="100"/>
        <c:noMultiLvlLbl val="0"/>
      </c:catAx>
      <c:valAx>
        <c:axId val="28640384"/>
        <c:scaling>
          <c:orientation val="minMax"/>
        </c:scaling>
        <c:delete val="0"/>
        <c:axPos val="l"/>
        <c:majorGridlines/>
        <c:numFmt formatCode="#,##0" sourceLinked="1"/>
        <c:majorTickMark val="out"/>
        <c:minorTickMark val="none"/>
        <c:tickLblPos val="nextTo"/>
        <c:crossAx val="28638592"/>
        <c:crosses val="autoZero"/>
        <c:crossBetween val="between"/>
      </c:valAx>
    </c:plotArea>
    <c:legend>
      <c:legendPos val="r"/>
      <c:layout>
        <c:manualLayout>
          <c:xMode val="edge"/>
          <c:yMode val="edge"/>
          <c:x val="0.18642162580746346"/>
          <c:y val="7.3548234927440698E-2"/>
          <c:w val="0.18305453992961956"/>
          <c:h val="0.20311440002594003"/>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2010</c:v>
          </c:tx>
          <c:invertIfNegative val="0"/>
          <c:cat>
            <c:strRef>
              <c:f>'[Kópia - Zošit-správa1.xlsx]Hárok14'!$B$2:$M$2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'[Kópia - Zošit-správa1.xlsx]Hárok14'!$B$3:$M$3</c:f>
              <c:numCache>
                <c:formatCode>#,##0</c:formatCode>
                <c:ptCount val="12"/>
                <c:pt idx="0">
                  <c:v>6228</c:v>
                </c:pt>
                <c:pt idx="1">
                  <c:v>6962</c:v>
                </c:pt>
                <c:pt idx="2">
                  <c:v>7024</c:v>
                </c:pt>
                <c:pt idx="3">
                  <c:v>7025</c:v>
                </c:pt>
                <c:pt idx="4">
                  <c:v>7100</c:v>
                </c:pt>
                <c:pt idx="5">
                  <c:v>7088</c:v>
                </c:pt>
                <c:pt idx="6">
                  <c:v>7099</c:v>
                </c:pt>
                <c:pt idx="7">
                  <c:v>6920</c:v>
                </c:pt>
                <c:pt idx="8">
                  <c:v>6945</c:v>
                </c:pt>
                <c:pt idx="9">
                  <c:v>7034</c:v>
                </c:pt>
                <c:pt idx="10">
                  <c:v>7016</c:v>
                </c:pt>
                <c:pt idx="11">
                  <c:v>6903</c:v>
                </c:pt>
              </c:numCache>
            </c:numRef>
          </c:val>
        </c:ser>
        <c:ser>
          <c:idx val="1"/>
          <c:order val="1"/>
          <c:tx>
            <c:v>2011</c:v>
          </c:tx>
          <c:invertIfNegative val="0"/>
          <c:cat>
            <c:strRef>
              <c:f>'[Kópia - Zošit-správa1.xlsx]Hárok14'!$B$2:$M$2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'[Kópia - Zošit-správa1.xlsx]Hárok14'!$B$4:$M$4</c:f>
              <c:numCache>
                <c:formatCode>#,##0</c:formatCode>
                <c:ptCount val="12"/>
                <c:pt idx="0">
                  <c:v>6476</c:v>
                </c:pt>
                <c:pt idx="1">
                  <c:v>7403</c:v>
                </c:pt>
                <c:pt idx="2">
                  <c:v>7458</c:v>
                </c:pt>
                <c:pt idx="3">
                  <c:v>7474</c:v>
                </c:pt>
                <c:pt idx="4">
                  <c:v>7475</c:v>
                </c:pt>
                <c:pt idx="5">
                  <c:v>7519</c:v>
                </c:pt>
                <c:pt idx="6">
                  <c:v>7488</c:v>
                </c:pt>
                <c:pt idx="7">
                  <c:v>7488</c:v>
                </c:pt>
                <c:pt idx="8">
                  <c:v>7483</c:v>
                </c:pt>
                <c:pt idx="9">
                  <c:v>7601</c:v>
                </c:pt>
                <c:pt idx="10">
                  <c:v>7594</c:v>
                </c:pt>
                <c:pt idx="11">
                  <c:v>7533</c:v>
                </c:pt>
              </c:numCache>
            </c:numRef>
          </c:val>
        </c:ser>
        <c:dLbls>
          <c:showLegendKey val="0"/>
          <c:showVal val="0"/>
          <c:showCatName val="0"/>
          <c:showSerName val="0"/>
          <c:showPercent val="0"/>
          <c:showBubbleSize val="0"/>
        </c:dLbls>
        <c:gapWidth val="150"/>
        <c:shape val="cylinder"/>
        <c:axId val="28649344"/>
        <c:axId val="28650880"/>
        <c:axId val="0"/>
      </c:bar3DChart>
      <c:dateAx>
        <c:axId val="28649344"/>
        <c:scaling>
          <c:orientation val="minMax"/>
        </c:scaling>
        <c:delete val="0"/>
        <c:axPos val="b"/>
        <c:majorTickMark val="out"/>
        <c:minorTickMark val="none"/>
        <c:tickLblPos val="nextTo"/>
        <c:crossAx val="28650880"/>
        <c:crosses val="autoZero"/>
        <c:auto val="0"/>
        <c:lblOffset val="100"/>
        <c:baseTimeUnit val="days"/>
        <c:minorUnit val="1"/>
      </c:dateAx>
      <c:valAx>
        <c:axId val="28650880"/>
        <c:scaling>
          <c:orientation val="minMax"/>
          <c:max val="7800"/>
          <c:min val="6000"/>
        </c:scaling>
        <c:delete val="0"/>
        <c:axPos val="l"/>
        <c:majorGridlines/>
        <c:numFmt formatCode="#,##0" sourceLinked="1"/>
        <c:majorTickMark val="out"/>
        <c:minorTickMark val="none"/>
        <c:tickLblPos val="nextTo"/>
        <c:crossAx val="28649344"/>
        <c:crosses val="autoZero"/>
        <c:crossBetween val="between"/>
        <c:majorUnit val="200"/>
      </c:valAx>
    </c:plotArea>
    <c:legend>
      <c:legendPos val="t"/>
      <c:layout>
        <c:manualLayout>
          <c:xMode val="edge"/>
          <c:yMode val="edge"/>
          <c:x val="0.19349299188629956"/>
          <c:y val="8.4163469873212687E-2"/>
          <c:w val="0.24953560582640827"/>
          <c:h val="6.3602091060931523E-2"/>
        </c:manualLayout>
      </c:layout>
      <c:overlay val="1"/>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037596007804517"/>
          <c:y val="5.0925925925925923E-2"/>
          <c:w val="0.84157166561076424"/>
          <c:h val="0.79070246427529889"/>
        </c:manualLayout>
      </c:layout>
      <c:bar3DChart>
        <c:barDir val="col"/>
        <c:grouping val="clustered"/>
        <c:varyColors val="0"/>
        <c:ser>
          <c:idx val="0"/>
          <c:order val="0"/>
          <c:tx>
            <c:strRef>
              <c:f>'[Kópia - Zošit-správa1.xlsx]Hárok14'!$A$80</c:f>
              <c:strCache>
                <c:ptCount val="1"/>
                <c:pt idx="0">
                  <c:v>2010</c:v>
                </c:pt>
              </c:strCache>
            </c:strRef>
          </c:tx>
          <c:invertIfNegative val="0"/>
          <c:cat>
            <c:strRef>
              <c:f>'[Kópia - Zošit-správa1.xlsx]Hárok14'!$B$79:$M$79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'[Kópia - Zošit-správa1.xlsx]Hárok14'!$B$80:$M$80</c:f>
              <c:numCache>
                <c:formatCode>#,##0</c:formatCode>
                <c:ptCount val="12"/>
                <c:pt idx="0">
                  <c:v>54435</c:v>
                </c:pt>
                <c:pt idx="1">
                  <c:v>54801</c:v>
                </c:pt>
                <c:pt idx="2">
                  <c:v>55145</c:v>
                </c:pt>
                <c:pt idx="3">
                  <c:v>55569</c:v>
                </c:pt>
                <c:pt idx="4">
                  <c:v>56008</c:v>
                </c:pt>
                <c:pt idx="5">
                  <c:v>56434</c:v>
                </c:pt>
                <c:pt idx="6">
                  <c:v>56551</c:v>
                </c:pt>
                <c:pt idx="7">
                  <c:v>56042</c:v>
                </c:pt>
                <c:pt idx="8">
                  <c:v>56394</c:v>
                </c:pt>
                <c:pt idx="9">
                  <c:v>56486</c:v>
                </c:pt>
                <c:pt idx="10">
                  <c:v>56577</c:v>
                </c:pt>
                <c:pt idx="11">
                  <c:v>56756</c:v>
                </c:pt>
              </c:numCache>
            </c:numRef>
          </c:val>
        </c:ser>
        <c:ser>
          <c:idx val="1"/>
          <c:order val="1"/>
          <c:tx>
            <c:strRef>
              <c:f>'[Kópia - Zošit-správa1.xlsx]Hárok14'!$A$81</c:f>
              <c:strCache>
                <c:ptCount val="1"/>
                <c:pt idx="0">
                  <c:v>2011</c:v>
                </c:pt>
              </c:strCache>
            </c:strRef>
          </c:tx>
          <c:invertIfNegative val="0"/>
          <c:cat>
            <c:strRef>
              <c:f>'[Kópia - Zošit-správa1.xlsx]Hárok14'!$B$79:$M$79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'[Kópia - Zošit-správa1.xlsx]Hárok14'!$B$81:$M$81</c:f>
              <c:numCache>
                <c:formatCode>#,##0</c:formatCode>
                <c:ptCount val="12"/>
                <c:pt idx="0">
                  <c:v>56728</c:v>
                </c:pt>
                <c:pt idx="1">
                  <c:v>56739</c:v>
                </c:pt>
                <c:pt idx="2">
                  <c:v>56830</c:v>
                </c:pt>
                <c:pt idx="3">
                  <c:v>56945</c:v>
                </c:pt>
                <c:pt idx="4">
                  <c:v>56916</c:v>
                </c:pt>
                <c:pt idx="5">
                  <c:v>57162</c:v>
                </c:pt>
                <c:pt idx="6">
                  <c:v>57244</c:v>
                </c:pt>
                <c:pt idx="7">
                  <c:v>57133</c:v>
                </c:pt>
                <c:pt idx="8">
                  <c:v>57367</c:v>
                </c:pt>
                <c:pt idx="9">
                  <c:v>57426</c:v>
                </c:pt>
                <c:pt idx="10">
                  <c:v>57674</c:v>
                </c:pt>
                <c:pt idx="11">
                  <c:v>57931</c:v>
                </c:pt>
              </c:numCache>
            </c:numRef>
          </c:val>
        </c:ser>
        <c:dLbls>
          <c:showLegendKey val="0"/>
          <c:showVal val="0"/>
          <c:showCatName val="0"/>
          <c:showSerName val="0"/>
          <c:showPercent val="0"/>
          <c:showBubbleSize val="0"/>
        </c:dLbls>
        <c:gapWidth val="150"/>
        <c:shape val="cylinder"/>
        <c:axId val="28660096"/>
        <c:axId val="28661632"/>
        <c:axId val="0"/>
      </c:bar3DChart>
      <c:catAx>
        <c:axId val="28660096"/>
        <c:scaling>
          <c:orientation val="minMax"/>
        </c:scaling>
        <c:delete val="0"/>
        <c:axPos val="b"/>
        <c:majorTickMark val="out"/>
        <c:minorTickMark val="none"/>
        <c:tickLblPos val="nextTo"/>
        <c:crossAx val="28661632"/>
        <c:crosses val="autoZero"/>
        <c:auto val="1"/>
        <c:lblAlgn val="ctr"/>
        <c:lblOffset val="100"/>
        <c:noMultiLvlLbl val="0"/>
      </c:catAx>
      <c:valAx>
        <c:axId val="28661632"/>
        <c:scaling>
          <c:orientation val="minMax"/>
        </c:scaling>
        <c:delete val="0"/>
        <c:axPos val="l"/>
        <c:majorGridlines/>
        <c:numFmt formatCode="#,##0" sourceLinked="1"/>
        <c:majorTickMark val="out"/>
        <c:minorTickMark val="none"/>
        <c:tickLblPos val="nextTo"/>
        <c:crossAx val="28660096"/>
        <c:crosses val="autoZero"/>
        <c:crossBetween val="between"/>
      </c:valAx>
    </c:plotArea>
    <c:legend>
      <c:legendPos val="r"/>
      <c:layout>
        <c:manualLayout>
          <c:xMode val="edge"/>
          <c:yMode val="edge"/>
          <c:x val="0.16491522284147161"/>
          <c:y val="6.4452828813065133E-2"/>
          <c:w val="0.10582990919238536"/>
          <c:h val="0.12792286380869058"/>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ESSPROS2!$F$4</c:f>
              <c:strCache>
                <c:ptCount val="1"/>
                <c:pt idx="0">
                  <c:v>Sociálne príspevky zamestnávateľov</c:v>
                </c:pt>
              </c:strCache>
            </c:strRef>
          </c:tx>
          <c:spPr>
            <a:ln>
              <a:solidFill>
                <a:schemeClr val="accent1"/>
              </a:solidFill>
            </a:ln>
          </c:spPr>
          <c:invertIfNegative val="0"/>
          <c:dPt>
            <c:idx val="0"/>
            <c:invertIfNegative val="0"/>
            <c:bubble3D val="0"/>
            <c:spPr>
              <a:solidFill>
                <a:schemeClr val="accent1">
                  <a:lumMod val="40000"/>
                  <a:lumOff val="60000"/>
                </a:schemeClr>
              </a:solidFill>
              <a:ln>
                <a:solidFill>
                  <a:schemeClr val="accent1"/>
                </a:solidFill>
              </a:ln>
            </c:spPr>
          </c:dPt>
          <c:dPt>
            <c:idx val="1"/>
            <c:invertIfNegative val="0"/>
            <c:bubble3D val="0"/>
            <c:spPr>
              <a:solidFill>
                <a:schemeClr val="accent1">
                  <a:lumMod val="40000"/>
                  <a:lumOff val="60000"/>
                </a:schemeClr>
              </a:solidFill>
              <a:ln>
                <a:solidFill>
                  <a:schemeClr val="accent1"/>
                </a:solidFill>
              </a:ln>
            </c:spPr>
          </c:dPt>
          <c:dPt>
            <c:idx val="2"/>
            <c:invertIfNegative val="0"/>
            <c:bubble3D val="0"/>
            <c:spPr>
              <a:solidFill>
                <a:schemeClr val="accent1">
                  <a:lumMod val="40000"/>
                  <a:lumOff val="60000"/>
                </a:schemeClr>
              </a:solidFill>
              <a:ln>
                <a:solidFill>
                  <a:schemeClr val="accent1"/>
                </a:solidFill>
              </a:ln>
            </c:spPr>
          </c:dPt>
          <c:dPt>
            <c:idx val="26"/>
            <c:invertIfNegative val="0"/>
            <c:bubble3D val="0"/>
            <c:spPr>
              <a:pattFill prst="smCheck">
                <a:fgClr>
                  <a:schemeClr val="accent1"/>
                </a:fgClr>
                <a:bgClr>
                  <a:schemeClr val="bg1"/>
                </a:bgClr>
              </a:pattFill>
              <a:ln>
                <a:solidFill>
                  <a:schemeClr val="accent1"/>
                </a:solidFill>
              </a:ln>
            </c:spPr>
          </c:dPt>
          <c:cat>
            <c:strRef>
              <c:f>ESSPROS2!$E$5:$E$34</c:f>
              <c:strCache>
                <c:ptCount val="30"/>
                <c:pt idx="0">
                  <c:v>EU 27</c:v>
                </c:pt>
                <c:pt idx="1">
                  <c:v>EU 15</c:v>
                </c:pt>
                <c:pt idx="2">
                  <c:v>EA 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ESSPROS2!$F$5:$F$34</c:f>
              <c:numCache>
                <c:formatCode>General</c:formatCode>
                <c:ptCount val="30"/>
                <c:pt idx="0">
                  <c:v>36.700000000000003</c:v>
                </c:pt>
                <c:pt idx="1">
                  <c:v>36.5</c:v>
                </c:pt>
                <c:pt idx="2">
                  <c:v>38.1</c:v>
                </c:pt>
                <c:pt idx="3">
                  <c:v>42.7</c:v>
                </c:pt>
                <c:pt idx="4">
                  <c:v>31.2</c:v>
                </c:pt>
                <c:pt idx="5">
                  <c:v>50.3</c:v>
                </c:pt>
                <c:pt idx="6">
                  <c:v>11.1</c:v>
                </c:pt>
                <c:pt idx="7">
                  <c:v>34</c:v>
                </c:pt>
                <c:pt idx="8">
                  <c:v>77.8</c:v>
                </c:pt>
                <c:pt idx="9">
                  <c:v>24.6</c:v>
                </c:pt>
                <c:pt idx="10">
                  <c:v>31.9</c:v>
                </c:pt>
                <c:pt idx="11">
                  <c:v>43.4</c:v>
                </c:pt>
                <c:pt idx="12">
                  <c:v>43.6</c:v>
                </c:pt>
                <c:pt idx="13">
                  <c:v>39</c:v>
                </c:pt>
                <c:pt idx="14">
                  <c:v>23.3</c:v>
                </c:pt>
                <c:pt idx="15">
                  <c:v>41.7</c:v>
                </c:pt>
                <c:pt idx="16">
                  <c:v>48.8</c:v>
                </c:pt>
                <c:pt idx="17">
                  <c:v>27</c:v>
                </c:pt>
                <c:pt idx="18">
                  <c:v>32.800000000000004</c:v>
                </c:pt>
                <c:pt idx="19">
                  <c:v>37.800000000000004</c:v>
                </c:pt>
                <c:pt idx="20">
                  <c:v>33.300000000000004</c:v>
                </c:pt>
                <c:pt idx="21">
                  <c:v>37</c:v>
                </c:pt>
                <c:pt idx="22">
                  <c:v>43.6</c:v>
                </c:pt>
                <c:pt idx="23">
                  <c:v>30.3</c:v>
                </c:pt>
                <c:pt idx="24">
                  <c:v>35.1</c:v>
                </c:pt>
                <c:pt idx="25">
                  <c:v>26.4</c:v>
                </c:pt>
                <c:pt idx="26">
                  <c:v>42.7</c:v>
                </c:pt>
                <c:pt idx="27">
                  <c:v>37.200000000000003</c:v>
                </c:pt>
                <c:pt idx="28">
                  <c:v>36.4</c:v>
                </c:pt>
                <c:pt idx="29">
                  <c:v>32.1</c:v>
                </c:pt>
              </c:numCache>
            </c:numRef>
          </c:val>
        </c:ser>
        <c:ser>
          <c:idx val="1"/>
          <c:order val="1"/>
          <c:tx>
            <c:strRef>
              <c:f>ESSPROS2!$G$4</c:f>
              <c:strCache>
                <c:ptCount val="1"/>
                <c:pt idx="0">
                  <c:v>Sociálne príspevky chránených osôb</c:v>
                </c:pt>
              </c:strCache>
            </c:strRef>
          </c:tx>
          <c:spPr>
            <a:ln>
              <a:solidFill>
                <a:schemeClr val="accent2"/>
              </a:solidFill>
            </a:ln>
          </c:spPr>
          <c:invertIfNegative val="0"/>
          <c:dPt>
            <c:idx val="0"/>
            <c:invertIfNegative val="0"/>
            <c:bubble3D val="0"/>
            <c:spPr>
              <a:solidFill>
                <a:schemeClr val="accent2">
                  <a:lumMod val="40000"/>
                  <a:lumOff val="60000"/>
                </a:schemeClr>
              </a:solidFill>
              <a:ln>
                <a:solidFill>
                  <a:schemeClr val="accent2"/>
                </a:solidFill>
              </a:ln>
            </c:spPr>
          </c:dPt>
          <c:dPt>
            <c:idx val="1"/>
            <c:invertIfNegative val="0"/>
            <c:bubble3D val="0"/>
            <c:spPr>
              <a:solidFill>
                <a:schemeClr val="accent2">
                  <a:lumMod val="40000"/>
                  <a:lumOff val="60000"/>
                </a:schemeClr>
              </a:solidFill>
              <a:ln>
                <a:solidFill>
                  <a:schemeClr val="accent2"/>
                </a:solidFill>
              </a:ln>
            </c:spPr>
          </c:dPt>
          <c:dPt>
            <c:idx val="2"/>
            <c:invertIfNegative val="0"/>
            <c:bubble3D val="0"/>
            <c:spPr>
              <a:solidFill>
                <a:schemeClr val="accent2">
                  <a:lumMod val="40000"/>
                  <a:lumOff val="60000"/>
                </a:schemeClr>
              </a:solidFill>
              <a:ln>
                <a:solidFill>
                  <a:schemeClr val="accent2"/>
                </a:solidFill>
              </a:ln>
            </c:spPr>
          </c:dPt>
          <c:dPt>
            <c:idx val="26"/>
            <c:invertIfNegative val="0"/>
            <c:bubble3D val="0"/>
            <c:spPr>
              <a:pattFill prst="smCheck">
                <a:fgClr>
                  <a:schemeClr val="accent2"/>
                </a:fgClr>
                <a:bgClr>
                  <a:schemeClr val="bg1"/>
                </a:bgClr>
              </a:pattFill>
              <a:ln>
                <a:solidFill>
                  <a:schemeClr val="accent2"/>
                </a:solidFill>
              </a:ln>
            </c:spPr>
          </c:dPt>
          <c:cat>
            <c:strRef>
              <c:f>ESSPROS2!$E$5:$E$34</c:f>
              <c:strCache>
                <c:ptCount val="30"/>
                <c:pt idx="0">
                  <c:v>EU 27</c:v>
                </c:pt>
                <c:pt idx="1">
                  <c:v>EU 15</c:v>
                </c:pt>
                <c:pt idx="2">
                  <c:v>EA 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ESSPROS2!$G$5:$G$34</c:f>
              <c:numCache>
                <c:formatCode>General</c:formatCode>
                <c:ptCount val="30"/>
                <c:pt idx="0">
                  <c:v>20.100000000000001</c:v>
                </c:pt>
                <c:pt idx="1">
                  <c:v>20.100000000000001</c:v>
                </c:pt>
                <c:pt idx="2">
                  <c:v>22</c:v>
                </c:pt>
                <c:pt idx="3">
                  <c:v>21.1</c:v>
                </c:pt>
                <c:pt idx="4">
                  <c:v>18.399999999999999</c:v>
                </c:pt>
                <c:pt idx="5">
                  <c:v>24.5</c:v>
                </c:pt>
                <c:pt idx="6">
                  <c:v>20.100000000000001</c:v>
                </c:pt>
                <c:pt idx="7">
                  <c:v>28.9</c:v>
                </c:pt>
                <c:pt idx="8">
                  <c:v>4</c:v>
                </c:pt>
                <c:pt idx="9">
                  <c:v>15.7</c:v>
                </c:pt>
                <c:pt idx="10">
                  <c:v>20.6</c:v>
                </c:pt>
                <c:pt idx="11">
                  <c:v>12.1</c:v>
                </c:pt>
                <c:pt idx="12">
                  <c:v>21</c:v>
                </c:pt>
                <c:pt idx="13">
                  <c:v>15.6</c:v>
                </c:pt>
                <c:pt idx="14">
                  <c:v>15.3</c:v>
                </c:pt>
                <c:pt idx="15">
                  <c:v>14.2</c:v>
                </c:pt>
                <c:pt idx="16">
                  <c:v>15.2</c:v>
                </c:pt>
                <c:pt idx="17">
                  <c:v>23.3</c:v>
                </c:pt>
                <c:pt idx="18">
                  <c:v>19.3</c:v>
                </c:pt>
                <c:pt idx="19">
                  <c:v>16.2</c:v>
                </c:pt>
                <c:pt idx="20">
                  <c:v>32</c:v>
                </c:pt>
                <c:pt idx="21">
                  <c:v>26.4</c:v>
                </c:pt>
                <c:pt idx="22">
                  <c:v>17.2</c:v>
                </c:pt>
                <c:pt idx="23">
                  <c:v>14.4</c:v>
                </c:pt>
                <c:pt idx="24">
                  <c:v>15.5</c:v>
                </c:pt>
                <c:pt idx="25">
                  <c:v>38.800000000000004</c:v>
                </c:pt>
                <c:pt idx="26">
                  <c:v>19.399999999999999</c:v>
                </c:pt>
                <c:pt idx="27">
                  <c:v>11.2</c:v>
                </c:pt>
                <c:pt idx="28">
                  <c:v>9.6</c:v>
                </c:pt>
                <c:pt idx="29">
                  <c:v>11.8</c:v>
                </c:pt>
              </c:numCache>
            </c:numRef>
          </c:val>
        </c:ser>
        <c:ser>
          <c:idx val="2"/>
          <c:order val="2"/>
          <c:tx>
            <c:strRef>
              <c:f>ESSPROS2!$H$4</c:f>
              <c:strCache>
                <c:ptCount val="1"/>
                <c:pt idx="0">
                  <c:v>Verejná správa</c:v>
                </c:pt>
              </c:strCache>
            </c:strRef>
          </c:tx>
          <c:spPr>
            <a:ln>
              <a:solidFill>
                <a:schemeClr val="accent3"/>
              </a:solidFill>
            </a:ln>
          </c:spPr>
          <c:invertIfNegative val="0"/>
          <c:dPt>
            <c:idx val="0"/>
            <c:invertIfNegative val="0"/>
            <c:bubble3D val="0"/>
            <c:spPr>
              <a:solidFill>
                <a:schemeClr val="accent3">
                  <a:lumMod val="40000"/>
                  <a:lumOff val="60000"/>
                </a:schemeClr>
              </a:solidFill>
              <a:ln>
                <a:solidFill>
                  <a:schemeClr val="accent3"/>
                </a:solidFill>
              </a:ln>
            </c:spPr>
          </c:dPt>
          <c:dPt>
            <c:idx val="1"/>
            <c:invertIfNegative val="0"/>
            <c:bubble3D val="0"/>
            <c:spPr>
              <a:solidFill>
                <a:schemeClr val="accent3">
                  <a:lumMod val="40000"/>
                  <a:lumOff val="60000"/>
                </a:schemeClr>
              </a:solidFill>
              <a:ln>
                <a:solidFill>
                  <a:schemeClr val="accent3"/>
                </a:solidFill>
              </a:ln>
            </c:spPr>
          </c:dPt>
          <c:dPt>
            <c:idx val="2"/>
            <c:invertIfNegative val="0"/>
            <c:bubble3D val="0"/>
            <c:spPr>
              <a:solidFill>
                <a:schemeClr val="accent3">
                  <a:lumMod val="40000"/>
                  <a:lumOff val="60000"/>
                </a:schemeClr>
              </a:solidFill>
              <a:ln>
                <a:solidFill>
                  <a:schemeClr val="accent3"/>
                </a:solidFill>
              </a:ln>
            </c:spPr>
          </c:dPt>
          <c:dPt>
            <c:idx val="26"/>
            <c:invertIfNegative val="0"/>
            <c:bubble3D val="0"/>
            <c:spPr>
              <a:pattFill prst="smCheck">
                <a:fgClr>
                  <a:schemeClr val="accent3"/>
                </a:fgClr>
                <a:bgClr>
                  <a:schemeClr val="bg1"/>
                </a:bgClr>
              </a:pattFill>
              <a:ln>
                <a:solidFill>
                  <a:schemeClr val="accent3"/>
                </a:solidFill>
              </a:ln>
            </c:spPr>
          </c:dPt>
          <c:cat>
            <c:strRef>
              <c:f>ESSPROS2!$E$5:$E$34</c:f>
              <c:strCache>
                <c:ptCount val="30"/>
                <c:pt idx="0">
                  <c:v>EU 27</c:v>
                </c:pt>
                <c:pt idx="1">
                  <c:v>EU 15</c:v>
                </c:pt>
                <c:pt idx="2">
                  <c:v>EA 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ESSPROS2!$H$5:$H$34</c:f>
              <c:numCache>
                <c:formatCode>General</c:formatCode>
                <c:ptCount val="30"/>
                <c:pt idx="0">
                  <c:v>39.1</c:v>
                </c:pt>
                <c:pt idx="1">
                  <c:v>39.6</c:v>
                </c:pt>
                <c:pt idx="2">
                  <c:v>36.6</c:v>
                </c:pt>
                <c:pt idx="3">
                  <c:v>33.6</c:v>
                </c:pt>
                <c:pt idx="4">
                  <c:v>48.7</c:v>
                </c:pt>
                <c:pt idx="5">
                  <c:v>24.3</c:v>
                </c:pt>
                <c:pt idx="6">
                  <c:v>64.099999999999994</c:v>
                </c:pt>
                <c:pt idx="7">
                  <c:v>35.200000000000003</c:v>
                </c:pt>
                <c:pt idx="8">
                  <c:v>18</c:v>
                </c:pt>
                <c:pt idx="9">
                  <c:v>55.4</c:v>
                </c:pt>
                <c:pt idx="10">
                  <c:v>38.300000000000004</c:v>
                </c:pt>
                <c:pt idx="11">
                  <c:v>43.1</c:v>
                </c:pt>
                <c:pt idx="12">
                  <c:v>31.9</c:v>
                </c:pt>
                <c:pt idx="13">
                  <c:v>43.8</c:v>
                </c:pt>
                <c:pt idx="14">
                  <c:v>49.8</c:v>
                </c:pt>
                <c:pt idx="15">
                  <c:v>43.2</c:v>
                </c:pt>
                <c:pt idx="16">
                  <c:v>33</c:v>
                </c:pt>
                <c:pt idx="17">
                  <c:v>45.1</c:v>
                </c:pt>
                <c:pt idx="18">
                  <c:v>34.800000000000004</c:v>
                </c:pt>
                <c:pt idx="19">
                  <c:v>43.4</c:v>
                </c:pt>
                <c:pt idx="20">
                  <c:v>24.7</c:v>
                </c:pt>
                <c:pt idx="21">
                  <c:v>34.800000000000004</c:v>
                </c:pt>
                <c:pt idx="22">
                  <c:v>18.899999999999999</c:v>
                </c:pt>
                <c:pt idx="23">
                  <c:v>44.3</c:v>
                </c:pt>
                <c:pt idx="24">
                  <c:v>48.1</c:v>
                </c:pt>
                <c:pt idx="25">
                  <c:v>33.200000000000003</c:v>
                </c:pt>
                <c:pt idx="26">
                  <c:v>26.7</c:v>
                </c:pt>
                <c:pt idx="27">
                  <c:v>45.2</c:v>
                </c:pt>
                <c:pt idx="28">
                  <c:v>51.9</c:v>
                </c:pt>
                <c:pt idx="29">
                  <c:v>48.9</c:v>
                </c:pt>
              </c:numCache>
            </c:numRef>
          </c:val>
        </c:ser>
        <c:ser>
          <c:idx val="3"/>
          <c:order val="3"/>
          <c:tx>
            <c:strRef>
              <c:f>ESSPROS2!$I$4</c:f>
              <c:strCache>
                <c:ptCount val="1"/>
                <c:pt idx="0">
                  <c:v>Iné príjmy</c:v>
                </c:pt>
              </c:strCache>
            </c:strRef>
          </c:tx>
          <c:spPr>
            <a:ln>
              <a:solidFill>
                <a:schemeClr val="accent4"/>
              </a:solidFill>
            </a:ln>
          </c:spPr>
          <c:invertIfNegative val="0"/>
          <c:dPt>
            <c:idx val="0"/>
            <c:invertIfNegative val="0"/>
            <c:bubble3D val="0"/>
            <c:spPr>
              <a:solidFill>
                <a:schemeClr val="accent4">
                  <a:lumMod val="40000"/>
                  <a:lumOff val="60000"/>
                </a:schemeClr>
              </a:solidFill>
              <a:ln>
                <a:solidFill>
                  <a:schemeClr val="accent4"/>
                </a:solidFill>
              </a:ln>
            </c:spPr>
          </c:dPt>
          <c:dPt>
            <c:idx val="1"/>
            <c:invertIfNegative val="0"/>
            <c:bubble3D val="0"/>
            <c:spPr>
              <a:solidFill>
                <a:schemeClr val="accent4">
                  <a:lumMod val="40000"/>
                  <a:lumOff val="60000"/>
                </a:schemeClr>
              </a:solidFill>
              <a:ln>
                <a:solidFill>
                  <a:schemeClr val="accent4"/>
                </a:solidFill>
              </a:ln>
            </c:spPr>
          </c:dPt>
          <c:dPt>
            <c:idx val="2"/>
            <c:invertIfNegative val="0"/>
            <c:bubble3D val="0"/>
            <c:spPr>
              <a:solidFill>
                <a:schemeClr val="accent4">
                  <a:lumMod val="40000"/>
                  <a:lumOff val="60000"/>
                </a:schemeClr>
              </a:solidFill>
              <a:ln>
                <a:solidFill>
                  <a:schemeClr val="accent4"/>
                </a:solidFill>
              </a:ln>
            </c:spPr>
          </c:dPt>
          <c:dPt>
            <c:idx val="26"/>
            <c:invertIfNegative val="0"/>
            <c:bubble3D val="0"/>
            <c:spPr>
              <a:pattFill prst="smCheck">
                <a:fgClr>
                  <a:schemeClr val="accent4"/>
                </a:fgClr>
                <a:bgClr>
                  <a:schemeClr val="bg1"/>
                </a:bgClr>
              </a:pattFill>
              <a:ln>
                <a:solidFill>
                  <a:schemeClr val="accent4"/>
                </a:solidFill>
              </a:ln>
            </c:spPr>
          </c:dPt>
          <c:cat>
            <c:strRef>
              <c:f>ESSPROS2!$E$5:$E$34</c:f>
              <c:strCache>
                <c:ptCount val="30"/>
                <c:pt idx="0">
                  <c:v>EU 27</c:v>
                </c:pt>
                <c:pt idx="1">
                  <c:v>EU 15</c:v>
                </c:pt>
                <c:pt idx="2">
                  <c:v>EA 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ESSPROS2!$I$5:$I$34</c:f>
              <c:numCache>
                <c:formatCode>General</c:formatCode>
                <c:ptCount val="30"/>
                <c:pt idx="0">
                  <c:v>4.0999999999999996</c:v>
                </c:pt>
                <c:pt idx="1">
                  <c:v>3.8</c:v>
                </c:pt>
                <c:pt idx="2">
                  <c:v>3.3</c:v>
                </c:pt>
                <c:pt idx="3">
                  <c:v>2.6</c:v>
                </c:pt>
                <c:pt idx="4">
                  <c:v>1.8</c:v>
                </c:pt>
                <c:pt idx="5">
                  <c:v>0.9</c:v>
                </c:pt>
                <c:pt idx="6">
                  <c:v>4.7</c:v>
                </c:pt>
                <c:pt idx="7">
                  <c:v>1.9000000000000001</c:v>
                </c:pt>
                <c:pt idx="8">
                  <c:v>0.30000000000000032</c:v>
                </c:pt>
                <c:pt idx="9">
                  <c:v>4.3</c:v>
                </c:pt>
                <c:pt idx="10">
                  <c:v>9.2000000000000011</c:v>
                </c:pt>
                <c:pt idx="11">
                  <c:v>1.4</c:v>
                </c:pt>
                <c:pt idx="12">
                  <c:v>3.5</c:v>
                </c:pt>
                <c:pt idx="13">
                  <c:v>1.6</c:v>
                </c:pt>
                <c:pt idx="14">
                  <c:v>11.6</c:v>
                </c:pt>
                <c:pt idx="15">
                  <c:v>0.9</c:v>
                </c:pt>
                <c:pt idx="16">
                  <c:v>3</c:v>
                </c:pt>
                <c:pt idx="17">
                  <c:v>4.5999999999999996</c:v>
                </c:pt>
                <c:pt idx="18">
                  <c:v>13.1</c:v>
                </c:pt>
                <c:pt idx="19">
                  <c:v>2.6</c:v>
                </c:pt>
                <c:pt idx="20">
                  <c:v>9.9</c:v>
                </c:pt>
                <c:pt idx="21">
                  <c:v>1.7</c:v>
                </c:pt>
                <c:pt idx="22">
                  <c:v>20.399999999999999</c:v>
                </c:pt>
                <c:pt idx="23">
                  <c:v>11</c:v>
                </c:pt>
                <c:pt idx="24">
                  <c:v>1.3</c:v>
                </c:pt>
                <c:pt idx="25">
                  <c:v>1.7</c:v>
                </c:pt>
                <c:pt idx="26">
                  <c:v>11.2</c:v>
                </c:pt>
                <c:pt idx="27">
                  <c:v>6.5</c:v>
                </c:pt>
                <c:pt idx="28">
                  <c:v>2.1</c:v>
                </c:pt>
                <c:pt idx="29">
                  <c:v>7.2</c:v>
                </c:pt>
              </c:numCache>
            </c:numRef>
          </c:val>
        </c:ser>
        <c:dLbls>
          <c:showLegendKey val="0"/>
          <c:showVal val="0"/>
          <c:showCatName val="0"/>
          <c:showSerName val="0"/>
          <c:showPercent val="0"/>
          <c:showBubbleSize val="0"/>
        </c:dLbls>
        <c:gapWidth val="150"/>
        <c:overlap val="100"/>
        <c:axId val="28708864"/>
        <c:axId val="28710400"/>
      </c:barChart>
      <c:catAx>
        <c:axId val="28708864"/>
        <c:scaling>
          <c:orientation val="minMax"/>
        </c:scaling>
        <c:delete val="0"/>
        <c:axPos val="b"/>
        <c:majorTickMark val="out"/>
        <c:minorTickMark val="none"/>
        <c:tickLblPos val="nextTo"/>
        <c:crossAx val="28710400"/>
        <c:crosses val="autoZero"/>
        <c:auto val="1"/>
        <c:lblAlgn val="ctr"/>
        <c:lblOffset val="100"/>
        <c:noMultiLvlLbl val="0"/>
      </c:catAx>
      <c:valAx>
        <c:axId val="28710400"/>
        <c:scaling>
          <c:orientation val="minMax"/>
        </c:scaling>
        <c:delete val="0"/>
        <c:axPos val="l"/>
        <c:majorGridlines/>
        <c:numFmt formatCode="0%" sourceLinked="1"/>
        <c:majorTickMark val="out"/>
        <c:minorTickMark val="none"/>
        <c:tickLblPos val="nextTo"/>
        <c:crossAx val="28708864"/>
        <c:crosses val="autoZero"/>
        <c:crossBetween val="between"/>
      </c:valAx>
    </c:plotArea>
    <c:legend>
      <c:legendPos val="b"/>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815813506669616E-2"/>
          <c:y val="5.258126195028693E-2"/>
          <c:w val="0.84660919997745931"/>
          <c:h val="0.68595436684181221"/>
        </c:manualLayout>
      </c:layout>
      <c:barChart>
        <c:barDir val="col"/>
        <c:grouping val="clustered"/>
        <c:varyColors val="0"/>
        <c:ser>
          <c:idx val="1"/>
          <c:order val="1"/>
          <c:tx>
            <c:strRef>
              <c:f>ESSPROS1!$Q$5:$Q$6</c:f>
              <c:strCache>
                <c:ptCount val="1"/>
                <c:pt idx="0">
                  <c:v>Výdavky na sociálnu ochranu v PPS na obyvateľa</c:v>
                </c:pt>
              </c:strCache>
            </c:strRef>
          </c:tx>
          <c:invertIfNegative val="0"/>
          <c:dPt>
            <c:idx val="6"/>
            <c:invertIfNegative val="0"/>
            <c:bubble3D val="0"/>
            <c:spPr>
              <a:pattFill prst="smCheck">
                <a:fgClr>
                  <a:schemeClr val="accent2"/>
                </a:fgClr>
                <a:bgClr>
                  <a:schemeClr val="bg1"/>
                </a:bgClr>
              </a:pattFill>
            </c:spPr>
          </c:dPt>
          <c:dPt>
            <c:idx val="15"/>
            <c:invertIfNegative val="0"/>
            <c:bubble3D val="0"/>
            <c:spPr>
              <a:solidFill>
                <a:schemeClr val="accent2">
                  <a:lumMod val="40000"/>
                  <a:lumOff val="60000"/>
                </a:schemeClr>
              </a:solidFill>
            </c:spPr>
          </c:dPt>
          <c:dPt>
            <c:idx val="17"/>
            <c:invertIfNegative val="0"/>
            <c:bubble3D val="0"/>
            <c:spPr>
              <a:solidFill>
                <a:schemeClr val="accent2">
                  <a:lumMod val="40000"/>
                  <a:lumOff val="60000"/>
                </a:schemeClr>
              </a:solidFill>
            </c:spPr>
          </c:dPt>
          <c:dPt>
            <c:idx val="19"/>
            <c:invertIfNegative val="0"/>
            <c:bubble3D val="0"/>
            <c:spPr>
              <a:solidFill>
                <a:schemeClr val="accent2">
                  <a:lumMod val="40000"/>
                  <a:lumOff val="60000"/>
                </a:schemeClr>
              </a:solidFill>
            </c:spPr>
          </c:dPt>
          <c:dLbls>
            <c:txPr>
              <a:bodyPr rot="-5400000" vert="horz"/>
              <a:lstStyle/>
              <a:p>
                <a:pPr>
                  <a:defRPr b="1" i="0" baseline="0"/>
                </a:pPr>
                <a:endParaRPr lang="sk-SK"/>
              </a:p>
            </c:txPr>
            <c:dLblPos val="inBase"/>
            <c:showLegendKey val="0"/>
            <c:showVal val="1"/>
            <c:showCatName val="0"/>
            <c:showSerName val="0"/>
            <c:showPercent val="0"/>
            <c:showBubbleSize val="0"/>
            <c:showLeaderLines val="0"/>
          </c:dLbls>
          <c:cat>
            <c:strRef>
              <c:f>ESSPROS1!$O$7:$O$36</c:f>
              <c:strCache>
                <c:ptCount val="30"/>
                <c:pt idx="0">
                  <c:v>BG</c:v>
                </c:pt>
                <c:pt idx="1">
                  <c:v>RO</c:v>
                </c:pt>
                <c:pt idx="2">
                  <c:v>LV</c:v>
                </c:pt>
                <c:pt idx="3">
                  <c:v>LT</c:v>
                </c:pt>
                <c:pt idx="4">
                  <c:v>PL</c:v>
                </c:pt>
                <c:pt idx="5">
                  <c:v>EE</c:v>
                </c:pt>
                <c:pt idx="6">
                  <c:v>SK</c:v>
                </c:pt>
                <c:pt idx="7">
                  <c:v>HU</c:v>
                </c:pt>
                <c:pt idx="8">
                  <c:v>MT</c:v>
                </c:pt>
                <c:pt idx="9">
                  <c:v>CZ</c:v>
                </c:pt>
                <c:pt idx="10">
                  <c:v>CY</c:v>
                </c:pt>
                <c:pt idx="11">
                  <c:v>SI</c:v>
                </c:pt>
                <c:pt idx="12">
                  <c:v>PT</c:v>
                </c:pt>
                <c:pt idx="13">
                  <c:v>GR</c:v>
                </c:pt>
                <c:pt idx="14">
                  <c:v>ES</c:v>
                </c:pt>
                <c:pt idx="15">
                  <c:v>EU 27</c:v>
                </c:pt>
                <c:pt idx="16">
                  <c:v>IT</c:v>
                </c:pt>
                <c:pt idx="17">
                  <c:v>EA 17</c:v>
                </c:pt>
                <c:pt idx="18">
                  <c:v>UK</c:v>
                </c:pt>
                <c:pt idx="19">
                  <c:v>EU 15</c:v>
                </c:pt>
                <c:pt idx="20">
                  <c:v>FI</c:v>
                </c:pt>
                <c:pt idx="21">
                  <c:v>FR</c:v>
                </c:pt>
                <c:pt idx="22">
                  <c:v>BE</c:v>
                </c:pt>
                <c:pt idx="23">
                  <c:v>IE</c:v>
                </c:pt>
                <c:pt idx="24">
                  <c:v>DE</c:v>
                </c:pt>
                <c:pt idx="25">
                  <c:v>SE</c:v>
                </c:pt>
                <c:pt idx="26">
                  <c:v>AT</c:v>
                </c:pt>
                <c:pt idx="27">
                  <c:v>DK</c:v>
                </c:pt>
                <c:pt idx="28">
                  <c:v>NL</c:v>
                </c:pt>
                <c:pt idx="29">
                  <c:v>LU</c:v>
                </c:pt>
              </c:strCache>
            </c:strRef>
          </c:cat>
          <c:val>
            <c:numRef>
              <c:f>ESSPROS1!$Q$7:$Q$36</c:f>
              <c:numCache>
                <c:formatCode>#,##0</c:formatCode>
                <c:ptCount val="30"/>
                <c:pt idx="0">
                  <c:v>1784</c:v>
                </c:pt>
                <c:pt idx="1">
                  <c:v>1866</c:v>
                </c:pt>
                <c:pt idx="2">
                  <c:v>2050</c:v>
                </c:pt>
                <c:pt idx="3">
                  <c:v>2743</c:v>
                </c:pt>
                <c:pt idx="4">
                  <c:v>2810</c:v>
                </c:pt>
                <c:pt idx="5">
                  <c:v>2870</c:v>
                </c:pt>
                <c:pt idx="6">
                  <c:v>3241</c:v>
                </c:pt>
                <c:pt idx="7">
                  <c:v>3517</c:v>
                </c:pt>
                <c:pt idx="8">
                  <c:v>3785</c:v>
                </c:pt>
                <c:pt idx="9">
                  <c:v>4059</c:v>
                </c:pt>
                <c:pt idx="10">
                  <c:v>4819</c:v>
                </c:pt>
                <c:pt idx="11">
                  <c:v>5027</c:v>
                </c:pt>
                <c:pt idx="12">
                  <c:v>5086</c:v>
                </c:pt>
                <c:pt idx="13">
                  <c:v>6086</c:v>
                </c:pt>
                <c:pt idx="14">
                  <c:v>6087</c:v>
                </c:pt>
                <c:pt idx="15">
                  <c:v>6935</c:v>
                </c:pt>
                <c:pt idx="16">
                  <c:v>7283</c:v>
                </c:pt>
                <c:pt idx="17">
                  <c:v>7695</c:v>
                </c:pt>
                <c:pt idx="18">
                  <c:v>7724</c:v>
                </c:pt>
                <c:pt idx="19">
                  <c:v>7851</c:v>
                </c:pt>
                <c:pt idx="20">
                  <c:v>8129</c:v>
                </c:pt>
                <c:pt idx="21">
                  <c:v>8306</c:v>
                </c:pt>
                <c:pt idx="22">
                  <c:v>8350</c:v>
                </c:pt>
                <c:pt idx="23">
                  <c:v>8377</c:v>
                </c:pt>
                <c:pt idx="24">
                  <c:v>8505</c:v>
                </c:pt>
                <c:pt idx="25">
                  <c:v>9005</c:v>
                </c:pt>
                <c:pt idx="26">
                  <c:v>9009</c:v>
                </c:pt>
                <c:pt idx="27">
                  <c:v>9497</c:v>
                </c:pt>
                <c:pt idx="28">
                  <c:v>9699</c:v>
                </c:pt>
                <c:pt idx="29">
                  <c:v>14495</c:v>
                </c:pt>
              </c:numCache>
            </c:numRef>
          </c:val>
        </c:ser>
        <c:dLbls>
          <c:showLegendKey val="0"/>
          <c:showVal val="0"/>
          <c:showCatName val="0"/>
          <c:showSerName val="0"/>
          <c:showPercent val="0"/>
          <c:showBubbleSize val="0"/>
        </c:dLbls>
        <c:gapWidth val="45"/>
        <c:axId val="29928448"/>
        <c:axId val="29926912"/>
      </c:barChart>
      <c:lineChart>
        <c:grouping val="standard"/>
        <c:varyColors val="0"/>
        <c:ser>
          <c:idx val="0"/>
          <c:order val="0"/>
          <c:tx>
            <c:strRef>
              <c:f>ESSPROS1!$P$5:$P$6</c:f>
              <c:strCache>
                <c:ptCount val="1"/>
                <c:pt idx="0">
                  <c:v>Výdavky na sociálnu ochranu ako % z HDP</c:v>
                </c:pt>
              </c:strCache>
            </c:strRef>
          </c:tx>
          <c:spPr>
            <a:ln>
              <a:noFill/>
            </a:ln>
          </c:spPr>
          <c:marker>
            <c:symbol val="triangle"/>
            <c:size val="7"/>
          </c:marker>
          <c:dPt>
            <c:idx val="6"/>
            <c:marker>
              <c:spPr>
                <a:pattFill prst="smCheck">
                  <a:fgClr>
                    <a:schemeClr val="accent1"/>
                  </a:fgClr>
                  <a:bgClr>
                    <a:schemeClr val="bg1"/>
                  </a:bgClr>
                </a:pattFill>
              </c:spPr>
            </c:marker>
            <c:bubble3D val="0"/>
          </c:dPt>
          <c:dPt>
            <c:idx val="15"/>
            <c:marker>
              <c:spPr>
                <a:solidFill>
                  <a:schemeClr val="accent1">
                    <a:lumMod val="40000"/>
                    <a:lumOff val="60000"/>
                  </a:schemeClr>
                </a:solidFill>
              </c:spPr>
            </c:marker>
            <c:bubble3D val="0"/>
          </c:dPt>
          <c:dPt>
            <c:idx val="17"/>
            <c:marker>
              <c:spPr>
                <a:solidFill>
                  <a:schemeClr val="accent1">
                    <a:lumMod val="40000"/>
                    <a:lumOff val="60000"/>
                  </a:schemeClr>
                </a:solidFill>
              </c:spPr>
            </c:marker>
            <c:bubble3D val="0"/>
          </c:dPt>
          <c:dPt>
            <c:idx val="19"/>
            <c:marker>
              <c:spPr>
                <a:solidFill>
                  <a:schemeClr val="accent1">
                    <a:lumMod val="40000"/>
                    <a:lumOff val="60000"/>
                  </a:schemeClr>
                </a:solidFill>
              </c:spPr>
            </c:marker>
            <c:bubble3D val="0"/>
          </c:dPt>
          <c:dLbls>
            <c:txPr>
              <a:bodyPr rot="-5400000" vert="horz"/>
              <a:lstStyle/>
              <a:p>
                <a:pPr>
                  <a:defRPr b="1" i="0" baseline="0"/>
                </a:pPr>
                <a:endParaRPr lang="sk-SK"/>
              </a:p>
            </c:txPr>
            <c:dLblPos val="b"/>
            <c:showLegendKey val="0"/>
            <c:showVal val="1"/>
            <c:showCatName val="0"/>
            <c:showSerName val="0"/>
            <c:showPercent val="0"/>
            <c:showBubbleSize val="0"/>
            <c:showLeaderLines val="0"/>
          </c:dLbls>
          <c:cat>
            <c:strRef>
              <c:f>ESSPROS1!$O$7:$O$36</c:f>
              <c:strCache>
                <c:ptCount val="30"/>
                <c:pt idx="0">
                  <c:v>BG</c:v>
                </c:pt>
                <c:pt idx="1">
                  <c:v>RO</c:v>
                </c:pt>
                <c:pt idx="2">
                  <c:v>LV</c:v>
                </c:pt>
                <c:pt idx="3">
                  <c:v>LT</c:v>
                </c:pt>
                <c:pt idx="4">
                  <c:v>PL</c:v>
                </c:pt>
                <c:pt idx="5">
                  <c:v>EE</c:v>
                </c:pt>
                <c:pt idx="6">
                  <c:v>SK</c:v>
                </c:pt>
                <c:pt idx="7">
                  <c:v>HU</c:v>
                </c:pt>
                <c:pt idx="8">
                  <c:v>MT</c:v>
                </c:pt>
                <c:pt idx="9">
                  <c:v>CZ</c:v>
                </c:pt>
                <c:pt idx="10">
                  <c:v>CY</c:v>
                </c:pt>
                <c:pt idx="11">
                  <c:v>SI</c:v>
                </c:pt>
                <c:pt idx="12">
                  <c:v>PT</c:v>
                </c:pt>
                <c:pt idx="13">
                  <c:v>GR</c:v>
                </c:pt>
                <c:pt idx="14">
                  <c:v>ES</c:v>
                </c:pt>
                <c:pt idx="15">
                  <c:v>EU 27</c:v>
                </c:pt>
                <c:pt idx="16">
                  <c:v>IT</c:v>
                </c:pt>
                <c:pt idx="17">
                  <c:v>EA 17</c:v>
                </c:pt>
                <c:pt idx="18">
                  <c:v>UK</c:v>
                </c:pt>
                <c:pt idx="19">
                  <c:v>EU 15</c:v>
                </c:pt>
                <c:pt idx="20">
                  <c:v>FI</c:v>
                </c:pt>
                <c:pt idx="21">
                  <c:v>FR</c:v>
                </c:pt>
                <c:pt idx="22">
                  <c:v>BE</c:v>
                </c:pt>
                <c:pt idx="23">
                  <c:v>IE</c:v>
                </c:pt>
                <c:pt idx="24">
                  <c:v>DE</c:v>
                </c:pt>
                <c:pt idx="25">
                  <c:v>SE</c:v>
                </c:pt>
                <c:pt idx="26">
                  <c:v>AT</c:v>
                </c:pt>
                <c:pt idx="27">
                  <c:v>DK</c:v>
                </c:pt>
                <c:pt idx="28">
                  <c:v>NL</c:v>
                </c:pt>
                <c:pt idx="29">
                  <c:v>LU</c:v>
                </c:pt>
              </c:strCache>
            </c:strRef>
          </c:cat>
          <c:val>
            <c:numRef>
              <c:f>ESSPROS1!$P$7:$P$36</c:f>
              <c:numCache>
                <c:formatCode>General</c:formatCode>
                <c:ptCount val="30"/>
                <c:pt idx="0">
                  <c:v>17.2</c:v>
                </c:pt>
                <c:pt idx="1">
                  <c:v>17.100000000000001</c:v>
                </c:pt>
                <c:pt idx="2">
                  <c:v>16.8</c:v>
                </c:pt>
                <c:pt idx="3">
                  <c:v>21.3</c:v>
                </c:pt>
                <c:pt idx="4">
                  <c:v>19.7</c:v>
                </c:pt>
                <c:pt idx="5">
                  <c:v>19.2</c:v>
                </c:pt>
                <c:pt idx="6">
                  <c:v>18.8</c:v>
                </c:pt>
                <c:pt idx="7">
                  <c:v>23.4</c:v>
                </c:pt>
                <c:pt idx="8">
                  <c:v>20</c:v>
                </c:pt>
                <c:pt idx="9">
                  <c:v>20.399999999999999</c:v>
                </c:pt>
                <c:pt idx="10">
                  <c:v>20.9</c:v>
                </c:pt>
                <c:pt idx="11">
                  <c:v>24.3</c:v>
                </c:pt>
                <c:pt idx="12">
                  <c:v>26.9</c:v>
                </c:pt>
                <c:pt idx="13">
                  <c:v>28</c:v>
                </c:pt>
                <c:pt idx="14">
                  <c:v>25</c:v>
                </c:pt>
                <c:pt idx="15">
                  <c:v>29.5</c:v>
                </c:pt>
                <c:pt idx="16">
                  <c:v>29.8</c:v>
                </c:pt>
                <c:pt idx="17">
                  <c:v>30.2</c:v>
                </c:pt>
                <c:pt idx="18">
                  <c:v>29.2</c:v>
                </c:pt>
                <c:pt idx="19">
                  <c:v>30.3</c:v>
                </c:pt>
                <c:pt idx="20">
                  <c:v>30.3</c:v>
                </c:pt>
                <c:pt idx="21">
                  <c:v>33.1</c:v>
                </c:pt>
                <c:pt idx="22">
                  <c:v>30.4</c:v>
                </c:pt>
                <c:pt idx="23">
                  <c:v>27.9</c:v>
                </c:pt>
                <c:pt idx="24">
                  <c:v>31.4</c:v>
                </c:pt>
                <c:pt idx="25">
                  <c:v>32.1</c:v>
                </c:pt>
                <c:pt idx="26">
                  <c:v>30.8</c:v>
                </c:pt>
                <c:pt idx="27">
                  <c:v>33.4</c:v>
                </c:pt>
                <c:pt idx="28">
                  <c:v>31.6</c:v>
                </c:pt>
                <c:pt idx="29">
                  <c:v>23.1</c:v>
                </c:pt>
              </c:numCache>
            </c:numRef>
          </c:val>
          <c:smooth val="0"/>
        </c:ser>
        <c:dLbls>
          <c:showLegendKey val="0"/>
          <c:showVal val="0"/>
          <c:showCatName val="0"/>
          <c:showSerName val="0"/>
          <c:showPercent val="0"/>
          <c:showBubbleSize val="0"/>
        </c:dLbls>
        <c:marker val="1"/>
        <c:smooth val="0"/>
        <c:axId val="29903104"/>
        <c:axId val="29925376"/>
      </c:lineChart>
      <c:catAx>
        <c:axId val="29903104"/>
        <c:scaling>
          <c:orientation val="minMax"/>
        </c:scaling>
        <c:delete val="0"/>
        <c:axPos val="b"/>
        <c:majorTickMark val="out"/>
        <c:minorTickMark val="none"/>
        <c:tickLblPos val="nextTo"/>
        <c:crossAx val="29925376"/>
        <c:crosses val="autoZero"/>
        <c:auto val="1"/>
        <c:lblAlgn val="ctr"/>
        <c:lblOffset val="100"/>
        <c:noMultiLvlLbl val="0"/>
      </c:catAx>
      <c:valAx>
        <c:axId val="29925376"/>
        <c:scaling>
          <c:orientation val="minMax"/>
        </c:scaling>
        <c:delete val="0"/>
        <c:axPos val="l"/>
        <c:majorGridlines/>
        <c:numFmt formatCode="General" sourceLinked="1"/>
        <c:majorTickMark val="out"/>
        <c:minorTickMark val="none"/>
        <c:tickLblPos val="nextTo"/>
        <c:crossAx val="29903104"/>
        <c:crosses val="autoZero"/>
        <c:crossBetween val="between"/>
      </c:valAx>
      <c:valAx>
        <c:axId val="29926912"/>
        <c:scaling>
          <c:orientation val="minMax"/>
          <c:max val="15000"/>
          <c:min val="0"/>
        </c:scaling>
        <c:delete val="0"/>
        <c:axPos val="r"/>
        <c:numFmt formatCode="#,##0" sourceLinked="1"/>
        <c:majorTickMark val="out"/>
        <c:minorTickMark val="none"/>
        <c:tickLblPos val="nextTo"/>
        <c:crossAx val="29928448"/>
        <c:crosses val="max"/>
        <c:crossBetween val="between"/>
      </c:valAx>
      <c:catAx>
        <c:axId val="29928448"/>
        <c:scaling>
          <c:orientation val="minMax"/>
        </c:scaling>
        <c:delete val="1"/>
        <c:axPos val="b"/>
        <c:majorTickMark val="out"/>
        <c:minorTickMark val="none"/>
        <c:tickLblPos val="none"/>
        <c:crossAx val="29926912"/>
        <c:crosses val="autoZero"/>
        <c:auto val="1"/>
        <c:lblAlgn val="ctr"/>
        <c:lblOffset val="100"/>
        <c:noMultiLvlLbl val="0"/>
      </c:catAx>
    </c:plotArea>
    <c:legend>
      <c:legendPos val="b"/>
      <c:layout>
        <c:manualLayout>
          <c:xMode val="edge"/>
          <c:yMode val="edge"/>
          <c:x val="6.3340117572407609E-2"/>
          <c:y val="5.4980371410968266E-2"/>
          <c:w val="0.53025563706938861"/>
          <c:h val="0.16644510819982158"/>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916666666666666E-2"/>
          <c:y val="4.8611111111111112E-2"/>
          <c:w val="0.84646338432922463"/>
          <c:h val="0.7395833333333337"/>
        </c:manualLayout>
      </c:layout>
      <c:lineChart>
        <c:grouping val="standard"/>
        <c:varyColors val="0"/>
        <c:ser>
          <c:idx val="0"/>
          <c:order val="0"/>
          <c:tx>
            <c:strRef>
              <c:f>Hárok2!$B$27</c:f>
              <c:strCache>
                <c:ptCount val="1"/>
                <c:pt idx="0">
                  <c:v>Počet  evidovaných nezamestnaných v tis. osobách</c:v>
                </c:pt>
              </c:strCache>
            </c:strRef>
          </c:tx>
          <c:cat>
            <c:strRef>
              <c:f>Hárok2!$C$26:$J$26</c:f>
              <c:strCache>
                <c:ptCount val="8"/>
                <c:pt idx="0">
                  <c:v>I. Q 2010</c:v>
                </c:pt>
                <c:pt idx="1">
                  <c:v>II. Q 2010</c:v>
                </c:pt>
                <c:pt idx="2">
                  <c:v>III. Q 2010</c:v>
                </c:pt>
                <c:pt idx="3">
                  <c:v>IV. Q 2010</c:v>
                </c:pt>
                <c:pt idx="4">
                  <c:v>I. Q 2011</c:v>
                </c:pt>
                <c:pt idx="5">
                  <c:v>II. Q 2011</c:v>
                </c:pt>
                <c:pt idx="6">
                  <c:v>III. Q 2011</c:v>
                </c:pt>
                <c:pt idx="7">
                  <c:v>IV. Q 2011</c:v>
                </c:pt>
              </c:strCache>
            </c:strRef>
          </c:cat>
          <c:val>
            <c:numRef>
              <c:f>Hárok2!$C$27:$J$27</c:f>
              <c:numCache>
                <c:formatCode>0.0</c:formatCode>
                <c:ptCount val="8"/>
                <c:pt idx="0" formatCode="General">
                  <c:v>393.8</c:v>
                </c:pt>
                <c:pt idx="1">
                  <c:v>378.35899999999964</c:v>
                </c:pt>
                <c:pt idx="2" formatCode="General">
                  <c:v>374.4</c:v>
                </c:pt>
                <c:pt idx="3" formatCode="General">
                  <c:v>376.6</c:v>
                </c:pt>
                <c:pt idx="4" formatCode="General">
                  <c:v>393.2</c:v>
                </c:pt>
                <c:pt idx="5" formatCode="General">
                  <c:v>382.5</c:v>
                </c:pt>
                <c:pt idx="6" formatCode="General">
                  <c:v>387</c:v>
                </c:pt>
                <c:pt idx="7" formatCode="General">
                  <c:v>394.3</c:v>
                </c:pt>
              </c:numCache>
            </c:numRef>
          </c:val>
          <c:smooth val="0"/>
        </c:ser>
        <c:ser>
          <c:idx val="1"/>
          <c:order val="1"/>
          <c:tx>
            <c:strRef>
              <c:f>Hárok2!$B$28</c:f>
              <c:strCache>
                <c:ptCount val="1"/>
                <c:pt idx="0">
                  <c:v>Počet nezamestnaných (VZPS) v tis. osobách</c:v>
                </c:pt>
              </c:strCache>
            </c:strRef>
          </c:tx>
          <c:cat>
            <c:strRef>
              <c:f>Hárok2!$C$26:$J$26</c:f>
              <c:strCache>
                <c:ptCount val="8"/>
                <c:pt idx="0">
                  <c:v>I. Q 2010</c:v>
                </c:pt>
                <c:pt idx="1">
                  <c:v>II. Q 2010</c:v>
                </c:pt>
                <c:pt idx="2">
                  <c:v>III. Q 2010</c:v>
                </c:pt>
                <c:pt idx="3">
                  <c:v>IV. Q 2010</c:v>
                </c:pt>
                <c:pt idx="4">
                  <c:v>I. Q 2011</c:v>
                </c:pt>
                <c:pt idx="5">
                  <c:v>II. Q 2011</c:v>
                </c:pt>
                <c:pt idx="6">
                  <c:v>III. Q 2011</c:v>
                </c:pt>
                <c:pt idx="7">
                  <c:v>IV. Q 2011</c:v>
                </c:pt>
              </c:strCache>
            </c:strRef>
          </c:cat>
          <c:val>
            <c:numRef>
              <c:f>Hárok2!$C$28:$J$28</c:f>
              <c:numCache>
                <c:formatCode>General</c:formatCode>
                <c:ptCount val="8"/>
                <c:pt idx="0">
                  <c:v>407.1</c:v>
                </c:pt>
                <c:pt idx="1">
                  <c:v>388.3</c:v>
                </c:pt>
                <c:pt idx="2">
                  <c:v>383.3</c:v>
                </c:pt>
                <c:pt idx="3">
                  <c:v>377.3</c:v>
                </c:pt>
                <c:pt idx="4">
                  <c:v>375.6</c:v>
                </c:pt>
                <c:pt idx="5">
                  <c:v>356.5</c:v>
                </c:pt>
                <c:pt idx="6">
                  <c:v>357.8</c:v>
                </c:pt>
                <c:pt idx="7">
                  <c:v>381.8</c:v>
                </c:pt>
              </c:numCache>
            </c:numRef>
          </c:val>
          <c:smooth val="0"/>
        </c:ser>
        <c:dLbls>
          <c:showLegendKey val="0"/>
          <c:showVal val="0"/>
          <c:showCatName val="0"/>
          <c:showSerName val="0"/>
          <c:showPercent val="0"/>
          <c:showBubbleSize val="0"/>
        </c:dLbls>
        <c:marker val="1"/>
        <c:smooth val="0"/>
        <c:axId val="27618304"/>
        <c:axId val="27624192"/>
      </c:lineChart>
      <c:catAx>
        <c:axId val="27618304"/>
        <c:scaling>
          <c:orientation val="minMax"/>
        </c:scaling>
        <c:delete val="0"/>
        <c:axPos val="b"/>
        <c:numFmt formatCode="General" sourceLinked="1"/>
        <c:majorTickMark val="out"/>
        <c:minorTickMark val="none"/>
        <c:tickLblPos val="nextTo"/>
        <c:txPr>
          <a:bodyPr rot="-1080000"/>
          <a:lstStyle/>
          <a:p>
            <a:pPr>
              <a:defRPr/>
            </a:pPr>
            <a:endParaRPr lang="sk-SK"/>
          </a:p>
        </c:txPr>
        <c:crossAx val="27624192"/>
        <c:crosses val="autoZero"/>
        <c:auto val="1"/>
        <c:lblAlgn val="ctr"/>
        <c:lblOffset val="100"/>
        <c:noMultiLvlLbl val="0"/>
      </c:catAx>
      <c:valAx>
        <c:axId val="27624192"/>
        <c:scaling>
          <c:orientation val="minMax"/>
        </c:scaling>
        <c:delete val="0"/>
        <c:axPos val="l"/>
        <c:majorGridlines/>
        <c:numFmt formatCode="General" sourceLinked="1"/>
        <c:majorTickMark val="out"/>
        <c:minorTickMark val="none"/>
        <c:tickLblPos val="nextTo"/>
        <c:crossAx val="27618304"/>
        <c:crosses val="autoZero"/>
        <c:crossBetween val="between"/>
      </c:valAx>
    </c:plotArea>
    <c:legend>
      <c:legendPos val="b"/>
      <c:layout>
        <c:manualLayout>
          <c:xMode val="edge"/>
          <c:yMode val="edge"/>
          <c:x val="0.10407102288788983"/>
          <c:y val="0.62003478419716629"/>
          <c:w val="0.71949921264398253"/>
          <c:h val="0.17253940146488694"/>
        </c:manualLayout>
      </c:layout>
      <c:overlay val="1"/>
    </c:legend>
    <c:plotVisOnly val="1"/>
    <c:dispBlanksAs val="gap"/>
    <c:showDLblsOverMax val="0"/>
  </c:chart>
  <c:spPr>
    <a:ln>
      <a:noFill/>
    </a:ln>
  </c:spPr>
  <c:txPr>
    <a:bodyPr/>
    <a:lstStyle/>
    <a:p>
      <a:pPr>
        <a:defRPr sz="920" baseline="0">
          <a:latin typeface="Times New Roman" pitchFamily="18" charset="0"/>
        </a:defRPr>
      </a:pPr>
      <a:endParaRPr lang="sk-SK"/>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529906603001169E-2"/>
          <c:y val="5.262781174538235E-2"/>
          <c:w val="0.88494018679399766"/>
          <c:h val="0.71006630750103605"/>
        </c:manualLayout>
      </c:layout>
      <c:lineChart>
        <c:grouping val="standard"/>
        <c:varyColors val="0"/>
        <c:ser>
          <c:idx val="0"/>
          <c:order val="0"/>
          <c:tx>
            <c:strRef>
              <c:f>ESSPROS4!$D$4</c:f>
              <c:strCache>
                <c:ptCount val="1"/>
                <c:pt idx="0">
                  <c:v>Výdavky SO/HDP (ĽO) EA-17 (ĽO)</c:v>
                </c:pt>
              </c:strCache>
            </c:strRef>
          </c:tx>
          <c:dLbls>
            <c:dLbl>
              <c:idx val="6"/>
              <c:delete val="1"/>
            </c:dLbl>
            <c:dLbl>
              <c:idx val="7"/>
              <c:delete val="1"/>
            </c:dLbl>
            <c:dLbl>
              <c:idx val="8"/>
              <c:delete val="1"/>
            </c:dLbl>
            <c:dLbl>
              <c:idx val="9"/>
              <c:delete val="1"/>
            </c:dLbl>
            <c:dLbl>
              <c:idx val="10"/>
              <c:delete val="1"/>
            </c:dLbl>
            <c:dLbl>
              <c:idx val="11"/>
              <c:delete val="1"/>
            </c:dLbl>
            <c:dLblPos val="t"/>
            <c:showLegendKey val="0"/>
            <c:showVal val="1"/>
            <c:showCatName val="0"/>
            <c:showSerName val="0"/>
            <c:showPercent val="0"/>
            <c:showBubbleSize val="0"/>
            <c:showLeaderLines val="0"/>
          </c:dLbls>
          <c:cat>
            <c:numRef>
              <c:f>ESSPROS4!$C$5:$C$18</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ESSPROS4!$D$5:$D$18</c:f>
              <c:numCache>
                <c:formatCode>General</c:formatCode>
                <c:ptCount val="14"/>
                <c:pt idx="5">
                  <c:v>26.8</c:v>
                </c:pt>
                <c:pt idx="6">
                  <c:v>27.3</c:v>
                </c:pt>
                <c:pt idx="7">
                  <c:v>27.7</c:v>
                </c:pt>
                <c:pt idx="8">
                  <c:v>27.6</c:v>
                </c:pt>
                <c:pt idx="9">
                  <c:v>27.6</c:v>
                </c:pt>
                <c:pt idx="10">
                  <c:v>27.2</c:v>
                </c:pt>
                <c:pt idx="11">
                  <c:v>26.8</c:v>
                </c:pt>
                <c:pt idx="12">
                  <c:v>27.5</c:v>
                </c:pt>
                <c:pt idx="13">
                  <c:v>30.2</c:v>
                </c:pt>
              </c:numCache>
            </c:numRef>
          </c:val>
          <c:smooth val="0"/>
        </c:ser>
        <c:ser>
          <c:idx val="1"/>
          <c:order val="1"/>
          <c:tx>
            <c:strRef>
              <c:f>ESSPROS4!$E$4</c:f>
              <c:strCache>
                <c:ptCount val="1"/>
                <c:pt idx="0">
                  <c:v>Výdavky SO/HDP SK (ĽO)</c:v>
                </c:pt>
              </c:strCache>
            </c:strRef>
          </c:tx>
          <c:marker>
            <c:symbol val="diamond"/>
            <c:size val="7"/>
          </c:marker>
          <c:dLbls>
            <c:dLbl>
              <c:idx val="1"/>
              <c:delete val="1"/>
            </c:dLbl>
            <c:dLbl>
              <c:idx val="2"/>
              <c:delete val="1"/>
            </c:dLbl>
            <c:dLbl>
              <c:idx val="4"/>
              <c:delete val="1"/>
            </c:dLbl>
            <c:dLbl>
              <c:idx val="7"/>
              <c:delete val="1"/>
            </c:dLbl>
            <c:dLbl>
              <c:idx val="8"/>
              <c:delete val="1"/>
            </c:dLbl>
            <c:dLbl>
              <c:idx val="9"/>
              <c:delete val="1"/>
            </c:dLbl>
            <c:dLbl>
              <c:idx val="10"/>
              <c:delete val="1"/>
            </c:dLbl>
            <c:dLbl>
              <c:idx val="11"/>
              <c:dLblPos val="t"/>
              <c:showLegendKey val="0"/>
              <c:showVal val="1"/>
              <c:showCatName val="0"/>
              <c:showSerName val="0"/>
              <c:showPercent val="0"/>
              <c:showBubbleSize val="0"/>
            </c:dLbl>
            <c:dLbl>
              <c:idx val="12"/>
              <c:delete val="1"/>
            </c:dLbl>
            <c:dLbl>
              <c:idx val="13"/>
              <c:dLblPos val="t"/>
              <c:showLegendKey val="0"/>
              <c:showVal val="1"/>
              <c:showCatName val="0"/>
              <c:showSerName val="0"/>
              <c:showPercent val="0"/>
              <c:showBubbleSize val="0"/>
            </c:dLbl>
            <c:numFmt formatCode="#,##0.0" sourceLinked="0"/>
            <c:dLblPos val="b"/>
            <c:showLegendKey val="0"/>
            <c:showVal val="1"/>
            <c:showCatName val="0"/>
            <c:showSerName val="0"/>
            <c:showPercent val="0"/>
            <c:showBubbleSize val="0"/>
            <c:showLeaderLines val="0"/>
          </c:dLbls>
          <c:cat>
            <c:numRef>
              <c:f>ESSPROS4!$C$5:$C$18</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ESSPROS4!$E$5:$E$18</c:f>
              <c:numCache>
                <c:formatCode>General</c:formatCode>
                <c:ptCount val="14"/>
                <c:pt idx="0">
                  <c:v>19.5</c:v>
                </c:pt>
                <c:pt idx="1">
                  <c:v>19.8</c:v>
                </c:pt>
                <c:pt idx="2">
                  <c:v>20</c:v>
                </c:pt>
                <c:pt idx="3">
                  <c:v>20.2</c:v>
                </c:pt>
                <c:pt idx="4">
                  <c:v>19.399999999999999</c:v>
                </c:pt>
                <c:pt idx="5">
                  <c:v>18.899999999999999</c:v>
                </c:pt>
                <c:pt idx="6">
                  <c:v>19.100000000000001</c:v>
                </c:pt>
                <c:pt idx="7">
                  <c:v>18.399999999999999</c:v>
                </c:pt>
                <c:pt idx="8">
                  <c:v>17.2</c:v>
                </c:pt>
                <c:pt idx="9">
                  <c:v>16.5</c:v>
                </c:pt>
                <c:pt idx="10">
                  <c:v>16.3</c:v>
                </c:pt>
                <c:pt idx="11">
                  <c:v>16</c:v>
                </c:pt>
                <c:pt idx="12">
                  <c:v>16</c:v>
                </c:pt>
                <c:pt idx="13">
                  <c:v>18.8</c:v>
                </c:pt>
              </c:numCache>
            </c:numRef>
          </c:val>
          <c:smooth val="0"/>
        </c:ser>
        <c:dLbls>
          <c:showLegendKey val="0"/>
          <c:showVal val="0"/>
          <c:showCatName val="0"/>
          <c:showSerName val="0"/>
          <c:showPercent val="0"/>
          <c:showBubbleSize val="0"/>
        </c:dLbls>
        <c:marker val="1"/>
        <c:smooth val="0"/>
        <c:axId val="30258688"/>
        <c:axId val="30260224"/>
      </c:lineChart>
      <c:lineChart>
        <c:grouping val="standard"/>
        <c:varyColors val="0"/>
        <c:ser>
          <c:idx val="2"/>
          <c:order val="2"/>
          <c:tx>
            <c:strRef>
              <c:f>ESSPROS4!$F$4</c:f>
              <c:strCache>
                <c:ptCount val="1"/>
                <c:pt idx="0">
                  <c:v>index výdavkov SO EA-17</c:v>
                </c:pt>
              </c:strCache>
            </c:strRef>
          </c:tx>
          <c:spPr>
            <a:ln>
              <a:solidFill>
                <a:schemeClr val="accent1">
                  <a:lumMod val="40000"/>
                  <a:lumOff val="60000"/>
                </a:schemeClr>
              </a:solidFill>
            </a:ln>
          </c:spPr>
          <c:marker>
            <c:spPr>
              <a:solidFill>
                <a:schemeClr val="accent1">
                  <a:lumMod val="60000"/>
                  <a:lumOff val="40000"/>
                </a:schemeClr>
              </a:solidFill>
              <a:ln>
                <a:solidFill>
                  <a:schemeClr val="accent1">
                    <a:lumMod val="40000"/>
                    <a:lumOff val="60000"/>
                  </a:schemeClr>
                </a:solidFill>
              </a:ln>
            </c:spPr>
          </c:marker>
          <c:dLbls>
            <c:dLbl>
              <c:idx val="6"/>
              <c:delete val="1"/>
            </c:dLbl>
            <c:dLbl>
              <c:idx val="7"/>
              <c:delete val="1"/>
            </c:dLbl>
            <c:dLbl>
              <c:idx val="8"/>
              <c:delete val="1"/>
            </c:dLbl>
            <c:dLbl>
              <c:idx val="9"/>
              <c:delete val="1"/>
            </c:dLbl>
            <c:dLbl>
              <c:idx val="10"/>
              <c:delete val="1"/>
            </c:dLbl>
            <c:dLbl>
              <c:idx val="11"/>
              <c:delete val="1"/>
            </c:dLbl>
            <c:dLbl>
              <c:idx val="12"/>
              <c:delete val="1"/>
            </c:dLbl>
            <c:dLblPos val="t"/>
            <c:showLegendKey val="0"/>
            <c:showVal val="1"/>
            <c:showCatName val="0"/>
            <c:showSerName val="0"/>
            <c:showPercent val="0"/>
            <c:showBubbleSize val="0"/>
            <c:showLeaderLines val="0"/>
          </c:dLbls>
          <c:cat>
            <c:numRef>
              <c:f>ESSPROS4!$C$5:$C$18</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ESSPROS4!$F$5:$F$18</c:f>
              <c:numCache>
                <c:formatCode>General</c:formatCode>
                <c:ptCount val="14"/>
                <c:pt idx="5" formatCode="0.0">
                  <c:v>4.8393653454746355</c:v>
                </c:pt>
                <c:pt idx="6" formatCode="0.0">
                  <c:v>5.6570460342443951</c:v>
                </c:pt>
                <c:pt idx="7" formatCode="0.0">
                  <c:v>4.4496140923764314</c:v>
                </c:pt>
                <c:pt idx="8" formatCode="0.0">
                  <c:v>3.7159170376219106</c:v>
                </c:pt>
                <c:pt idx="9" formatCode="0.0">
                  <c:v>3.7650736444165402</c:v>
                </c:pt>
                <c:pt idx="10" formatCode="0.0">
                  <c:v>3.5182928855176376</c:v>
                </c:pt>
                <c:pt idx="11" formatCode="0.0">
                  <c:v>3.7387166416614606</c:v>
                </c:pt>
                <c:pt idx="12" formatCode="0.0">
                  <c:v>5.0218991876147134</c:v>
                </c:pt>
                <c:pt idx="13" formatCode="0.0">
                  <c:v>6.2980244317348184</c:v>
                </c:pt>
              </c:numCache>
            </c:numRef>
          </c:val>
          <c:smooth val="0"/>
        </c:ser>
        <c:ser>
          <c:idx val="3"/>
          <c:order val="3"/>
          <c:tx>
            <c:strRef>
              <c:f>ESSPROS4!$G$4</c:f>
              <c:strCache>
                <c:ptCount val="1"/>
                <c:pt idx="0">
                  <c:v>index výdavkov SO SK</c:v>
                </c:pt>
              </c:strCache>
            </c:strRef>
          </c:tx>
          <c:spPr>
            <a:ln>
              <a:solidFill>
                <a:schemeClr val="accent2">
                  <a:lumMod val="60000"/>
                  <a:lumOff val="40000"/>
                </a:schemeClr>
              </a:solidFill>
            </a:ln>
          </c:spPr>
          <c:marker>
            <c:symbol val="triangle"/>
            <c:size val="7"/>
            <c:spPr>
              <a:solidFill>
                <a:schemeClr val="accent2">
                  <a:lumMod val="60000"/>
                  <a:lumOff val="40000"/>
                </a:schemeClr>
              </a:solidFill>
              <a:ln>
                <a:solidFill>
                  <a:schemeClr val="accent2">
                    <a:lumMod val="60000"/>
                    <a:lumOff val="40000"/>
                  </a:schemeClr>
                </a:solidFill>
              </a:ln>
            </c:spPr>
          </c:marker>
          <c:dLbls>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Pos val="t"/>
            <c:showLegendKey val="0"/>
            <c:showVal val="1"/>
            <c:showCatName val="0"/>
            <c:showSerName val="0"/>
            <c:showPercent val="0"/>
            <c:showBubbleSize val="0"/>
            <c:showLeaderLines val="0"/>
          </c:dLbls>
          <c:cat>
            <c:numRef>
              <c:f>ESSPROS4!$C$5:$C$18</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ESSPROS4!$G$5:$G$18</c:f>
              <c:numCache>
                <c:formatCode>0.0</c:formatCode>
                <c:ptCount val="14"/>
                <c:pt idx="0">
                  <c:v>17.241865398126734</c:v>
                </c:pt>
                <c:pt idx="1">
                  <c:v>12.725320864545068</c:v>
                </c:pt>
                <c:pt idx="2">
                  <c:v>10.924507218711502</c:v>
                </c:pt>
                <c:pt idx="3">
                  <c:v>8.093998065793917</c:v>
                </c:pt>
                <c:pt idx="4">
                  <c:v>6.6686576057757065</c:v>
                </c:pt>
                <c:pt idx="5">
                  <c:v>6.1619507397378799</c:v>
                </c:pt>
                <c:pt idx="6">
                  <c:v>9.4967665431867747</c:v>
                </c:pt>
                <c:pt idx="7">
                  <c:v>6.3039994215103894</c:v>
                </c:pt>
                <c:pt idx="8">
                  <c:v>4.0347029931070422</c:v>
                </c:pt>
                <c:pt idx="9">
                  <c:v>4.7075484727017169</c:v>
                </c:pt>
                <c:pt idx="10">
                  <c:v>10.555863785660202</c:v>
                </c:pt>
                <c:pt idx="11">
                  <c:v>9.7235754703785027</c:v>
                </c:pt>
                <c:pt idx="12">
                  <c:v>8.8053778269264367</c:v>
                </c:pt>
                <c:pt idx="13">
                  <c:v>10.470464521700215</c:v>
                </c:pt>
              </c:numCache>
            </c:numRef>
          </c:val>
          <c:smooth val="0"/>
        </c:ser>
        <c:ser>
          <c:idx val="4"/>
          <c:order val="4"/>
          <c:tx>
            <c:strRef>
              <c:f>ESSPROS4!$H$4</c:f>
              <c:strCache>
                <c:ptCount val="1"/>
                <c:pt idx="0">
                  <c:v>index HDP EA-17</c:v>
                </c:pt>
              </c:strCache>
            </c:strRef>
          </c:tx>
          <c:spPr>
            <a:ln>
              <a:solidFill>
                <a:srgbClr val="00B0F0"/>
              </a:solidFill>
            </a:ln>
          </c:spPr>
          <c:marker>
            <c:symbol val="circle"/>
            <c:size val="7"/>
            <c:spPr>
              <a:solidFill>
                <a:srgbClr val="00B0F0"/>
              </a:solidFill>
              <a:ln>
                <a:solidFill>
                  <a:srgbClr val="00B0F0"/>
                </a:solidFill>
              </a:ln>
            </c:spPr>
          </c:marker>
          <c:dLbls>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LblPos val="l"/>
              <c:showLegendKey val="0"/>
              <c:showVal val="1"/>
              <c:showCatName val="0"/>
              <c:showSerName val="0"/>
              <c:showPercent val="0"/>
              <c:showBubbleSize val="0"/>
            </c:dLbl>
            <c:dLbl>
              <c:idx val="13"/>
              <c:dLblPos val="l"/>
              <c:showLegendKey val="0"/>
              <c:showVal val="1"/>
              <c:showCatName val="0"/>
              <c:showSerName val="0"/>
              <c:showPercent val="0"/>
              <c:showBubbleSize val="0"/>
            </c:dLbl>
            <c:showLegendKey val="0"/>
            <c:showVal val="1"/>
            <c:showCatName val="0"/>
            <c:showSerName val="0"/>
            <c:showPercent val="0"/>
            <c:showBubbleSize val="0"/>
            <c:showLeaderLines val="0"/>
          </c:dLbls>
          <c:cat>
            <c:numRef>
              <c:f>ESSPROS4!$C$5:$C$18</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ESSPROS4!$H$5:$H$18</c:f>
              <c:numCache>
                <c:formatCode>0.0</c:formatCode>
                <c:ptCount val="14"/>
                <c:pt idx="0">
                  <c:v>4.2</c:v>
                </c:pt>
                <c:pt idx="1">
                  <c:v>2.2615461498187037</c:v>
                </c:pt>
                <c:pt idx="2">
                  <c:v>3.8776312141535647</c:v>
                </c:pt>
                <c:pt idx="3">
                  <c:v>4.5119208927496794</c:v>
                </c:pt>
                <c:pt idx="4">
                  <c:v>5.2064595175135953</c:v>
                </c:pt>
                <c:pt idx="5">
                  <c:v>4.4389072295680085</c:v>
                </c:pt>
                <c:pt idx="6">
                  <c:v>3.4735546765873457</c:v>
                </c:pt>
                <c:pt idx="7">
                  <c:v>2.9483244732473586</c:v>
                </c:pt>
                <c:pt idx="8">
                  <c:v>4.1539017589869873</c:v>
                </c:pt>
                <c:pt idx="9">
                  <c:v>3.6263870264378282</c:v>
                </c:pt>
                <c:pt idx="10">
                  <c:v>5.150223128087668</c:v>
                </c:pt>
                <c:pt idx="11">
                  <c:v>5.431894660342973</c:v>
                </c:pt>
                <c:pt idx="12">
                  <c:v>2.3703536101123972</c:v>
                </c:pt>
                <c:pt idx="13">
                  <c:v>-3.4761931913984991</c:v>
                </c:pt>
              </c:numCache>
            </c:numRef>
          </c:val>
          <c:smooth val="0"/>
        </c:ser>
        <c:ser>
          <c:idx val="5"/>
          <c:order val="5"/>
          <c:tx>
            <c:strRef>
              <c:f>ESSPROS4!$I$4</c:f>
              <c:strCache>
                <c:ptCount val="1"/>
                <c:pt idx="0">
                  <c:v>index HDP SK</c:v>
                </c:pt>
              </c:strCache>
            </c:strRef>
          </c:tx>
          <c:spPr>
            <a:ln>
              <a:solidFill>
                <a:schemeClr val="accent6">
                  <a:lumMod val="75000"/>
                </a:schemeClr>
              </a:solidFill>
            </a:ln>
          </c:spPr>
          <c:marker>
            <c:spPr>
              <a:solidFill>
                <a:schemeClr val="accent6">
                  <a:lumMod val="75000"/>
                </a:schemeClr>
              </a:solidFill>
              <a:ln>
                <a:solidFill>
                  <a:schemeClr val="accent6">
                    <a:lumMod val="75000"/>
                  </a:schemeClr>
                </a:solidFill>
              </a:ln>
            </c:spPr>
          </c:marker>
          <c:dLbls>
            <c:dLbl>
              <c:idx val="3"/>
              <c:delete val="1"/>
            </c:dLbl>
            <c:dLbl>
              <c:idx val="4"/>
              <c:delete val="1"/>
            </c:dLbl>
            <c:dLbl>
              <c:idx val="5"/>
              <c:delete val="1"/>
            </c:dLbl>
            <c:dLbl>
              <c:idx val="6"/>
              <c:delete val="1"/>
            </c:dLbl>
            <c:dLbl>
              <c:idx val="7"/>
              <c:delete val="1"/>
            </c:dLbl>
            <c:dLbl>
              <c:idx val="8"/>
              <c:delete val="1"/>
            </c:dLbl>
            <c:dLbl>
              <c:idx val="10"/>
              <c:delete val="1"/>
            </c:dLbl>
            <c:dLbl>
              <c:idx val="11"/>
              <c:delete val="1"/>
            </c:dLbl>
            <c:dLbl>
              <c:idx val="12"/>
              <c:delete val="1"/>
            </c:dLbl>
            <c:dLbl>
              <c:idx val="13"/>
              <c:layout>
                <c:manualLayout>
                  <c:x val="-4.0022576271824394E-2"/>
                  <c:y val="2.5653708484641345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ESSPROS4!$C$5:$C$18</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ESSPROS4!$I$5:$I$18</c:f>
              <c:numCache>
                <c:formatCode>0.0</c:formatCode>
                <c:ptCount val="14"/>
                <c:pt idx="0">
                  <c:v>11.4</c:v>
                </c:pt>
                <c:pt idx="1">
                  <c:v>10.869868168009146</c:v>
                </c:pt>
                <c:pt idx="2">
                  <c:v>9.6554295817726459</c:v>
                </c:pt>
                <c:pt idx="3">
                  <c:v>7.4018317355637091</c:v>
                </c:pt>
                <c:pt idx="4">
                  <c:v>10.914614840034019</c:v>
                </c:pt>
                <c:pt idx="5">
                  <c:v>8.673353198341081</c:v>
                </c:pt>
                <c:pt idx="6">
                  <c:v>8.6345820100823047</c:v>
                </c:pt>
                <c:pt idx="7">
                  <c:v>10.33860682973482</c:v>
                </c:pt>
                <c:pt idx="8">
                  <c:v>11.202107751403535</c:v>
                </c:pt>
                <c:pt idx="9">
                  <c:v>9.1954633824460572</c:v>
                </c:pt>
                <c:pt idx="10">
                  <c:v>11.53298644203902</c:v>
                </c:pt>
                <c:pt idx="11">
                  <c:v>11.723477135210603</c:v>
                </c:pt>
                <c:pt idx="12">
                  <c:v>8.7757954880170352</c:v>
                </c:pt>
                <c:pt idx="13">
                  <c:v>-6.0548394432276442</c:v>
                </c:pt>
              </c:numCache>
            </c:numRef>
          </c:val>
          <c:smooth val="0"/>
        </c:ser>
        <c:dLbls>
          <c:showLegendKey val="0"/>
          <c:showVal val="0"/>
          <c:showCatName val="0"/>
          <c:showSerName val="0"/>
          <c:showPercent val="0"/>
          <c:showBubbleSize val="0"/>
        </c:dLbls>
        <c:marker val="1"/>
        <c:smooth val="0"/>
        <c:axId val="30267648"/>
        <c:axId val="30266112"/>
      </c:lineChart>
      <c:catAx>
        <c:axId val="30258688"/>
        <c:scaling>
          <c:orientation val="minMax"/>
        </c:scaling>
        <c:delete val="0"/>
        <c:axPos val="b"/>
        <c:numFmt formatCode="General" sourceLinked="1"/>
        <c:majorTickMark val="out"/>
        <c:minorTickMark val="none"/>
        <c:tickLblPos val="nextTo"/>
        <c:crossAx val="30260224"/>
        <c:crosses val="autoZero"/>
        <c:auto val="1"/>
        <c:lblAlgn val="ctr"/>
        <c:lblOffset val="100"/>
        <c:noMultiLvlLbl val="0"/>
      </c:catAx>
      <c:valAx>
        <c:axId val="30260224"/>
        <c:scaling>
          <c:orientation val="minMax"/>
          <c:max val="31"/>
          <c:min val="16"/>
        </c:scaling>
        <c:delete val="0"/>
        <c:axPos val="l"/>
        <c:majorGridlines/>
        <c:numFmt formatCode="General" sourceLinked="1"/>
        <c:majorTickMark val="out"/>
        <c:minorTickMark val="none"/>
        <c:tickLblPos val="nextTo"/>
        <c:crossAx val="30258688"/>
        <c:crosses val="autoZero"/>
        <c:crossBetween val="between"/>
        <c:majorUnit val="2"/>
      </c:valAx>
      <c:valAx>
        <c:axId val="30266112"/>
        <c:scaling>
          <c:orientation val="minMax"/>
          <c:max val="18"/>
          <c:min val="-8"/>
        </c:scaling>
        <c:delete val="0"/>
        <c:axPos val="r"/>
        <c:numFmt formatCode="General" sourceLinked="1"/>
        <c:majorTickMark val="out"/>
        <c:minorTickMark val="none"/>
        <c:tickLblPos val="nextTo"/>
        <c:crossAx val="30267648"/>
        <c:crosses val="max"/>
        <c:crossBetween val="between"/>
      </c:valAx>
      <c:catAx>
        <c:axId val="30267648"/>
        <c:scaling>
          <c:orientation val="minMax"/>
        </c:scaling>
        <c:delete val="1"/>
        <c:axPos val="b"/>
        <c:numFmt formatCode="General" sourceLinked="1"/>
        <c:majorTickMark val="out"/>
        <c:minorTickMark val="none"/>
        <c:tickLblPos val="none"/>
        <c:crossAx val="30266112"/>
        <c:crosses val="autoZero"/>
        <c:auto val="1"/>
        <c:lblAlgn val="ctr"/>
        <c:lblOffset val="100"/>
        <c:noMultiLvlLbl val="0"/>
      </c:catAx>
    </c:plotArea>
    <c:legend>
      <c:legendPos val="b"/>
      <c:layout>
        <c:manualLayout>
          <c:xMode val="edge"/>
          <c:yMode val="edge"/>
          <c:x val="9.7180191139399873E-3"/>
          <c:y val="0.85955317786233654"/>
          <c:w val="0.98969486453082345"/>
          <c:h val="0.13640767431543591"/>
        </c:manualLayout>
      </c:layout>
      <c:overlay val="0"/>
      <c:txPr>
        <a:bodyPr/>
        <a:lstStyle/>
        <a:p>
          <a:pPr>
            <a:defRPr sz="900" baseline="0"/>
          </a:pPr>
          <a:endParaRPr lang="sk-SK"/>
        </a:p>
      </c:txPr>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185033428059067E-2"/>
          <c:y val="5.1400554097404488E-2"/>
          <c:w val="0.89153241008631656"/>
          <c:h val="0.55916265675123866"/>
        </c:manualLayout>
      </c:layout>
      <c:barChart>
        <c:barDir val="col"/>
        <c:grouping val="percentStacked"/>
        <c:varyColors val="0"/>
        <c:ser>
          <c:idx val="0"/>
          <c:order val="0"/>
          <c:tx>
            <c:strRef>
              <c:f>ESSPROS6!$C$2</c:f>
              <c:strCache>
                <c:ptCount val="1"/>
                <c:pt idx="0">
                  <c:v>Choroba/zdravotná starostlivosť</c:v>
                </c:pt>
              </c:strCache>
            </c:strRef>
          </c:tx>
          <c:spPr>
            <a:ln>
              <a:solidFill>
                <a:schemeClr val="accent1"/>
              </a:solidFill>
            </a:ln>
          </c:spPr>
          <c:invertIfNegative val="0"/>
          <c:dPt>
            <c:idx val="0"/>
            <c:invertIfNegative val="0"/>
            <c:bubble3D val="0"/>
            <c:spPr>
              <a:solidFill>
                <a:schemeClr val="accent1">
                  <a:lumMod val="60000"/>
                  <a:lumOff val="40000"/>
                </a:schemeClr>
              </a:solidFill>
              <a:ln>
                <a:solidFill>
                  <a:schemeClr val="accent1">
                    <a:lumMod val="60000"/>
                    <a:lumOff val="40000"/>
                  </a:schemeClr>
                </a:solidFill>
              </a:ln>
            </c:spPr>
          </c:dPt>
          <c:dPt>
            <c:idx val="1"/>
            <c:invertIfNegative val="0"/>
            <c:bubble3D val="0"/>
            <c:spPr>
              <a:solidFill>
                <a:schemeClr val="accent1">
                  <a:lumMod val="60000"/>
                  <a:lumOff val="40000"/>
                </a:schemeClr>
              </a:solidFill>
              <a:ln>
                <a:solidFill>
                  <a:schemeClr val="accent1">
                    <a:lumMod val="60000"/>
                    <a:lumOff val="40000"/>
                  </a:schemeClr>
                </a:solidFill>
              </a:ln>
            </c:spPr>
          </c:dPt>
          <c:dPt>
            <c:idx val="2"/>
            <c:invertIfNegative val="0"/>
            <c:bubble3D val="0"/>
            <c:spPr>
              <a:solidFill>
                <a:schemeClr val="accent1">
                  <a:lumMod val="60000"/>
                  <a:lumOff val="40000"/>
                </a:schemeClr>
              </a:solidFill>
              <a:ln>
                <a:solidFill>
                  <a:schemeClr val="accent1">
                    <a:lumMod val="60000"/>
                    <a:lumOff val="40000"/>
                  </a:schemeClr>
                </a:solidFill>
              </a:ln>
            </c:spPr>
          </c:dPt>
          <c:dPt>
            <c:idx val="26"/>
            <c:invertIfNegative val="0"/>
            <c:bubble3D val="0"/>
            <c:spPr>
              <a:solidFill>
                <a:schemeClr val="tx2">
                  <a:lumMod val="75000"/>
                </a:schemeClr>
              </a:solidFill>
              <a:ln>
                <a:solidFill>
                  <a:schemeClr val="tx2">
                    <a:lumMod val="75000"/>
                  </a:schemeClr>
                </a:solidFill>
              </a:ln>
            </c:spPr>
          </c:dPt>
          <c:cat>
            <c:strRef>
              <c:f>ESSPROS6!$B$3:$B$32</c:f>
              <c:strCache>
                <c:ptCount val="30"/>
                <c:pt idx="0">
                  <c:v>EU27</c:v>
                </c:pt>
                <c:pt idx="1">
                  <c:v>EU15</c:v>
                </c:pt>
                <c:pt idx="2">
                  <c:v>EA17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ESSPROS6!$C$3:$C$32</c:f>
              <c:numCache>
                <c:formatCode>General</c:formatCode>
                <c:ptCount val="30"/>
                <c:pt idx="0">
                  <c:v>29.6</c:v>
                </c:pt>
                <c:pt idx="1">
                  <c:v>29.7</c:v>
                </c:pt>
                <c:pt idx="2">
                  <c:v>29.9</c:v>
                </c:pt>
                <c:pt idx="3">
                  <c:v>28.2</c:v>
                </c:pt>
                <c:pt idx="4">
                  <c:v>23.5</c:v>
                </c:pt>
                <c:pt idx="5">
                  <c:v>32.300000000000004</c:v>
                </c:pt>
                <c:pt idx="6">
                  <c:v>23.3</c:v>
                </c:pt>
                <c:pt idx="7">
                  <c:v>32.1</c:v>
                </c:pt>
                <c:pt idx="8">
                  <c:v>28.4</c:v>
                </c:pt>
                <c:pt idx="9">
                  <c:v>40.6</c:v>
                </c:pt>
                <c:pt idx="10">
                  <c:v>29.1</c:v>
                </c:pt>
                <c:pt idx="11">
                  <c:v>29.8</c:v>
                </c:pt>
                <c:pt idx="12">
                  <c:v>29.7</c:v>
                </c:pt>
                <c:pt idx="13">
                  <c:v>25.7</c:v>
                </c:pt>
                <c:pt idx="14">
                  <c:v>24.6</c:v>
                </c:pt>
                <c:pt idx="15">
                  <c:v>23.6</c:v>
                </c:pt>
                <c:pt idx="16">
                  <c:v>26.2</c:v>
                </c:pt>
                <c:pt idx="17">
                  <c:v>25.4</c:v>
                </c:pt>
                <c:pt idx="18">
                  <c:v>24.7</c:v>
                </c:pt>
                <c:pt idx="19">
                  <c:v>30.8</c:v>
                </c:pt>
                <c:pt idx="20">
                  <c:v>34.800000000000004</c:v>
                </c:pt>
                <c:pt idx="21">
                  <c:v>25.5</c:v>
                </c:pt>
                <c:pt idx="22">
                  <c:v>24.5</c:v>
                </c:pt>
                <c:pt idx="23">
                  <c:v>28.5</c:v>
                </c:pt>
                <c:pt idx="24">
                  <c:v>24.6</c:v>
                </c:pt>
                <c:pt idx="25">
                  <c:v>33</c:v>
                </c:pt>
                <c:pt idx="26">
                  <c:v>31.3</c:v>
                </c:pt>
                <c:pt idx="27">
                  <c:v>25.6</c:v>
                </c:pt>
                <c:pt idx="28">
                  <c:v>25.4</c:v>
                </c:pt>
                <c:pt idx="29">
                  <c:v>30.8</c:v>
                </c:pt>
              </c:numCache>
            </c:numRef>
          </c:val>
        </c:ser>
        <c:ser>
          <c:idx val="1"/>
          <c:order val="1"/>
          <c:tx>
            <c:strRef>
              <c:f>ESSPROS6!$D$2</c:f>
              <c:strCache>
                <c:ptCount val="1"/>
                <c:pt idx="0">
                  <c:v>Invalidita</c:v>
                </c:pt>
              </c:strCache>
            </c:strRef>
          </c:tx>
          <c:spPr>
            <a:pattFill prst="dkUpDiag">
              <a:fgClr>
                <a:schemeClr val="accent1"/>
              </a:fgClr>
              <a:bgClr>
                <a:schemeClr val="bg1"/>
              </a:bgClr>
            </a:pattFill>
            <a:ln>
              <a:solidFill>
                <a:schemeClr val="accent1"/>
              </a:solidFill>
            </a:ln>
          </c:spPr>
          <c:invertIfNegative val="0"/>
          <c:dPt>
            <c:idx val="0"/>
            <c:invertIfNegative val="0"/>
            <c:bubble3D val="0"/>
            <c:spPr>
              <a:pattFill prst="dkUpDiag">
                <a:fgClr>
                  <a:schemeClr val="accent1">
                    <a:lumMod val="60000"/>
                    <a:lumOff val="40000"/>
                  </a:schemeClr>
                </a:fgClr>
                <a:bgClr>
                  <a:schemeClr val="bg1"/>
                </a:bgClr>
              </a:pattFill>
              <a:ln>
                <a:solidFill>
                  <a:schemeClr val="accent1">
                    <a:lumMod val="60000"/>
                    <a:lumOff val="40000"/>
                  </a:schemeClr>
                </a:solidFill>
              </a:ln>
            </c:spPr>
          </c:dPt>
          <c:dPt>
            <c:idx val="1"/>
            <c:invertIfNegative val="0"/>
            <c:bubble3D val="0"/>
            <c:spPr>
              <a:pattFill prst="dkUpDiag">
                <a:fgClr>
                  <a:schemeClr val="accent1">
                    <a:lumMod val="60000"/>
                    <a:lumOff val="40000"/>
                  </a:schemeClr>
                </a:fgClr>
                <a:bgClr>
                  <a:schemeClr val="bg1"/>
                </a:bgClr>
              </a:pattFill>
              <a:ln>
                <a:solidFill>
                  <a:schemeClr val="accent1">
                    <a:lumMod val="60000"/>
                    <a:lumOff val="40000"/>
                  </a:schemeClr>
                </a:solidFill>
              </a:ln>
            </c:spPr>
          </c:dPt>
          <c:dPt>
            <c:idx val="2"/>
            <c:invertIfNegative val="0"/>
            <c:bubble3D val="0"/>
            <c:spPr>
              <a:pattFill prst="dkUpDiag">
                <a:fgClr>
                  <a:schemeClr val="accent1">
                    <a:lumMod val="60000"/>
                    <a:lumOff val="40000"/>
                  </a:schemeClr>
                </a:fgClr>
                <a:bgClr>
                  <a:schemeClr val="bg1"/>
                </a:bgClr>
              </a:pattFill>
              <a:ln>
                <a:solidFill>
                  <a:schemeClr val="accent1">
                    <a:lumMod val="60000"/>
                    <a:lumOff val="40000"/>
                  </a:schemeClr>
                </a:solidFill>
              </a:ln>
            </c:spPr>
          </c:dPt>
          <c:dPt>
            <c:idx val="26"/>
            <c:invertIfNegative val="0"/>
            <c:bubble3D val="0"/>
            <c:spPr>
              <a:pattFill prst="dkUpDiag">
                <a:fgClr>
                  <a:schemeClr val="tx2">
                    <a:lumMod val="75000"/>
                  </a:schemeClr>
                </a:fgClr>
                <a:bgClr>
                  <a:schemeClr val="bg1"/>
                </a:bgClr>
              </a:pattFill>
              <a:ln>
                <a:solidFill>
                  <a:schemeClr val="tx2">
                    <a:lumMod val="75000"/>
                  </a:schemeClr>
                </a:solidFill>
              </a:ln>
            </c:spPr>
          </c:dPt>
          <c:cat>
            <c:strRef>
              <c:f>ESSPROS6!$B$3:$B$32</c:f>
              <c:strCache>
                <c:ptCount val="30"/>
                <c:pt idx="0">
                  <c:v>EU27</c:v>
                </c:pt>
                <c:pt idx="1">
                  <c:v>EU15</c:v>
                </c:pt>
                <c:pt idx="2">
                  <c:v>EA17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ESSPROS6!$D$3:$D$32</c:f>
              <c:numCache>
                <c:formatCode>General</c:formatCode>
                <c:ptCount val="30"/>
                <c:pt idx="0">
                  <c:v>8</c:v>
                </c:pt>
                <c:pt idx="1">
                  <c:v>8</c:v>
                </c:pt>
                <c:pt idx="2">
                  <c:v>7.1</c:v>
                </c:pt>
                <c:pt idx="3">
                  <c:v>7.1</c:v>
                </c:pt>
                <c:pt idx="4">
                  <c:v>8.3000000000000007</c:v>
                </c:pt>
                <c:pt idx="5">
                  <c:v>7.7</c:v>
                </c:pt>
                <c:pt idx="6">
                  <c:v>15.1</c:v>
                </c:pt>
                <c:pt idx="7">
                  <c:v>8.1</c:v>
                </c:pt>
                <c:pt idx="8">
                  <c:v>9.9</c:v>
                </c:pt>
                <c:pt idx="9">
                  <c:v>5.0999999999999996</c:v>
                </c:pt>
                <c:pt idx="10">
                  <c:v>4.7</c:v>
                </c:pt>
                <c:pt idx="11">
                  <c:v>7</c:v>
                </c:pt>
                <c:pt idx="12">
                  <c:v>5.9</c:v>
                </c:pt>
                <c:pt idx="13">
                  <c:v>6.1</c:v>
                </c:pt>
                <c:pt idx="14">
                  <c:v>3.6</c:v>
                </c:pt>
                <c:pt idx="15">
                  <c:v>7.8</c:v>
                </c:pt>
                <c:pt idx="16">
                  <c:v>10.1</c:v>
                </c:pt>
                <c:pt idx="17">
                  <c:v>11.4</c:v>
                </c:pt>
                <c:pt idx="18">
                  <c:v>9.1</c:v>
                </c:pt>
                <c:pt idx="19">
                  <c:v>4.7</c:v>
                </c:pt>
                <c:pt idx="20">
                  <c:v>8.4</c:v>
                </c:pt>
                <c:pt idx="21">
                  <c:v>7.6</c:v>
                </c:pt>
                <c:pt idx="22">
                  <c:v>7.4</c:v>
                </c:pt>
                <c:pt idx="23">
                  <c:v>8.4</c:v>
                </c:pt>
                <c:pt idx="24">
                  <c:v>9.6</c:v>
                </c:pt>
                <c:pt idx="25">
                  <c:v>7.3</c:v>
                </c:pt>
                <c:pt idx="26">
                  <c:v>9.4</c:v>
                </c:pt>
                <c:pt idx="27">
                  <c:v>12.3</c:v>
                </c:pt>
                <c:pt idx="28">
                  <c:v>14.4</c:v>
                </c:pt>
                <c:pt idx="29">
                  <c:v>10.6</c:v>
                </c:pt>
              </c:numCache>
            </c:numRef>
          </c:val>
        </c:ser>
        <c:ser>
          <c:idx val="2"/>
          <c:order val="2"/>
          <c:tx>
            <c:strRef>
              <c:f>ESSPROS6!$E$2</c:f>
              <c:strCache>
                <c:ptCount val="1"/>
                <c:pt idx="0">
                  <c:v>Staroba</c:v>
                </c:pt>
              </c:strCache>
            </c:strRef>
          </c:tx>
          <c:spPr>
            <a:solidFill>
              <a:schemeClr val="accent2"/>
            </a:solidFill>
            <a:ln>
              <a:solidFill>
                <a:schemeClr val="accent2"/>
              </a:solidFill>
            </a:ln>
          </c:spPr>
          <c:invertIfNegative val="0"/>
          <c:dPt>
            <c:idx val="0"/>
            <c:invertIfNegative val="0"/>
            <c:bubble3D val="0"/>
            <c:spPr>
              <a:solidFill>
                <a:schemeClr val="accent2">
                  <a:lumMod val="60000"/>
                  <a:lumOff val="40000"/>
                </a:schemeClr>
              </a:solidFill>
              <a:ln>
                <a:solidFill>
                  <a:schemeClr val="accent2">
                    <a:lumMod val="60000"/>
                    <a:lumOff val="40000"/>
                  </a:schemeClr>
                </a:solidFill>
              </a:ln>
            </c:spPr>
          </c:dPt>
          <c:dPt>
            <c:idx val="1"/>
            <c:invertIfNegative val="0"/>
            <c:bubble3D val="0"/>
            <c:spPr>
              <a:solidFill>
                <a:schemeClr val="accent2">
                  <a:lumMod val="60000"/>
                  <a:lumOff val="40000"/>
                </a:schemeClr>
              </a:solidFill>
              <a:ln>
                <a:solidFill>
                  <a:schemeClr val="accent2">
                    <a:lumMod val="60000"/>
                    <a:lumOff val="40000"/>
                  </a:schemeClr>
                </a:solidFill>
              </a:ln>
            </c:spPr>
          </c:dPt>
          <c:dPt>
            <c:idx val="2"/>
            <c:invertIfNegative val="0"/>
            <c:bubble3D val="0"/>
            <c:spPr>
              <a:solidFill>
                <a:schemeClr val="accent2">
                  <a:lumMod val="60000"/>
                  <a:lumOff val="40000"/>
                </a:schemeClr>
              </a:solidFill>
              <a:ln>
                <a:solidFill>
                  <a:schemeClr val="accent2">
                    <a:lumMod val="60000"/>
                    <a:lumOff val="40000"/>
                  </a:schemeClr>
                </a:solidFill>
              </a:ln>
            </c:spPr>
          </c:dPt>
          <c:dPt>
            <c:idx val="26"/>
            <c:invertIfNegative val="0"/>
            <c:bubble3D val="0"/>
            <c:spPr>
              <a:solidFill>
                <a:srgbClr val="8E0000"/>
              </a:solidFill>
              <a:ln>
                <a:solidFill>
                  <a:srgbClr val="8E0000"/>
                </a:solidFill>
              </a:ln>
            </c:spPr>
          </c:dPt>
          <c:cat>
            <c:strRef>
              <c:f>ESSPROS6!$B$3:$B$32</c:f>
              <c:strCache>
                <c:ptCount val="30"/>
                <c:pt idx="0">
                  <c:v>EU27</c:v>
                </c:pt>
                <c:pt idx="1">
                  <c:v>EU15</c:v>
                </c:pt>
                <c:pt idx="2">
                  <c:v>EA17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ESSPROS6!$E$3:$E$32</c:f>
              <c:numCache>
                <c:formatCode>General</c:formatCode>
                <c:ptCount val="30"/>
                <c:pt idx="0">
                  <c:v>39</c:v>
                </c:pt>
                <c:pt idx="1">
                  <c:v>38.6</c:v>
                </c:pt>
                <c:pt idx="2">
                  <c:v>38</c:v>
                </c:pt>
                <c:pt idx="3">
                  <c:v>32.700000000000003</c:v>
                </c:pt>
                <c:pt idx="4">
                  <c:v>46.8</c:v>
                </c:pt>
                <c:pt idx="5">
                  <c:v>41.9</c:v>
                </c:pt>
                <c:pt idx="6">
                  <c:v>37.1</c:v>
                </c:pt>
                <c:pt idx="7">
                  <c:v>33.1</c:v>
                </c:pt>
                <c:pt idx="8">
                  <c:v>41.9</c:v>
                </c:pt>
                <c:pt idx="9">
                  <c:v>21.1</c:v>
                </c:pt>
                <c:pt idx="10">
                  <c:v>41.4</c:v>
                </c:pt>
                <c:pt idx="11">
                  <c:v>31.3</c:v>
                </c:pt>
                <c:pt idx="12">
                  <c:v>39.200000000000003</c:v>
                </c:pt>
                <c:pt idx="13">
                  <c:v>50.8</c:v>
                </c:pt>
                <c:pt idx="14">
                  <c:v>38.5</c:v>
                </c:pt>
                <c:pt idx="15">
                  <c:v>45.2</c:v>
                </c:pt>
                <c:pt idx="16">
                  <c:v>40.6</c:v>
                </c:pt>
                <c:pt idx="17">
                  <c:v>27.3</c:v>
                </c:pt>
                <c:pt idx="18">
                  <c:v>39.6</c:v>
                </c:pt>
                <c:pt idx="19">
                  <c:v>42.9</c:v>
                </c:pt>
                <c:pt idx="20">
                  <c:v>35.200000000000003</c:v>
                </c:pt>
                <c:pt idx="21">
                  <c:v>42.3</c:v>
                </c:pt>
                <c:pt idx="22">
                  <c:v>50.7</c:v>
                </c:pt>
                <c:pt idx="23">
                  <c:v>43.5</c:v>
                </c:pt>
                <c:pt idx="24">
                  <c:v>47.4</c:v>
                </c:pt>
                <c:pt idx="25">
                  <c:v>38.800000000000004</c:v>
                </c:pt>
                <c:pt idx="26">
                  <c:v>36.800000000000004</c:v>
                </c:pt>
                <c:pt idx="27">
                  <c:v>35.300000000000004</c:v>
                </c:pt>
                <c:pt idx="28">
                  <c:v>40.200000000000003</c:v>
                </c:pt>
                <c:pt idx="29">
                  <c:v>42.6</c:v>
                </c:pt>
              </c:numCache>
            </c:numRef>
          </c:val>
        </c:ser>
        <c:ser>
          <c:idx val="3"/>
          <c:order val="3"/>
          <c:tx>
            <c:strRef>
              <c:f>ESSPROS6!$F$2</c:f>
              <c:strCache>
                <c:ptCount val="1"/>
                <c:pt idx="0">
                  <c:v>Pozostalí</c:v>
                </c:pt>
              </c:strCache>
            </c:strRef>
          </c:tx>
          <c:spPr>
            <a:pattFill prst="dkDnDiag">
              <a:fgClr>
                <a:schemeClr val="accent2"/>
              </a:fgClr>
              <a:bgClr>
                <a:schemeClr val="bg1"/>
              </a:bgClr>
            </a:pattFill>
            <a:ln>
              <a:solidFill>
                <a:schemeClr val="accent2"/>
              </a:solidFill>
            </a:ln>
          </c:spPr>
          <c:invertIfNegative val="0"/>
          <c:dPt>
            <c:idx val="0"/>
            <c:invertIfNegative val="0"/>
            <c:bubble3D val="0"/>
            <c:spPr>
              <a:pattFill prst="dkDnDiag">
                <a:fgClr>
                  <a:schemeClr val="accent2">
                    <a:lumMod val="60000"/>
                    <a:lumOff val="40000"/>
                  </a:schemeClr>
                </a:fgClr>
                <a:bgClr>
                  <a:schemeClr val="bg1"/>
                </a:bgClr>
              </a:pattFill>
              <a:ln>
                <a:solidFill>
                  <a:schemeClr val="accent2">
                    <a:lumMod val="60000"/>
                    <a:lumOff val="40000"/>
                  </a:schemeClr>
                </a:solidFill>
              </a:ln>
            </c:spPr>
          </c:dPt>
          <c:dPt>
            <c:idx val="1"/>
            <c:invertIfNegative val="0"/>
            <c:bubble3D val="0"/>
            <c:spPr>
              <a:pattFill prst="dkDnDiag">
                <a:fgClr>
                  <a:schemeClr val="accent2">
                    <a:lumMod val="60000"/>
                    <a:lumOff val="40000"/>
                  </a:schemeClr>
                </a:fgClr>
                <a:bgClr>
                  <a:schemeClr val="bg1"/>
                </a:bgClr>
              </a:pattFill>
              <a:ln>
                <a:solidFill>
                  <a:schemeClr val="accent2">
                    <a:lumMod val="60000"/>
                    <a:lumOff val="40000"/>
                  </a:schemeClr>
                </a:solidFill>
              </a:ln>
            </c:spPr>
          </c:dPt>
          <c:dPt>
            <c:idx val="2"/>
            <c:invertIfNegative val="0"/>
            <c:bubble3D val="0"/>
            <c:spPr>
              <a:pattFill prst="dkDnDiag">
                <a:fgClr>
                  <a:schemeClr val="accent2">
                    <a:lumMod val="60000"/>
                    <a:lumOff val="40000"/>
                  </a:schemeClr>
                </a:fgClr>
                <a:bgClr>
                  <a:schemeClr val="bg1"/>
                </a:bgClr>
              </a:pattFill>
              <a:ln>
                <a:solidFill>
                  <a:schemeClr val="accent2">
                    <a:lumMod val="60000"/>
                    <a:lumOff val="40000"/>
                  </a:schemeClr>
                </a:solidFill>
              </a:ln>
            </c:spPr>
          </c:dPt>
          <c:dPt>
            <c:idx val="26"/>
            <c:invertIfNegative val="0"/>
            <c:bubble3D val="0"/>
            <c:spPr>
              <a:pattFill prst="dkDnDiag">
                <a:fgClr>
                  <a:srgbClr val="8E0000"/>
                </a:fgClr>
                <a:bgClr>
                  <a:schemeClr val="bg1"/>
                </a:bgClr>
              </a:pattFill>
              <a:ln>
                <a:solidFill>
                  <a:srgbClr val="8E0000"/>
                </a:solidFill>
              </a:ln>
            </c:spPr>
          </c:dPt>
          <c:cat>
            <c:strRef>
              <c:f>ESSPROS6!$B$3:$B$32</c:f>
              <c:strCache>
                <c:ptCount val="30"/>
                <c:pt idx="0">
                  <c:v>EU27</c:v>
                </c:pt>
                <c:pt idx="1">
                  <c:v>EU15</c:v>
                </c:pt>
                <c:pt idx="2">
                  <c:v>EA17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ESSPROS6!$F$3:$F$32</c:f>
              <c:numCache>
                <c:formatCode>General</c:formatCode>
                <c:ptCount val="30"/>
                <c:pt idx="0">
                  <c:v>6</c:v>
                </c:pt>
                <c:pt idx="1">
                  <c:v>6</c:v>
                </c:pt>
                <c:pt idx="2">
                  <c:v>7.2</c:v>
                </c:pt>
                <c:pt idx="3">
                  <c:v>7.5</c:v>
                </c:pt>
                <c:pt idx="4">
                  <c:v>5</c:v>
                </c:pt>
                <c:pt idx="5">
                  <c:v>3.8</c:v>
                </c:pt>
                <c:pt idx="6">
                  <c:v>0</c:v>
                </c:pt>
                <c:pt idx="7">
                  <c:v>7.2</c:v>
                </c:pt>
                <c:pt idx="8">
                  <c:v>0.60000000000000064</c:v>
                </c:pt>
                <c:pt idx="9">
                  <c:v>4.0999999999999996</c:v>
                </c:pt>
                <c:pt idx="10">
                  <c:v>8.2000000000000011</c:v>
                </c:pt>
                <c:pt idx="11">
                  <c:v>8.8000000000000007</c:v>
                </c:pt>
                <c:pt idx="12">
                  <c:v>6.4</c:v>
                </c:pt>
                <c:pt idx="13">
                  <c:v>9.3000000000000007</c:v>
                </c:pt>
                <c:pt idx="14">
                  <c:v>5.7</c:v>
                </c:pt>
                <c:pt idx="15">
                  <c:v>1.9000000000000001</c:v>
                </c:pt>
                <c:pt idx="16">
                  <c:v>3.3</c:v>
                </c:pt>
                <c:pt idx="17">
                  <c:v>9</c:v>
                </c:pt>
                <c:pt idx="18">
                  <c:v>5.9</c:v>
                </c:pt>
                <c:pt idx="19">
                  <c:v>9.3000000000000007</c:v>
                </c:pt>
                <c:pt idx="20">
                  <c:v>4.2</c:v>
                </c:pt>
                <c:pt idx="21">
                  <c:v>6.8</c:v>
                </c:pt>
                <c:pt idx="22">
                  <c:v>10.4</c:v>
                </c:pt>
                <c:pt idx="23">
                  <c:v>7.2</c:v>
                </c:pt>
                <c:pt idx="24">
                  <c:v>4.7</c:v>
                </c:pt>
                <c:pt idx="25">
                  <c:v>7.3</c:v>
                </c:pt>
                <c:pt idx="26">
                  <c:v>5.3</c:v>
                </c:pt>
                <c:pt idx="27">
                  <c:v>3.3</c:v>
                </c:pt>
                <c:pt idx="28">
                  <c:v>1.9000000000000001</c:v>
                </c:pt>
                <c:pt idx="29">
                  <c:v>0.60000000000000064</c:v>
                </c:pt>
              </c:numCache>
            </c:numRef>
          </c:val>
        </c:ser>
        <c:ser>
          <c:idx val="4"/>
          <c:order val="4"/>
          <c:tx>
            <c:strRef>
              <c:f>ESSPROS6!$G$2</c:f>
              <c:strCache>
                <c:ptCount val="1"/>
                <c:pt idx="0">
                  <c:v>Rodina/deti</c:v>
                </c:pt>
              </c:strCache>
            </c:strRef>
          </c:tx>
          <c:spPr>
            <a:solidFill>
              <a:schemeClr val="accent3"/>
            </a:solidFill>
            <a:ln>
              <a:solidFill>
                <a:schemeClr val="accent3"/>
              </a:solidFill>
            </a:ln>
          </c:spPr>
          <c:invertIfNegative val="0"/>
          <c:dPt>
            <c:idx val="0"/>
            <c:invertIfNegative val="0"/>
            <c:bubble3D val="0"/>
            <c:spPr>
              <a:solidFill>
                <a:schemeClr val="accent3">
                  <a:lumMod val="60000"/>
                  <a:lumOff val="40000"/>
                </a:schemeClr>
              </a:solidFill>
              <a:ln>
                <a:solidFill>
                  <a:schemeClr val="accent3">
                    <a:lumMod val="60000"/>
                    <a:lumOff val="40000"/>
                  </a:schemeClr>
                </a:solidFill>
              </a:ln>
            </c:spPr>
          </c:dPt>
          <c:dPt>
            <c:idx val="1"/>
            <c:invertIfNegative val="0"/>
            <c:bubble3D val="0"/>
            <c:spPr>
              <a:solidFill>
                <a:schemeClr val="accent3">
                  <a:lumMod val="60000"/>
                  <a:lumOff val="40000"/>
                </a:schemeClr>
              </a:solidFill>
              <a:ln>
                <a:solidFill>
                  <a:schemeClr val="accent3">
                    <a:lumMod val="60000"/>
                    <a:lumOff val="40000"/>
                  </a:schemeClr>
                </a:solidFill>
              </a:ln>
            </c:spPr>
          </c:dPt>
          <c:dPt>
            <c:idx val="2"/>
            <c:invertIfNegative val="0"/>
            <c:bubble3D val="0"/>
            <c:spPr>
              <a:solidFill>
                <a:schemeClr val="accent3">
                  <a:lumMod val="60000"/>
                  <a:lumOff val="40000"/>
                </a:schemeClr>
              </a:solidFill>
              <a:ln>
                <a:solidFill>
                  <a:schemeClr val="accent3">
                    <a:lumMod val="60000"/>
                    <a:lumOff val="40000"/>
                  </a:schemeClr>
                </a:solidFill>
              </a:ln>
            </c:spPr>
          </c:dPt>
          <c:dPt>
            <c:idx val="26"/>
            <c:invertIfNegative val="0"/>
            <c:bubble3D val="0"/>
            <c:spPr>
              <a:solidFill>
                <a:schemeClr val="accent3">
                  <a:lumMod val="50000"/>
                </a:schemeClr>
              </a:solidFill>
              <a:ln>
                <a:solidFill>
                  <a:schemeClr val="accent3">
                    <a:lumMod val="50000"/>
                  </a:schemeClr>
                </a:solidFill>
              </a:ln>
            </c:spPr>
          </c:dPt>
          <c:cat>
            <c:strRef>
              <c:f>ESSPROS6!$B$3:$B$32</c:f>
              <c:strCache>
                <c:ptCount val="30"/>
                <c:pt idx="0">
                  <c:v>EU27</c:v>
                </c:pt>
                <c:pt idx="1">
                  <c:v>EU15</c:v>
                </c:pt>
                <c:pt idx="2">
                  <c:v>EA17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ESSPROS6!$G$3:$G$32</c:f>
              <c:numCache>
                <c:formatCode>General</c:formatCode>
                <c:ptCount val="30"/>
                <c:pt idx="0">
                  <c:v>8</c:v>
                </c:pt>
                <c:pt idx="1">
                  <c:v>8</c:v>
                </c:pt>
                <c:pt idx="2">
                  <c:v>8.1</c:v>
                </c:pt>
                <c:pt idx="3">
                  <c:v>7.7</c:v>
                </c:pt>
                <c:pt idx="4">
                  <c:v>12</c:v>
                </c:pt>
                <c:pt idx="5">
                  <c:v>7.3</c:v>
                </c:pt>
                <c:pt idx="6">
                  <c:v>12.9</c:v>
                </c:pt>
                <c:pt idx="7">
                  <c:v>10.5</c:v>
                </c:pt>
                <c:pt idx="8">
                  <c:v>11.9</c:v>
                </c:pt>
                <c:pt idx="9">
                  <c:v>13.9</c:v>
                </c:pt>
                <c:pt idx="10">
                  <c:v>6.7</c:v>
                </c:pt>
                <c:pt idx="11">
                  <c:v>6.2</c:v>
                </c:pt>
                <c:pt idx="12">
                  <c:v>8.4</c:v>
                </c:pt>
                <c:pt idx="13">
                  <c:v>4.9000000000000004</c:v>
                </c:pt>
                <c:pt idx="14">
                  <c:v>10.7</c:v>
                </c:pt>
                <c:pt idx="15">
                  <c:v>10.4</c:v>
                </c:pt>
                <c:pt idx="16">
                  <c:v>13.7</c:v>
                </c:pt>
                <c:pt idx="17">
                  <c:v>17.8</c:v>
                </c:pt>
                <c:pt idx="18">
                  <c:v>13.2</c:v>
                </c:pt>
                <c:pt idx="19">
                  <c:v>6.4</c:v>
                </c:pt>
                <c:pt idx="20">
                  <c:v>4.4000000000000004</c:v>
                </c:pt>
                <c:pt idx="21">
                  <c:v>10.3</c:v>
                </c:pt>
                <c:pt idx="22">
                  <c:v>3.9</c:v>
                </c:pt>
                <c:pt idx="23">
                  <c:v>5.8</c:v>
                </c:pt>
                <c:pt idx="24">
                  <c:v>10</c:v>
                </c:pt>
                <c:pt idx="25">
                  <c:v>8.9</c:v>
                </c:pt>
                <c:pt idx="26">
                  <c:v>9.2000000000000011</c:v>
                </c:pt>
                <c:pt idx="27">
                  <c:v>11.3</c:v>
                </c:pt>
                <c:pt idx="28">
                  <c:v>10.200000000000001</c:v>
                </c:pt>
                <c:pt idx="29">
                  <c:v>6.5</c:v>
                </c:pt>
              </c:numCache>
            </c:numRef>
          </c:val>
        </c:ser>
        <c:ser>
          <c:idx val="5"/>
          <c:order val="5"/>
          <c:tx>
            <c:strRef>
              <c:f>ESSPROS6!$H$2</c:f>
              <c:strCache>
                <c:ptCount val="1"/>
                <c:pt idx="0">
                  <c:v>Nezamestnanosť</c:v>
                </c:pt>
              </c:strCache>
            </c:strRef>
          </c:tx>
          <c:spPr>
            <a:pattFill prst="dkUpDiag">
              <a:fgClr>
                <a:schemeClr val="accent3"/>
              </a:fgClr>
              <a:bgClr>
                <a:schemeClr val="bg1"/>
              </a:bgClr>
            </a:pattFill>
            <a:ln>
              <a:solidFill>
                <a:schemeClr val="accent3"/>
              </a:solidFill>
            </a:ln>
          </c:spPr>
          <c:invertIfNegative val="0"/>
          <c:dPt>
            <c:idx val="0"/>
            <c:invertIfNegative val="0"/>
            <c:bubble3D val="0"/>
            <c:spPr>
              <a:pattFill prst="dkUpDiag">
                <a:fgClr>
                  <a:schemeClr val="accent3">
                    <a:lumMod val="60000"/>
                    <a:lumOff val="40000"/>
                  </a:schemeClr>
                </a:fgClr>
                <a:bgClr>
                  <a:schemeClr val="bg1"/>
                </a:bgClr>
              </a:pattFill>
              <a:ln>
                <a:solidFill>
                  <a:schemeClr val="accent3">
                    <a:lumMod val="60000"/>
                    <a:lumOff val="40000"/>
                  </a:schemeClr>
                </a:solidFill>
              </a:ln>
            </c:spPr>
          </c:dPt>
          <c:dPt>
            <c:idx val="1"/>
            <c:invertIfNegative val="0"/>
            <c:bubble3D val="0"/>
            <c:spPr>
              <a:pattFill prst="dkUpDiag">
                <a:fgClr>
                  <a:schemeClr val="accent3">
                    <a:lumMod val="60000"/>
                    <a:lumOff val="40000"/>
                  </a:schemeClr>
                </a:fgClr>
                <a:bgClr>
                  <a:schemeClr val="bg1"/>
                </a:bgClr>
              </a:pattFill>
              <a:ln>
                <a:solidFill>
                  <a:schemeClr val="accent3">
                    <a:lumMod val="60000"/>
                    <a:lumOff val="40000"/>
                  </a:schemeClr>
                </a:solidFill>
              </a:ln>
            </c:spPr>
          </c:dPt>
          <c:dPt>
            <c:idx val="2"/>
            <c:invertIfNegative val="0"/>
            <c:bubble3D val="0"/>
            <c:spPr>
              <a:pattFill prst="dkUpDiag">
                <a:fgClr>
                  <a:schemeClr val="accent3">
                    <a:lumMod val="60000"/>
                    <a:lumOff val="40000"/>
                  </a:schemeClr>
                </a:fgClr>
                <a:bgClr>
                  <a:schemeClr val="bg1"/>
                </a:bgClr>
              </a:pattFill>
              <a:ln>
                <a:solidFill>
                  <a:schemeClr val="accent3">
                    <a:lumMod val="60000"/>
                    <a:lumOff val="40000"/>
                  </a:schemeClr>
                </a:solidFill>
              </a:ln>
            </c:spPr>
          </c:dPt>
          <c:dPt>
            <c:idx val="26"/>
            <c:invertIfNegative val="0"/>
            <c:bubble3D val="0"/>
            <c:spPr>
              <a:pattFill prst="dkUpDiag">
                <a:fgClr>
                  <a:schemeClr val="accent3">
                    <a:lumMod val="50000"/>
                  </a:schemeClr>
                </a:fgClr>
                <a:bgClr>
                  <a:schemeClr val="bg1"/>
                </a:bgClr>
              </a:pattFill>
              <a:ln>
                <a:solidFill>
                  <a:schemeClr val="accent3">
                    <a:lumMod val="50000"/>
                  </a:schemeClr>
                </a:solidFill>
              </a:ln>
            </c:spPr>
          </c:dPt>
          <c:cat>
            <c:strRef>
              <c:f>ESSPROS6!$B$3:$B$32</c:f>
              <c:strCache>
                <c:ptCount val="30"/>
                <c:pt idx="0">
                  <c:v>EU27</c:v>
                </c:pt>
                <c:pt idx="1">
                  <c:v>EU15</c:v>
                </c:pt>
                <c:pt idx="2">
                  <c:v>EA17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ESSPROS6!$H$3:$H$32</c:f>
              <c:numCache>
                <c:formatCode>General</c:formatCode>
                <c:ptCount val="30"/>
                <c:pt idx="0">
                  <c:v>6</c:v>
                </c:pt>
                <c:pt idx="1">
                  <c:v>6.2</c:v>
                </c:pt>
                <c:pt idx="2">
                  <c:v>6.8</c:v>
                </c:pt>
                <c:pt idx="3">
                  <c:v>13.3</c:v>
                </c:pt>
                <c:pt idx="4">
                  <c:v>3.1</c:v>
                </c:pt>
                <c:pt idx="5">
                  <c:v>5.3</c:v>
                </c:pt>
                <c:pt idx="6">
                  <c:v>6.6</c:v>
                </c:pt>
                <c:pt idx="7">
                  <c:v>6.3</c:v>
                </c:pt>
                <c:pt idx="8">
                  <c:v>6.4</c:v>
                </c:pt>
                <c:pt idx="9">
                  <c:v>11.7</c:v>
                </c:pt>
                <c:pt idx="10">
                  <c:v>5.9</c:v>
                </c:pt>
                <c:pt idx="11">
                  <c:v>15</c:v>
                </c:pt>
                <c:pt idx="12">
                  <c:v>6.1</c:v>
                </c:pt>
                <c:pt idx="13">
                  <c:v>2.8</c:v>
                </c:pt>
                <c:pt idx="14">
                  <c:v>4.5999999999999996</c:v>
                </c:pt>
                <c:pt idx="15">
                  <c:v>9.5</c:v>
                </c:pt>
                <c:pt idx="16">
                  <c:v>4.3</c:v>
                </c:pt>
                <c:pt idx="17">
                  <c:v>5.6</c:v>
                </c:pt>
                <c:pt idx="18">
                  <c:v>4.2</c:v>
                </c:pt>
                <c:pt idx="19">
                  <c:v>3</c:v>
                </c:pt>
                <c:pt idx="20">
                  <c:v>4.9000000000000004</c:v>
                </c:pt>
                <c:pt idx="21">
                  <c:v>5.9</c:v>
                </c:pt>
                <c:pt idx="22">
                  <c:v>2</c:v>
                </c:pt>
                <c:pt idx="23">
                  <c:v>5.3</c:v>
                </c:pt>
                <c:pt idx="24">
                  <c:v>2.4</c:v>
                </c:pt>
                <c:pt idx="25">
                  <c:v>2.5</c:v>
                </c:pt>
                <c:pt idx="26">
                  <c:v>5.7</c:v>
                </c:pt>
                <c:pt idx="27">
                  <c:v>8.2000000000000011</c:v>
                </c:pt>
                <c:pt idx="28">
                  <c:v>4.0999999999999996</c:v>
                </c:pt>
                <c:pt idx="29">
                  <c:v>3</c:v>
                </c:pt>
              </c:numCache>
            </c:numRef>
          </c:val>
        </c:ser>
        <c:ser>
          <c:idx val="6"/>
          <c:order val="6"/>
          <c:tx>
            <c:strRef>
              <c:f>ESSPROS6!$I$2</c:f>
              <c:strCache>
                <c:ptCount val="1"/>
                <c:pt idx="0">
                  <c:v>Bývanie</c:v>
                </c:pt>
              </c:strCache>
            </c:strRef>
          </c:tx>
          <c:spPr>
            <a:solidFill>
              <a:schemeClr val="accent4"/>
            </a:solidFill>
            <a:ln>
              <a:solidFill>
                <a:schemeClr val="accent4"/>
              </a:solidFill>
            </a:ln>
          </c:spPr>
          <c:invertIfNegative val="0"/>
          <c:dPt>
            <c:idx val="0"/>
            <c:invertIfNegative val="0"/>
            <c:bubble3D val="0"/>
            <c:spPr>
              <a:solidFill>
                <a:schemeClr val="accent4">
                  <a:lumMod val="60000"/>
                  <a:lumOff val="40000"/>
                </a:schemeClr>
              </a:solidFill>
              <a:ln>
                <a:solidFill>
                  <a:schemeClr val="accent4">
                    <a:lumMod val="60000"/>
                    <a:lumOff val="40000"/>
                  </a:schemeClr>
                </a:solidFill>
              </a:ln>
            </c:spPr>
          </c:dPt>
          <c:dPt>
            <c:idx val="1"/>
            <c:invertIfNegative val="0"/>
            <c:bubble3D val="0"/>
            <c:spPr>
              <a:solidFill>
                <a:schemeClr val="accent4">
                  <a:lumMod val="60000"/>
                  <a:lumOff val="40000"/>
                </a:schemeClr>
              </a:solidFill>
              <a:ln>
                <a:solidFill>
                  <a:schemeClr val="accent4">
                    <a:lumMod val="60000"/>
                    <a:lumOff val="40000"/>
                  </a:schemeClr>
                </a:solidFill>
              </a:ln>
            </c:spPr>
          </c:dPt>
          <c:dPt>
            <c:idx val="2"/>
            <c:invertIfNegative val="0"/>
            <c:bubble3D val="0"/>
            <c:spPr>
              <a:solidFill>
                <a:schemeClr val="accent4">
                  <a:lumMod val="60000"/>
                  <a:lumOff val="40000"/>
                </a:schemeClr>
              </a:solidFill>
              <a:ln>
                <a:solidFill>
                  <a:schemeClr val="accent4">
                    <a:lumMod val="60000"/>
                    <a:lumOff val="40000"/>
                  </a:schemeClr>
                </a:solidFill>
              </a:ln>
            </c:spPr>
          </c:dPt>
          <c:cat>
            <c:strRef>
              <c:f>ESSPROS6!$B$3:$B$32</c:f>
              <c:strCache>
                <c:ptCount val="30"/>
                <c:pt idx="0">
                  <c:v>EU27</c:v>
                </c:pt>
                <c:pt idx="1">
                  <c:v>EU15</c:v>
                </c:pt>
                <c:pt idx="2">
                  <c:v>EA17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ESSPROS6!$I$3:$I$32</c:f>
              <c:numCache>
                <c:formatCode>General</c:formatCode>
                <c:ptCount val="30"/>
                <c:pt idx="0">
                  <c:v>2</c:v>
                </c:pt>
                <c:pt idx="1">
                  <c:v>2.1</c:v>
                </c:pt>
                <c:pt idx="2">
                  <c:v>1.5</c:v>
                </c:pt>
                <c:pt idx="3">
                  <c:v>0.8</c:v>
                </c:pt>
                <c:pt idx="4">
                  <c:v>0</c:v>
                </c:pt>
                <c:pt idx="5">
                  <c:v>0.4</c:v>
                </c:pt>
                <c:pt idx="6">
                  <c:v>2.2999999999999998</c:v>
                </c:pt>
                <c:pt idx="7">
                  <c:v>2.1</c:v>
                </c:pt>
                <c:pt idx="8">
                  <c:v>0.2</c:v>
                </c:pt>
                <c:pt idx="9">
                  <c:v>1.3</c:v>
                </c:pt>
                <c:pt idx="10">
                  <c:v>1.8</c:v>
                </c:pt>
                <c:pt idx="11">
                  <c:v>0.8</c:v>
                </c:pt>
                <c:pt idx="12">
                  <c:v>2.7</c:v>
                </c:pt>
                <c:pt idx="13">
                  <c:v>0.1</c:v>
                </c:pt>
                <c:pt idx="14">
                  <c:v>5.4</c:v>
                </c:pt>
                <c:pt idx="15">
                  <c:v>0.8</c:v>
                </c:pt>
                <c:pt idx="16">
                  <c:v>0</c:v>
                </c:pt>
                <c:pt idx="17">
                  <c:v>1.5</c:v>
                </c:pt>
                <c:pt idx="18">
                  <c:v>2.7</c:v>
                </c:pt>
                <c:pt idx="19">
                  <c:v>0.8</c:v>
                </c:pt>
                <c:pt idx="20">
                  <c:v>1.3</c:v>
                </c:pt>
                <c:pt idx="21">
                  <c:v>0.4</c:v>
                </c:pt>
                <c:pt idx="22">
                  <c:v>0.30000000000000032</c:v>
                </c:pt>
                <c:pt idx="23">
                  <c:v>0</c:v>
                </c:pt>
                <c:pt idx="24">
                  <c:v>0.1</c:v>
                </c:pt>
                <c:pt idx="25">
                  <c:v>0</c:v>
                </c:pt>
                <c:pt idx="26">
                  <c:v>0</c:v>
                </c:pt>
                <c:pt idx="27">
                  <c:v>1.7</c:v>
                </c:pt>
                <c:pt idx="28">
                  <c:v>1.5</c:v>
                </c:pt>
                <c:pt idx="29">
                  <c:v>5.2</c:v>
                </c:pt>
              </c:numCache>
            </c:numRef>
          </c:val>
        </c:ser>
        <c:ser>
          <c:idx val="7"/>
          <c:order val="7"/>
          <c:tx>
            <c:strRef>
              <c:f>ESSPROS6!$J$2</c:f>
              <c:strCache>
                <c:ptCount val="1"/>
                <c:pt idx="0">
                  <c:v>Sociálne vylúčenie</c:v>
                </c:pt>
              </c:strCache>
            </c:strRef>
          </c:tx>
          <c:spPr>
            <a:pattFill prst="dkDnDiag">
              <a:fgClr>
                <a:schemeClr val="accent4"/>
              </a:fgClr>
              <a:bgClr>
                <a:schemeClr val="bg1"/>
              </a:bgClr>
            </a:pattFill>
            <a:ln>
              <a:solidFill>
                <a:schemeClr val="accent4"/>
              </a:solidFill>
            </a:ln>
          </c:spPr>
          <c:invertIfNegative val="0"/>
          <c:dPt>
            <c:idx val="0"/>
            <c:invertIfNegative val="0"/>
            <c:bubble3D val="0"/>
            <c:spPr>
              <a:pattFill prst="dkDnDiag">
                <a:fgClr>
                  <a:schemeClr val="accent4">
                    <a:lumMod val="60000"/>
                    <a:lumOff val="40000"/>
                  </a:schemeClr>
                </a:fgClr>
                <a:bgClr>
                  <a:schemeClr val="bg1"/>
                </a:bgClr>
              </a:pattFill>
              <a:ln>
                <a:solidFill>
                  <a:schemeClr val="accent4">
                    <a:lumMod val="60000"/>
                    <a:lumOff val="40000"/>
                  </a:schemeClr>
                </a:solidFill>
              </a:ln>
            </c:spPr>
          </c:dPt>
          <c:dPt>
            <c:idx val="1"/>
            <c:invertIfNegative val="0"/>
            <c:bubble3D val="0"/>
            <c:spPr>
              <a:pattFill prst="dkDnDiag">
                <a:fgClr>
                  <a:schemeClr val="accent4">
                    <a:lumMod val="60000"/>
                    <a:lumOff val="40000"/>
                  </a:schemeClr>
                </a:fgClr>
                <a:bgClr>
                  <a:schemeClr val="bg1"/>
                </a:bgClr>
              </a:pattFill>
              <a:ln>
                <a:solidFill>
                  <a:schemeClr val="accent4">
                    <a:lumMod val="60000"/>
                    <a:lumOff val="40000"/>
                  </a:schemeClr>
                </a:solidFill>
              </a:ln>
            </c:spPr>
          </c:dPt>
          <c:dPt>
            <c:idx val="2"/>
            <c:invertIfNegative val="0"/>
            <c:bubble3D val="0"/>
            <c:spPr>
              <a:pattFill prst="dkDnDiag">
                <a:fgClr>
                  <a:schemeClr val="accent4">
                    <a:lumMod val="60000"/>
                    <a:lumOff val="40000"/>
                  </a:schemeClr>
                </a:fgClr>
                <a:bgClr>
                  <a:schemeClr val="bg1"/>
                </a:bgClr>
              </a:pattFill>
              <a:ln>
                <a:solidFill>
                  <a:schemeClr val="accent4">
                    <a:lumMod val="60000"/>
                    <a:lumOff val="40000"/>
                  </a:schemeClr>
                </a:solidFill>
              </a:ln>
            </c:spPr>
          </c:dPt>
          <c:dPt>
            <c:idx val="26"/>
            <c:invertIfNegative val="0"/>
            <c:bubble3D val="0"/>
            <c:spPr>
              <a:pattFill prst="dkDnDiag">
                <a:fgClr>
                  <a:schemeClr val="accent4">
                    <a:lumMod val="50000"/>
                  </a:schemeClr>
                </a:fgClr>
                <a:bgClr>
                  <a:schemeClr val="bg1"/>
                </a:bgClr>
              </a:pattFill>
              <a:ln>
                <a:solidFill>
                  <a:schemeClr val="accent4">
                    <a:lumMod val="50000"/>
                  </a:schemeClr>
                </a:solidFill>
              </a:ln>
            </c:spPr>
          </c:dPt>
          <c:cat>
            <c:strRef>
              <c:f>ESSPROS6!$B$3:$B$32</c:f>
              <c:strCache>
                <c:ptCount val="30"/>
                <c:pt idx="0">
                  <c:v>EU27</c:v>
                </c:pt>
                <c:pt idx="1">
                  <c:v>EU15</c:v>
                </c:pt>
                <c:pt idx="2">
                  <c:v>EA17</c:v>
                </c:pt>
                <c:pt idx="3">
                  <c:v>BE</c:v>
                </c:pt>
                <c:pt idx="4">
                  <c:v>BG</c:v>
                </c:pt>
                <c:pt idx="5">
                  <c:v>CZ</c:v>
                </c:pt>
                <c:pt idx="6">
                  <c:v>DK</c:v>
                </c:pt>
                <c:pt idx="7">
                  <c:v>DE</c:v>
                </c:pt>
                <c:pt idx="8">
                  <c:v>EE</c:v>
                </c:pt>
                <c:pt idx="9">
                  <c:v>IE</c:v>
                </c:pt>
                <c:pt idx="10">
                  <c:v>GR</c:v>
                </c:pt>
                <c:pt idx="11">
                  <c:v>ES</c:v>
                </c:pt>
                <c:pt idx="12">
                  <c:v>FR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ESSPROS6!$J$3:$J$32</c:f>
              <c:numCache>
                <c:formatCode>General</c:formatCode>
                <c:ptCount val="30"/>
                <c:pt idx="0">
                  <c:v>1.4</c:v>
                </c:pt>
                <c:pt idx="1">
                  <c:v>1.4</c:v>
                </c:pt>
                <c:pt idx="2">
                  <c:v>1.5</c:v>
                </c:pt>
                <c:pt idx="3">
                  <c:v>2.7</c:v>
                </c:pt>
                <c:pt idx="4">
                  <c:v>1.2</c:v>
                </c:pt>
                <c:pt idx="5">
                  <c:v>1.2</c:v>
                </c:pt>
                <c:pt idx="6">
                  <c:v>2.7</c:v>
                </c:pt>
                <c:pt idx="7">
                  <c:v>0.60000000000000064</c:v>
                </c:pt>
                <c:pt idx="8">
                  <c:v>0.60000000000000064</c:v>
                </c:pt>
                <c:pt idx="9">
                  <c:v>2.2000000000000002</c:v>
                </c:pt>
                <c:pt idx="10">
                  <c:v>2.1</c:v>
                </c:pt>
                <c:pt idx="11">
                  <c:v>1.1000000000000001</c:v>
                </c:pt>
                <c:pt idx="12">
                  <c:v>1.8</c:v>
                </c:pt>
                <c:pt idx="13">
                  <c:v>0.30000000000000032</c:v>
                </c:pt>
                <c:pt idx="14">
                  <c:v>6.9</c:v>
                </c:pt>
                <c:pt idx="15">
                  <c:v>0.9</c:v>
                </c:pt>
                <c:pt idx="16">
                  <c:v>1.9000000000000001</c:v>
                </c:pt>
                <c:pt idx="17">
                  <c:v>2.1</c:v>
                </c:pt>
                <c:pt idx="18">
                  <c:v>0.60000000000000064</c:v>
                </c:pt>
                <c:pt idx="19">
                  <c:v>2</c:v>
                </c:pt>
                <c:pt idx="20">
                  <c:v>6.9</c:v>
                </c:pt>
                <c:pt idx="21">
                  <c:v>1.1000000000000001</c:v>
                </c:pt>
                <c:pt idx="22">
                  <c:v>0.8</c:v>
                </c:pt>
                <c:pt idx="23">
                  <c:v>1.3</c:v>
                </c:pt>
                <c:pt idx="24">
                  <c:v>1.2</c:v>
                </c:pt>
                <c:pt idx="25">
                  <c:v>2.2000000000000002</c:v>
                </c:pt>
                <c:pt idx="26">
                  <c:v>2.2999999999999998</c:v>
                </c:pt>
                <c:pt idx="27">
                  <c:v>2.4</c:v>
                </c:pt>
                <c:pt idx="28">
                  <c:v>2.2000000000000002</c:v>
                </c:pt>
                <c:pt idx="29">
                  <c:v>0.8</c:v>
                </c:pt>
              </c:numCache>
            </c:numRef>
          </c:val>
        </c:ser>
        <c:dLbls>
          <c:showLegendKey val="0"/>
          <c:showVal val="0"/>
          <c:showCatName val="0"/>
          <c:showSerName val="0"/>
          <c:showPercent val="0"/>
          <c:showBubbleSize val="0"/>
        </c:dLbls>
        <c:gapWidth val="30"/>
        <c:overlap val="100"/>
        <c:axId val="63773696"/>
        <c:axId val="63775488"/>
      </c:barChart>
      <c:catAx>
        <c:axId val="63773696"/>
        <c:scaling>
          <c:orientation val="minMax"/>
        </c:scaling>
        <c:delete val="0"/>
        <c:axPos val="b"/>
        <c:majorTickMark val="out"/>
        <c:minorTickMark val="none"/>
        <c:tickLblPos val="nextTo"/>
        <c:crossAx val="63775488"/>
        <c:crosses val="autoZero"/>
        <c:auto val="1"/>
        <c:lblAlgn val="ctr"/>
        <c:lblOffset val="100"/>
        <c:noMultiLvlLbl val="0"/>
      </c:catAx>
      <c:valAx>
        <c:axId val="63775488"/>
        <c:scaling>
          <c:orientation val="minMax"/>
        </c:scaling>
        <c:delete val="0"/>
        <c:axPos val="l"/>
        <c:majorGridlines/>
        <c:numFmt formatCode="0%" sourceLinked="1"/>
        <c:majorTickMark val="out"/>
        <c:minorTickMark val="none"/>
        <c:tickLblPos val="nextTo"/>
        <c:crossAx val="63773696"/>
        <c:crosses val="autoZero"/>
        <c:crossBetween val="between"/>
      </c:valAx>
    </c:plotArea>
    <c:legend>
      <c:legendPos val="b"/>
      <c:layout>
        <c:manualLayout>
          <c:xMode val="edge"/>
          <c:yMode val="edge"/>
          <c:x val="3.3664105671011205E-2"/>
          <c:y val="0.76466827063283849"/>
          <c:w val="0.95253916105418623"/>
          <c:h val="0.20755395158938489"/>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24"/>
            <c:invertIfNegative val="0"/>
            <c:bubble3D val="0"/>
            <c:spPr>
              <a:pattFill prst="smCheck">
                <a:fgClr>
                  <a:schemeClr val="accent1"/>
                </a:fgClr>
                <a:bgClr>
                  <a:schemeClr val="bg1"/>
                </a:bgClr>
              </a:pattFill>
            </c:spPr>
          </c:dPt>
          <c:dLbls>
            <c:dLbl>
              <c:idx val="7"/>
              <c:numFmt formatCode="#,##0.0" sourceLinked="0"/>
              <c:spPr/>
              <c:txPr>
                <a:bodyPr rot="-5400000" vert="horz"/>
                <a:lstStyle/>
                <a:p>
                  <a:pPr>
                    <a:defRPr b="1" i="0" baseline="0">
                      <a:solidFill>
                        <a:schemeClr val="bg1"/>
                      </a:solidFill>
                    </a:defRPr>
                  </a:pPr>
                  <a:endParaRPr lang="sk-SK"/>
                </a:p>
              </c:txPr>
              <c:dLblPos val="inBase"/>
              <c:showLegendKey val="0"/>
              <c:showVal val="1"/>
              <c:showCatName val="0"/>
              <c:showSerName val="0"/>
              <c:showPercent val="0"/>
              <c:showBubbleSize val="0"/>
            </c:dLbl>
            <c:numFmt formatCode="#,##0.0" sourceLinked="0"/>
            <c:txPr>
              <a:bodyPr rot="-5400000" vert="horz"/>
              <a:lstStyle/>
              <a:p>
                <a:pPr>
                  <a:defRPr b="1" i="0" baseline="0"/>
                </a:pPr>
                <a:endParaRPr lang="sk-SK"/>
              </a:p>
            </c:txPr>
            <c:showLegendKey val="0"/>
            <c:showVal val="1"/>
            <c:showCatName val="0"/>
            <c:showSerName val="0"/>
            <c:showPercent val="0"/>
            <c:showBubbleSize val="0"/>
            <c:showLeaderLines val="0"/>
          </c:dLbls>
          <c:cat>
            <c:strRef>
              <c:f>ESSPROS5!$D$5:$D$32</c:f>
              <c:strCache>
                <c:ptCount val="28"/>
                <c:pt idx="0">
                  <c:v>EA17</c:v>
                </c:pt>
                <c:pt idx="1">
                  <c:v>BE</c:v>
                </c:pt>
                <c:pt idx="2">
                  <c:v>BG</c:v>
                </c:pt>
                <c:pt idx="3">
                  <c:v>CZ</c:v>
                </c:pt>
                <c:pt idx="4">
                  <c:v>DK</c:v>
                </c:pt>
                <c:pt idx="5">
                  <c:v>DE</c:v>
                </c:pt>
                <c:pt idx="6">
                  <c:v>EE</c:v>
                </c:pt>
                <c:pt idx="7">
                  <c:v>IE</c:v>
                </c:pt>
                <c:pt idx="8">
                  <c:v>GR</c:v>
                </c:pt>
                <c:pt idx="9">
                  <c:v>ES</c:v>
                </c:pt>
                <c:pt idx="10">
                  <c:v>FR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ESSPROS5!$E$5:$E$32</c:f>
              <c:numCache>
                <c:formatCode>General</c:formatCode>
                <c:ptCount val="28"/>
                <c:pt idx="0">
                  <c:v>11.5</c:v>
                </c:pt>
                <c:pt idx="1">
                  <c:v>4.9000000000000004</c:v>
                </c:pt>
                <c:pt idx="2">
                  <c:v>4.4000000000000004</c:v>
                </c:pt>
                <c:pt idx="3">
                  <c:v>1.8</c:v>
                </c:pt>
                <c:pt idx="4">
                  <c:v>3.1</c:v>
                </c:pt>
                <c:pt idx="5">
                  <c:v>11.8</c:v>
                </c:pt>
                <c:pt idx="6">
                  <c:v>0.5</c:v>
                </c:pt>
                <c:pt idx="7">
                  <c:v>25.5</c:v>
                </c:pt>
                <c:pt idx="8">
                  <c:v>7.1</c:v>
                </c:pt>
                <c:pt idx="9">
                  <c:v>14.1</c:v>
                </c:pt>
                <c:pt idx="10">
                  <c:v>14.4</c:v>
                </c:pt>
                <c:pt idx="11">
                  <c:v>6.9</c:v>
                </c:pt>
                <c:pt idx="12">
                  <c:v>13.4</c:v>
                </c:pt>
                <c:pt idx="13">
                  <c:v>1.9000000000000001</c:v>
                </c:pt>
                <c:pt idx="14">
                  <c:v>2.4</c:v>
                </c:pt>
                <c:pt idx="15">
                  <c:v>3.7</c:v>
                </c:pt>
                <c:pt idx="16">
                  <c:v>5.0999999999999996</c:v>
                </c:pt>
                <c:pt idx="17">
                  <c:v>13.5</c:v>
                </c:pt>
                <c:pt idx="18">
                  <c:v>15.2</c:v>
                </c:pt>
                <c:pt idx="19">
                  <c:v>7.1</c:v>
                </c:pt>
                <c:pt idx="20">
                  <c:v>3.7</c:v>
                </c:pt>
                <c:pt idx="21">
                  <c:v>10.7</c:v>
                </c:pt>
                <c:pt idx="22">
                  <c:v>5.4</c:v>
                </c:pt>
                <c:pt idx="23">
                  <c:v>8.4</c:v>
                </c:pt>
                <c:pt idx="24">
                  <c:v>4.9000000000000004</c:v>
                </c:pt>
                <c:pt idx="25">
                  <c:v>4.3</c:v>
                </c:pt>
                <c:pt idx="26">
                  <c:v>2.7</c:v>
                </c:pt>
                <c:pt idx="27">
                  <c:v>15</c:v>
                </c:pt>
              </c:numCache>
            </c:numRef>
          </c:val>
        </c:ser>
        <c:dLbls>
          <c:showLegendKey val="0"/>
          <c:showVal val="0"/>
          <c:showCatName val="0"/>
          <c:showSerName val="0"/>
          <c:showPercent val="0"/>
          <c:showBubbleSize val="0"/>
        </c:dLbls>
        <c:gapWidth val="45"/>
        <c:axId val="63785600"/>
        <c:axId val="63791488"/>
      </c:barChart>
      <c:catAx>
        <c:axId val="63785600"/>
        <c:scaling>
          <c:orientation val="minMax"/>
        </c:scaling>
        <c:delete val="0"/>
        <c:axPos val="b"/>
        <c:majorTickMark val="out"/>
        <c:minorTickMark val="none"/>
        <c:tickLblPos val="nextTo"/>
        <c:crossAx val="63791488"/>
        <c:crosses val="autoZero"/>
        <c:auto val="1"/>
        <c:lblAlgn val="ctr"/>
        <c:lblOffset val="100"/>
        <c:noMultiLvlLbl val="0"/>
      </c:catAx>
      <c:valAx>
        <c:axId val="63791488"/>
        <c:scaling>
          <c:orientation val="minMax"/>
        </c:scaling>
        <c:delete val="0"/>
        <c:axPos val="l"/>
        <c:majorGridlines/>
        <c:numFmt formatCode="General" sourceLinked="1"/>
        <c:majorTickMark val="out"/>
        <c:minorTickMark val="none"/>
        <c:tickLblPos val="nextTo"/>
        <c:crossAx val="63785600"/>
        <c:crosses val="autoZero"/>
        <c:crossBetween val="between"/>
        <c:majorUnit val="10"/>
      </c:valAx>
    </c:plotArea>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ESSPROS3!$D$3:$D$4</c:f>
              <c:strCache>
                <c:ptCount val="1"/>
                <c:pt idx="0">
                  <c:v>Euro na obyvateľa (stále ceny 2000)</c:v>
                </c:pt>
              </c:strCache>
            </c:strRef>
          </c:tx>
          <c:spPr>
            <a:solidFill>
              <a:schemeClr val="accent1"/>
            </a:solidFill>
          </c:spPr>
          <c:invertIfNegative val="0"/>
          <c:dPt>
            <c:idx val="6"/>
            <c:invertIfNegative val="0"/>
            <c:bubble3D val="0"/>
            <c:spPr>
              <a:pattFill prst="smCheck">
                <a:fgClr>
                  <a:schemeClr val="accent1"/>
                </a:fgClr>
                <a:bgClr>
                  <a:schemeClr val="bg1"/>
                </a:bgClr>
              </a:pattFill>
              <a:ln>
                <a:solidFill>
                  <a:schemeClr val="accent1"/>
                </a:solidFill>
              </a:ln>
            </c:spPr>
          </c:dPt>
          <c:cat>
            <c:strRef>
              <c:f>ESSPROS3!$B$5:$B$34</c:f>
              <c:strCache>
                <c:ptCount val="30"/>
                <c:pt idx="0">
                  <c:v>RO</c:v>
                </c:pt>
                <c:pt idx="1">
                  <c:v>BG</c:v>
                </c:pt>
                <c:pt idx="2">
                  <c:v>LV</c:v>
                </c:pt>
                <c:pt idx="3">
                  <c:v>LT</c:v>
                </c:pt>
                <c:pt idx="4">
                  <c:v>HU</c:v>
                </c:pt>
                <c:pt idx="5">
                  <c:v>EE</c:v>
                </c:pt>
                <c:pt idx="6">
                  <c:v>SK</c:v>
                </c:pt>
                <c:pt idx="7">
                  <c:v>PL</c:v>
                </c:pt>
                <c:pt idx="8">
                  <c:v>CZ</c:v>
                </c:pt>
                <c:pt idx="9">
                  <c:v>MT</c:v>
                </c:pt>
                <c:pt idx="10">
                  <c:v>CY</c:v>
                </c:pt>
                <c:pt idx="11">
                  <c:v>SI</c:v>
                </c:pt>
                <c:pt idx="12">
                  <c:v>ES</c:v>
                </c:pt>
                <c:pt idx="13">
                  <c:v>PT</c:v>
                </c:pt>
                <c:pt idx="14">
                  <c:v>IE</c:v>
                </c:pt>
                <c:pt idx="15">
                  <c:v>GR</c:v>
                </c:pt>
                <c:pt idx="16">
                  <c:v>UK</c:v>
                </c:pt>
                <c:pt idx="17">
                  <c:v>EU27</c:v>
                </c:pt>
                <c:pt idx="18">
                  <c:v>EA17</c:v>
                </c:pt>
                <c:pt idx="19">
                  <c:v>BE</c:v>
                </c:pt>
                <c:pt idx="20">
                  <c:v>IT</c:v>
                </c:pt>
                <c:pt idx="21">
                  <c:v>EU15</c:v>
                </c:pt>
                <c:pt idx="22">
                  <c:v>DE</c:v>
                </c:pt>
                <c:pt idx="23">
                  <c:v>SE</c:v>
                </c:pt>
                <c:pt idx="24">
                  <c:v>FI</c:v>
                </c:pt>
                <c:pt idx="25">
                  <c:v>FR</c:v>
                </c:pt>
                <c:pt idx="26">
                  <c:v>NL</c:v>
                </c:pt>
                <c:pt idx="27">
                  <c:v>DK</c:v>
                </c:pt>
                <c:pt idx="28">
                  <c:v>AT</c:v>
                </c:pt>
                <c:pt idx="29">
                  <c:v>LU</c:v>
                </c:pt>
              </c:strCache>
            </c:strRef>
          </c:cat>
          <c:val>
            <c:numRef>
              <c:f>ESSPROS3!$D$5:$D$34</c:f>
              <c:numCache>
                <c:formatCode>General</c:formatCode>
                <c:ptCount val="30"/>
                <c:pt idx="0">
                  <c:v>179</c:v>
                </c:pt>
                <c:pt idx="1">
                  <c:v>273</c:v>
                </c:pt>
                <c:pt idx="2">
                  <c:v>394</c:v>
                </c:pt>
                <c:pt idx="3">
                  <c:v>580</c:v>
                </c:pt>
                <c:pt idx="4">
                  <c:v>641</c:v>
                </c:pt>
                <c:pt idx="5">
                  <c:v>650</c:v>
                </c:pt>
                <c:pt idx="6">
                  <c:v>685</c:v>
                </c:pt>
                <c:pt idx="7">
                  <c:v>803</c:v>
                </c:pt>
                <c:pt idx="8" formatCode="#,##0">
                  <c:v>1024</c:v>
                </c:pt>
                <c:pt idx="9" formatCode="#,##0">
                  <c:v>1124</c:v>
                </c:pt>
                <c:pt idx="10" formatCode="#,##0">
                  <c:v>1227</c:v>
                </c:pt>
                <c:pt idx="11" formatCode="#,##0">
                  <c:v>1316</c:v>
                </c:pt>
                <c:pt idx="12" formatCode="#,##0">
                  <c:v>1780</c:v>
                </c:pt>
                <c:pt idx="13" formatCode="#,##0">
                  <c:v>1827</c:v>
                </c:pt>
                <c:pt idx="14" formatCode="#,##0">
                  <c:v>2120</c:v>
                </c:pt>
                <c:pt idx="15" formatCode="#,##0">
                  <c:v>2216</c:v>
                </c:pt>
                <c:pt idx="16" formatCode="#,##0">
                  <c:v>2609</c:v>
                </c:pt>
                <c:pt idx="17" formatCode="#,##0">
                  <c:v>2749</c:v>
                </c:pt>
                <c:pt idx="18" formatCode="#,##0">
                  <c:v>3040</c:v>
                </c:pt>
                <c:pt idx="19" formatCode="#,##0">
                  <c:v>3213</c:v>
                </c:pt>
                <c:pt idx="20" formatCode="#,##0">
                  <c:v>3280</c:v>
                </c:pt>
                <c:pt idx="21" formatCode="#,##0">
                  <c:v>3298</c:v>
                </c:pt>
                <c:pt idx="22" formatCode="#,##0">
                  <c:v>3393</c:v>
                </c:pt>
                <c:pt idx="23" formatCode="#,##0">
                  <c:v>3503</c:v>
                </c:pt>
                <c:pt idx="24" formatCode="#,##0">
                  <c:v>3521</c:v>
                </c:pt>
                <c:pt idx="25" formatCode="#,##0">
                  <c:v>3650</c:v>
                </c:pt>
                <c:pt idx="26" formatCode="#,##0">
                  <c:v>3735</c:v>
                </c:pt>
                <c:pt idx="27" formatCode="#,##0">
                  <c:v>4162</c:v>
                </c:pt>
                <c:pt idx="28" formatCode="#,##0">
                  <c:v>4228</c:v>
                </c:pt>
                <c:pt idx="29" formatCode="#,##0">
                  <c:v>5917</c:v>
                </c:pt>
              </c:numCache>
            </c:numRef>
          </c:val>
        </c:ser>
        <c:ser>
          <c:idx val="0"/>
          <c:order val="1"/>
          <c:tx>
            <c:strRef>
              <c:f>ESSPROS3!$C$3:$C$4</c:f>
              <c:strCache>
                <c:ptCount val="1"/>
                <c:pt idx="0">
                  <c:v>PPS na obyvateľa</c:v>
                </c:pt>
              </c:strCache>
            </c:strRef>
          </c:tx>
          <c:spPr>
            <a:solidFill>
              <a:schemeClr val="accent2"/>
            </a:solidFill>
          </c:spPr>
          <c:invertIfNegative val="0"/>
          <c:dPt>
            <c:idx val="6"/>
            <c:invertIfNegative val="0"/>
            <c:bubble3D val="0"/>
            <c:spPr>
              <a:pattFill prst="smCheck">
                <a:fgClr>
                  <a:schemeClr val="accent2"/>
                </a:fgClr>
                <a:bgClr>
                  <a:schemeClr val="bg1"/>
                </a:bgClr>
              </a:pattFill>
              <a:ln>
                <a:solidFill>
                  <a:schemeClr val="accent2"/>
                </a:solidFill>
              </a:ln>
            </c:spPr>
          </c:dPt>
          <c:cat>
            <c:strRef>
              <c:f>ESSPROS3!$B$5:$B$34</c:f>
              <c:strCache>
                <c:ptCount val="30"/>
                <c:pt idx="0">
                  <c:v>RO</c:v>
                </c:pt>
                <c:pt idx="1">
                  <c:v>BG</c:v>
                </c:pt>
                <c:pt idx="2">
                  <c:v>LV</c:v>
                </c:pt>
                <c:pt idx="3">
                  <c:v>LT</c:v>
                </c:pt>
                <c:pt idx="4">
                  <c:v>HU</c:v>
                </c:pt>
                <c:pt idx="5">
                  <c:v>EE</c:v>
                </c:pt>
                <c:pt idx="6">
                  <c:v>SK</c:v>
                </c:pt>
                <c:pt idx="7">
                  <c:v>PL</c:v>
                </c:pt>
                <c:pt idx="8">
                  <c:v>CZ</c:v>
                </c:pt>
                <c:pt idx="9">
                  <c:v>MT</c:v>
                </c:pt>
                <c:pt idx="10">
                  <c:v>CY</c:v>
                </c:pt>
                <c:pt idx="11">
                  <c:v>SI</c:v>
                </c:pt>
                <c:pt idx="12">
                  <c:v>ES</c:v>
                </c:pt>
                <c:pt idx="13">
                  <c:v>PT</c:v>
                </c:pt>
                <c:pt idx="14">
                  <c:v>IE</c:v>
                </c:pt>
                <c:pt idx="15">
                  <c:v>GR</c:v>
                </c:pt>
                <c:pt idx="16">
                  <c:v>UK</c:v>
                </c:pt>
                <c:pt idx="17">
                  <c:v>EU27</c:v>
                </c:pt>
                <c:pt idx="18">
                  <c:v>EA17</c:v>
                </c:pt>
                <c:pt idx="19">
                  <c:v>BE</c:v>
                </c:pt>
                <c:pt idx="20">
                  <c:v>IT</c:v>
                </c:pt>
                <c:pt idx="21">
                  <c:v>EU15</c:v>
                </c:pt>
                <c:pt idx="22">
                  <c:v>DE</c:v>
                </c:pt>
                <c:pt idx="23">
                  <c:v>SE</c:v>
                </c:pt>
                <c:pt idx="24">
                  <c:v>FI</c:v>
                </c:pt>
                <c:pt idx="25">
                  <c:v>FR</c:v>
                </c:pt>
                <c:pt idx="26">
                  <c:v>NL</c:v>
                </c:pt>
                <c:pt idx="27">
                  <c:v>DK</c:v>
                </c:pt>
                <c:pt idx="28">
                  <c:v>AT</c:v>
                </c:pt>
                <c:pt idx="29">
                  <c:v>LU</c:v>
                </c:pt>
              </c:strCache>
            </c:strRef>
          </c:cat>
          <c:val>
            <c:numRef>
              <c:f>ESSPROS3!$C$5:$C$34</c:f>
              <c:numCache>
                <c:formatCode>General</c:formatCode>
                <c:ptCount val="30"/>
                <c:pt idx="0" formatCode="#,##0">
                  <c:v>1028</c:v>
                </c:pt>
                <c:pt idx="1">
                  <c:v>913</c:v>
                </c:pt>
                <c:pt idx="2" formatCode="#,##0">
                  <c:v>1027</c:v>
                </c:pt>
                <c:pt idx="3" formatCode="#,##0">
                  <c:v>1237</c:v>
                </c:pt>
                <c:pt idx="4" formatCode="#,##0">
                  <c:v>1681</c:v>
                </c:pt>
                <c:pt idx="5" formatCode="#,##0">
                  <c:v>1354</c:v>
                </c:pt>
                <c:pt idx="6" formatCode="#,##0">
                  <c:v>1454</c:v>
                </c:pt>
                <c:pt idx="7" formatCode="#,##0">
                  <c:v>1765</c:v>
                </c:pt>
                <c:pt idx="8" formatCode="#,##0">
                  <c:v>1812</c:v>
                </c:pt>
                <c:pt idx="9" formatCode="#,##0">
                  <c:v>1831</c:v>
                </c:pt>
                <c:pt idx="10" formatCode="#,##0">
                  <c:v>1693</c:v>
                </c:pt>
                <c:pt idx="11" formatCode="#,##0">
                  <c:v>2257</c:v>
                </c:pt>
                <c:pt idx="12" formatCode="#,##0">
                  <c:v>2456</c:v>
                </c:pt>
                <c:pt idx="13" formatCode="#,##0">
                  <c:v>2665</c:v>
                </c:pt>
                <c:pt idx="14" formatCode="#,##0">
                  <c:v>2195</c:v>
                </c:pt>
                <c:pt idx="15" formatCode="#,##0">
                  <c:v>2927</c:v>
                </c:pt>
                <c:pt idx="16" formatCode="#,##0">
                  <c:v>3313</c:v>
                </c:pt>
                <c:pt idx="17" formatCode="#,##0">
                  <c:v>3071</c:v>
                </c:pt>
                <c:pt idx="18" formatCode="#,##0">
                  <c:v>3412</c:v>
                </c:pt>
                <c:pt idx="19" formatCode="#,##0">
                  <c:v>3330</c:v>
                </c:pt>
                <c:pt idx="20" formatCode="#,##0">
                  <c:v>3915</c:v>
                </c:pt>
                <c:pt idx="21" formatCode="#,##0">
                  <c:v>3441</c:v>
                </c:pt>
                <c:pt idx="22" formatCode="#,##0">
                  <c:v>3563</c:v>
                </c:pt>
                <c:pt idx="23" formatCode="#,##0">
                  <c:v>3623</c:v>
                </c:pt>
                <c:pt idx="24" formatCode="#,##0">
                  <c:v>3377</c:v>
                </c:pt>
                <c:pt idx="25" formatCode="#,##0">
                  <c:v>3647</c:v>
                </c:pt>
                <c:pt idx="26" formatCode="#,##0">
                  <c:v>3939</c:v>
                </c:pt>
                <c:pt idx="27" formatCode="#,##0">
                  <c:v>3424</c:v>
                </c:pt>
                <c:pt idx="28" formatCode="#,##0">
                  <c:v>4411</c:v>
                </c:pt>
                <c:pt idx="29" formatCode="#,##0">
                  <c:v>5929</c:v>
                </c:pt>
              </c:numCache>
            </c:numRef>
          </c:val>
        </c:ser>
        <c:dLbls>
          <c:showLegendKey val="0"/>
          <c:showVal val="0"/>
          <c:showCatName val="0"/>
          <c:showSerName val="0"/>
          <c:showPercent val="0"/>
          <c:showBubbleSize val="0"/>
        </c:dLbls>
        <c:gapWidth val="150"/>
        <c:axId val="63821312"/>
        <c:axId val="63822848"/>
      </c:barChart>
      <c:lineChart>
        <c:grouping val="standard"/>
        <c:varyColors val="0"/>
        <c:ser>
          <c:idx val="2"/>
          <c:order val="2"/>
          <c:tx>
            <c:strRef>
              <c:f>ESSPROS3!$E$3:$E$4</c:f>
              <c:strCache>
                <c:ptCount val="1"/>
                <c:pt idx="0">
                  <c:v>% HDP</c:v>
                </c:pt>
              </c:strCache>
            </c:strRef>
          </c:tx>
          <c:spPr>
            <a:ln>
              <a:noFill/>
            </a:ln>
          </c:spPr>
          <c:dPt>
            <c:idx val="6"/>
            <c:marker>
              <c:spPr>
                <a:solidFill>
                  <a:schemeClr val="accent3">
                    <a:lumMod val="75000"/>
                  </a:schemeClr>
                </a:solidFill>
              </c:spPr>
            </c:marker>
            <c:bubble3D val="0"/>
          </c:dPt>
          <c:dLbls>
            <c:dLbl>
              <c:idx val="6"/>
              <c:spPr/>
              <c:txPr>
                <a:bodyPr/>
                <a:lstStyle/>
                <a:p>
                  <a:pPr>
                    <a:defRPr b="1" i="0" baseline="0"/>
                  </a:pPr>
                  <a:endParaRPr lang="sk-SK"/>
                </a:p>
              </c:txPr>
              <c:dLblPos val="b"/>
              <c:showLegendKey val="0"/>
              <c:showVal val="1"/>
              <c:showCatName val="0"/>
              <c:showSerName val="0"/>
              <c:showPercent val="0"/>
              <c:showBubbleSize val="0"/>
            </c:dLbl>
            <c:dLbl>
              <c:idx val="18"/>
              <c:dLblPos val="t"/>
              <c:showLegendKey val="0"/>
              <c:showVal val="1"/>
              <c:showCatName val="0"/>
              <c:showSerName val="0"/>
              <c:showPercent val="0"/>
              <c:showBubbleSize val="0"/>
            </c:dLbl>
            <c:dLbl>
              <c:idx val="22"/>
              <c:dLblPos val="t"/>
              <c:showLegendKey val="0"/>
              <c:showVal val="1"/>
              <c:showCatName val="0"/>
              <c:showSerName val="0"/>
              <c:showPercent val="0"/>
              <c:showBubbleSize val="0"/>
            </c:dLbl>
            <c:dLbl>
              <c:idx val="24"/>
              <c:dLblPos val="t"/>
              <c:showLegendKey val="0"/>
              <c:showVal val="1"/>
              <c:showCatName val="0"/>
              <c:showSerName val="0"/>
              <c:showPercent val="0"/>
              <c:showBubbleSize val="0"/>
            </c:dLbl>
            <c:dLbl>
              <c:idx val="27"/>
              <c:dLblPos val="t"/>
              <c:showLegendKey val="0"/>
              <c:showVal val="1"/>
              <c:showCatName val="0"/>
              <c:showSerName val="0"/>
              <c:showPercent val="0"/>
              <c:showBubbleSize val="0"/>
            </c:dLbl>
            <c:dLbl>
              <c:idx val="28"/>
              <c:dLblPos val="t"/>
              <c:showLegendKey val="0"/>
              <c:showVal val="1"/>
              <c:showCatName val="0"/>
              <c:showSerName val="0"/>
              <c:showPercent val="0"/>
              <c:showBubbleSize val="0"/>
            </c:dLbl>
            <c:dLbl>
              <c:idx val="29"/>
              <c:spPr>
                <a:solidFill>
                  <a:sysClr val="window" lastClr="FFFFFF"/>
                </a:solidFill>
              </c:spPr>
              <c:txPr>
                <a:bodyPr/>
                <a:lstStyle/>
                <a:p>
                  <a:pPr>
                    <a:defRPr baseline="0">
                      <a:solidFill>
                        <a:sysClr val="windowText" lastClr="000000"/>
                      </a:solidFill>
                    </a:defRPr>
                  </a:pPr>
                  <a:endParaRPr lang="sk-SK"/>
                </a:p>
              </c:txPr>
              <c:dLblPos val="b"/>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ESSPROS3!$B$5:$B$34</c:f>
              <c:strCache>
                <c:ptCount val="30"/>
                <c:pt idx="0">
                  <c:v>RO</c:v>
                </c:pt>
                <c:pt idx="1">
                  <c:v>BG</c:v>
                </c:pt>
                <c:pt idx="2">
                  <c:v>LV</c:v>
                </c:pt>
                <c:pt idx="3">
                  <c:v>LT</c:v>
                </c:pt>
                <c:pt idx="4">
                  <c:v>HU</c:v>
                </c:pt>
                <c:pt idx="5">
                  <c:v>EE</c:v>
                </c:pt>
                <c:pt idx="6">
                  <c:v>SK</c:v>
                </c:pt>
                <c:pt idx="7">
                  <c:v>PL</c:v>
                </c:pt>
                <c:pt idx="8">
                  <c:v>CZ</c:v>
                </c:pt>
                <c:pt idx="9">
                  <c:v>MT</c:v>
                </c:pt>
                <c:pt idx="10">
                  <c:v>CY</c:v>
                </c:pt>
                <c:pt idx="11">
                  <c:v>SI</c:v>
                </c:pt>
                <c:pt idx="12">
                  <c:v>ES</c:v>
                </c:pt>
                <c:pt idx="13">
                  <c:v>PT</c:v>
                </c:pt>
                <c:pt idx="14">
                  <c:v>IE</c:v>
                </c:pt>
                <c:pt idx="15">
                  <c:v>GR</c:v>
                </c:pt>
                <c:pt idx="16">
                  <c:v>UK</c:v>
                </c:pt>
                <c:pt idx="17">
                  <c:v>EU27</c:v>
                </c:pt>
                <c:pt idx="18">
                  <c:v>EA17</c:v>
                </c:pt>
                <c:pt idx="19">
                  <c:v>BE</c:v>
                </c:pt>
                <c:pt idx="20">
                  <c:v>IT</c:v>
                </c:pt>
                <c:pt idx="21">
                  <c:v>EU15</c:v>
                </c:pt>
                <c:pt idx="22">
                  <c:v>DE</c:v>
                </c:pt>
                <c:pt idx="23">
                  <c:v>SE</c:v>
                </c:pt>
                <c:pt idx="24">
                  <c:v>FI</c:v>
                </c:pt>
                <c:pt idx="25">
                  <c:v>FR</c:v>
                </c:pt>
                <c:pt idx="26">
                  <c:v>NL</c:v>
                </c:pt>
                <c:pt idx="27">
                  <c:v>DK</c:v>
                </c:pt>
                <c:pt idx="28">
                  <c:v>AT</c:v>
                </c:pt>
                <c:pt idx="29">
                  <c:v>LU</c:v>
                </c:pt>
              </c:strCache>
            </c:strRef>
          </c:cat>
          <c:val>
            <c:numRef>
              <c:f>ESSPROS3!$E$5:$E$34</c:f>
              <c:numCache>
                <c:formatCode>General</c:formatCode>
                <c:ptCount val="30"/>
                <c:pt idx="0">
                  <c:v>9.2000000000000011</c:v>
                </c:pt>
                <c:pt idx="1">
                  <c:v>8.8000000000000007</c:v>
                </c:pt>
                <c:pt idx="2">
                  <c:v>8.4</c:v>
                </c:pt>
                <c:pt idx="3">
                  <c:v>9.6</c:v>
                </c:pt>
                <c:pt idx="4">
                  <c:v>11.2</c:v>
                </c:pt>
                <c:pt idx="5">
                  <c:v>9.1</c:v>
                </c:pt>
                <c:pt idx="6">
                  <c:v>8.4</c:v>
                </c:pt>
                <c:pt idx="7">
                  <c:v>12.4</c:v>
                </c:pt>
                <c:pt idx="8">
                  <c:v>9.1</c:v>
                </c:pt>
                <c:pt idx="9">
                  <c:v>9.7000000000000011</c:v>
                </c:pt>
                <c:pt idx="10">
                  <c:v>7.4</c:v>
                </c:pt>
                <c:pt idx="11">
                  <c:v>10.9</c:v>
                </c:pt>
                <c:pt idx="12">
                  <c:v>10.1</c:v>
                </c:pt>
                <c:pt idx="13">
                  <c:v>14.1</c:v>
                </c:pt>
                <c:pt idx="14">
                  <c:v>7.3</c:v>
                </c:pt>
                <c:pt idx="15">
                  <c:v>13.4</c:v>
                </c:pt>
                <c:pt idx="16">
                  <c:v>12.5</c:v>
                </c:pt>
                <c:pt idx="17">
                  <c:v>13.1</c:v>
                </c:pt>
                <c:pt idx="18">
                  <c:v>13.4</c:v>
                </c:pt>
                <c:pt idx="19">
                  <c:v>12.1</c:v>
                </c:pt>
                <c:pt idx="20">
                  <c:v>16</c:v>
                </c:pt>
                <c:pt idx="21">
                  <c:v>13.3</c:v>
                </c:pt>
                <c:pt idx="22">
                  <c:v>13.1</c:v>
                </c:pt>
                <c:pt idx="23">
                  <c:v>12.9</c:v>
                </c:pt>
                <c:pt idx="24">
                  <c:v>12.4</c:v>
                </c:pt>
                <c:pt idx="25">
                  <c:v>14.5</c:v>
                </c:pt>
                <c:pt idx="26">
                  <c:v>12.8</c:v>
                </c:pt>
                <c:pt idx="27">
                  <c:v>12.1</c:v>
                </c:pt>
                <c:pt idx="28">
                  <c:v>15.1</c:v>
                </c:pt>
                <c:pt idx="29">
                  <c:v>9.5</c:v>
                </c:pt>
              </c:numCache>
            </c:numRef>
          </c:val>
          <c:smooth val="0"/>
        </c:ser>
        <c:dLbls>
          <c:showLegendKey val="0"/>
          <c:showVal val="0"/>
          <c:showCatName val="0"/>
          <c:showSerName val="0"/>
          <c:showPercent val="0"/>
          <c:showBubbleSize val="0"/>
        </c:dLbls>
        <c:marker val="1"/>
        <c:smooth val="0"/>
        <c:axId val="63830272"/>
        <c:axId val="63828736"/>
      </c:lineChart>
      <c:catAx>
        <c:axId val="63821312"/>
        <c:scaling>
          <c:orientation val="minMax"/>
        </c:scaling>
        <c:delete val="0"/>
        <c:axPos val="b"/>
        <c:majorTickMark val="out"/>
        <c:minorTickMark val="none"/>
        <c:tickLblPos val="nextTo"/>
        <c:crossAx val="63822848"/>
        <c:crosses val="autoZero"/>
        <c:auto val="1"/>
        <c:lblAlgn val="ctr"/>
        <c:lblOffset val="100"/>
        <c:noMultiLvlLbl val="0"/>
      </c:catAx>
      <c:valAx>
        <c:axId val="63822848"/>
        <c:scaling>
          <c:orientation val="minMax"/>
        </c:scaling>
        <c:delete val="0"/>
        <c:axPos val="l"/>
        <c:majorGridlines/>
        <c:numFmt formatCode="General" sourceLinked="1"/>
        <c:majorTickMark val="out"/>
        <c:minorTickMark val="none"/>
        <c:tickLblPos val="nextTo"/>
        <c:crossAx val="63821312"/>
        <c:crosses val="autoZero"/>
        <c:crossBetween val="between"/>
      </c:valAx>
      <c:valAx>
        <c:axId val="63828736"/>
        <c:scaling>
          <c:orientation val="minMax"/>
        </c:scaling>
        <c:delete val="0"/>
        <c:axPos val="r"/>
        <c:numFmt formatCode="General" sourceLinked="1"/>
        <c:majorTickMark val="out"/>
        <c:minorTickMark val="none"/>
        <c:tickLblPos val="nextTo"/>
        <c:crossAx val="63830272"/>
        <c:crosses val="max"/>
        <c:crossBetween val="between"/>
      </c:valAx>
      <c:catAx>
        <c:axId val="63830272"/>
        <c:scaling>
          <c:orientation val="minMax"/>
        </c:scaling>
        <c:delete val="1"/>
        <c:axPos val="b"/>
        <c:majorTickMark val="out"/>
        <c:minorTickMark val="none"/>
        <c:tickLblPos val="none"/>
        <c:crossAx val="63828736"/>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977793018430584E-2"/>
          <c:y val="3.2702554079632143E-2"/>
          <c:w val="0.89375176423482372"/>
          <c:h val="0.76071131138276671"/>
        </c:manualLayout>
      </c:layout>
      <c:barChart>
        <c:barDir val="col"/>
        <c:grouping val="clustered"/>
        <c:varyColors val="0"/>
        <c:ser>
          <c:idx val="0"/>
          <c:order val="0"/>
          <c:tx>
            <c:strRef>
              <c:f>[SSC11.xlsx]dôchodky!$B$79</c:f>
              <c:strCache>
                <c:ptCount val="1"/>
                <c:pt idx="0">
                  <c:v>Poberatelia dôchodkov na populáciu</c:v>
                </c:pt>
              </c:strCache>
            </c:strRef>
          </c:tx>
          <c:spPr>
            <a:solidFill>
              <a:schemeClr val="accent1">
                <a:lumMod val="75000"/>
              </a:schemeClr>
            </a:solidFill>
          </c:spPr>
          <c:invertIfNegative val="0"/>
          <c:dPt>
            <c:idx val="23"/>
            <c:invertIfNegative val="0"/>
            <c:bubble3D val="0"/>
            <c:spPr>
              <a:solidFill>
                <a:schemeClr val="accent1">
                  <a:lumMod val="60000"/>
                  <a:lumOff val="40000"/>
                </a:schemeClr>
              </a:solidFill>
            </c:spPr>
          </c:dPt>
          <c:cat>
            <c:strRef>
              <c:f>[SSC11.xlsx]dôchodky!$A$80:$A$106</c:f>
              <c:strCache>
                <c:ptCount val="27"/>
                <c:pt idx="0">
                  <c:v>BE</c:v>
                </c:pt>
                <c:pt idx="1">
                  <c:v>BG</c:v>
                </c:pt>
                <c:pt idx="2">
                  <c:v>CZ</c:v>
                </c:pt>
                <c:pt idx="3">
                  <c:v>DK</c:v>
                </c:pt>
                <c:pt idx="4">
                  <c:v>DE</c:v>
                </c:pt>
                <c:pt idx="5">
                  <c:v>EE</c:v>
                </c:pt>
                <c:pt idx="6">
                  <c:v>IE</c:v>
                </c:pt>
                <c:pt idx="7">
                  <c:v>GR</c:v>
                </c:pt>
                <c:pt idx="8">
                  <c:v>ES</c:v>
                </c:pt>
                <c:pt idx="9">
                  <c:v>FR</c:v>
                </c:pt>
                <c:pt idx="10">
                  <c:v>IT</c:v>
                </c:pt>
                <c:pt idx="11">
                  <c:v>CY</c:v>
                </c:pt>
                <c:pt idx="12">
                  <c:v>LV</c:v>
                </c:pt>
                <c:pt idx="13">
                  <c:v>LT</c:v>
                </c:pt>
                <c:pt idx="14">
                  <c:v>LU</c:v>
                </c:pt>
                <c:pt idx="15">
                  <c:v>HU</c:v>
                </c:pt>
                <c:pt idx="16">
                  <c:v>MT</c:v>
                </c:pt>
                <c:pt idx="17">
                  <c:v>NL</c:v>
                </c:pt>
                <c:pt idx="18">
                  <c:v>AT</c:v>
                </c:pt>
                <c:pt idx="19">
                  <c:v>PL</c:v>
                </c:pt>
                <c:pt idx="20">
                  <c:v>PT</c:v>
                </c:pt>
                <c:pt idx="21">
                  <c:v>RO</c:v>
                </c:pt>
                <c:pt idx="22">
                  <c:v>SI</c:v>
                </c:pt>
                <c:pt idx="23">
                  <c:v>SK</c:v>
                </c:pt>
                <c:pt idx="24">
                  <c:v>FI</c:v>
                </c:pt>
                <c:pt idx="25">
                  <c:v>SE</c:v>
                </c:pt>
                <c:pt idx="26">
                  <c:v>UK</c:v>
                </c:pt>
              </c:strCache>
            </c:strRef>
          </c:cat>
          <c:val>
            <c:numRef>
              <c:f>[SSC11.xlsx]dôchodky!$B$80:$B$106</c:f>
              <c:numCache>
                <c:formatCode>General</c:formatCode>
                <c:ptCount val="27"/>
                <c:pt idx="0">
                  <c:v>0</c:v>
                </c:pt>
                <c:pt idx="1">
                  <c:v>29.336701169135253</c:v>
                </c:pt>
                <c:pt idx="2">
                  <c:v>27.08410247712602</c:v>
                </c:pt>
                <c:pt idx="3">
                  <c:v>23.456051578231886</c:v>
                </c:pt>
                <c:pt idx="4">
                  <c:v>28.696046858462591</c:v>
                </c:pt>
                <c:pt idx="5">
                  <c:v>29.046724676094129</c:v>
                </c:pt>
                <c:pt idx="6">
                  <c:v>17.275542128279024</c:v>
                </c:pt>
                <c:pt idx="7">
                  <c:v>23.338208411446931</c:v>
                </c:pt>
                <c:pt idx="8">
                  <c:v>19.02938301615324</c:v>
                </c:pt>
                <c:pt idx="9">
                  <c:v>27.504699633768727</c:v>
                </c:pt>
                <c:pt idx="10">
                  <c:v>27.496277448143793</c:v>
                </c:pt>
                <c:pt idx="11">
                  <c:v>14.489875452438969</c:v>
                </c:pt>
                <c:pt idx="12">
                  <c:v>26.503642187643155</c:v>
                </c:pt>
                <c:pt idx="13">
                  <c:v>28.336826333365266</c:v>
                </c:pt>
                <c:pt idx="14">
                  <c:v>28.143511012496365</c:v>
                </c:pt>
                <c:pt idx="15">
                  <c:v>27.263937136445747</c:v>
                </c:pt>
                <c:pt idx="16">
                  <c:v>18.570028862954061</c:v>
                </c:pt>
                <c:pt idx="17">
                  <c:v>19.232591949231459</c:v>
                </c:pt>
                <c:pt idx="18">
                  <c:v>27.962279515097382</c:v>
                </c:pt>
                <c:pt idx="19">
                  <c:v>26.038070413572825</c:v>
                </c:pt>
                <c:pt idx="20">
                  <c:v>27.615653853417555</c:v>
                </c:pt>
                <c:pt idx="21">
                  <c:v>26.478821868378176</c:v>
                </c:pt>
                <c:pt idx="22">
                  <c:v>28.837416755252637</c:v>
                </c:pt>
                <c:pt idx="23">
                  <c:v>24.329718844039313</c:v>
                </c:pt>
                <c:pt idx="24">
                  <c:v>26.968302099608188</c:v>
                </c:pt>
                <c:pt idx="25">
                  <c:v>27.072177384906148</c:v>
                </c:pt>
                <c:pt idx="26">
                  <c:v>22.069663834253227</c:v>
                </c:pt>
              </c:numCache>
            </c:numRef>
          </c:val>
        </c:ser>
        <c:dLbls>
          <c:showLegendKey val="0"/>
          <c:showVal val="0"/>
          <c:showCatName val="0"/>
          <c:showSerName val="0"/>
          <c:showPercent val="0"/>
          <c:showBubbleSize val="0"/>
        </c:dLbls>
        <c:gapWidth val="39"/>
        <c:axId val="64299776"/>
        <c:axId val="64301312"/>
      </c:barChart>
      <c:scatterChart>
        <c:scatterStyle val="lineMarker"/>
        <c:varyColors val="0"/>
        <c:ser>
          <c:idx val="1"/>
          <c:order val="1"/>
          <c:tx>
            <c:strRef>
              <c:f>[SSC11.xlsx]dôchodky!$C$79</c:f>
              <c:strCache>
                <c:ptCount val="1"/>
                <c:pt idx="0">
                  <c:v>60+/obyvateľstvo </c:v>
                </c:pt>
              </c:strCache>
            </c:strRef>
          </c:tx>
          <c:spPr>
            <a:ln w="28575">
              <a:noFill/>
            </a:ln>
          </c:spPr>
          <c:marker>
            <c:spPr>
              <a:solidFill>
                <a:srgbClr val="C00000"/>
              </a:solidFill>
              <a:ln>
                <a:solidFill>
                  <a:srgbClr val="C00000"/>
                </a:solidFill>
              </a:ln>
            </c:spPr>
          </c:marker>
          <c:xVal>
            <c:strRef>
              <c:f>[SSC11.xlsx]dôchodky!$A$80:$A$106</c:f>
              <c:strCache>
                <c:ptCount val="27"/>
                <c:pt idx="0">
                  <c:v>BE</c:v>
                </c:pt>
                <c:pt idx="1">
                  <c:v>BG</c:v>
                </c:pt>
                <c:pt idx="2">
                  <c:v>CZ</c:v>
                </c:pt>
                <c:pt idx="3">
                  <c:v>DK</c:v>
                </c:pt>
                <c:pt idx="4">
                  <c:v>DE</c:v>
                </c:pt>
                <c:pt idx="5">
                  <c:v>EE</c:v>
                </c:pt>
                <c:pt idx="6">
                  <c:v>IE</c:v>
                </c:pt>
                <c:pt idx="7">
                  <c:v>GR</c:v>
                </c:pt>
                <c:pt idx="8">
                  <c:v>ES</c:v>
                </c:pt>
                <c:pt idx="9">
                  <c:v>FR</c:v>
                </c:pt>
                <c:pt idx="10">
                  <c:v>IT</c:v>
                </c:pt>
                <c:pt idx="11">
                  <c:v>CY</c:v>
                </c:pt>
                <c:pt idx="12">
                  <c:v>LV</c:v>
                </c:pt>
                <c:pt idx="13">
                  <c:v>LT</c:v>
                </c:pt>
                <c:pt idx="14">
                  <c:v>LU</c:v>
                </c:pt>
                <c:pt idx="15">
                  <c:v>HU</c:v>
                </c:pt>
                <c:pt idx="16">
                  <c:v>MT</c:v>
                </c:pt>
                <c:pt idx="17">
                  <c:v>NL</c:v>
                </c:pt>
                <c:pt idx="18">
                  <c:v>AT</c:v>
                </c:pt>
                <c:pt idx="19">
                  <c:v>PL</c:v>
                </c:pt>
                <c:pt idx="20">
                  <c:v>PT</c:v>
                </c:pt>
                <c:pt idx="21">
                  <c:v>RO</c:v>
                </c:pt>
                <c:pt idx="22">
                  <c:v>SI</c:v>
                </c:pt>
                <c:pt idx="23">
                  <c:v>SK</c:v>
                </c:pt>
                <c:pt idx="24">
                  <c:v>FI</c:v>
                </c:pt>
                <c:pt idx="25">
                  <c:v>SE</c:v>
                </c:pt>
                <c:pt idx="26">
                  <c:v>UK</c:v>
                </c:pt>
              </c:strCache>
            </c:strRef>
          </c:xVal>
          <c:yVal>
            <c:numRef>
              <c:f>[SSC11.xlsx]dôchodky!$C$80:$C$106</c:f>
              <c:numCache>
                <c:formatCode>0.0</c:formatCode>
                <c:ptCount val="27"/>
                <c:pt idx="0">
                  <c:v>22.989417342679651</c:v>
                </c:pt>
                <c:pt idx="1">
                  <c:v>24.270483664762384</c:v>
                </c:pt>
                <c:pt idx="2">
                  <c:v>22.081700702201516</c:v>
                </c:pt>
                <c:pt idx="3">
                  <c:v>23.045643714300471</c:v>
                </c:pt>
                <c:pt idx="4">
                  <c:v>25.927568233233462</c:v>
                </c:pt>
                <c:pt idx="5">
                  <c:v>22.565398652515764</c:v>
                </c:pt>
                <c:pt idx="6">
                  <c:v>16.062834640523153</c:v>
                </c:pt>
                <c:pt idx="7">
                  <c:v>24.755407241215874</c:v>
                </c:pt>
                <c:pt idx="8">
                  <c:v>22.085780221955602</c:v>
                </c:pt>
                <c:pt idx="9">
                  <c:v>22.632921985098235</c:v>
                </c:pt>
                <c:pt idx="10">
                  <c:v>26.344492194341402</c:v>
                </c:pt>
                <c:pt idx="11">
                  <c:v>18.340353633892683</c:v>
                </c:pt>
                <c:pt idx="12">
                  <c:v>22.607092948059353</c:v>
                </c:pt>
                <c:pt idx="13">
                  <c:v>20.940367475418586</c:v>
                </c:pt>
                <c:pt idx="14">
                  <c:v>18.882975545047863</c:v>
                </c:pt>
                <c:pt idx="15">
                  <c:v>22.497424688875647</c:v>
                </c:pt>
                <c:pt idx="16">
                  <c:v>21.982421592192516</c:v>
                </c:pt>
                <c:pt idx="17">
                  <c:v>21.769758037245143</c:v>
                </c:pt>
                <c:pt idx="18">
                  <c:v>23.006307841280719</c:v>
                </c:pt>
                <c:pt idx="19">
                  <c:v>19.0810548990735</c:v>
                </c:pt>
                <c:pt idx="20">
                  <c:v>23.559077030937001</c:v>
                </c:pt>
                <c:pt idx="21">
                  <c:v>20.10237913323461</c:v>
                </c:pt>
                <c:pt idx="22">
                  <c:v>21.970506737743861</c:v>
                </c:pt>
                <c:pt idx="23">
                  <c:v>17.473144790020132</c:v>
                </c:pt>
                <c:pt idx="24">
                  <c:v>24.429502635465255</c:v>
                </c:pt>
                <c:pt idx="25">
                  <c:v>24.797247138913413</c:v>
                </c:pt>
                <c:pt idx="26">
                  <c:v>22.484546317132203</c:v>
                </c:pt>
              </c:numCache>
            </c:numRef>
          </c:yVal>
          <c:smooth val="0"/>
        </c:ser>
        <c:ser>
          <c:idx val="2"/>
          <c:order val="2"/>
          <c:tx>
            <c:strRef>
              <c:f>[SSC11.xlsx]dôchodky!$D$79</c:f>
              <c:strCache>
                <c:ptCount val="1"/>
                <c:pt idx="0">
                  <c:v>60+/20 -59</c:v>
                </c:pt>
              </c:strCache>
            </c:strRef>
          </c:tx>
          <c:spPr>
            <a:ln w="28575">
              <a:noFill/>
            </a:ln>
          </c:spPr>
          <c:marker>
            <c:symbol val="triangle"/>
            <c:size val="9"/>
            <c:spPr>
              <a:solidFill>
                <a:srgbClr val="FF0000"/>
              </a:solidFill>
              <a:ln>
                <a:solidFill>
                  <a:srgbClr val="FF0000"/>
                </a:solidFill>
              </a:ln>
            </c:spPr>
          </c:marker>
          <c:dLbls>
            <c:dLbl>
              <c:idx val="0"/>
              <c:layout>
                <c:manualLayout>
                  <c:x val="-2.8346460207881469E-2"/>
                  <c:y val="7.4380165289256214E-2"/>
                </c:manualLayout>
              </c:layout>
              <c:showLegendKey val="0"/>
              <c:showVal val="1"/>
              <c:showCatName val="0"/>
              <c:showSerName val="0"/>
              <c:showPercent val="0"/>
              <c:showBubbleSize val="0"/>
            </c:dLbl>
            <c:dLbl>
              <c:idx val="3"/>
              <c:layout>
                <c:manualLayout>
                  <c:x val="-3.3070870242528395E-2"/>
                  <c:y val="-5.3719008264462791E-2"/>
                </c:manualLayout>
              </c:layout>
              <c:showLegendKey val="0"/>
              <c:showVal val="1"/>
              <c:showCatName val="0"/>
              <c:showSerName val="0"/>
              <c:showPercent val="0"/>
              <c:showBubbleSize val="0"/>
            </c:dLbl>
            <c:dLbl>
              <c:idx val="6"/>
              <c:layout>
                <c:manualLayout>
                  <c:x val="-2.8346460207881469E-2"/>
                  <c:y val="-5.7851239669421524E-2"/>
                </c:manualLayout>
              </c:layout>
              <c:showLegendKey val="0"/>
              <c:showVal val="1"/>
              <c:showCatName val="0"/>
              <c:showSerName val="0"/>
              <c:showPercent val="0"/>
              <c:showBubbleSize val="0"/>
            </c:dLbl>
            <c:dLbl>
              <c:idx val="12"/>
              <c:layout>
                <c:manualLayout>
                  <c:x val="-1.2598426759058498E-2"/>
                  <c:y val="-4.9586776859504161E-2"/>
                </c:manualLayout>
              </c:layout>
              <c:showLegendKey val="0"/>
              <c:showVal val="1"/>
              <c:showCatName val="0"/>
              <c:showSerName val="0"/>
              <c:showPercent val="0"/>
              <c:showBubbleSize val="0"/>
            </c:dLbl>
            <c:dLbl>
              <c:idx val="15"/>
              <c:layout>
                <c:manualLayout>
                  <c:x val="-3.3070870242528395E-2"/>
                  <c:y val="-7.4380165289256214E-2"/>
                </c:manualLayout>
              </c:layout>
              <c:showLegendKey val="0"/>
              <c:showVal val="1"/>
              <c:showCatName val="0"/>
              <c:showSerName val="0"/>
              <c:showPercent val="0"/>
              <c:showBubbleSize val="0"/>
            </c:dLbl>
            <c:dLbl>
              <c:idx val="16"/>
              <c:layout>
                <c:manualLayout>
                  <c:x val="-2.3622050173234571E-2"/>
                  <c:y val="6.1983471074380174E-2"/>
                </c:manualLayout>
              </c:layout>
              <c:showLegendKey val="0"/>
              <c:showVal val="1"/>
              <c:showCatName val="0"/>
              <c:showSerName val="0"/>
              <c:showPercent val="0"/>
              <c:showBubbleSize val="0"/>
            </c:dLbl>
            <c:dLbl>
              <c:idx val="17"/>
              <c:layout>
                <c:manualLayout>
                  <c:x val="-3.3070870242528395E-2"/>
                  <c:y val="-5.3719008264462811E-2"/>
                </c:manualLayout>
              </c:layout>
              <c:showLegendKey val="0"/>
              <c:showVal val="1"/>
              <c:showCatName val="0"/>
              <c:showSerName val="0"/>
              <c:showPercent val="0"/>
              <c:showBubbleSize val="0"/>
            </c:dLbl>
            <c:dLbl>
              <c:idx val="20"/>
              <c:layout>
                <c:manualLayout>
                  <c:x val="-6.2992133795292194E-3"/>
                  <c:y val="0"/>
                </c:manualLayout>
              </c:layout>
              <c:showLegendKey val="0"/>
              <c:showVal val="1"/>
              <c:showCatName val="0"/>
              <c:showSerName val="0"/>
              <c:showPercent val="0"/>
              <c:showBubbleSize val="0"/>
            </c:dLbl>
            <c:dLbl>
              <c:idx val="21"/>
              <c:layout>
                <c:manualLayout>
                  <c:x val="-3.1496066897646093E-3"/>
                  <c:y val="2.4793388429752039E-2"/>
                </c:manualLayout>
              </c:layout>
              <c:showLegendKey val="0"/>
              <c:showVal val="1"/>
              <c:showCatName val="0"/>
              <c:showSerName val="0"/>
              <c:showPercent val="0"/>
              <c:showBubbleSize val="0"/>
            </c:dLbl>
            <c:dLbl>
              <c:idx val="23"/>
              <c:layout>
                <c:manualLayout>
                  <c:x val="-2.3622050173234571E-2"/>
                  <c:y val="-4.5454545454545463E-2"/>
                </c:manualLayout>
              </c:layout>
              <c:showLegendKey val="0"/>
              <c:showVal val="1"/>
              <c:showCatName val="0"/>
              <c:showSerName val="0"/>
              <c:showPercent val="0"/>
              <c:showBubbleSize val="0"/>
            </c:dLbl>
            <c:dLbl>
              <c:idx val="24"/>
              <c:layout>
                <c:manualLayout>
                  <c:x val="-1.4173230103940736E-2"/>
                  <c:y val="5.37190082644627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xVal>
            <c:strRef>
              <c:f>[SSC11.xlsx]dôchodky!$A$80:$A$106</c:f>
              <c:strCache>
                <c:ptCount val="27"/>
                <c:pt idx="0">
                  <c:v>BE</c:v>
                </c:pt>
                <c:pt idx="1">
                  <c:v>BG</c:v>
                </c:pt>
                <c:pt idx="2">
                  <c:v>CZ</c:v>
                </c:pt>
                <c:pt idx="3">
                  <c:v>DK</c:v>
                </c:pt>
                <c:pt idx="4">
                  <c:v>DE</c:v>
                </c:pt>
                <c:pt idx="5">
                  <c:v>EE</c:v>
                </c:pt>
                <c:pt idx="6">
                  <c:v>IE</c:v>
                </c:pt>
                <c:pt idx="7">
                  <c:v>GR</c:v>
                </c:pt>
                <c:pt idx="8">
                  <c:v>ES</c:v>
                </c:pt>
                <c:pt idx="9">
                  <c:v>FR</c:v>
                </c:pt>
                <c:pt idx="10">
                  <c:v>IT</c:v>
                </c:pt>
                <c:pt idx="11">
                  <c:v>CY</c:v>
                </c:pt>
                <c:pt idx="12">
                  <c:v>LV</c:v>
                </c:pt>
                <c:pt idx="13">
                  <c:v>LT</c:v>
                </c:pt>
                <c:pt idx="14">
                  <c:v>LU</c:v>
                </c:pt>
                <c:pt idx="15">
                  <c:v>HU</c:v>
                </c:pt>
                <c:pt idx="16">
                  <c:v>MT</c:v>
                </c:pt>
                <c:pt idx="17">
                  <c:v>NL</c:v>
                </c:pt>
                <c:pt idx="18">
                  <c:v>AT</c:v>
                </c:pt>
                <c:pt idx="19">
                  <c:v>PL</c:v>
                </c:pt>
                <c:pt idx="20">
                  <c:v>PT</c:v>
                </c:pt>
                <c:pt idx="21">
                  <c:v>RO</c:v>
                </c:pt>
                <c:pt idx="22">
                  <c:v>SI</c:v>
                </c:pt>
                <c:pt idx="23">
                  <c:v>SK</c:v>
                </c:pt>
                <c:pt idx="24">
                  <c:v>FI</c:v>
                </c:pt>
                <c:pt idx="25">
                  <c:v>SE</c:v>
                </c:pt>
                <c:pt idx="26">
                  <c:v>UK</c:v>
                </c:pt>
              </c:strCache>
            </c:strRef>
          </c:xVal>
          <c:yVal>
            <c:numRef>
              <c:f>[SSC11.xlsx]dôchodky!$D$80:$D$106</c:f>
              <c:numCache>
                <c:formatCode>0.0</c:formatCode>
                <c:ptCount val="27"/>
                <c:pt idx="0">
                  <c:v>42.489814165641342</c:v>
                </c:pt>
                <c:pt idx="1">
                  <c:v>42.837954483350508</c:v>
                </c:pt>
                <c:pt idx="2">
                  <c:v>38.182062346773222</c:v>
                </c:pt>
                <c:pt idx="3">
                  <c:v>43.877761632706964</c:v>
                </c:pt>
                <c:pt idx="4">
                  <c:v>46.868130805733912</c:v>
                </c:pt>
                <c:pt idx="5">
                  <c:v>40.13332430879322</c:v>
                </c:pt>
                <c:pt idx="6">
                  <c:v>28.457759500241281</c:v>
                </c:pt>
                <c:pt idx="7">
                  <c:v>44.346566550638236</c:v>
                </c:pt>
                <c:pt idx="8">
                  <c:v>38.013523818256495</c:v>
                </c:pt>
                <c:pt idx="9">
                  <c:v>42.967637328366855</c:v>
                </c:pt>
                <c:pt idx="10">
                  <c:v>48.172697953921002</c:v>
                </c:pt>
                <c:pt idx="11">
                  <c:v>31.794958135559206</c:v>
                </c:pt>
                <c:pt idx="12">
                  <c:v>39.48865159242844</c:v>
                </c:pt>
                <c:pt idx="13">
                  <c:v>36.854022516959603</c:v>
                </c:pt>
                <c:pt idx="14">
                  <c:v>32.878902429719851</c:v>
                </c:pt>
                <c:pt idx="15">
                  <c:v>39.659919270654548</c:v>
                </c:pt>
                <c:pt idx="16">
                  <c:v>39.393244821173731</c:v>
                </c:pt>
                <c:pt idx="17">
                  <c:v>39.922629426707601</c:v>
                </c:pt>
                <c:pt idx="18">
                  <c:v>40.976379587060102</c:v>
                </c:pt>
                <c:pt idx="19">
                  <c:v>32.263351933923921</c:v>
                </c:pt>
                <c:pt idx="20">
                  <c:v>42.132530811178512</c:v>
                </c:pt>
                <c:pt idx="21">
                  <c:v>34.154742537771284</c:v>
                </c:pt>
                <c:pt idx="22">
                  <c:v>37.345783837872176</c:v>
                </c:pt>
                <c:pt idx="23">
                  <c:v>28.921463035703276</c:v>
                </c:pt>
                <c:pt idx="24">
                  <c:v>46.340363703905602</c:v>
                </c:pt>
                <c:pt idx="25">
                  <c:v>47.890912286324244</c:v>
                </c:pt>
                <c:pt idx="26">
                  <c:v>41.870344989415976</c:v>
                </c:pt>
              </c:numCache>
            </c:numRef>
          </c:yVal>
          <c:smooth val="0"/>
        </c:ser>
        <c:dLbls>
          <c:showLegendKey val="0"/>
          <c:showVal val="0"/>
          <c:showCatName val="0"/>
          <c:showSerName val="0"/>
          <c:showPercent val="0"/>
          <c:showBubbleSize val="0"/>
        </c:dLbls>
        <c:axId val="64299776"/>
        <c:axId val="64301312"/>
      </c:scatterChart>
      <c:catAx>
        <c:axId val="64299776"/>
        <c:scaling>
          <c:orientation val="minMax"/>
        </c:scaling>
        <c:delete val="0"/>
        <c:axPos val="b"/>
        <c:majorTickMark val="out"/>
        <c:minorTickMark val="none"/>
        <c:tickLblPos val="nextTo"/>
        <c:txPr>
          <a:bodyPr/>
          <a:lstStyle/>
          <a:p>
            <a:pPr>
              <a:defRPr spc="-100" baseline="0"/>
            </a:pPr>
            <a:endParaRPr lang="sk-SK"/>
          </a:p>
        </c:txPr>
        <c:crossAx val="64301312"/>
        <c:crosses val="autoZero"/>
        <c:auto val="1"/>
        <c:lblAlgn val="ctr"/>
        <c:lblOffset val="100"/>
        <c:noMultiLvlLbl val="0"/>
      </c:catAx>
      <c:valAx>
        <c:axId val="64301312"/>
        <c:scaling>
          <c:orientation val="minMax"/>
        </c:scaling>
        <c:delete val="0"/>
        <c:axPos val="l"/>
        <c:majorGridlines/>
        <c:title>
          <c:tx>
            <c:rich>
              <a:bodyPr rot="0" vert="wordArtVert"/>
              <a:lstStyle/>
              <a:p>
                <a:pPr>
                  <a:defRPr/>
                </a:pPr>
                <a:r>
                  <a:rPr lang="sk-SK"/>
                  <a:t>%</a:t>
                </a:r>
              </a:p>
            </c:rich>
          </c:tx>
          <c:overlay val="0"/>
        </c:title>
        <c:numFmt formatCode="General" sourceLinked="1"/>
        <c:majorTickMark val="out"/>
        <c:minorTickMark val="none"/>
        <c:tickLblPos val="nextTo"/>
        <c:crossAx val="64299776"/>
        <c:crosses val="autoZero"/>
        <c:crossBetween val="between"/>
        <c:majorUnit val="5"/>
      </c:valAx>
    </c:plotArea>
    <c:legend>
      <c:legendPos val="b"/>
      <c:layout>
        <c:manualLayout>
          <c:xMode val="edge"/>
          <c:yMode val="edge"/>
          <c:x val="0.17774558365882118"/>
          <c:y val="0.89765362448250674"/>
          <c:w val="0.70468773878305613"/>
          <c:h val="8.2457124366303522E-2"/>
        </c:manualLayout>
      </c:layout>
      <c:overlay val="0"/>
    </c:legend>
    <c:plotVisOnly val="1"/>
    <c:dispBlanksAs val="gap"/>
    <c:showDLblsOverMax val="0"/>
  </c:chart>
  <c:spPr>
    <a:ln>
      <a:noFill/>
    </a:ln>
  </c:spPr>
  <c:txPr>
    <a:bodyPr/>
    <a:lstStyle/>
    <a:p>
      <a:pPr>
        <a:defRPr sz="950" baseline="0">
          <a:latin typeface="Times New Roman" pitchFamily="18" charset="0"/>
        </a:defRPr>
      </a:pPr>
      <a:endParaRPr lang="sk-SK"/>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floor>
    <c:sideWall>
      <c:thickness val="0"/>
    </c:sideWall>
    <c:backWall>
      <c:thickness val="0"/>
    </c:backWall>
    <c:plotArea>
      <c:layout>
        <c:manualLayout>
          <c:layoutTarget val="inner"/>
          <c:xMode val="edge"/>
          <c:yMode val="edge"/>
          <c:x val="5.6511090409466662E-2"/>
          <c:y val="5.9171597633136092E-2"/>
          <c:w val="0.92629048192908403"/>
          <c:h val="0.81952662721893488"/>
        </c:manualLayout>
      </c:layout>
      <c:bar3DChart>
        <c:barDir val="col"/>
        <c:grouping val="clustered"/>
        <c:varyColors val="0"/>
        <c:ser>
          <c:idx val="0"/>
          <c:order val="0"/>
          <c:tx>
            <c:strRef>
              <c:f>'zdrojove data'!$C$2</c:f>
              <c:strCache>
                <c:ptCount val="1"/>
                <c:pt idx="0">
                  <c:v>AROP</c:v>
                </c:pt>
              </c:strCache>
            </c:strRef>
          </c:tx>
          <c:spPr>
            <a:ln>
              <a:solidFill>
                <a:schemeClr val="tx1"/>
              </a:solidFill>
            </a:ln>
          </c:spPr>
          <c:invertIfNegative val="0"/>
          <c:dPt>
            <c:idx val="2"/>
            <c:invertIfNegative val="0"/>
            <c:bubble3D val="0"/>
            <c:spPr>
              <a:solidFill>
                <a:schemeClr val="accent2"/>
              </a:solidFill>
              <a:ln>
                <a:solidFill>
                  <a:schemeClr val="tx1"/>
                </a:solidFill>
              </a:ln>
            </c:spPr>
          </c:dPt>
          <c:cat>
            <c:strRef>
              <c:f>'zdrojove data'!$A$3:$A$30</c:f>
              <c:strCache>
                <c:ptCount val="28"/>
                <c:pt idx="0">
                  <c:v>CZ</c:v>
                </c:pt>
                <c:pt idx="1">
                  <c:v>NL</c:v>
                </c:pt>
                <c:pt idx="2">
                  <c:v>SK</c:v>
                </c:pt>
                <c:pt idx="3">
                  <c:v>AT</c:v>
                </c:pt>
                <c:pt idx="4">
                  <c:v>HU</c:v>
                </c:pt>
                <c:pt idx="5">
                  <c:v>SI</c:v>
                </c:pt>
                <c:pt idx="6">
                  <c:v>SE</c:v>
                </c:pt>
                <c:pt idx="7">
                  <c:v>FI</c:v>
                </c:pt>
                <c:pt idx="8">
                  <c:v>DK</c:v>
                </c:pt>
                <c:pt idx="9">
                  <c:v>FR</c:v>
                </c:pt>
                <c:pt idx="10">
                  <c:v>LU</c:v>
                </c:pt>
                <c:pt idx="11">
                  <c:v>BE</c:v>
                </c:pt>
                <c:pt idx="12">
                  <c:v>MT</c:v>
                </c:pt>
                <c:pt idx="13">
                  <c:v>DE</c:v>
                </c:pt>
                <c:pt idx="14">
                  <c:v>EE</c:v>
                </c:pt>
                <c:pt idx="15">
                  <c:v>IE</c:v>
                </c:pt>
                <c:pt idx="16">
                  <c:v>EU27</c:v>
                </c:pt>
                <c:pt idx="17">
                  <c:v>CY</c:v>
                </c:pt>
                <c:pt idx="18">
                  <c:v>UK</c:v>
                </c:pt>
                <c:pt idx="19">
                  <c:v>PL</c:v>
                </c:pt>
                <c:pt idx="20">
                  <c:v>PT</c:v>
                </c:pt>
                <c:pt idx="21">
                  <c:v>IT</c:v>
                </c:pt>
                <c:pt idx="22">
                  <c:v>GR</c:v>
                </c:pt>
                <c:pt idx="23">
                  <c:v>LT</c:v>
                </c:pt>
                <c:pt idx="24">
                  <c:v>BG</c:v>
                </c:pt>
                <c:pt idx="25">
                  <c:v>ES</c:v>
                </c:pt>
                <c:pt idx="26">
                  <c:v>RO</c:v>
                </c:pt>
                <c:pt idx="27">
                  <c:v>LV</c:v>
                </c:pt>
              </c:strCache>
            </c:strRef>
          </c:cat>
          <c:val>
            <c:numRef>
              <c:f>'zdrojove data'!$C$3:$C$30</c:f>
              <c:numCache>
                <c:formatCode>#,##0.0</c:formatCode>
                <c:ptCount val="28"/>
                <c:pt idx="0">
                  <c:v>9</c:v>
                </c:pt>
                <c:pt idx="1">
                  <c:v>10.3</c:v>
                </c:pt>
                <c:pt idx="2">
                  <c:v>12</c:v>
                </c:pt>
                <c:pt idx="3">
                  <c:v>12.1</c:v>
                </c:pt>
                <c:pt idx="4">
                  <c:v>12.3</c:v>
                </c:pt>
                <c:pt idx="5">
                  <c:v>12.7</c:v>
                </c:pt>
                <c:pt idx="6">
                  <c:v>12.9</c:v>
                </c:pt>
                <c:pt idx="7">
                  <c:v>13.1</c:v>
                </c:pt>
                <c:pt idx="8">
                  <c:v>13.3</c:v>
                </c:pt>
                <c:pt idx="9">
                  <c:v>13.5</c:v>
                </c:pt>
                <c:pt idx="10">
                  <c:v>14.5</c:v>
                </c:pt>
                <c:pt idx="11">
                  <c:v>14.6</c:v>
                </c:pt>
                <c:pt idx="12">
                  <c:v>15.5</c:v>
                </c:pt>
                <c:pt idx="13">
                  <c:v>15.6</c:v>
                </c:pt>
                <c:pt idx="14">
                  <c:v>15.8</c:v>
                </c:pt>
                <c:pt idx="15">
                  <c:v>16.100000000000001</c:v>
                </c:pt>
                <c:pt idx="16">
                  <c:v>16.399999999999999</c:v>
                </c:pt>
                <c:pt idx="17">
                  <c:v>17</c:v>
                </c:pt>
                <c:pt idx="18">
                  <c:v>17.100000000000001</c:v>
                </c:pt>
                <c:pt idx="19">
                  <c:v>17.600000000000001</c:v>
                </c:pt>
                <c:pt idx="20">
                  <c:v>17.899999999999999</c:v>
                </c:pt>
                <c:pt idx="21">
                  <c:v>18.2</c:v>
                </c:pt>
                <c:pt idx="22">
                  <c:v>20.100000000000001</c:v>
                </c:pt>
                <c:pt idx="23">
                  <c:v>20.2</c:v>
                </c:pt>
                <c:pt idx="24">
                  <c:v>20.7</c:v>
                </c:pt>
                <c:pt idx="25">
                  <c:v>20.7</c:v>
                </c:pt>
                <c:pt idx="26">
                  <c:v>21.1</c:v>
                </c:pt>
                <c:pt idx="27">
                  <c:v>21.3</c:v>
                </c:pt>
              </c:numCache>
            </c:numRef>
          </c:val>
        </c:ser>
        <c:dLbls>
          <c:showLegendKey val="0"/>
          <c:showVal val="0"/>
          <c:showCatName val="0"/>
          <c:showSerName val="0"/>
          <c:showPercent val="0"/>
          <c:showBubbleSize val="0"/>
        </c:dLbls>
        <c:gapWidth val="150"/>
        <c:shape val="box"/>
        <c:axId val="64854272"/>
        <c:axId val="65277952"/>
        <c:axId val="0"/>
      </c:bar3DChart>
      <c:catAx>
        <c:axId val="64854272"/>
        <c:scaling>
          <c:orientation val="minMax"/>
        </c:scaling>
        <c:delete val="0"/>
        <c:axPos val="b"/>
        <c:numFmt formatCode="General" sourceLinked="1"/>
        <c:majorTickMark val="out"/>
        <c:minorTickMark val="none"/>
        <c:tickLblPos val="low"/>
        <c:txPr>
          <a:bodyPr rot="-5400000" vert="horz"/>
          <a:lstStyle/>
          <a:p>
            <a:pPr>
              <a:defRPr/>
            </a:pPr>
            <a:endParaRPr lang="sk-SK"/>
          </a:p>
        </c:txPr>
        <c:crossAx val="65277952"/>
        <c:crosses val="autoZero"/>
        <c:auto val="1"/>
        <c:lblAlgn val="ctr"/>
        <c:lblOffset val="100"/>
        <c:tickLblSkip val="1"/>
        <c:tickMarkSkip val="1"/>
        <c:noMultiLvlLbl val="0"/>
      </c:catAx>
      <c:valAx>
        <c:axId val="65277952"/>
        <c:scaling>
          <c:orientation val="minMax"/>
        </c:scaling>
        <c:delete val="0"/>
        <c:axPos val="l"/>
        <c:majorGridlines/>
        <c:title>
          <c:tx>
            <c:rich>
              <a:bodyPr rot="0" vert="horz"/>
              <a:lstStyle/>
              <a:p>
                <a:pPr>
                  <a:defRPr/>
                </a:pPr>
                <a:r>
                  <a:rPr lang="sk-SK"/>
                  <a:t>%</a:t>
                </a:r>
                <a:endParaRPr lang="en-US"/>
              </a:p>
            </c:rich>
          </c:tx>
          <c:layout>
            <c:manualLayout>
              <c:xMode val="edge"/>
              <c:yMode val="edge"/>
              <c:x val="1.8597675290588676E-2"/>
              <c:y val="0.43495193278354999"/>
            </c:manualLayout>
          </c:layout>
          <c:overlay val="0"/>
        </c:title>
        <c:numFmt formatCode="#,##0.0" sourceLinked="0"/>
        <c:majorTickMark val="out"/>
        <c:minorTickMark val="none"/>
        <c:tickLblPos val="nextTo"/>
        <c:txPr>
          <a:bodyPr rot="0" vert="horz"/>
          <a:lstStyle/>
          <a:p>
            <a:pPr>
              <a:defRPr/>
            </a:pPr>
            <a:endParaRPr lang="sk-SK"/>
          </a:p>
        </c:txPr>
        <c:crossAx val="64854272"/>
        <c:crosses val="autoZero"/>
        <c:crossBetween val="between"/>
      </c:valAx>
    </c:plotArea>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7931442312666915E-2"/>
          <c:y val="3.3332968444276675E-2"/>
          <c:w val="0.90769316001836686"/>
          <c:h val="0.81648687163712075"/>
        </c:manualLayout>
      </c:layout>
      <c:bar3DChart>
        <c:barDir val="col"/>
        <c:grouping val="clustered"/>
        <c:varyColors val="0"/>
        <c:ser>
          <c:idx val="0"/>
          <c:order val="0"/>
          <c:tx>
            <c:strRef>
              <c:f>'zdrojove data'!$A$37</c:f>
              <c:strCache>
                <c:ptCount val="1"/>
                <c:pt idx="0">
                  <c:v>celkom</c:v>
                </c:pt>
              </c:strCache>
            </c:strRef>
          </c:tx>
          <c:spPr>
            <a:solidFill>
              <a:srgbClr val="4F81BD"/>
            </a:solidFill>
            <a:ln w="12700">
              <a:solidFill>
                <a:srgbClr val="000000"/>
              </a:solidFill>
              <a:prstDash val="solid"/>
            </a:ln>
          </c:spPr>
          <c:invertIfNegative val="0"/>
          <c:cat>
            <c:strRef>
              <c:f>'zdrojove data'!$B$36:$G$36</c:f>
              <c:strCache>
                <c:ptCount val="6"/>
                <c:pt idx="0">
                  <c:v>EU SILC 2005</c:v>
                </c:pt>
                <c:pt idx="1">
                  <c:v>EU SILC 2006 </c:v>
                </c:pt>
                <c:pt idx="2">
                  <c:v>EU SILC 2007</c:v>
                </c:pt>
                <c:pt idx="3">
                  <c:v>EU SILC 2008</c:v>
                </c:pt>
                <c:pt idx="4">
                  <c:v>EU SILC 2009</c:v>
                </c:pt>
                <c:pt idx="5">
                  <c:v>EU SILC 2010</c:v>
                </c:pt>
              </c:strCache>
            </c:strRef>
          </c:cat>
          <c:val>
            <c:numRef>
              <c:f>'zdrojove data'!$B$37:$G$37</c:f>
              <c:numCache>
                <c:formatCode>0.0</c:formatCode>
                <c:ptCount val="6"/>
                <c:pt idx="0">
                  <c:v>13.3</c:v>
                </c:pt>
                <c:pt idx="1">
                  <c:v>11.6</c:v>
                </c:pt>
                <c:pt idx="2">
                  <c:v>10.5</c:v>
                </c:pt>
                <c:pt idx="3">
                  <c:v>10.9</c:v>
                </c:pt>
                <c:pt idx="4">
                  <c:v>11</c:v>
                </c:pt>
                <c:pt idx="5">
                  <c:v>12</c:v>
                </c:pt>
              </c:numCache>
            </c:numRef>
          </c:val>
        </c:ser>
        <c:ser>
          <c:idx val="1"/>
          <c:order val="1"/>
          <c:tx>
            <c:strRef>
              <c:f>'zdrojove data'!$A$38</c:f>
              <c:strCache>
                <c:ptCount val="1"/>
                <c:pt idx="0">
                  <c:v>muži</c:v>
                </c:pt>
              </c:strCache>
            </c:strRef>
          </c:tx>
          <c:spPr>
            <a:solidFill>
              <a:srgbClr val="C0504D"/>
            </a:solidFill>
            <a:ln w="12700">
              <a:solidFill>
                <a:srgbClr val="000000"/>
              </a:solidFill>
              <a:prstDash val="solid"/>
            </a:ln>
          </c:spPr>
          <c:invertIfNegative val="0"/>
          <c:cat>
            <c:strRef>
              <c:f>'zdrojove data'!$B$36:$G$36</c:f>
              <c:strCache>
                <c:ptCount val="6"/>
                <c:pt idx="0">
                  <c:v>EU SILC 2005</c:v>
                </c:pt>
                <c:pt idx="1">
                  <c:v>EU SILC 2006 </c:v>
                </c:pt>
                <c:pt idx="2">
                  <c:v>EU SILC 2007</c:v>
                </c:pt>
                <c:pt idx="3">
                  <c:v>EU SILC 2008</c:v>
                </c:pt>
                <c:pt idx="4">
                  <c:v>EU SILC 2009</c:v>
                </c:pt>
                <c:pt idx="5">
                  <c:v>EU SILC 2010</c:v>
                </c:pt>
              </c:strCache>
            </c:strRef>
          </c:cat>
          <c:val>
            <c:numRef>
              <c:f>'zdrojove data'!$B$38:$G$38</c:f>
              <c:numCache>
                <c:formatCode>0.0</c:formatCode>
                <c:ptCount val="6"/>
                <c:pt idx="0">
                  <c:v>13.2</c:v>
                </c:pt>
                <c:pt idx="1">
                  <c:v>11.8</c:v>
                </c:pt>
                <c:pt idx="2">
                  <c:v>9.8000000000000007</c:v>
                </c:pt>
                <c:pt idx="3">
                  <c:v>10.1</c:v>
                </c:pt>
                <c:pt idx="4">
                  <c:v>10.1</c:v>
                </c:pt>
                <c:pt idx="5">
                  <c:v>11.7</c:v>
                </c:pt>
              </c:numCache>
            </c:numRef>
          </c:val>
        </c:ser>
        <c:ser>
          <c:idx val="2"/>
          <c:order val="2"/>
          <c:tx>
            <c:strRef>
              <c:f>'zdrojove data'!$A$39</c:f>
              <c:strCache>
                <c:ptCount val="1"/>
                <c:pt idx="0">
                  <c:v>ženy</c:v>
                </c:pt>
              </c:strCache>
            </c:strRef>
          </c:tx>
          <c:spPr>
            <a:solidFill>
              <a:srgbClr val="8064A2"/>
            </a:solidFill>
            <a:ln w="12700">
              <a:solidFill>
                <a:srgbClr val="000000"/>
              </a:solidFill>
              <a:prstDash val="solid"/>
            </a:ln>
          </c:spPr>
          <c:invertIfNegative val="0"/>
          <c:cat>
            <c:strRef>
              <c:f>'zdrojove data'!$B$36:$G$36</c:f>
              <c:strCache>
                <c:ptCount val="6"/>
                <c:pt idx="0">
                  <c:v>EU SILC 2005</c:v>
                </c:pt>
                <c:pt idx="1">
                  <c:v>EU SILC 2006 </c:v>
                </c:pt>
                <c:pt idx="2">
                  <c:v>EU SILC 2007</c:v>
                </c:pt>
                <c:pt idx="3">
                  <c:v>EU SILC 2008</c:v>
                </c:pt>
                <c:pt idx="4">
                  <c:v>EU SILC 2009</c:v>
                </c:pt>
                <c:pt idx="5">
                  <c:v>EU SILC 2010</c:v>
                </c:pt>
              </c:strCache>
            </c:strRef>
          </c:cat>
          <c:val>
            <c:numRef>
              <c:f>'zdrojove data'!$B$39:$G$39</c:f>
              <c:numCache>
                <c:formatCode>0.0</c:formatCode>
                <c:ptCount val="6"/>
                <c:pt idx="0">
                  <c:v>13.5</c:v>
                </c:pt>
                <c:pt idx="1">
                  <c:v>11.5</c:v>
                </c:pt>
                <c:pt idx="2">
                  <c:v>11.2</c:v>
                </c:pt>
                <c:pt idx="3">
                  <c:v>11.5</c:v>
                </c:pt>
                <c:pt idx="4">
                  <c:v>11.8</c:v>
                </c:pt>
                <c:pt idx="5">
                  <c:v>12.2</c:v>
                </c:pt>
              </c:numCache>
            </c:numRef>
          </c:val>
        </c:ser>
        <c:dLbls>
          <c:showLegendKey val="0"/>
          <c:showVal val="0"/>
          <c:showCatName val="0"/>
          <c:showSerName val="0"/>
          <c:showPercent val="0"/>
          <c:showBubbleSize val="0"/>
        </c:dLbls>
        <c:gapWidth val="150"/>
        <c:shape val="box"/>
        <c:axId val="65291392"/>
        <c:axId val="65292928"/>
        <c:axId val="0"/>
      </c:bar3DChart>
      <c:catAx>
        <c:axId val="65291392"/>
        <c:scaling>
          <c:orientation val="minMax"/>
        </c:scaling>
        <c:delete val="0"/>
        <c:axPos val="b"/>
        <c:numFmt formatCode="@" sourceLinked="1"/>
        <c:majorTickMark val="out"/>
        <c:minorTickMark val="none"/>
        <c:tickLblPos val="low"/>
        <c:spPr>
          <a:ln w="3175">
            <a:solidFill>
              <a:srgbClr val="000000"/>
            </a:solidFill>
            <a:prstDash val="solid"/>
          </a:ln>
        </c:spPr>
        <c:txPr>
          <a:bodyPr rot="0" vert="horz"/>
          <a:lstStyle/>
          <a:p>
            <a:pPr>
              <a:defRPr/>
            </a:pPr>
            <a:endParaRPr lang="sk-SK"/>
          </a:p>
        </c:txPr>
        <c:crossAx val="65292928"/>
        <c:crosses val="autoZero"/>
        <c:auto val="1"/>
        <c:lblAlgn val="ctr"/>
        <c:lblOffset val="100"/>
        <c:tickLblSkip val="1"/>
        <c:tickMarkSkip val="1"/>
        <c:noMultiLvlLbl val="0"/>
      </c:catAx>
      <c:valAx>
        <c:axId val="65292928"/>
        <c:scaling>
          <c:orientation val="minMax"/>
        </c:scaling>
        <c:delete val="0"/>
        <c:axPos val="l"/>
        <c:majorGridlines>
          <c:spPr>
            <a:ln w="3175">
              <a:solidFill>
                <a:srgbClr val="000000"/>
              </a:solidFill>
              <a:prstDash val="solid"/>
            </a:ln>
          </c:spPr>
        </c:majorGridlines>
        <c:title>
          <c:tx>
            <c:rich>
              <a:bodyPr rot="0" vert="horz"/>
              <a:lstStyle/>
              <a:p>
                <a:pPr>
                  <a:defRPr/>
                </a:pPr>
                <a:r>
                  <a:rPr lang="en-US"/>
                  <a:t>%</a:t>
                </a:r>
              </a:p>
            </c:rich>
          </c:tx>
          <c:overlay val="0"/>
        </c:title>
        <c:numFmt formatCode="0.0" sourceLinked="1"/>
        <c:majorTickMark val="out"/>
        <c:minorTickMark val="none"/>
        <c:tickLblPos val="nextTo"/>
        <c:spPr>
          <a:ln w="3175">
            <a:solidFill>
              <a:srgbClr val="000000"/>
            </a:solidFill>
            <a:prstDash val="solid"/>
          </a:ln>
        </c:spPr>
        <c:txPr>
          <a:bodyPr rot="0" vert="horz"/>
          <a:lstStyle/>
          <a:p>
            <a:pPr>
              <a:defRPr/>
            </a:pPr>
            <a:endParaRPr lang="sk-SK"/>
          </a:p>
        </c:txPr>
        <c:crossAx val="65291392"/>
        <c:crosses val="autoZero"/>
        <c:crossBetween val="between"/>
      </c:valAx>
      <c:spPr>
        <a:noFill/>
        <a:ln w="3175">
          <a:solidFill>
            <a:srgbClr val="FFFFFF"/>
          </a:solidFill>
          <a:prstDash val="solid"/>
        </a:ln>
      </c:spPr>
    </c:plotArea>
    <c:legend>
      <c:legendPos val="r"/>
      <c:layout>
        <c:manualLayout>
          <c:xMode val="edge"/>
          <c:yMode val="edge"/>
          <c:x val="0.32552411409029769"/>
          <c:y val="6.9422915803698776E-2"/>
          <c:w val="0.430769640324278"/>
          <c:h val="6.3796303327076267E-2"/>
        </c:manualLayout>
      </c:layout>
      <c:overlay val="0"/>
      <c:spPr>
        <a:solidFill>
          <a:srgbClr val="FFFFFF"/>
        </a:solidFill>
        <a:ln w="3175">
          <a:solidFill>
            <a:srgbClr val="FFFFFF"/>
          </a:solidFill>
          <a:prstDash val="solid"/>
        </a:ln>
      </c:spPr>
    </c:legend>
    <c:plotVisOnly val="1"/>
    <c:dispBlanksAs val="gap"/>
    <c:showDLblsOverMax val="0"/>
  </c:chart>
  <c:spPr>
    <a:solidFill>
      <a:srgbClr val="FFFFFF"/>
    </a:solidFill>
    <a:ln w="12700">
      <a:solidFill>
        <a:srgbClr val="FFFFFF"/>
      </a:solidFill>
      <a:prstDash val="solid"/>
    </a:ln>
  </c:spPr>
  <c:txPr>
    <a:bodyPr/>
    <a:lstStyle/>
    <a:p>
      <a:pPr>
        <a:defRPr sz="900" b="0" i="0" u="none" strike="noStrike" baseline="0">
          <a:solidFill>
            <a:srgbClr val="000000"/>
          </a:solidFill>
          <a:latin typeface="Times New Roman" pitchFamily="18" charset="0"/>
          <a:ea typeface="Arial"/>
          <a:cs typeface="Arial"/>
        </a:defRPr>
      </a:pPr>
      <a:endParaRPr lang="sk-SK"/>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55710397311448"/>
          <c:y val="6.8571428571428575E-2"/>
          <c:w val="0.85780324150599263"/>
          <c:h val="0.82285714285714284"/>
        </c:manualLayout>
      </c:layout>
      <c:lineChart>
        <c:grouping val="standard"/>
        <c:varyColors val="0"/>
        <c:ser>
          <c:idx val="0"/>
          <c:order val="0"/>
          <c:marker>
            <c:symbol val="none"/>
          </c:marker>
          <c:cat>
            <c:strRef>
              <c:f>'zdrojove data'!$A$50:$F$50</c:f>
              <c:strCache>
                <c:ptCount val="6"/>
                <c:pt idx="0">
                  <c:v>2005</c:v>
                </c:pt>
                <c:pt idx="1">
                  <c:v>2006</c:v>
                </c:pt>
                <c:pt idx="2">
                  <c:v>2007</c:v>
                </c:pt>
                <c:pt idx="3">
                  <c:v>2008</c:v>
                </c:pt>
                <c:pt idx="4">
                  <c:v>2009</c:v>
                </c:pt>
                <c:pt idx="5">
                  <c:v>2010</c:v>
                </c:pt>
              </c:strCache>
            </c:strRef>
          </c:cat>
          <c:val>
            <c:numRef>
              <c:f>'zdrojove data'!$A$51:$F$51</c:f>
              <c:numCache>
                <c:formatCode>General</c:formatCode>
                <c:ptCount val="6"/>
                <c:pt idx="0" formatCode="#,##0.0">
                  <c:v>13.3</c:v>
                </c:pt>
                <c:pt idx="1">
                  <c:v>10.1</c:v>
                </c:pt>
                <c:pt idx="2">
                  <c:v>6.2</c:v>
                </c:pt>
                <c:pt idx="3">
                  <c:v>4.8</c:v>
                </c:pt>
                <c:pt idx="4">
                  <c:v>2.4</c:v>
                </c:pt>
                <c:pt idx="5">
                  <c:v>2.6</c:v>
                </c:pt>
              </c:numCache>
            </c:numRef>
          </c:val>
          <c:smooth val="0"/>
        </c:ser>
        <c:dLbls>
          <c:showLegendKey val="0"/>
          <c:showVal val="0"/>
          <c:showCatName val="0"/>
          <c:showSerName val="0"/>
          <c:showPercent val="0"/>
          <c:showBubbleSize val="0"/>
        </c:dLbls>
        <c:marker val="1"/>
        <c:smooth val="0"/>
        <c:axId val="65305216"/>
        <c:axId val="65311104"/>
      </c:lineChart>
      <c:catAx>
        <c:axId val="65305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k-SK"/>
          </a:p>
        </c:txPr>
        <c:crossAx val="65311104"/>
        <c:crosses val="autoZero"/>
        <c:auto val="1"/>
        <c:lblAlgn val="ctr"/>
        <c:lblOffset val="100"/>
        <c:tickLblSkip val="1"/>
        <c:tickMarkSkip val="1"/>
        <c:noMultiLvlLbl val="0"/>
      </c:catAx>
      <c:valAx>
        <c:axId val="65311104"/>
        <c:scaling>
          <c:orientation val="minMax"/>
        </c:scaling>
        <c:delete val="0"/>
        <c:axPos val="l"/>
        <c:majorGridlines>
          <c:spPr>
            <a:ln w="3175">
              <a:solidFill>
                <a:srgbClr val="000000"/>
              </a:solidFill>
              <a:prstDash val="solid"/>
            </a:ln>
          </c:spPr>
        </c:majorGridlines>
        <c:title>
          <c:tx>
            <c:rich>
              <a:bodyPr rot="0" vert="wordArtVert"/>
              <a:lstStyle/>
              <a:p>
                <a:pPr>
                  <a:defRPr/>
                </a:pPr>
                <a:r>
                  <a:rPr lang="en-US"/>
                  <a:t>%</a:t>
                </a:r>
              </a:p>
            </c:rich>
          </c:tx>
          <c:layout>
            <c:manualLayout>
              <c:xMode val="edge"/>
              <c:yMode val="edge"/>
              <c:x val="1.2861741796838503E-2"/>
              <c:y val="0.44739827521559805"/>
            </c:manualLayout>
          </c:layout>
          <c:overlay val="0"/>
        </c:title>
        <c:numFmt formatCode="#,##0.0" sourceLinked="1"/>
        <c:majorTickMark val="out"/>
        <c:minorTickMark val="none"/>
        <c:tickLblPos val="nextTo"/>
        <c:spPr>
          <a:ln w="3175">
            <a:solidFill>
              <a:srgbClr val="000000"/>
            </a:solidFill>
            <a:prstDash val="solid"/>
          </a:ln>
        </c:spPr>
        <c:txPr>
          <a:bodyPr rot="0" vert="horz"/>
          <a:lstStyle/>
          <a:p>
            <a:pPr>
              <a:defRPr/>
            </a:pPr>
            <a:endParaRPr lang="sk-SK"/>
          </a:p>
        </c:txPr>
        <c:crossAx val="65305216"/>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Times New Roman" pitchFamily="18" charset="0"/>
          <a:ea typeface="Arial"/>
          <a:cs typeface="Arial"/>
        </a:defRPr>
      </a:pPr>
      <a:endParaRPr lang="sk-SK"/>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4501860900827901E-2"/>
          <c:y val="2.3307491910951793E-2"/>
          <c:w val="0.92443802473593928"/>
          <c:h val="0.88752621143306354"/>
        </c:manualLayout>
      </c:layout>
      <c:bar3DChart>
        <c:barDir val="col"/>
        <c:grouping val="clustered"/>
        <c:varyColors val="0"/>
        <c:ser>
          <c:idx val="0"/>
          <c:order val="0"/>
          <c:tx>
            <c:strRef>
              <c:f>'zdrojove data'!$B$58</c:f>
              <c:strCache>
                <c:ptCount val="1"/>
                <c:pt idx="0">
                  <c:v>Spolu</c:v>
                </c:pt>
              </c:strCache>
            </c:strRef>
          </c:tx>
          <c:spPr>
            <a:solidFill>
              <a:schemeClr val="accent1"/>
            </a:solidFill>
            <a:ln w="12700">
              <a:solidFill>
                <a:srgbClr val="000000"/>
              </a:solidFill>
              <a:prstDash val="solid"/>
            </a:ln>
          </c:spPr>
          <c:invertIfNegative val="0"/>
          <c:cat>
            <c:strRef>
              <c:f>'zdrojove data'!$C$54:$I$54</c:f>
              <c:strCache>
                <c:ptCount val="7"/>
                <c:pt idx="0">
                  <c:v>Celkom</c:v>
                </c:pt>
                <c:pt idx="1">
                  <c:v>0-17 roční</c:v>
                </c:pt>
                <c:pt idx="2">
                  <c:v>18-24 roční</c:v>
                </c:pt>
                <c:pt idx="3">
                  <c:v> 25-54 roční</c:v>
                </c:pt>
                <c:pt idx="4">
                  <c:v> 55-64 roční</c:v>
                </c:pt>
                <c:pt idx="5">
                  <c:v>18-64 roční</c:v>
                </c:pt>
                <c:pt idx="6">
                  <c:v> 65 +</c:v>
                </c:pt>
              </c:strCache>
            </c:strRef>
          </c:cat>
          <c:val>
            <c:numRef>
              <c:f>'zdrojove data'!$C$58:$I$58</c:f>
              <c:numCache>
                <c:formatCode>General</c:formatCode>
                <c:ptCount val="7"/>
                <c:pt idx="0" formatCode="0.0">
                  <c:v>12</c:v>
                </c:pt>
                <c:pt idx="1">
                  <c:v>18.8</c:v>
                </c:pt>
                <c:pt idx="2">
                  <c:v>14.7</c:v>
                </c:pt>
                <c:pt idx="3">
                  <c:v>11.1</c:v>
                </c:pt>
                <c:pt idx="4">
                  <c:v>8.1</c:v>
                </c:pt>
                <c:pt idx="5">
                  <c:v>11.2</c:v>
                </c:pt>
                <c:pt idx="6">
                  <c:v>7.7</c:v>
                </c:pt>
              </c:numCache>
            </c:numRef>
          </c:val>
        </c:ser>
        <c:ser>
          <c:idx val="1"/>
          <c:order val="1"/>
          <c:tx>
            <c:strRef>
              <c:f>'zdrojove data'!$B$59</c:f>
              <c:strCache>
                <c:ptCount val="1"/>
                <c:pt idx="0">
                  <c:v>Muži</c:v>
                </c:pt>
              </c:strCache>
            </c:strRef>
          </c:tx>
          <c:spPr>
            <a:solidFill>
              <a:schemeClr val="accent2"/>
            </a:solidFill>
            <a:ln w="12700">
              <a:solidFill>
                <a:srgbClr val="000000"/>
              </a:solidFill>
              <a:prstDash val="solid"/>
            </a:ln>
          </c:spPr>
          <c:invertIfNegative val="0"/>
          <c:cat>
            <c:strRef>
              <c:f>'zdrojove data'!$C$54:$I$54</c:f>
              <c:strCache>
                <c:ptCount val="7"/>
                <c:pt idx="0">
                  <c:v>Celkom</c:v>
                </c:pt>
                <c:pt idx="1">
                  <c:v>0-17 roční</c:v>
                </c:pt>
                <c:pt idx="2">
                  <c:v>18-24 roční</c:v>
                </c:pt>
                <c:pt idx="3">
                  <c:v> 25-54 roční</c:v>
                </c:pt>
                <c:pt idx="4">
                  <c:v> 55-64 roční</c:v>
                </c:pt>
                <c:pt idx="5">
                  <c:v>18-64 roční</c:v>
                </c:pt>
                <c:pt idx="6">
                  <c:v> 65 +</c:v>
                </c:pt>
              </c:strCache>
            </c:strRef>
          </c:cat>
          <c:val>
            <c:numRef>
              <c:f>'zdrojove data'!$C$59:$I$59</c:f>
              <c:numCache>
                <c:formatCode>General</c:formatCode>
                <c:ptCount val="7"/>
                <c:pt idx="0">
                  <c:v>11.7</c:v>
                </c:pt>
                <c:pt idx="1">
                  <c:v>17.7</c:v>
                </c:pt>
                <c:pt idx="2">
                  <c:v>14.7</c:v>
                </c:pt>
                <c:pt idx="3">
                  <c:v>11</c:v>
                </c:pt>
                <c:pt idx="4">
                  <c:v>8.8000000000000007</c:v>
                </c:pt>
                <c:pt idx="5">
                  <c:v>11.4</c:v>
                </c:pt>
                <c:pt idx="6">
                  <c:v>3.9</c:v>
                </c:pt>
              </c:numCache>
            </c:numRef>
          </c:val>
        </c:ser>
        <c:ser>
          <c:idx val="2"/>
          <c:order val="2"/>
          <c:tx>
            <c:strRef>
              <c:f>'zdrojove data'!$B$60</c:f>
              <c:strCache>
                <c:ptCount val="1"/>
                <c:pt idx="0">
                  <c:v>Ženy</c:v>
                </c:pt>
              </c:strCache>
            </c:strRef>
          </c:tx>
          <c:spPr>
            <a:solidFill>
              <a:srgbClr val="8064A2"/>
            </a:solidFill>
            <a:ln w="12700">
              <a:solidFill>
                <a:srgbClr val="000000"/>
              </a:solidFill>
              <a:prstDash val="solid"/>
            </a:ln>
          </c:spPr>
          <c:invertIfNegative val="0"/>
          <c:cat>
            <c:strRef>
              <c:f>'zdrojove data'!$C$54:$I$54</c:f>
              <c:strCache>
                <c:ptCount val="7"/>
                <c:pt idx="0">
                  <c:v>Celkom</c:v>
                </c:pt>
                <c:pt idx="1">
                  <c:v>0-17 roční</c:v>
                </c:pt>
                <c:pt idx="2">
                  <c:v>18-24 roční</c:v>
                </c:pt>
                <c:pt idx="3">
                  <c:v> 25-54 roční</c:v>
                </c:pt>
                <c:pt idx="4">
                  <c:v> 55-64 roční</c:v>
                </c:pt>
                <c:pt idx="5">
                  <c:v>18-64 roční</c:v>
                </c:pt>
                <c:pt idx="6">
                  <c:v> 65 +</c:v>
                </c:pt>
              </c:strCache>
            </c:strRef>
          </c:cat>
          <c:val>
            <c:numRef>
              <c:f>'zdrojove data'!$C$60:$I$60</c:f>
              <c:numCache>
                <c:formatCode>General</c:formatCode>
                <c:ptCount val="7"/>
                <c:pt idx="0">
                  <c:v>12.2</c:v>
                </c:pt>
                <c:pt idx="1">
                  <c:v>20.2</c:v>
                </c:pt>
                <c:pt idx="2">
                  <c:v>14.7</c:v>
                </c:pt>
                <c:pt idx="3">
                  <c:v>11.3</c:v>
                </c:pt>
                <c:pt idx="4">
                  <c:v>7.5</c:v>
                </c:pt>
                <c:pt idx="5">
                  <c:v>11.1</c:v>
                </c:pt>
                <c:pt idx="6">
                  <c:v>10.1</c:v>
                </c:pt>
              </c:numCache>
            </c:numRef>
          </c:val>
        </c:ser>
        <c:dLbls>
          <c:showLegendKey val="0"/>
          <c:showVal val="0"/>
          <c:showCatName val="0"/>
          <c:showSerName val="0"/>
          <c:showPercent val="0"/>
          <c:showBubbleSize val="0"/>
        </c:dLbls>
        <c:gapWidth val="150"/>
        <c:shape val="box"/>
        <c:axId val="65546112"/>
        <c:axId val="65547648"/>
        <c:axId val="0"/>
      </c:bar3DChart>
      <c:catAx>
        <c:axId val="65546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k-SK"/>
          </a:p>
        </c:txPr>
        <c:crossAx val="65547648"/>
        <c:crosses val="autoZero"/>
        <c:auto val="1"/>
        <c:lblAlgn val="ctr"/>
        <c:lblOffset val="100"/>
        <c:tickLblSkip val="1"/>
        <c:tickMarkSkip val="1"/>
        <c:noMultiLvlLbl val="0"/>
      </c:catAx>
      <c:valAx>
        <c:axId val="65547648"/>
        <c:scaling>
          <c:orientation val="minMax"/>
        </c:scaling>
        <c:delete val="0"/>
        <c:axPos val="l"/>
        <c:majorGridlines>
          <c:spPr>
            <a:ln w="3175">
              <a:solidFill>
                <a:srgbClr val="000000"/>
              </a:solidFill>
              <a:prstDash val="solid"/>
            </a:ln>
          </c:spPr>
        </c:majorGridlines>
        <c:title>
          <c:tx>
            <c:rich>
              <a:bodyPr rot="0" vert="horz"/>
              <a:lstStyle/>
              <a:p>
                <a:pPr>
                  <a:defRPr/>
                </a:pPr>
                <a:r>
                  <a:rPr lang="en-US"/>
                  <a:t>%</a:t>
                </a:r>
              </a:p>
            </c:rich>
          </c:tx>
          <c:layout>
            <c:manualLayout>
              <c:xMode val="edge"/>
              <c:yMode val="edge"/>
              <c:x val="4.5816817468318886E-2"/>
              <c:y val="0.48282295640879941"/>
            </c:manualLayout>
          </c:layout>
          <c:overlay val="0"/>
        </c:title>
        <c:numFmt formatCode="0.0" sourceLinked="1"/>
        <c:majorTickMark val="out"/>
        <c:minorTickMark val="none"/>
        <c:tickLblPos val="nextTo"/>
        <c:spPr>
          <a:ln w="3175">
            <a:solidFill>
              <a:srgbClr val="000000"/>
            </a:solidFill>
            <a:prstDash val="solid"/>
          </a:ln>
        </c:spPr>
        <c:txPr>
          <a:bodyPr rot="0" vert="horz"/>
          <a:lstStyle/>
          <a:p>
            <a:pPr>
              <a:defRPr/>
            </a:pPr>
            <a:endParaRPr lang="sk-SK"/>
          </a:p>
        </c:txPr>
        <c:crossAx val="65546112"/>
        <c:crosses val="autoZero"/>
        <c:crossBetween val="between"/>
      </c:valAx>
      <c:spPr>
        <a:noFill/>
        <a:ln w="25400">
          <a:noFill/>
        </a:ln>
      </c:spPr>
    </c:plotArea>
    <c:legend>
      <c:legendPos val="r"/>
      <c:layout>
        <c:manualLayout>
          <c:xMode val="edge"/>
          <c:yMode val="edge"/>
          <c:x val="0.41520641015254056"/>
          <c:y val="6.441265218279793E-2"/>
          <c:w val="0.32168455208401325"/>
          <c:h val="0.11222058067483831"/>
        </c:manualLayout>
      </c:layout>
      <c:overlay val="0"/>
      <c:spPr>
        <a:solidFill>
          <a:srgbClr val="FFFFFF"/>
        </a:solidFill>
        <a:ln w="3175">
          <a:solidFill>
            <a:srgbClr val="FFFFFF"/>
          </a:solidFill>
          <a:prstDash val="solid"/>
        </a:ln>
      </c:spPr>
    </c:legend>
    <c:plotVisOnly val="1"/>
    <c:dispBlanksAs val="gap"/>
    <c:showDLblsOverMax val="0"/>
  </c:chart>
  <c:spPr>
    <a:solidFill>
      <a:srgbClr val="FFFFFF"/>
    </a:solidFill>
    <a:ln w="3175">
      <a:solidFill>
        <a:srgbClr val="FFFFFF"/>
      </a:solidFill>
      <a:prstDash val="solid"/>
    </a:ln>
  </c:spPr>
  <c:txPr>
    <a:bodyPr/>
    <a:lstStyle/>
    <a:p>
      <a:pPr>
        <a:defRPr sz="1000" b="0" i="0" u="none" strike="noStrike" baseline="0">
          <a:solidFill>
            <a:srgbClr val="000000"/>
          </a:solidFill>
          <a:latin typeface="Times New Roman" pitchFamily="18" charset="0"/>
          <a:ea typeface="Arial"/>
          <a:cs typeface="Arial"/>
        </a:defRPr>
      </a:pPr>
      <a:endParaRPr lang="sk-SK"/>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hPercent val="179"/>
      <c:rotY val="1"/>
      <c:depthPercent val="100"/>
      <c:rAngAx val="1"/>
    </c:view3D>
    <c:floor>
      <c:thickness val="0"/>
    </c:floor>
    <c:sideWall>
      <c:thickness val="0"/>
    </c:sideWall>
    <c:backWall>
      <c:thickness val="0"/>
    </c:backWall>
    <c:plotArea>
      <c:layout>
        <c:manualLayout>
          <c:layoutTarget val="inner"/>
          <c:xMode val="edge"/>
          <c:yMode val="edge"/>
          <c:x val="0.32987012987012987"/>
          <c:y val="2.8554923908054093E-2"/>
          <c:w val="0.6454545454545455"/>
          <c:h val="0.89951089297694287"/>
        </c:manualLayout>
      </c:layout>
      <c:bar3DChart>
        <c:barDir val="bar"/>
        <c:grouping val="clustered"/>
        <c:varyColors val="0"/>
        <c:ser>
          <c:idx val="1"/>
          <c:order val="0"/>
          <c:tx>
            <c:strRef>
              <c:f>'zdrojove data'!$C$90</c:f>
              <c:strCache>
                <c:ptCount val="1"/>
                <c:pt idx="0">
                  <c:v>2009</c:v>
                </c:pt>
              </c:strCache>
            </c:strRef>
          </c:tx>
          <c:invertIfNegative val="0"/>
          <c:cat>
            <c:strRef>
              <c:f>'zdrojove data'!$A$91:$A$102</c:f>
              <c:strCache>
                <c:ptCount val="12"/>
                <c:pt idx="0">
                  <c:v>2 dospelí, bez detí, aspoň jeden z nich 65+</c:v>
                </c:pt>
                <c:pt idx="1">
                  <c:v>2 dospelí, bez detí, obaja vo veku &lt;65</c:v>
                </c:pt>
                <c:pt idx="2">
                  <c:v>domácnosť bez detí</c:v>
                </c:pt>
                <c:pt idx="3">
                  <c:v>2 dospelí, 2 deti</c:v>
                </c:pt>
                <c:pt idx="4">
                  <c:v>2 dospelí, 1 dieťa</c:v>
                </c:pt>
                <c:pt idx="5">
                  <c:v>spolu</c:v>
                </c:pt>
                <c:pt idx="6">
                  <c:v>domácnosť s deťmi</c:v>
                </c:pt>
                <c:pt idx="7">
                  <c:v>jednotlivec 65 +</c:v>
                </c:pt>
                <c:pt idx="8">
                  <c:v>jednotlivec</c:v>
                </c:pt>
                <c:pt idx="9">
                  <c:v>jednotlivec &lt;65 rokov</c:v>
                </c:pt>
                <c:pt idx="10">
                  <c:v>jeden rodič najmenej s 1 dieťaťom</c:v>
                </c:pt>
                <c:pt idx="11">
                  <c:v>2 dospelí, 3 + deti</c:v>
                </c:pt>
              </c:strCache>
            </c:strRef>
          </c:cat>
          <c:val>
            <c:numRef>
              <c:f>'zdrojove data'!$C$91:$C$102</c:f>
              <c:numCache>
                <c:formatCode>General</c:formatCode>
                <c:ptCount val="12"/>
                <c:pt idx="0">
                  <c:v>3.5</c:v>
                </c:pt>
                <c:pt idx="1">
                  <c:v>4.2</c:v>
                </c:pt>
                <c:pt idx="2">
                  <c:v>7.7</c:v>
                </c:pt>
                <c:pt idx="3">
                  <c:v>9.9</c:v>
                </c:pt>
                <c:pt idx="4">
                  <c:v>10.5</c:v>
                </c:pt>
                <c:pt idx="5">
                  <c:v>11</c:v>
                </c:pt>
                <c:pt idx="6">
                  <c:v>13.4</c:v>
                </c:pt>
                <c:pt idx="7">
                  <c:v>26.2</c:v>
                </c:pt>
                <c:pt idx="8">
                  <c:v>23</c:v>
                </c:pt>
                <c:pt idx="9">
                  <c:v>20.2</c:v>
                </c:pt>
                <c:pt idx="10">
                  <c:v>23</c:v>
                </c:pt>
                <c:pt idx="11">
                  <c:v>27.9</c:v>
                </c:pt>
              </c:numCache>
            </c:numRef>
          </c:val>
        </c:ser>
        <c:ser>
          <c:idx val="2"/>
          <c:order val="1"/>
          <c:tx>
            <c:strRef>
              <c:f>'zdrojove data'!$D$90</c:f>
              <c:strCache>
                <c:ptCount val="1"/>
                <c:pt idx="0">
                  <c:v>2010</c:v>
                </c:pt>
              </c:strCache>
            </c:strRef>
          </c:tx>
          <c:spPr>
            <a:solidFill>
              <a:schemeClr val="accent1"/>
            </a:solidFill>
          </c:spPr>
          <c:invertIfNegative val="0"/>
          <c:cat>
            <c:strRef>
              <c:f>'zdrojove data'!$A$91:$A$102</c:f>
              <c:strCache>
                <c:ptCount val="12"/>
                <c:pt idx="0">
                  <c:v>2 dospelí, bez detí, aspoň jeden z nich 65+</c:v>
                </c:pt>
                <c:pt idx="1">
                  <c:v>2 dospelí, bez detí, obaja vo veku &lt;65</c:v>
                </c:pt>
                <c:pt idx="2">
                  <c:v>domácnosť bez detí</c:v>
                </c:pt>
                <c:pt idx="3">
                  <c:v>2 dospelí, 2 deti</c:v>
                </c:pt>
                <c:pt idx="4">
                  <c:v>2 dospelí, 1 dieťa</c:v>
                </c:pt>
                <c:pt idx="5">
                  <c:v>spolu</c:v>
                </c:pt>
                <c:pt idx="6">
                  <c:v>domácnosť s deťmi</c:v>
                </c:pt>
                <c:pt idx="7">
                  <c:v>jednotlivec 65 +</c:v>
                </c:pt>
                <c:pt idx="8">
                  <c:v>jednotlivec</c:v>
                </c:pt>
                <c:pt idx="9">
                  <c:v>jednotlivec &lt;65 rokov</c:v>
                </c:pt>
                <c:pt idx="10">
                  <c:v>jeden rodič najmenej s 1 dieťaťom</c:v>
                </c:pt>
                <c:pt idx="11">
                  <c:v>2 dospelí, 3 + deti</c:v>
                </c:pt>
              </c:strCache>
            </c:strRef>
          </c:cat>
          <c:val>
            <c:numRef>
              <c:f>'zdrojove data'!$D$91:$D$102</c:f>
              <c:numCache>
                <c:formatCode>General</c:formatCode>
                <c:ptCount val="12"/>
                <c:pt idx="0">
                  <c:v>4.5999999999999996</c:v>
                </c:pt>
                <c:pt idx="1">
                  <c:v>7.8</c:v>
                </c:pt>
                <c:pt idx="2">
                  <c:v>8.1</c:v>
                </c:pt>
                <c:pt idx="3">
                  <c:v>11</c:v>
                </c:pt>
                <c:pt idx="4">
                  <c:v>12</c:v>
                </c:pt>
                <c:pt idx="5">
                  <c:v>12</c:v>
                </c:pt>
                <c:pt idx="6">
                  <c:v>15</c:v>
                </c:pt>
                <c:pt idx="7">
                  <c:v>15.2</c:v>
                </c:pt>
                <c:pt idx="8">
                  <c:v>19.100000000000001</c:v>
                </c:pt>
                <c:pt idx="9">
                  <c:v>23.4</c:v>
                </c:pt>
                <c:pt idx="10">
                  <c:v>25</c:v>
                </c:pt>
                <c:pt idx="11">
                  <c:v>29.8</c:v>
                </c:pt>
              </c:numCache>
            </c:numRef>
          </c:val>
        </c:ser>
        <c:dLbls>
          <c:showLegendKey val="0"/>
          <c:showVal val="0"/>
          <c:showCatName val="0"/>
          <c:showSerName val="0"/>
          <c:showPercent val="0"/>
          <c:showBubbleSize val="0"/>
        </c:dLbls>
        <c:gapWidth val="150"/>
        <c:shape val="box"/>
        <c:axId val="65581824"/>
        <c:axId val="65583360"/>
        <c:axId val="0"/>
      </c:bar3DChart>
      <c:catAx>
        <c:axId val="65581824"/>
        <c:scaling>
          <c:orientation val="minMax"/>
        </c:scaling>
        <c:delete val="0"/>
        <c:axPos val="l"/>
        <c:numFmt formatCode="General" sourceLinked="1"/>
        <c:majorTickMark val="out"/>
        <c:minorTickMark val="none"/>
        <c:tickLblPos val="low"/>
        <c:txPr>
          <a:bodyPr rot="0" vert="horz"/>
          <a:lstStyle/>
          <a:p>
            <a:pPr>
              <a:defRPr/>
            </a:pPr>
            <a:endParaRPr lang="sk-SK"/>
          </a:p>
        </c:txPr>
        <c:crossAx val="65583360"/>
        <c:crosses val="autoZero"/>
        <c:auto val="1"/>
        <c:lblAlgn val="ctr"/>
        <c:lblOffset val="100"/>
        <c:tickLblSkip val="1"/>
        <c:tickMarkSkip val="1"/>
        <c:noMultiLvlLbl val="0"/>
      </c:catAx>
      <c:valAx>
        <c:axId val="65583360"/>
        <c:scaling>
          <c:orientation val="minMax"/>
        </c:scaling>
        <c:delete val="0"/>
        <c:axPos val="b"/>
        <c:majorGridlines/>
        <c:title>
          <c:tx>
            <c:rich>
              <a:bodyPr/>
              <a:lstStyle/>
              <a:p>
                <a:pPr>
                  <a:defRPr/>
                </a:pPr>
                <a:r>
                  <a:rPr lang="en-US"/>
                  <a:t>%</a:t>
                </a:r>
              </a:p>
            </c:rich>
          </c:tx>
          <c:layout>
            <c:manualLayout>
              <c:xMode val="edge"/>
              <c:yMode val="edge"/>
              <c:x val="0.60088052629784916"/>
              <c:y val="0.9368040106097848"/>
            </c:manualLayout>
          </c:layout>
          <c:overlay val="0"/>
        </c:title>
        <c:numFmt formatCode="General" sourceLinked="1"/>
        <c:majorTickMark val="out"/>
        <c:minorTickMark val="none"/>
        <c:tickLblPos val="nextTo"/>
        <c:txPr>
          <a:bodyPr rot="0" vert="horz"/>
          <a:lstStyle/>
          <a:p>
            <a:pPr>
              <a:defRPr/>
            </a:pPr>
            <a:endParaRPr lang="sk-SK"/>
          </a:p>
        </c:txPr>
        <c:crossAx val="65581824"/>
        <c:crosses val="autoZero"/>
        <c:crossBetween val="between"/>
      </c:valAx>
    </c:plotArea>
    <c:legend>
      <c:legendPos val="r"/>
      <c:layout>
        <c:manualLayout>
          <c:xMode val="edge"/>
          <c:yMode val="edge"/>
          <c:x val="1.4722890004189181E-2"/>
          <c:y val="0.38515363158080579"/>
          <c:w val="8.3709488423629644E-2"/>
          <c:h val="0.19086840153949367"/>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98645055731863"/>
          <c:y val="5.1400554097404488E-2"/>
          <c:w val="0.82761223028939901"/>
          <c:h val="0.78594102918165132"/>
        </c:manualLayout>
      </c:layout>
      <c:barChart>
        <c:barDir val="col"/>
        <c:grouping val="clustered"/>
        <c:varyColors val="0"/>
        <c:ser>
          <c:idx val="0"/>
          <c:order val="0"/>
          <c:tx>
            <c:v>UoZ 2011</c:v>
          </c:tx>
          <c:invertIfNegative val="0"/>
          <c:cat>
            <c:strRef>
              <c:f>'[sit TP graf 6.xls]graf stavy celk 11 10 stl '!$B$2:$M$2</c:f>
              <c:strCache>
                <c:ptCount val="12"/>
                <c:pt idx="0">
                  <c:v>I.</c:v>
                </c:pt>
                <c:pt idx="1">
                  <c:v>II.</c:v>
                </c:pt>
                <c:pt idx="2">
                  <c:v>II.</c:v>
                </c:pt>
                <c:pt idx="3">
                  <c:v>IV.</c:v>
                </c:pt>
                <c:pt idx="4">
                  <c:v>V.</c:v>
                </c:pt>
                <c:pt idx="5">
                  <c:v>VI.</c:v>
                </c:pt>
                <c:pt idx="6">
                  <c:v>VII.</c:v>
                </c:pt>
                <c:pt idx="7">
                  <c:v>VII.</c:v>
                </c:pt>
                <c:pt idx="8">
                  <c:v>IX.</c:v>
                </c:pt>
                <c:pt idx="9">
                  <c:v>X.</c:v>
                </c:pt>
                <c:pt idx="10">
                  <c:v>XI.</c:v>
                </c:pt>
                <c:pt idx="11">
                  <c:v>XII.</c:v>
                </c:pt>
              </c:strCache>
            </c:strRef>
          </c:cat>
          <c:val>
            <c:numRef>
              <c:f>'[sit TP graf 6.xls]graf stavy celk 11 10 stl '!$B$3:$M$3</c:f>
              <c:numCache>
                <c:formatCode>0</c:formatCode>
                <c:ptCount val="12"/>
                <c:pt idx="0">
                  <c:v>391637</c:v>
                </c:pt>
                <c:pt idx="1">
                  <c:v>395445</c:v>
                </c:pt>
                <c:pt idx="2">
                  <c:v>392483</c:v>
                </c:pt>
                <c:pt idx="3">
                  <c:v>384465</c:v>
                </c:pt>
                <c:pt idx="4">
                  <c:v>380016</c:v>
                </c:pt>
                <c:pt idx="5">
                  <c:v>382984</c:v>
                </c:pt>
                <c:pt idx="6" formatCode="General">
                  <c:v>386307</c:v>
                </c:pt>
                <c:pt idx="7" formatCode="General">
                  <c:v>384220</c:v>
                </c:pt>
                <c:pt idx="8" formatCode="General">
                  <c:v>390559</c:v>
                </c:pt>
                <c:pt idx="9" formatCode="General">
                  <c:v>390125</c:v>
                </c:pt>
                <c:pt idx="10" formatCode="General">
                  <c:v>393122</c:v>
                </c:pt>
                <c:pt idx="11" formatCode="General">
                  <c:v>399800</c:v>
                </c:pt>
              </c:numCache>
            </c:numRef>
          </c:val>
        </c:ser>
        <c:ser>
          <c:idx val="1"/>
          <c:order val="1"/>
          <c:tx>
            <c:v>UoZ 2010</c:v>
          </c:tx>
          <c:invertIfNegative val="0"/>
          <c:cat>
            <c:strRef>
              <c:f>'[sit TP graf 6.xls]graf stavy celk 11 10 stl '!$B$2:$M$2</c:f>
              <c:strCache>
                <c:ptCount val="12"/>
                <c:pt idx="0">
                  <c:v>I.</c:v>
                </c:pt>
                <c:pt idx="1">
                  <c:v>II.</c:v>
                </c:pt>
                <c:pt idx="2">
                  <c:v>II.</c:v>
                </c:pt>
                <c:pt idx="3">
                  <c:v>IV.</c:v>
                </c:pt>
                <c:pt idx="4">
                  <c:v>V.</c:v>
                </c:pt>
                <c:pt idx="5">
                  <c:v>VI.</c:v>
                </c:pt>
                <c:pt idx="6">
                  <c:v>VII.</c:v>
                </c:pt>
                <c:pt idx="7">
                  <c:v>VII.</c:v>
                </c:pt>
                <c:pt idx="8">
                  <c:v>IX.</c:v>
                </c:pt>
                <c:pt idx="9">
                  <c:v>X.</c:v>
                </c:pt>
                <c:pt idx="10">
                  <c:v>XI.</c:v>
                </c:pt>
                <c:pt idx="11">
                  <c:v>XII.</c:v>
                </c:pt>
              </c:strCache>
            </c:strRef>
          </c:cat>
          <c:val>
            <c:numRef>
              <c:f>'[sit TP graf 6.xls]graf stavy celk 11 10 stl '!$B$4:$M$4</c:f>
              <c:numCache>
                <c:formatCode>0</c:formatCode>
                <c:ptCount val="12"/>
                <c:pt idx="0">
                  <c:v>391499</c:v>
                </c:pt>
                <c:pt idx="1">
                  <c:v>396205</c:v>
                </c:pt>
                <c:pt idx="2">
                  <c:v>393737</c:v>
                </c:pt>
                <c:pt idx="3">
                  <c:v>383148</c:v>
                </c:pt>
                <c:pt idx="4">
                  <c:v>375161</c:v>
                </c:pt>
                <c:pt idx="5">
                  <c:v>376769</c:v>
                </c:pt>
                <c:pt idx="6" formatCode="General">
                  <c:v>375608</c:v>
                </c:pt>
                <c:pt idx="7" formatCode="General">
                  <c:v>370671</c:v>
                </c:pt>
                <c:pt idx="8" formatCode="General">
                  <c:v>377007</c:v>
                </c:pt>
                <c:pt idx="9" formatCode="General">
                  <c:v>374200</c:v>
                </c:pt>
                <c:pt idx="10" formatCode="General">
                  <c:v>374281</c:v>
                </c:pt>
                <c:pt idx="11" formatCode="General">
                  <c:v>381209</c:v>
                </c:pt>
              </c:numCache>
            </c:numRef>
          </c:val>
        </c:ser>
        <c:dLbls>
          <c:showLegendKey val="0"/>
          <c:showVal val="0"/>
          <c:showCatName val="0"/>
          <c:showSerName val="0"/>
          <c:showPercent val="0"/>
          <c:showBubbleSize val="0"/>
        </c:dLbls>
        <c:gapWidth val="150"/>
        <c:axId val="27632768"/>
        <c:axId val="27634304"/>
      </c:barChart>
      <c:catAx>
        <c:axId val="27632768"/>
        <c:scaling>
          <c:orientation val="minMax"/>
        </c:scaling>
        <c:delete val="0"/>
        <c:axPos val="b"/>
        <c:majorTickMark val="out"/>
        <c:minorTickMark val="none"/>
        <c:tickLblPos val="nextTo"/>
        <c:crossAx val="27634304"/>
        <c:crosses val="autoZero"/>
        <c:auto val="1"/>
        <c:lblAlgn val="ctr"/>
        <c:lblOffset val="100"/>
        <c:noMultiLvlLbl val="0"/>
      </c:catAx>
      <c:valAx>
        <c:axId val="27634304"/>
        <c:scaling>
          <c:orientation val="minMax"/>
        </c:scaling>
        <c:delete val="0"/>
        <c:axPos val="l"/>
        <c:majorGridlines/>
        <c:title>
          <c:tx>
            <c:rich>
              <a:bodyPr rot="-5400000" vert="horz"/>
              <a:lstStyle/>
              <a:p>
                <a:pPr>
                  <a:defRPr/>
                </a:pPr>
                <a:r>
                  <a:rPr lang="en-US"/>
                  <a:t>Počet UoZ</a:t>
                </a:r>
              </a:p>
            </c:rich>
          </c:tx>
          <c:layout>
            <c:manualLayout>
              <c:xMode val="edge"/>
              <c:yMode val="edge"/>
              <c:x val="1.7292439939815725E-2"/>
              <c:y val="0.39359032602448674"/>
            </c:manualLayout>
          </c:layout>
          <c:overlay val="0"/>
        </c:title>
        <c:numFmt formatCode="0" sourceLinked="1"/>
        <c:majorTickMark val="out"/>
        <c:minorTickMark val="none"/>
        <c:tickLblPos val="nextTo"/>
        <c:crossAx val="27632768"/>
        <c:crosses val="autoZero"/>
        <c:crossBetween val="between"/>
      </c:valAx>
      <c:dTable>
        <c:showHorzBorder val="1"/>
        <c:showVertBorder val="1"/>
        <c:showOutline val="1"/>
        <c:showKeys val="0"/>
        <c:txPr>
          <a:bodyPr/>
          <a:lstStyle/>
          <a:p>
            <a:pPr rtl="0">
              <a:defRPr sz="880" baseline="0"/>
            </a:pPr>
            <a:endParaRPr lang="sk-SK"/>
          </a:p>
        </c:txPr>
      </c:dTable>
    </c:plotArea>
    <c:legend>
      <c:legendPos val="r"/>
      <c:layout>
        <c:manualLayout>
          <c:xMode val="edge"/>
          <c:yMode val="edge"/>
          <c:x val="0.39792759826183827"/>
          <c:y val="0.14078712043002306"/>
          <c:w val="0.38422215620894623"/>
          <c:h val="6.334517507776366E-2"/>
        </c:manualLayout>
      </c:layout>
      <c:overlay val="0"/>
      <c:spPr>
        <a:solidFill>
          <a:schemeClr val="bg1"/>
        </a:solidFill>
      </c:spPr>
    </c:legend>
    <c:plotVisOnly val="1"/>
    <c:dispBlanksAs val="gap"/>
    <c:showDLblsOverMax val="0"/>
  </c:chart>
  <c:spPr>
    <a:ln>
      <a:noFill/>
    </a:ln>
  </c:spPr>
  <c:txPr>
    <a:bodyPr/>
    <a:lstStyle/>
    <a:p>
      <a:pPr>
        <a:defRPr sz="920" baseline="0">
          <a:latin typeface="Times New Roman" pitchFamily="18" charset="0"/>
        </a:defRPr>
      </a:pPr>
      <a:endParaRPr lang="sk-SK"/>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Hárok3!$D$1</c:f>
              <c:strCache>
                <c:ptCount val="1"/>
                <c:pt idx="0">
                  <c:v>ženy</c:v>
                </c:pt>
              </c:strCache>
            </c:strRef>
          </c:tx>
          <c:spPr>
            <a:solidFill>
              <a:schemeClr val="accent2"/>
            </a:solidFill>
            <a:ln>
              <a:solidFill>
                <a:schemeClr val="accent1"/>
              </a:solidFill>
            </a:ln>
          </c:spPr>
          <c:invertIfNegative val="0"/>
          <c:dPt>
            <c:idx val="24"/>
            <c:invertIfNegative val="0"/>
            <c:bubble3D val="0"/>
            <c:spPr>
              <a:solidFill>
                <a:schemeClr val="bg1"/>
              </a:solidFill>
              <a:ln>
                <a:solidFill>
                  <a:schemeClr val="accent2"/>
                </a:solidFill>
              </a:ln>
            </c:spPr>
          </c:dPt>
          <c:cat>
            <c:strRef>
              <c:f>Hárok3!$C$2:$C$29</c:f>
              <c:strCache>
                <c:ptCount val="28"/>
                <c:pt idx="0">
                  <c:v>EU27</c:v>
                </c:pt>
                <c:pt idx="1">
                  <c:v>BE</c:v>
                </c:pt>
                <c:pt idx="2">
                  <c:v>BG</c:v>
                </c:pt>
                <c:pt idx="3">
                  <c:v>CZ</c:v>
                </c:pt>
                <c:pt idx="4">
                  <c:v>DK</c:v>
                </c:pt>
                <c:pt idx="5">
                  <c:v>DE</c:v>
                </c:pt>
                <c:pt idx="6">
                  <c:v>EE</c:v>
                </c:pt>
                <c:pt idx="7">
                  <c:v>IE</c:v>
                </c:pt>
                <c:pt idx="8">
                  <c:v>GR</c:v>
                </c:pt>
                <c:pt idx="9">
                  <c:v>ES</c:v>
                </c:pt>
                <c:pt idx="10">
                  <c:v>FR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Hárok3!$D$2:$D$29</c:f>
              <c:numCache>
                <c:formatCode>General</c:formatCode>
                <c:ptCount val="28"/>
                <c:pt idx="0">
                  <c:v>58.5</c:v>
                </c:pt>
                <c:pt idx="1">
                  <c:v>56.7</c:v>
                </c:pt>
                <c:pt idx="2">
                  <c:v>56.2</c:v>
                </c:pt>
                <c:pt idx="3">
                  <c:v>57.2</c:v>
                </c:pt>
                <c:pt idx="4">
                  <c:v>70.400000000000006</c:v>
                </c:pt>
                <c:pt idx="5">
                  <c:v>67.7</c:v>
                </c:pt>
                <c:pt idx="6">
                  <c:v>62.8</c:v>
                </c:pt>
                <c:pt idx="7">
                  <c:v>55.4</c:v>
                </c:pt>
                <c:pt idx="8">
                  <c:v>45.1</c:v>
                </c:pt>
                <c:pt idx="9">
                  <c:v>52</c:v>
                </c:pt>
                <c:pt idx="10">
                  <c:v>59.7</c:v>
                </c:pt>
                <c:pt idx="11">
                  <c:v>46.5</c:v>
                </c:pt>
                <c:pt idx="12">
                  <c:v>61.6</c:v>
                </c:pt>
                <c:pt idx="13">
                  <c:v>60.8</c:v>
                </c:pt>
                <c:pt idx="14">
                  <c:v>60.5</c:v>
                </c:pt>
                <c:pt idx="15">
                  <c:v>59.6</c:v>
                </c:pt>
                <c:pt idx="16">
                  <c:v>50.6</c:v>
                </c:pt>
                <c:pt idx="17">
                  <c:v>41</c:v>
                </c:pt>
                <c:pt idx="18">
                  <c:v>69.900000000000006</c:v>
                </c:pt>
                <c:pt idx="19">
                  <c:v>66.5</c:v>
                </c:pt>
                <c:pt idx="20">
                  <c:v>53.1</c:v>
                </c:pt>
                <c:pt idx="21">
                  <c:v>60.4</c:v>
                </c:pt>
                <c:pt idx="22">
                  <c:v>52</c:v>
                </c:pt>
                <c:pt idx="23">
                  <c:v>60.9</c:v>
                </c:pt>
                <c:pt idx="24">
                  <c:v>52.7</c:v>
                </c:pt>
                <c:pt idx="25">
                  <c:v>67.400000000000006</c:v>
                </c:pt>
                <c:pt idx="26">
                  <c:v>71.8</c:v>
                </c:pt>
                <c:pt idx="27">
                  <c:v>64.5</c:v>
                </c:pt>
              </c:numCache>
            </c:numRef>
          </c:val>
        </c:ser>
        <c:ser>
          <c:idx val="1"/>
          <c:order val="1"/>
          <c:tx>
            <c:strRef>
              <c:f>Hárok3!$E$1</c:f>
              <c:strCache>
                <c:ptCount val="1"/>
                <c:pt idx="0">
                  <c:v>muži</c:v>
                </c:pt>
              </c:strCache>
            </c:strRef>
          </c:tx>
          <c:spPr>
            <a:solidFill>
              <a:schemeClr val="accent1"/>
            </a:solidFill>
          </c:spPr>
          <c:invertIfNegative val="0"/>
          <c:dPt>
            <c:idx val="24"/>
            <c:invertIfNegative val="0"/>
            <c:bubble3D val="0"/>
            <c:spPr>
              <a:solidFill>
                <a:schemeClr val="bg1"/>
              </a:solidFill>
              <a:ln>
                <a:solidFill>
                  <a:schemeClr val="accent1"/>
                </a:solidFill>
              </a:ln>
            </c:spPr>
          </c:dPt>
          <c:cat>
            <c:strRef>
              <c:f>Hárok3!$C$2:$C$29</c:f>
              <c:strCache>
                <c:ptCount val="28"/>
                <c:pt idx="0">
                  <c:v>EU27</c:v>
                </c:pt>
                <c:pt idx="1">
                  <c:v>BE</c:v>
                </c:pt>
                <c:pt idx="2">
                  <c:v>BG</c:v>
                </c:pt>
                <c:pt idx="3">
                  <c:v>CZ</c:v>
                </c:pt>
                <c:pt idx="4">
                  <c:v>DK</c:v>
                </c:pt>
                <c:pt idx="5">
                  <c:v>DE</c:v>
                </c:pt>
                <c:pt idx="6">
                  <c:v>EE</c:v>
                </c:pt>
                <c:pt idx="7">
                  <c:v>IE</c:v>
                </c:pt>
                <c:pt idx="8">
                  <c:v>GR</c:v>
                </c:pt>
                <c:pt idx="9">
                  <c:v>ES</c:v>
                </c:pt>
                <c:pt idx="10">
                  <c:v>FR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Hárok3!$E$2:$E$29</c:f>
              <c:numCache>
                <c:formatCode>General</c:formatCode>
                <c:ptCount val="28"/>
                <c:pt idx="0">
                  <c:v>70.099999999999994</c:v>
                </c:pt>
                <c:pt idx="1">
                  <c:v>67.099999999999994</c:v>
                </c:pt>
                <c:pt idx="2">
                  <c:v>60.9</c:v>
                </c:pt>
                <c:pt idx="3">
                  <c:v>74</c:v>
                </c:pt>
                <c:pt idx="4">
                  <c:v>75.900000000000006</c:v>
                </c:pt>
                <c:pt idx="5">
                  <c:v>77.3</c:v>
                </c:pt>
                <c:pt idx="6">
                  <c:v>67.7</c:v>
                </c:pt>
                <c:pt idx="7">
                  <c:v>63.1</c:v>
                </c:pt>
                <c:pt idx="8">
                  <c:v>65.900000000000006</c:v>
                </c:pt>
                <c:pt idx="9">
                  <c:v>63.2</c:v>
                </c:pt>
                <c:pt idx="10">
                  <c:v>68.099999999999994</c:v>
                </c:pt>
                <c:pt idx="11">
                  <c:v>67.5</c:v>
                </c:pt>
                <c:pt idx="12">
                  <c:v>74.7</c:v>
                </c:pt>
                <c:pt idx="13">
                  <c:v>62.9</c:v>
                </c:pt>
                <c:pt idx="14">
                  <c:v>60.9</c:v>
                </c:pt>
                <c:pt idx="15">
                  <c:v>72.099999999999994</c:v>
                </c:pt>
                <c:pt idx="16">
                  <c:v>61.2</c:v>
                </c:pt>
                <c:pt idx="17">
                  <c:v>73.599999999999994</c:v>
                </c:pt>
                <c:pt idx="18">
                  <c:v>79.8</c:v>
                </c:pt>
                <c:pt idx="19">
                  <c:v>77.8</c:v>
                </c:pt>
                <c:pt idx="20">
                  <c:v>66.3</c:v>
                </c:pt>
                <c:pt idx="21">
                  <c:v>68.099999999999994</c:v>
                </c:pt>
                <c:pt idx="22">
                  <c:v>65</c:v>
                </c:pt>
                <c:pt idx="23">
                  <c:v>67.7</c:v>
                </c:pt>
                <c:pt idx="24">
                  <c:v>66.3</c:v>
                </c:pt>
                <c:pt idx="25">
                  <c:v>70.599999999999994</c:v>
                </c:pt>
                <c:pt idx="26">
                  <c:v>76.3</c:v>
                </c:pt>
                <c:pt idx="27">
                  <c:v>74.5</c:v>
                </c:pt>
              </c:numCache>
            </c:numRef>
          </c:val>
        </c:ser>
        <c:dLbls>
          <c:showLegendKey val="0"/>
          <c:showVal val="0"/>
          <c:showCatName val="0"/>
          <c:showSerName val="0"/>
          <c:showPercent val="0"/>
          <c:showBubbleSize val="0"/>
        </c:dLbls>
        <c:gapWidth val="150"/>
        <c:axId val="67640704"/>
        <c:axId val="67671168"/>
      </c:barChart>
      <c:lineChart>
        <c:grouping val="standard"/>
        <c:varyColors val="0"/>
        <c:ser>
          <c:idx val="2"/>
          <c:order val="2"/>
          <c:tx>
            <c:strRef>
              <c:f>Hárok3!$F$1</c:f>
              <c:strCache>
                <c:ptCount val="1"/>
                <c:pt idx="0">
                  <c:v>rozdiel</c:v>
                </c:pt>
              </c:strCache>
            </c:strRef>
          </c:tx>
          <c:spPr>
            <a:ln>
              <a:noFill/>
            </a:ln>
          </c:spPr>
          <c:dPt>
            <c:idx val="24"/>
            <c:marker>
              <c:spPr>
                <a:solidFill>
                  <a:schemeClr val="bg1"/>
                </a:solidFill>
                <a:ln>
                  <a:solidFill>
                    <a:schemeClr val="accent3"/>
                  </a:solidFill>
                </a:ln>
              </c:spPr>
            </c:marker>
            <c:bubble3D val="0"/>
          </c:dPt>
          <c:cat>
            <c:strRef>
              <c:f>Hárok3!$C$2:$C$29</c:f>
              <c:strCache>
                <c:ptCount val="28"/>
                <c:pt idx="0">
                  <c:v>EU27</c:v>
                </c:pt>
                <c:pt idx="1">
                  <c:v>BE</c:v>
                </c:pt>
                <c:pt idx="2">
                  <c:v>BG</c:v>
                </c:pt>
                <c:pt idx="3">
                  <c:v>CZ</c:v>
                </c:pt>
                <c:pt idx="4">
                  <c:v>DK</c:v>
                </c:pt>
                <c:pt idx="5">
                  <c:v>DE</c:v>
                </c:pt>
                <c:pt idx="6">
                  <c:v>EE</c:v>
                </c:pt>
                <c:pt idx="7">
                  <c:v>IE</c:v>
                </c:pt>
                <c:pt idx="8">
                  <c:v>GR</c:v>
                </c:pt>
                <c:pt idx="9">
                  <c:v>ES</c:v>
                </c:pt>
                <c:pt idx="10">
                  <c:v>FR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Hárok3!$F$2:$F$29</c:f>
              <c:numCache>
                <c:formatCode>General</c:formatCode>
                <c:ptCount val="28"/>
                <c:pt idx="0">
                  <c:v>11.600000000000001</c:v>
                </c:pt>
                <c:pt idx="1">
                  <c:v>10.400000000000002</c:v>
                </c:pt>
                <c:pt idx="2">
                  <c:v>4.6999999999999957</c:v>
                </c:pt>
                <c:pt idx="3">
                  <c:v>16.799999999999986</c:v>
                </c:pt>
                <c:pt idx="4">
                  <c:v>5.5</c:v>
                </c:pt>
                <c:pt idx="5">
                  <c:v>9.6000000000000014</c:v>
                </c:pt>
                <c:pt idx="6">
                  <c:v>4.9000000000000083</c:v>
                </c:pt>
                <c:pt idx="7">
                  <c:v>7.7000000000000028</c:v>
                </c:pt>
                <c:pt idx="8">
                  <c:v>20.800000000000004</c:v>
                </c:pt>
                <c:pt idx="9">
                  <c:v>11.200000000000003</c:v>
                </c:pt>
                <c:pt idx="10">
                  <c:v>8.4000000000000021</c:v>
                </c:pt>
                <c:pt idx="11">
                  <c:v>21</c:v>
                </c:pt>
                <c:pt idx="12">
                  <c:v>13.100000000000001</c:v>
                </c:pt>
                <c:pt idx="13">
                  <c:v>2.1000000000000014</c:v>
                </c:pt>
                <c:pt idx="14">
                  <c:v>0.40000000000000008</c:v>
                </c:pt>
                <c:pt idx="15">
                  <c:v>12.500000000000002</c:v>
                </c:pt>
                <c:pt idx="16">
                  <c:v>10.600000000000001</c:v>
                </c:pt>
                <c:pt idx="17">
                  <c:v>32.600000000000009</c:v>
                </c:pt>
                <c:pt idx="18">
                  <c:v>9.9000000000000021</c:v>
                </c:pt>
                <c:pt idx="19">
                  <c:v>11.3</c:v>
                </c:pt>
                <c:pt idx="20">
                  <c:v>13.200000000000001</c:v>
                </c:pt>
                <c:pt idx="21">
                  <c:v>7.6999999999999957</c:v>
                </c:pt>
                <c:pt idx="22">
                  <c:v>13</c:v>
                </c:pt>
                <c:pt idx="23">
                  <c:v>6.8000000000000043</c:v>
                </c:pt>
                <c:pt idx="24">
                  <c:v>13.600000000000001</c:v>
                </c:pt>
                <c:pt idx="25">
                  <c:v>3.1999999999999877</c:v>
                </c:pt>
                <c:pt idx="26">
                  <c:v>4.5</c:v>
                </c:pt>
                <c:pt idx="27">
                  <c:v>10</c:v>
                </c:pt>
              </c:numCache>
            </c:numRef>
          </c:val>
          <c:smooth val="0"/>
        </c:ser>
        <c:dLbls>
          <c:showLegendKey val="0"/>
          <c:showVal val="0"/>
          <c:showCatName val="0"/>
          <c:showSerName val="0"/>
          <c:showPercent val="0"/>
          <c:showBubbleSize val="0"/>
        </c:dLbls>
        <c:marker val="1"/>
        <c:smooth val="0"/>
        <c:axId val="67687552"/>
        <c:axId val="67673088"/>
      </c:lineChart>
      <c:catAx>
        <c:axId val="67640704"/>
        <c:scaling>
          <c:orientation val="minMax"/>
        </c:scaling>
        <c:delete val="0"/>
        <c:axPos val="b"/>
        <c:majorTickMark val="out"/>
        <c:minorTickMark val="none"/>
        <c:tickLblPos val="nextTo"/>
        <c:crossAx val="67671168"/>
        <c:crosses val="autoZero"/>
        <c:auto val="1"/>
        <c:lblAlgn val="ctr"/>
        <c:lblOffset val="100"/>
        <c:noMultiLvlLbl val="0"/>
      </c:catAx>
      <c:valAx>
        <c:axId val="67671168"/>
        <c:scaling>
          <c:orientation val="minMax"/>
        </c:scaling>
        <c:delete val="0"/>
        <c:axPos val="l"/>
        <c:majorGridlines/>
        <c:title>
          <c:tx>
            <c:rich>
              <a:bodyPr rot="0" vert="horz"/>
              <a:lstStyle/>
              <a:p>
                <a:pPr>
                  <a:defRPr/>
                </a:pPr>
                <a:r>
                  <a:rPr lang="en-US"/>
                  <a:t>%</a:t>
                </a:r>
              </a:p>
            </c:rich>
          </c:tx>
          <c:overlay val="0"/>
        </c:title>
        <c:numFmt formatCode="General" sourceLinked="1"/>
        <c:majorTickMark val="out"/>
        <c:minorTickMark val="none"/>
        <c:tickLblPos val="nextTo"/>
        <c:crossAx val="67640704"/>
        <c:crosses val="autoZero"/>
        <c:crossBetween val="between"/>
      </c:valAx>
      <c:valAx>
        <c:axId val="67673088"/>
        <c:scaling>
          <c:orientation val="minMax"/>
        </c:scaling>
        <c:delete val="0"/>
        <c:axPos val="r"/>
        <c:title>
          <c:tx>
            <c:rich>
              <a:bodyPr rot="0" vert="horz"/>
              <a:lstStyle/>
              <a:p>
                <a:pPr>
                  <a:defRPr/>
                </a:pPr>
                <a:r>
                  <a:rPr lang="en-US"/>
                  <a:t>p.</a:t>
                </a:r>
                <a:r>
                  <a:rPr lang="sk-SK"/>
                  <a:t> </a:t>
                </a:r>
                <a:r>
                  <a:rPr lang="en-US"/>
                  <a:t>b.</a:t>
                </a:r>
              </a:p>
            </c:rich>
          </c:tx>
          <c:overlay val="0"/>
        </c:title>
        <c:numFmt formatCode="General" sourceLinked="1"/>
        <c:majorTickMark val="out"/>
        <c:minorTickMark val="none"/>
        <c:tickLblPos val="nextTo"/>
        <c:crossAx val="67687552"/>
        <c:crosses val="max"/>
        <c:crossBetween val="between"/>
      </c:valAx>
      <c:catAx>
        <c:axId val="67687552"/>
        <c:scaling>
          <c:orientation val="minMax"/>
        </c:scaling>
        <c:delete val="1"/>
        <c:axPos val="b"/>
        <c:majorTickMark val="out"/>
        <c:minorTickMark val="none"/>
        <c:tickLblPos val="none"/>
        <c:crossAx val="67673088"/>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35411198600209"/>
          <c:y val="5.0925925925925923E-2"/>
          <c:w val="0.87497922134733164"/>
          <c:h val="0.84020815106445024"/>
        </c:manualLayout>
      </c:layout>
      <c:lineChart>
        <c:grouping val="standard"/>
        <c:varyColors val="0"/>
        <c:ser>
          <c:idx val="0"/>
          <c:order val="0"/>
          <c:tx>
            <c:strRef>
              <c:f>Hárok2!$B$3</c:f>
              <c:strCache>
                <c:ptCount val="1"/>
                <c:pt idx="0">
                  <c:v>muži</c:v>
                </c:pt>
              </c:strCache>
            </c:strRef>
          </c:tx>
          <c:cat>
            <c:numRef>
              <c:f>Hárok2!$C$2:$I$2</c:f>
              <c:numCache>
                <c:formatCode>General</c:formatCode>
                <c:ptCount val="7"/>
                <c:pt idx="0">
                  <c:v>2005</c:v>
                </c:pt>
                <c:pt idx="1">
                  <c:v>2006</c:v>
                </c:pt>
                <c:pt idx="2">
                  <c:v>2007</c:v>
                </c:pt>
                <c:pt idx="3">
                  <c:v>2008</c:v>
                </c:pt>
                <c:pt idx="4">
                  <c:v>2009</c:v>
                </c:pt>
                <c:pt idx="5">
                  <c:v>2010</c:v>
                </c:pt>
                <c:pt idx="6">
                  <c:v>2011</c:v>
                </c:pt>
              </c:numCache>
            </c:numRef>
          </c:cat>
          <c:val>
            <c:numRef>
              <c:f>Hárok2!$C$3:$I$3</c:f>
              <c:numCache>
                <c:formatCode>General</c:formatCode>
                <c:ptCount val="7"/>
                <c:pt idx="0">
                  <c:v>14.7</c:v>
                </c:pt>
                <c:pt idx="1">
                  <c:v>14.5</c:v>
                </c:pt>
                <c:pt idx="2">
                  <c:v>13</c:v>
                </c:pt>
                <c:pt idx="3">
                  <c:v>17.899999999999999</c:v>
                </c:pt>
                <c:pt idx="4">
                  <c:v>33.5</c:v>
                </c:pt>
                <c:pt idx="5">
                  <c:v>33</c:v>
                </c:pt>
                <c:pt idx="6">
                  <c:v>34</c:v>
                </c:pt>
              </c:numCache>
            </c:numRef>
          </c:val>
          <c:smooth val="0"/>
        </c:ser>
        <c:ser>
          <c:idx val="1"/>
          <c:order val="1"/>
          <c:tx>
            <c:strRef>
              <c:f>Hárok2!$B$4</c:f>
              <c:strCache>
                <c:ptCount val="1"/>
                <c:pt idx="0">
                  <c:v>ženy</c:v>
                </c:pt>
              </c:strCache>
            </c:strRef>
          </c:tx>
          <c:cat>
            <c:numRef>
              <c:f>Hárok2!$C$2:$I$2</c:f>
              <c:numCache>
                <c:formatCode>General</c:formatCode>
                <c:ptCount val="7"/>
                <c:pt idx="0">
                  <c:v>2005</c:v>
                </c:pt>
                <c:pt idx="1">
                  <c:v>2006</c:v>
                </c:pt>
                <c:pt idx="2">
                  <c:v>2007</c:v>
                </c:pt>
                <c:pt idx="3">
                  <c:v>2008</c:v>
                </c:pt>
                <c:pt idx="4">
                  <c:v>2009</c:v>
                </c:pt>
                <c:pt idx="5">
                  <c:v>2010</c:v>
                </c:pt>
                <c:pt idx="6">
                  <c:v>2011</c:v>
                </c:pt>
              </c:numCache>
            </c:numRef>
          </c:cat>
          <c:val>
            <c:numRef>
              <c:f>Hárok2!$C$4:$I$4</c:f>
              <c:numCache>
                <c:formatCode>General</c:formatCode>
                <c:ptCount val="7"/>
                <c:pt idx="0">
                  <c:v>37.1</c:v>
                </c:pt>
                <c:pt idx="1">
                  <c:v>43.6</c:v>
                </c:pt>
                <c:pt idx="2">
                  <c:v>42.5</c:v>
                </c:pt>
                <c:pt idx="3">
                  <c:v>41.6</c:v>
                </c:pt>
                <c:pt idx="4">
                  <c:v>45.8</c:v>
                </c:pt>
                <c:pt idx="5">
                  <c:v>53.1</c:v>
                </c:pt>
                <c:pt idx="6">
                  <c:v>58.1</c:v>
                </c:pt>
              </c:numCache>
            </c:numRef>
          </c:val>
          <c:smooth val="0"/>
        </c:ser>
        <c:dLbls>
          <c:showLegendKey val="0"/>
          <c:showVal val="0"/>
          <c:showCatName val="0"/>
          <c:showSerName val="0"/>
          <c:showPercent val="0"/>
          <c:showBubbleSize val="0"/>
        </c:dLbls>
        <c:marker val="1"/>
        <c:smooth val="0"/>
        <c:axId val="69153152"/>
        <c:axId val="69154688"/>
      </c:lineChart>
      <c:catAx>
        <c:axId val="69153152"/>
        <c:scaling>
          <c:orientation val="minMax"/>
        </c:scaling>
        <c:delete val="0"/>
        <c:axPos val="b"/>
        <c:numFmt formatCode="General" sourceLinked="1"/>
        <c:majorTickMark val="out"/>
        <c:minorTickMark val="none"/>
        <c:tickLblPos val="nextTo"/>
        <c:crossAx val="69154688"/>
        <c:crosses val="autoZero"/>
        <c:auto val="1"/>
        <c:lblAlgn val="ctr"/>
        <c:lblOffset val="100"/>
        <c:noMultiLvlLbl val="0"/>
      </c:catAx>
      <c:valAx>
        <c:axId val="69154688"/>
        <c:scaling>
          <c:orientation val="minMax"/>
        </c:scaling>
        <c:delete val="0"/>
        <c:axPos val="l"/>
        <c:majorGridlines/>
        <c:title>
          <c:tx>
            <c:rich>
              <a:bodyPr rot="-5400000" vert="horz"/>
              <a:lstStyle/>
              <a:p>
                <a:pPr>
                  <a:defRPr/>
                </a:pPr>
                <a:r>
                  <a:rPr lang="en-US"/>
                  <a:t>Tis. Osôb</a:t>
                </a:r>
              </a:p>
            </c:rich>
          </c:tx>
          <c:overlay val="0"/>
        </c:title>
        <c:numFmt formatCode="General" sourceLinked="1"/>
        <c:majorTickMark val="out"/>
        <c:minorTickMark val="none"/>
        <c:tickLblPos val="nextTo"/>
        <c:crossAx val="69153152"/>
        <c:crosses val="autoZero"/>
        <c:crossBetween val="between"/>
      </c:valAx>
    </c:plotArea>
    <c:legend>
      <c:legendPos val="r"/>
      <c:layout>
        <c:manualLayout>
          <c:xMode val="edge"/>
          <c:yMode val="edge"/>
          <c:x val="0.71665438365807677"/>
          <c:y val="0.68998067949839825"/>
          <c:w val="0.24738287762989231"/>
          <c:h val="0.15707567804024497"/>
        </c:manualLayout>
      </c:layout>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'[sit_sprava_2011_tab5_6 grafy 11 13 17.xls]graf11 regiony'!$B$2:$B$3</c:f>
              <c:strCache>
                <c:ptCount val="1"/>
                <c:pt idx="0">
                  <c:v>rok 2011 (priemerné údaje)  - stav UoZ</c:v>
                </c:pt>
              </c:strCache>
            </c:strRef>
          </c:tx>
          <c:invertIfNegative val="0"/>
          <c:cat>
            <c:strRef>
              <c:f>'[sit_sprava_2011_tab5_6 grafy 11 13 17.xls]graf11 regiony'!$A$4:$A$11</c:f>
              <c:strCache>
                <c:ptCount val="8"/>
                <c:pt idx="0">
                  <c:v>   BL</c:v>
                </c:pt>
                <c:pt idx="1">
                  <c:v>   TA</c:v>
                </c:pt>
                <c:pt idx="2">
                  <c:v>   TC</c:v>
                </c:pt>
                <c:pt idx="3">
                  <c:v>   NI</c:v>
                </c:pt>
                <c:pt idx="4">
                  <c:v>   ZI</c:v>
                </c:pt>
                <c:pt idx="5">
                  <c:v>   BC</c:v>
                </c:pt>
                <c:pt idx="6">
                  <c:v>   PV</c:v>
                </c:pt>
                <c:pt idx="7">
                  <c:v>   KI</c:v>
                </c:pt>
              </c:strCache>
            </c:strRef>
          </c:cat>
          <c:val>
            <c:numRef>
              <c:f>'[sit_sprava_2011_tab5_6 grafy 11 13 17.xls]graf11 regiony'!$B$4:$B$11</c:f>
              <c:numCache>
                <c:formatCode>#,##0</c:formatCode>
                <c:ptCount val="8"/>
                <c:pt idx="0">
                  <c:v>18668.916666666657</c:v>
                </c:pt>
                <c:pt idx="1">
                  <c:v>28290.166666666657</c:v>
                </c:pt>
                <c:pt idx="2">
                  <c:v>32011.166666666657</c:v>
                </c:pt>
                <c:pt idx="3">
                  <c:v>48064</c:v>
                </c:pt>
                <c:pt idx="4">
                  <c:v>41143.333333333336</c:v>
                </c:pt>
                <c:pt idx="5">
                  <c:v>67015.916666666308</c:v>
                </c:pt>
                <c:pt idx="6">
                  <c:v>80239.916666666308</c:v>
                </c:pt>
                <c:pt idx="7">
                  <c:v>73830.166666666672</c:v>
                </c:pt>
              </c:numCache>
            </c:numRef>
          </c:val>
        </c:ser>
        <c:dLbls>
          <c:showLegendKey val="0"/>
          <c:showVal val="0"/>
          <c:showCatName val="0"/>
          <c:showSerName val="0"/>
          <c:showPercent val="0"/>
          <c:showBubbleSize val="0"/>
        </c:dLbls>
        <c:gapWidth val="150"/>
        <c:axId val="27650304"/>
        <c:axId val="27652096"/>
      </c:barChart>
      <c:lineChart>
        <c:grouping val="standard"/>
        <c:varyColors val="0"/>
        <c:ser>
          <c:idx val="1"/>
          <c:order val="1"/>
          <c:tx>
            <c:strRef>
              <c:f>'[sit_sprava_2011_tab5_6 grafy 11 13 17.xls]graf11 regiony'!$C$2:$C$3</c:f>
              <c:strCache>
                <c:ptCount val="1"/>
                <c:pt idx="0">
                  <c:v>rok 2011 (priemerné údaje) - miera evidovanej nezamestnanosti v %</c:v>
                </c:pt>
              </c:strCache>
            </c:strRef>
          </c:tx>
          <c:cat>
            <c:strRef>
              <c:f>'[sit_sprava_2011_tab5_6 grafy 11 13 17.xls]graf11 regiony'!$A$4:$A$11</c:f>
              <c:strCache>
                <c:ptCount val="8"/>
                <c:pt idx="0">
                  <c:v>   BL</c:v>
                </c:pt>
                <c:pt idx="1">
                  <c:v>   TA</c:v>
                </c:pt>
                <c:pt idx="2">
                  <c:v>   TC</c:v>
                </c:pt>
                <c:pt idx="3">
                  <c:v>   NI</c:v>
                </c:pt>
                <c:pt idx="4">
                  <c:v>   ZI</c:v>
                </c:pt>
                <c:pt idx="5">
                  <c:v>   BC</c:v>
                </c:pt>
                <c:pt idx="6">
                  <c:v>   PV</c:v>
                </c:pt>
                <c:pt idx="7">
                  <c:v>   KI</c:v>
                </c:pt>
              </c:strCache>
            </c:strRef>
          </c:cat>
          <c:val>
            <c:numRef>
              <c:f>'[sit_sprava_2011_tab5_6 grafy 11 13 17.xls]graf11 regiony'!$C$4:$C$11</c:f>
              <c:numCache>
                <c:formatCode>0.00</c:formatCode>
                <c:ptCount val="8"/>
                <c:pt idx="0">
                  <c:v>5.1905125292822838</c:v>
                </c:pt>
                <c:pt idx="1">
                  <c:v>8.5420649771522328</c:v>
                </c:pt>
                <c:pt idx="2">
                  <c:v>9.5631487936820978</c:v>
                </c:pt>
                <c:pt idx="3">
                  <c:v>12.612300022792168</c:v>
                </c:pt>
                <c:pt idx="4">
                  <c:v>11.519693818104326</c:v>
                </c:pt>
                <c:pt idx="5">
                  <c:v>19.366552817631849</c:v>
                </c:pt>
                <c:pt idx="6">
                  <c:v>18.521363939718491</c:v>
                </c:pt>
                <c:pt idx="7">
                  <c:v>18.22200811744435</c:v>
                </c:pt>
              </c:numCache>
            </c:numRef>
          </c:val>
          <c:smooth val="0"/>
        </c:ser>
        <c:dLbls>
          <c:showLegendKey val="0"/>
          <c:showVal val="0"/>
          <c:showCatName val="0"/>
          <c:showSerName val="0"/>
          <c:showPercent val="0"/>
          <c:showBubbleSize val="0"/>
        </c:dLbls>
        <c:marker val="1"/>
        <c:smooth val="0"/>
        <c:axId val="27655168"/>
        <c:axId val="27653632"/>
      </c:lineChart>
      <c:catAx>
        <c:axId val="27650304"/>
        <c:scaling>
          <c:orientation val="minMax"/>
        </c:scaling>
        <c:delete val="0"/>
        <c:axPos val="b"/>
        <c:majorTickMark val="out"/>
        <c:minorTickMark val="none"/>
        <c:tickLblPos val="nextTo"/>
        <c:crossAx val="27652096"/>
        <c:crosses val="autoZero"/>
        <c:auto val="1"/>
        <c:lblAlgn val="ctr"/>
        <c:lblOffset val="100"/>
        <c:noMultiLvlLbl val="0"/>
      </c:catAx>
      <c:valAx>
        <c:axId val="27652096"/>
        <c:scaling>
          <c:orientation val="minMax"/>
        </c:scaling>
        <c:delete val="0"/>
        <c:axPos val="l"/>
        <c:majorGridlines/>
        <c:numFmt formatCode="#,##0" sourceLinked="1"/>
        <c:majorTickMark val="out"/>
        <c:minorTickMark val="none"/>
        <c:tickLblPos val="nextTo"/>
        <c:crossAx val="27650304"/>
        <c:crosses val="autoZero"/>
        <c:crossBetween val="between"/>
      </c:valAx>
      <c:valAx>
        <c:axId val="27653632"/>
        <c:scaling>
          <c:orientation val="minMax"/>
        </c:scaling>
        <c:delete val="0"/>
        <c:axPos val="r"/>
        <c:numFmt formatCode="0.00" sourceLinked="1"/>
        <c:majorTickMark val="out"/>
        <c:minorTickMark val="none"/>
        <c:tickLblPos val="nextTo"/>
        <c:crossAx val="27655168"/>
        <c:crosses val="max"/>
        <c:crossBetween val="between"/>
      </c:valAx>
      <c:catAx>
        <c:axId val="27655168"/>
        <c:scaling>
          <c:orientation val="minMax"/>
        </c:scaling>
        <c:delete val="1"/>
        <c:axPos val="b"/>
        <c:majorTickMark val="out"/>
        <c:minorTickMark val="none"/>
        <c:tickLblPos val="none"/>
        <c:crossAx val="27653632"/>
        <c:crosses val="autoZero"/>
        <c:auto val="1"/>
        <c:lblAlgn val="ctr"/>
        <c:lblOffset val="100"/>
        <c:noMultiLvlLbl val="0"/>
      </c:catAx>
    </c:plotArea>
    <c:legend>
      <c:legendPos val="l"/>
      <c:layout>
        <c:manualLayout>
          <c:xMode val="edge"/>
          <c:yMode val="edge"/>
          <c:x val="0.11666666666666672"/>
          <c:y val="5.4020122484689397E-2"/>
          <c:w val="0.55578575719802292"/>
          <c:h val="0.24867295008279341"/>
        </c:manualLayout>
      </c:layout>
      <c:overlay val="1"/>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80"/>
    </c:view3D>
    <c:floor>
      <c:thickness val="0"/>
    </c:floor>
    <c:sideWall>
      <c:thickness val="0"/>
    </c:sideWall>
    <c:backWall>
      <c:thickness val="0"/>
    </c:backWall>
    <c:plotArea>
      <c:layout>
        <c:manualLayout>
          <c:layoutTarget val="inner"/>
          <c:xMode val="edge"/>
          <c:yMode val="edge"/>
          <c:x val="5.3630676533323839E-2"/>
          <c:y val="0.15323739933645375"/>
          <c:w val="0.85897882984846785"/>
          <c:h val="0.82980320763758109"/>
        </c:manualLayout>
      </c:layout>
      <c:pie3DChart>
        <c:varyColors val="1"/>
        <c:ser>
          <c:idx val="0"/>
          <c:order val="0"/>
          <c:dLbls>
            <c:dLbl>
              <c:idx val="0"/>
              <c:layout>
                <c:manualLayout>
                  <c:x val="-8.9711169015743428E-2"/>
                  <c:y val="-2.5409834706770707E-2"/>
                </c:manualLayout>
              </c:layout>
              <c:showLegendKey val="0"/>
              <c:showVal val="0"/>
              <c:showCatName val="1"/>
              <c:showSerName val="0"/>
              <c:showPercent val="1"/>
              <c:showBubbleSize val="0"/>
            </c:dLbl>
            <c:dLbl>
              <c:idx val="1"/>
              <c:layout>
                <c:manualLayout>
                  <c:x val="-1.21197586860812E-2"/>
                  <c:y val="-5.5582881429251524E-2"/>
                </c:manualLayout>
              </c:layout>
              <c:showLegendKey val="0"/>
              <c:showVal val="0"/>
              <c:showCatName val="1"/>
              <c:showSerName val="0"/>
              <c:showPercent val="1"/>
              <c:showBubbleSize val="0"/>
            </c:dLbl>
            <c:dLbl>
              <c:idx val="2"/>
              <c:layout>
                <c:manualLayout>
                  <c:x val="3.8594928748997767E-2"/>
                  <c:y val="-3.3727378069097903E-2"/>
                </c:manualLayout>
              </c:layout>
              <c:showLegendKey val="0"/>
              <c:showVal val="0"/>
              <c:showCatName val="1"/>
              <c:showSerName val="0"/>
              <c:showPercent val="1"/>
              <c:showBubbleSize val="0"/>
            </c:dLbl>
            <c:dLbl>
              <c:idx val="3"/>
              <c:layout>
                <c:manualLayout>
                  <c:x val="0.1102573895254355"/>
                  <c:y val="-6.937574494679484E-2"/>
                </c:manualLayout>
              </c:layout>
              <c:showLegendKey val="0"/>
              <c:showVal val="0"/>
              <c:showCatName val="1"/>
              <c:showSerName val="0"/>
              <c:showPercent val="1"/>
              <c:showBubbleSize val="0"/>
            </c:dLbl>
            <c:dLbl>
              <c:idx val="4"/>
              <c:layout>
                <c:manualLayout>
                  <c:x val="0.17943642505721877"/>
                  <c:y val="-0.10333951670255673"/>
                </c:manualLayout>
              </c:layout>
              <c:showLegendKey val="0"/>
              <c:showVal val="0"/>
              <c:showCatName val="1"/>
              <c:showSerName val="0"/>
              <c:showPercent val="1"/>
              <c:showBubbleSize val="0"/>
            </c:dLbl>
            <c:dLbl>
              <c:idx val="5"/>
              <c:layout>
                <c:manualLayout>
                  <c:x val="0.13294669665116179"/>
                  <c:y val="-1.3363371577389094E-2"/>
                </c:manualLayout>
              </c:layout>
              <c:showLegendKey val="0"/>
              <c:showVal val="0"/>
              <c:showCatName val="1"/>
              <c:showSerName val="0"/>
              <c:showPercent val="1"/>
              <c:showBubbleSize val="0"/>
            </c:dLbl>
            <c:dLbl>
              <c:idx val="6"/>
              <c:layout>
                <c:manualLayout>
                  <c:x val="7.1018272828905632E-2"/>
                  <c:y val="5.857954912794601E-2"/>
                </c:manualLayout>
              </c:layout>
              <c:showLegendKey val="0"/>
              <c:showVal val="0"/>
              <c:showCatName val="1"/>
              <c:showSerName val="0"/>
              <c:showPercent val="1"/>
              <c:showBubbleSize val="0"/>
            </c:dLbl>
            <c:dLbl>
              <c:idx val="7"/>
              <c:layout>
                <c:manualLayout>
                  <c:x val="2.8314921721137153E-2"/>
                  <c:y val="5.3304621281068117E-2"/>
                </c:manualLayout>
              </c:layout>
              <c:showLegendKey val="0"/>
              <c:showVal val="0"/>
              <c:showCatName val="1"/>
              <c:showSerName val="0"/>
              <c:showPercent val="1"/>
              <c:showBubbleSize val="0"/>
            </c:dLbl>
            <c:dLbl>
              <c:idx val="9"/>
              <c:layout>
                <c:manualLayout>
                  <c:x val="0.20770629576322452"/>
                  <c:y val="-0.14399713946072781"/>
                </c:manualLayout>
              </c:layout>
              <c:showLegendKey val="0"/>
              <c:showVal val="0"/>
              <c:showCatName val="1"/>
              <c:showSerName val="0"/>
              <c:showPercent val="1"/>
              <c:showBubbleSize val="0"/>
            </c:dLbl>
            <c:dLbl>
              <c:idx val="10"/>
              <c:layout>
                <c:manualLayout>
                  <c:x val="-0.28123162083361541"/>
                  <c:y val="1.669675464291457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'[sit_sprava_2011_tab5_6 grafy 11 13 17.xls]graf 13'!$A$4:$A$14</c:f>
              <c:strCache>
                <c:ptCount val="11"/>
                <c:pt idx="0">
                  <c:v>KZAM 1</c:v>
                </c:pt>
                <c:pt idx="1">
                  <c:v>KZAM 2</c:v>
                </c:pt>
                <c:pt idx="2">
                  <c:v>KZAM 3</c:v>
                </c:pt>
                <c:pt idx="3">
                  <c:v>KZAM 4</c:v>
                </c:pt>
                <c:pt idx="4">
                  <c:v>KZAM 5</c:v>
                </c:pt>
                <c:pt idx="5">
                  <c:v>KZAM 6</c:v>
                </c:pt>
                <c:pt idx="6">
                  <c:v>KZAM 7</c:v>
                </c:pt>
                <c:pt idx="7">
                  <c:v>KZAM 8</c:v>
                </c:pt>
                <c:pt idx="8">
                  <c:v>KZAM 9</c:v>
                </c:pt>
                <c:pt idx="9">
                  <c:v>KZAM A</c:v>
                </c:pt>
                <c:pt idx="10">
                  <c:v>KZAM 0</c:v>
                </c:pt>
              </c:strCache>
            </c:strRef>
          </c:cat>
          <c:val>
            <c:numRef>
              <c:f>'[sit_sprava_2011_tab5_6 grafy 11 13 17.xls]graf 13'!$B$4:$B$14</c:f>
              <c:numCache>
                <c:formatCode>#,##0</c:formatCode>
                <c:ptCount val="11"/>
                <c:pt idx="0">
                  <c:v>3805</c:v>
                </c:pt>
                <c:pt idx="1">
                  <c:v>6820</c:v>
                </c:pt>
                <c:pt idx="2">
                  <c:v>18607</c:v>
                </c:pt>
                <c:pt idx="3">
                  <c:v>12012</c:v>
                </c:pt>
                <c:pt idx="4">
                  <c:v>24626</c:v>
                </c:pt>
                <c:pt idx="5">
                  <c:v>2977</c:v>
                </c:pt>
                <c:pt idx="6">
                  <c:v>31409</c:v>
                </c:pt>
                <c:pt idx="7">
                  <c:v>16179</c:v>
                </c:pt>
                <c:pt idx="8">
                  <c:v>51256</c:v>
                </c:pt>
                <c:pt idx="9">
                  <c:v>221455.33333333328</c:v>
                </c:pt>
                <c:pt idx="10">
                  <c:v>117</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3057453296279145E-2"/>
                  <c:y val="-3.4895879647088381E-2"/>
                </c:manualLayout>
              </c:layout>
              <c:showLegendKey val="0"/>
              <c:showVal val="1"/>
              <c:showCatName val="1"/>
              <c:showSerName val="0"/>
              <c:showPercent val="0"/>
              <c:showBubbleSize val="0"/>
              <c:separator> </c:separator>
            </c:dLbl>
            <c:dLbl>
              <c:idx val="5"/>
              <c:layout>
                <c:manualLayout>
                  <c:x val="8.2223155010035492E-2"/>
                  <c:y val="5.5128648658472387E-3"/>
                </c:manualLayout>
              </c:layout>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dLbls>
          <c:cat>
            <c:strRef>
              <c:f>Hárok1!$C$3:$C$12</c:f>
              <c:strCache>
                <c:ptCount val="10"/>
                <c:pt idx="0">
                  <c:v>KZAM 1</c:v>
                </c:pt>
                <c:pt idx="1">
                  <c:v>KZAM 2</c:v>
                </c:pt>
                <c:pt idx="2">
                  <c:v>KZAM 3</c:v>
                </c:pt>
                <c:pt idx="3">
                  <c:v>KZAM 4</c:v>
                </c:pt>
                <c:pt idx="4">
                  <c:v>KZAM 5</c:v>
                </c:pt>
                <c:pt idx="5">
                  <c:v>KZAM 6</c:v>
                </c:pt>
                <c:pt idx="6">
                  <c:v>KZAM 7</c:v>
                </c:pt>
                <c:pt idx="7">
                  <c:v>KZAM 8</c:v>
                </c:pt>
                <c:pt idx="8">
                  <c:v>KZAM 9</c:v>
                </c:pt>
                <c:pt idx="9">
                  <c:v>KZAM 0</c:v>
                </c:pt>
              </c:strCache>
            </c:strRef>
          </c:cat>
          <c:val>
            <c:numRef>
              <c:f>Hárok1!$D$3:$D$12</c:f>
              <c:numCache>
                <c:formatCode>0.0%</c:formatCode>
                <c:ptCount val="10"/>
                <c:pt idx="0">
                  <c:v>2.1000000000000012E-2</c:v>
                </c:pt>
                <c:pt idx="1">
                  <c:v>5.1999999999999998E-2</c:v>
                </c:pt>
                <c:pt idx="2">
                  <c:v>0.17</c:v>
                </c:pt>
                <c:pt idx="3">
                  <c:v>8.4000000000000047E-2</c:v>
                </c:pt>
                <c:pt idx="4">
                  <c:v>0.13600000000000001</c:v>
                </c:pt>
                <c:pt idx="5">
                  <c:v>1.0000000000000005E-2</c:v>
                </c:pt>
                <c:pt idx="6">
                  <c:v>0.25600000000000001</c:v>
                </c:pt>
                <c:pt idx="7">
                  <c:v>0.14900000000000024</c:v>
                </c:pt>
                <c:pt idx="8">
                  <c:v>0.12200000000000009</c:v>
                </c:pt>
                <c:pt idx="9">
                  <c:v>0</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'graf 14'!$C$3</c:f>
              <c:strCache>
                <c:ptCount val="1"/>
                <c:pt idx="0">
                  <c:v>st.vzd. 7,8,9</c:v>
                </c:pt>
              </c:strCache>
            </c:strRef>
          </c:tx>
          <c:invertIfNegative val="0"/>
          <c:cat>
            <c:strRef>
              <c:f>'graf 14'!$B$4:$B$11</c:f>
              <c:strCache>
                <c:ptCount val="8"/>
                <c:pt idx="0">
                  <c:v>   BL</c:v>
                </c:pt>
                <c:pt idx="1">
                  <c:v>   TA</c:v>
                </c:pt>
                <c:pt idx="2">
                  <c:v>   TC</c:v>
                </c:pt>
                <c:pt idx="3">
                  <c:v>   NI</c:v>
                </c:pt>
                <c:pt idx="4">
                  <c:v>   ZI</c:v>
                </c:pt>
                <c:pt idx="5">
                  <c:v>   BC</c:v>
                </c:pt>
                <c:pt idx="6">
                  <c:v>   PV</c:v>
                </c:pt>
                <c:pt idx="7">
                  <c:v>   KI</c:v>
                </c:pt>
              </c:strCache>
            </c:strRef>
          </c:cat>
          <c:val>
            <c:numRef>
              <c:f>'graf 14'!$C$4:$C$11</c:f>
              <c:numCache>
                <c:formatCode>0.00</c:formatCode>
                <c:ptCount val="8"/>
                <c:pt idx="0">
                  <c:v>22.768707833341651</c:v>
                </c:pt>
                <c:pt idx="1">
                  <c:v>8.694904765179098</c:v>
                </c:pt>
                <c:pt idx="2">
                  <c:v>9.9147667379453708</c:v>
                </c:pt>
                <c:pt idx="3">
                  <c:v>7.4944382647385845</c:v>
                </c:pt>
                <c:pt idx="4">
                  <c:v>9.2947440016886755</c:v>
                </c:pt>
                <c:pt idx="5">
                  <c:v>5.4081452750352605</c:v>
                </c:pt>
                <c:pt idx="6">
                  <c:v>6.7354665363947239</c:v>
                </c:pt>
                <c:pt idx="7">
                  <c:v>7.0215115273583226</c:v>
                </c:pt>
              </c:numCache>
            </c:numRef>
          </c:val>
        </c:ser>
        <c:ser>
          <c:idx val="1"/>
          <c:order val="1"/>
          <c:tx>
            <c:strRef>
              <c:f>'graf 14'!$D$3</c:f>
              <c:strCache>
                <c:ptCount val="1"/>
                <c:pt idx="0">
                  <c:v>st.vzd. 4,6</c:v>
                </c:pt>
              </c:strCache>
            </c:strRef>
          </c:tx>
          <c:invertIfNegative val="0"/>
          <c:cat>
            <c:strRef>
              <c:f>'graf 14'!$B$4:$B$11</c:f>
              <c:strCache>
                <c:ptCount val="8"/>
                <c:pt idx="0">
                  <c:v>   BL</c:v>
                </c:pt>
                <c:pt idx="1">
                  <c:v>   TA</c:v>
                </c:pt>
                <c:pt idx="2">
                  <c:v>   TC</c:v>
                </c:pt>
                <c:pt idx="3">
                  <c:v>   NI</c:v>
                </c:pt>
                <c:pt idx="4">
                  <c:v>   ZI</c:v>
                </c:pt>
                <c:pt idx="5">
                  <c:v>   BC</c:v>
                </c:pt>
                <c:pt idx="6">
                  <c:v>   PV</c:v>
                </c:pt>
                <c:pt idx="7">
                  <c:v>   KI</c:v>
                </c:pt>
              </c:strCache>
            </c:strRef>
          </c:cat>
          <c:val>
            <c:numRef>
              <c:f>'graf 14'!$D$4:$D$11</c:f>
              <c:numCache>
                <c:formatCode>0.00</c:formatCode>
                <c:ptCount val="8"/>
                <c:pt idx="0">
                  <c:v>33.146212082196016</c:v>
                </c:pt>
                <c:pt idx="1">
                  <c:v>27.267413876091489</c:v>
                </c:pt>
                <c:pt idx="2">
                  <c:v>32.015179351263228</c:v>
                </c:pt>
                <c:pt idx="3">
                  <c:v>26.402351819481929</c:v>
                </c:pt>
                <c:pt idx="4">
                  <c:v>29.952857846471289</c:v>
                </c:pt>
                <c:pt idx="5">
                  <c:v>23.561647860836789</c:v>
                </c:pt>
                <c:pt idx="6">
                  <c:v>24.64826575476307</c:v>
                </c:pt>
                <c:pt idx="7">
                  <c:v>23.61079700408413</c:v>
                </c:pt>
              </c:numCache>
            </c:numRef>
          </c:val>
        </c:ser>
        <c:ser>
          <c:idx val="2"/>
          <c:order val="2"/>
          <c:tx>
            <c:strRef>
              <c:f>'graf 14'!$E$3</c:f>
              <c:strCache>
                <c:ptCount val="1"/>
                <c:pt idx="0">
                  <c:v>st.vzd. 5</c:v>
                </c:pt>
              </c:strCache>
            </c:strRef>
          </c:tx>
          <c:invertIfNegative val="0"/>
          <c:cat>
            <c:strRef>
              <c:f>'graf 14'!$B$4:$B$11</c:f>
              <c:strCache>
                <c:ptCount val="8"/>
                <c:pt idx="0">
                  <c:v>   BL</c:v>
                </c:pt>
                <c:pt idx="1">
                  <c:v>   TA</c:v>
                </c:pt>
                <c:pt idx="2">
                  <c:v>   TC</c:v>
                </c:pt>
                <c:pt idx="3">
                  <c:v>   NI</c:v>
                </c:pt>
                <c:pt idx="4">
                  <c:v>   ZI</c:v>
                </c:pt>
                <c:pt idx="5">
                  <c:v>   BC</c:v>
                </c:pt>
                <c:pt idx="6">
                  <c:v>   PV</c:v>
                </c:pt>
                <c:pt idx="7">
                  <c:v>   KI</c:v>
                </c:pt>
              </c:strCache>
            </c:strRef>
          </c:cat>
          <c:val>
            <c:numRef>
              <c:f>'graf 14'!$E$4:$E$11</c:f>
              <c:numCache>
                <c:formatCode>0.00</c:formatCode>
                <c:ptCount val="8"/>
                <c:pt idx="0">
                  <c:v>6.9629705927795227</c:v>
                </c:pt>
                <c:pt idx="1">
                  <c:v>3.8575259575053291</c:v>
                </c:pt>
                <c:pt idx="2">
                  <c:v>3.1081528777520266</c:v>
                </c:pt>
                <c:pt idx="3">
                  <c:v>4.0064357222310507</c:v>
                </c:pt>
                <c:pt idx="4">
                  <c:v>3.4828904472641136</c:v>
                </c:pt>
                <c:pt idx="5">
                  <c:v>2.8796426892336311</c:v>
                </c:pt>
                <c:pt idx="6">
                  <c:v>2.4425989252564726</c:v>
                </c:pt>
                <c:pt idx="7">
                  <c:v>3.4003379052534992</c:v>
                </c:pt>
              </c:numCache>
            </c:numRef>
          </c:val>
        </c:ser>
        <c:ser>
          <c:idx val="3"/>
          <c:order val="3"/>
          <c:tx>
            <c:strRef>
              <c:f>'graf 14'!$F$3</c:f>
              <c:strCache>
                <c:ptCount val="1"/>
                <c:pt idx="0">
                  <c:v>st.vzd. 2,3</c:v>
                </c:pt>
              </c:strCache>
            </c:strRef>
          </c:tx>
          <c:invertIfNegative val="0"/>
          <c:cat>
            <c:strRef>
              <c:f>'graf 14'!$B$4:$B$11</c:f>
              <c:strCache>
                <c:ptCount val="8"/>
                <c:pt idx="0">
                  <c:v>   BL</c:v>
                </c:pt>
                <c:pt idx="1">
                  <c:v>   TA</c:v>
                </c:pt>
                <c:pt idx="2">
                  <c:v>   TC</c:v>
                </c:pt>
                <c:pt idx="3">
                  <c:v>   NI</c:v>
                </c:pt>
                <c:pt idx="4">
                  <c:v>   ZI</c:v>
                </c:pt>
                <c:pt idx="5">
                  <c:v>   BC</c:v>
                </c:pt>
                <c:pt idx="6">
                  <c:v>   PV</c:v>
                </c:pt>
                <c:pt idx="7">
                  <c:v>   KI</c:v>
                </c:pt>
              </c:strCache>
            </c:strRef>
          </c:cat>
          <c:val>
            <c:numRef>
              <c:f>'graf 14'!$F$4:$F$11</c:f>
              <c:numCache>
                <c:formatCode>0.00</c:formatCode>
                <c:ptCount val="8"/>
                <c:pt idx="0">
                  <c:v>23.829633826028729</c:v>
                </c:pt>
                <c:pt idx="1">
                  <c:v>36.120470329368082</c:v>
                </c:pt>
                <c:pt idx="2">
                  <c:v>38.243532210945126</c:v>
                </c:pt>
                <c:pt idx="3">
                  <c:v>36.798824090259018</c:v>
                </c:pt>
                <c:pt idx="4">
                  <c:v>39.636935056406408</c:v>
                </c:pt>
                <c:pt idx="5">
                  <c:v>32.102139163140578</c:v>
                </c:pt>
                <c:pt idx="6">
                  <c:v>29.827796775769272</c:v>
                </c:pt>
                <c:pt idx="7">
                  <c:v>28.600886003538694</c:v>
                </c:pt>
              </c:numCache>
            </c:numRef>
          </c:val>
        </c:ser>
        <c:ser>
          <c:idx val="4"/>
          <c:order val="4"/>
          <c:tx>
            <c:strRef>
              <c:f>'graf 14'!$G$3</c:f>
              <c:strCache>
                <c:ptCount val="1"/>
                <c:pt idx="0">
                  <c:v>st.vzd. 0,1</c:v>
                </c:pt>
              </c:strCache>
            </c:strRef>
          </c:tx>
          <c:invertIfNegative val="0"/>
          <c:cat>
            <c:strRef>
              <c:f>'graf 14'!$B$4:$B$11</c:f>
              <c:strCache>
                <c:ptCount val="8"/>
                <c:pt idx="0">
                  <c:v>   BL</c:v>
                </c:pt>
                <c:pt idx="1">
                  <c:v>   TA</c:v>
                </c:pt>
                <c:pt idx="2">
                  <c:v>   TC</c:v>
                </c:pt>
                <c:pt idx="3">
                  <c:v>   NI</c:v>
                </c:pt>
                <c:pt idx="4">
                  <c:v>   ZI</c:v>
                </c:pt>
                <c:pt idx="5">
                  <c:v>   BC</c:v>
                </c:pt>
                <c:pt idx="6">
                  <c:v>   PV</c:v>
                </c:pt>
                <c:pt idx="7">
                  <c:v>   KI</c:v>
                </c:pt>
              </c:strCache>
            </c:strRef>
          </c:cat>
          <c:val>
            <c:numRef>
              <c:f>'graf 14'!$G$4:$G$11</c:f>
              <c:numCache>
                <c:formatCode>0.00</c:formatCode>
                <c:ptCount val="8"/>
                <c:pt idx="0">
                  <c:v>13.292475665653798</c:v>
                </c:pt>
                <c:pt idx="1">
                  <c:v>24.059685071855878</c:v>
                </c:pt>
                <c:pt idx="2">
                  <c:v>16.718368822094391</c:v>
                </c:pt>
                <c:pt idx="3">
                  <c:v>25.297950103289391</c:v>
                </c:pt>
                <c:pt idx="4">
                  <c:v>17.632572648169429</c:v>
                </c:pt>
                <c:pt idx="5">
                  <c:v>36.048425011753594</c:v>
                </c:pt>
                <c:pt idx="6">
                  <c:v>36.345872007816062</c:v>
                </c:pt>
                <c:pt idx="7">
                  <c:v>37.366467559764885</c:v>
                </c:pt>
              </c:numCache>
            </c:numRef>
          </c:val>
        </c:ser>
        <c:dLbls>
          <c:showLegendKey val="0"/>
          <c:showVal val="0"/>
          <c:showCatName val="0"/>
          <c:showSerName val="0"/>
          <c:showPercent val="0"/>
          <c:showBubbleSize val="0"/>
        </c:dLbls>
        <c:gapWidth val="150"/>
        <c:shape val="box"/>
        <c:axId val="27691264"/>
        <c:axId val="27693056"/>
        <c:axId val="0"/>
      </c:bar3DChart>
      <c:catAx>
        <c:axId val="27691264"/>
        <c:scaling>
          <c:orientation val="minMax"/>
        </c:scaling>
        <c:delete val="0"/>
        <c:axPos val="b"/>
        <c:majorTickMark val="out"/>
        <c:minorTickMark val="none"/>
        <c:tickLblPos val="nextTo"/>
        <c:crossAx val="27693056"/>
        <c:crosses val="autoZero"/>
        <c:auto val="1"/>
        <c:lblAlgn val="ctr"/>
        <c:lblOffset val="100"/>
        <c:noMultiLvlLbl val="0"/>
      </c:catAx>
      <c:valAx>
        <c:axId val="27693056"/>
        <c:scaling>
          <c:orientation val="minMax"/>
        </c:scaling>
        <c:delete val="0"/>
        <c:axPos val="l"/>
        <c:majorGridlines/>
        <c:numFmt formatCode="0%" sourceLinked="1"/>
        <c:majorTickMark val="out"/>
        <c:minorTickMark val="none"/>
        <c:tickLblPos val="nextTo"/>
        <c:crossAx val="27691264"/>
        <c:crosses val="autoZero"/>
        <c:crossBetween val="between"/>
      </c:valAx>
    </c:plotArea>
    <c:legend>
      <c:legendPos val="b"/>
      <c:overlay val="0"/>
    </c:legend>
    <c:plotVisOnly val="1"/>
    <c:dispBlanksAs val="gap"/>
    <c:showDLblsOverMax val="0"/>
  </c:chart>
  <c:spPr>
    <a:ln>
      <a:noFill/>
    </a:ln>
  </c:spPr>
  <c:txPr>
    <a:bodyPr/>
    <a:lstStyle/>
    <a:p>
      <a:pPr>
        <a:defRPr baseline="0">
          <a:latin typeface="Times New Roman" pitchFamily="18" charset="0"/>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3727-6984-411E-8B05-59CDBDA3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Sprava_vpk</Template>
  <TotalTime>230</TotalTime>
  <Pages>129</Pages>
  <Words>52365</Words>
  <Characters>298486</Characters>
  <Application>Microsoft Office Word</Application>
  <DocSecurity>0</DocSecurity>
  <Lines>2487</Lines>
  <Paragraphs>700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MINISTERSTVO PRÁCE, SOCIÁLNYCH VECÍ A RODINY</vt:lpstr>
      <vt:lpstr>MINISTERSTVO PRÁCE, SOCIÁLNYCH VECÍ A RODINY</vt:lpstr>
      <vt:lpstr>MINISTERSTVO PRÁCE, SOCIÁLNYCH VECÍ A RODINY</vt:lpstr>
    </vt:vector>
  </TitlesOfParts>
  <Company>mpsvr</Company>
  <LinksUpToDate>false</LinksUpToDate>
  <CharactersWithSpaces>350151</CharactersWithSpaces>
  <SharedDoc>false</SharedDoc>
  <HLinks>
    <vt:vector size="408" baseType="variant">
      <vt:variant>
        <vt:i4>1310776</vt:i4>
      </vt:variant>
      <vt:variant>
        <vt:i4>342</vt:i4>
      </vt:variant>
      <vt:variant>
        <vt:i4>0</vt:i4>
      </vt:variant>
      <vt:variant>
        <vt:i4>5</vt:i4>
      </vt:variant>
      <vt:variant>
        <vt:lpwstr/>
      </vt:variant>
      <vt:variant>
        <vt:lpwstr>_Toc168135213</vt:lpwstr>
      </vt:variant>
      <vt:variant>
        <vt:i4>1638452</vt:i4>
      </vt:variant>
      <vt:variant>
        <vt:i4>332</vt:i4>
      </vt:variant>
      <vt:variant>
        <vt:i4>0</vt:i4>
      </vt:variant>
      <vt:variant>
        <vt:i4>5</vt:i4>
      </vt:variant>
      <vt:variant>
        <vt:lpwstr/>
      </vt:variant>
      <vt:variant>
        <vt:lpwstr>_Toc294030177</vt:lpwstr>
      </vt:variant>
      <vt:variant>
        <vt:i4>1638452</vt:i4>
      </vt:variant>
      <vt:variant>
        <vt:i4>326</vt:i4>
      </vt:variant>
      <vt:variant>
        <vt:i4>0</vt:i4>
      </vt:variant>
      <vt:variant>
        <vt:i4>5</vt:i4>
      </vt:variant>
      <vt:variant>
        <vt:lpwstr/>
      </vt:variant>
      <vt:variant>
        <vt:lpwstr>_Toc294030174</vt:lpwstr>
      </vt:variant>
      <vt:variant>
        <vt:i4>1638452</vt:i4>
      </vt:variant>
      <vt:variant>
        <vt:i4>320</vt:i4>
      </vt:variant>
      <vt:variant>
        <vt:i4>0</vt:i4>
      </vt:variant>
      <vt:variant>
        <vt:i4>5</vt:i4>
      </vt:variant>
      <vt:variant>
        <vt:lpwstr/>
      </vt:variant>
      <vt:variant>
        <vt:lpwstr>_Toc294030173</vt:lpwstr>
      </vt:variant>
      <vt:variant>
        <vt:i4>1638452</vt:i4>
      </vt:variant>
      <vt:variant>
        <vt:i4>314</vt:i4>
      </vt:variant>
      <vt:variant>
        <vt:i4>0</vt:i4>
      </vt:variant>
      <vt:variant>
        <vt:i4>5</vt:i4>
      </vt:variant>
      <vt:variant>
        <vt:lpwstr/>
      </vt:variant>
      <vt:variant>
        <vt:lpwstr>_Toc294030172</vt:lpwstr>
      </vt:variant>
      <vt:variant>
        <vt:i4>1638452</vt:i4>
      </vt:variant>
      <vt:variant>
        <vt:i4>308</vt:i4>
      </vt:variant>
      <vt:variant>
        <vt:i4>0</vt:i4>
      </vt:variant>
      <vt:variant>
        <vt:i4>5</vt:i4>
      </vt:variant>
      <vt:variant>
        <vt:lpwstr/>
      </vt:variant>
      <vt:variant>
        <vt:lpwstr>_Toc294030171</vt:lpwstr>
      </vt:variant>
      <vt:variant>
        <vt:i4>1638452</vt:i4>
      </vt:variant>
      <vt:variant>
        <vt:i4>302</vt:i4>
      </vt:variant>
      <vt:variant>
        <vt:i4>0</vt:i4>
      </vt:variant>
      <vt:variant>
        <vt:i4>5</vt:i4>
      </vt:variant>
      <vt:variant>
        <vt:lpwstr/>
      </vt:variant>
      <vt:variant>
        <vt:lpwstr>_Toc294030170</vt:lpwstr>
      </vt:variant>
      <vt:variant>
        <vt:i4>1572916</vt:i4>
      </vt:variant>
      <vt:variant>
        <vt:i4>296</vt:i4>
      </vt:variant>
      <vt:variant>
        <vt:i4>0</vt:i4>
      </vt:variant>
      <vt:variant>
        <vt:i4>5</vt:i4>
      </vt:variant>
      <vt:variant>
        <vt:lpwstr/>
      </vt:variant>
      <vt:variant>
        <vt:lpwstr>_Toc294030168</vt:lpwstr>
      </vt:variant>
      <vt:variant>
        <vt:i4>1441845</vt:i4>
      </vt:variant>
      <vt:variant>
        <vt:i4>290</vt:i4>
      </vt:variant>
      <vt:variant>
        <vt:i4>0</vt:i4>
      </vt:variant>
      <vt:variant>
        <vt:i4>5</vt:i4>
      </vt:variant>
      <vt:variant>
        <vt:lpwstr/>
      </vt:variant>
      <vt:variant>
        <vt:lpwstr>_Toc294030082</vt:lpwstr>
      </vt:variant>
      <vt:variant>
        <vt:i4>1245245</vt:i4>
      </vt:variant>
      <vt:variant>
        <vt:i4>284</vt:i4>
      </vt:variant>
      <vt:variant>
        <vt:i4>0</vt:i4>
      </vt:variant>
      <vt:variant>
        <vt:i4>5</vt:i4>
      </vt:variant>
      <vt:variant>
        <vt:lpwstr/>
      </vt:variant>
      <vt:variant>
        <vt:lpwstr>_Toc294029946</vt:lpwstr>
      </vt:variant>
      <vt:variant>
        <vt:i4>1245245</vt:i4>
      </vt:variant>
      <vt:variant>
        <vt:i4>278</vt:i4>
      </vt:variant>
      <vt:variant>
        <vt:i4>0</vt:i4>
      </vt:variant>
      <vt:variant>
        <vt:i4>5</vt:i4>
      </vt:variant>
      <vt:variant>
        <vt:lpwstr/>
      </vt:variant>
      <vt:variant>
        <vt:lpwstr>_Toc294029945</vt:lpwstr>
      </vt:variant>
      <vt:variant>
        <vt:i4>1310780</vt:i4>
      </vt:variant>
      <vt:variant>
        <vt:i4>272</vt:i4>
      </vt:variant>
      <vt:variant>
        <vt:i4>0</vt:i4>
      </vt:variant>
      <vt:variant>
        <vt:i4>5</vt:i4>
      </vt:variant>
      <vt:variant>
        <vt:lpwstr/>
      </vt:variant>
      <vt:variant>
        <vt:lpwstr>_Toc294029837</vt:lpwstr>
      </vt:variant>
      <vt:variant>
        <vt:i4>2031667</vt:i4>
      </vt:variant>
      <vt:variant>
        <vt:i4>266</vt:i4>
      </vt:variant>
      <vt:variant>
        <vt:i4>0</vt:i4>
      </vt:variant>
      <vt:variant>
        <vt:i4>5</vt:i4>
      </vt:variant>
      <vt:variant>
        <vt:lpwstr/>
      </vt:variant>
      <vt:variant>
        <vt:lpwstr>_Toc294029782</vt:lpwstr>
      </vt:variant>
      <vt:variant>
        <vt:i4>1245235</vt:i4>
      </vt:variant>
      <vt:variant>
        <vt:i4>260</vt:i4>
      </vt:variant>
      <vt:variant>
        <vt:i4>0</vt:i4>
      </vt:variant>
      <vt:variant>
        <vt:i4>5</vt:i4>
      </vt:variant>
      <vt:variant>
        <vt:lpwstr/>
      </vt:variant>
      <vt:variant>
        <vt:lpwstr>_Toc294029748</vt:lpwstr>
      </vt:variant>
      <vt:variant>
        <vt:i4>1245235</vt:i4>
      </vt:variant>
      <vt:variant>
        <vt:i4>254</vt:i4>
      </vt:variant>
      <vt:variant>
        <vt:i4>0</vt:i4>
      </vt:variant>
      <vt:variant>
        <vt:i4>5</vt:i4>
      </vt:variant>
      <vt:variant>
        <vt:lpwstr/>
      </vt:variant>
      <vt:variant>
        <vt:lpwstr>_Toc294029747</vt:lpwstr>
      </vt:variant>
      <vt:variant>
        <vt:i4>1376307</vt:i4>
      </vt:variant>
      <vt:variant>
        <vt:i4>248</vt:i4>
      </vt:variant>
      <vt:variant>
        <vt:i4>0</vt:i4>
      </vt:variant>
      <vt:variant>
        <vt:i4>5</vt:i4>
      </vt:variant>
      <vt:variant>
        <vt:lpwstr/>
      </vt:variant>
      <vt:variant>
        <vt:lpwstr>_Toc294029724</vt:lpwstr>
      </vt:variant>
      <vt:variant>
        <vt:i4>1507379</vt:i4>
      </vt:variant>
      <vt:variant>
        <vt:i4>242</vt:i4>
      </vt:variant>
      <vt:variant>
        <vt:i4>0</vt:i4>
      </vt:variant>
      <vt:variant>
        <vt:i4>5</vt:i4>
      </vt:variant>
      <vt:variant>
        <vt:lpwstr/>
      </vt:variant>
      <vt:variant>
        <vt:lpwstr>_Toc294029700</vt:lpwstr>
      </vt:variant>
      <vt:variant>
        <vt:i4>1179698</vt:i4>
      </vt:variant>
      <vt:variant>
        <vt:i4>236</vt:i4>
      </vt:variant>
      <vt:variant>
        <vt:i4>0</vt:i4>
      </vt:variant>
      <vt:variant>
        <vt:i4>5</vt:i4>
      </vt:variant>
      <vt:variant>
        <vt:lpwstr/>
      </vt:variant>
      <vt:variant>
        <vt:lpwstr>_Toc294029658</vt:lpwstr>
      </vt:variant>
      <vt:variant>
        <vt:i4>1179698</vt:i4>
      </vt:variant>
      <vt:variant>
        <vt:i4>230</vt:i4>
      </vt:variant>
      <vt:variant>
        <vt:i4>0</vt:i4>
      </vt:variant>
      <vt:variant>
        <vt:i4>5</vt:i4>
      </vt:variant>
      <vt:variant>
        <vt:lpwstr/>
      </vt:variant>
      <vt:variant>
        <vt:lpwstr>_Toc294029656</vt:lpwstr>
      </vt:variant>
      <vt:variant>
        <vt:i4>1179698</vt:i4>
      </vt:variant>
      <vt:variant>
        <vt:i4>224</vt:i4>
      </vt:variant>
      <vt:variant>
        <vt:i4>0</vt:i4>
      </vt:variant>
      <vt:variant>
        <vt:i4>5</vt:i4>
      </vt:variant>
      <vt:variant>
        <vt:lpwstr/>
      </vt:variant>
      <vt:variant>
        <vt:lpwstr>_Toc294029653</vt:lpwstr>
      </vt:variant>
      <vt:variant>
        <vt:i4>1310770</vt:i4>
      </vt:variant>
      <vt:variant>
        <vt:i4>218</vt:i4>
      </vt:variant>
      <vt:variant>
        <vt:i4>0</vt:i4>
      </vt:variant>
      <vt:variant>
        <vt:i4>5</vt:i4>
      </vt:variant>
      <vt:variant>
        <vt:lpwstr/>
      </vt:variant>
      <vt:variant>
        <vt:lpwstr>_Toc294029631</vt:lpwstr>
      </vt:variant>
      <vt:variant>
        <vt:i4>1310770</vt:i4>
      </vt:variant>
      <vt:variant>
        <vt:i4>212</vt:i4>
      </vt:variant>
      <vt:variant>
        <vt:i4>0</vt:i4>
      </vt:variant>
      <vt:variant>
        <vt:i4>5</vt:i4>
      </vt:variant>
      <vt:variant>
        <vt:lpwstr/>
      </vt:variant>
      <vt:variant>
        <vt:lpwstr>_Toc294029630</vt:lpwstr>
      </vt:variant>
      <vt:variant>
        <vt:i4>1376306</vt:i4>
      </vt:variant>
      <vt:variant>
        <vt:i4>206</vt:i4>
      </vt:variant>
      <vt:variant>
        <vt:i4>0</vt:i4>
      </vt:variant>
      <vt:variant>
        <vt:i4>5</vt:i4>
      </vt:variant>
      <vt:variant>
        <vt:lpwstr/>
      </vt:variant>
      <vt:variant>
        <vt:lpwstr>_Toc294029629</vt:lpwstr>
      </vt:variant>
      <vt:variant>
        <vt:i4>1376306</vt:i4>
      </vt:variant>
      <vt:variant>
        <vt:i4>200</vt:i4>
      </vt:variant>
      <vt:variant>
        <vt:i4>0</vt:i4>
      </vt:variant>
      <vt:variant>
        <vt:i4>5</vt:i4>
      </vt:variant>
      <vt:variant>
        <vt:lpwstr/>
      </vt:variant>
      <vt:variant>
        <vt:lpwstr>_Toc294029628</vt:lpwstr>
      </vt:variant>
      <vt:variant>
        <vt:i4>1376306</vt:i4>
      </vt:variant>
      <vt:variant>
        <vt:i4>194</vt:i4>
      </vt:variant>
      <vt:variant>
        <vt:i4>0</vt:i4>
      </vt:variant>
      <vt:variant>
        <vt:i4>5</vt:i4>
      </vt:variant>
      <vt:variant>
        <vt:lpwstr/>
      </vt:variant>
      <vt:variant>
        <vt:lpwstr>_Toc294029627</vt:lpwstr>
      </vt:variant>
      <vt:variant>
        <vt:i4>1441842</vt:i4>
      </vt:variant>
      <vt:variant>
        <vt:i4>188</vt:i4>
      </vt:variant>
      <vt:variant>
        <vt:i4>0</vt:i4>
      </vt:variant>
      <vt:variant>
        <vt:i4>5</vt:i4>
      </vt:variant>
      <vt:variant>
        <vt:lpwstr/>
      </vt:variant>
      <vt:variant>
        <vt:lpwstr>_Toc294029616</vt:lpwstr>
      </vt:variant>
      <vt:variant>
        <vt:i4>1441842</vt:i4>
      </vt:variant>
      <vt:variant>
        <vt:i4>182</vt:i4>
      </vt:variant>
      <vt:variant>
        <vt:i4>0</vt:i4>
      </vt:variant>
      <vt:variant>
        <vt:i4>5</vt:i4>
      </vt:variant>
      <vt:variant>
        <vt:lpwstr/>
      </vt:variant>
      <vt:variant>
        <vt:lpwstr>_Toc294029615</vt:lpwstr>
      </vt:variant>
      <vt:variant>
        <vt:i4>1441842</vt:i4>
      </vt:variant>
      <vt:variant>
        <vt:i4>176</vt:i4>
      </vt:variant>
      <vt:variant>
        <vt:i4>0</vt:i4>
      </vt:variant>
      <vt:variant>
        <vt:i4>5</vt:i4>
      </vt:variant>
      <vt:variant>
        <vt:lpwstr/>
      </vt:variant>
      <vt:variant>
        <vt:lpwstr>_Toc294029612</vt:lpwstr>
      </vt:variant>
      <vt:variant>
        <vt:i4>1441842</vt:i4>
      </vt:variant>
      <vt:variant>
        <vt:i4>170</vt:i4>
      </vt:variant>
      <vt:variant>
        <vt:i4>0</vt:i4>
      </vt:variant>
      <vt:variant>
        <vt:i4>5</vt:i4>
      </vt:variant>
      <vt:variant>
        <vt:lpwstr/>
      </vt:variant>
      <vt:variant>
        <vt:lpwstr>_Toc294029611</vt:lpwstr>
      </vt:variant>
      <vt:variant>
        <vt:i4>1048625</vt:i4>
      </vt:variant>
      <vt:variant>
        <vt:i4>164</vt:i4>
      </vt:variant>
      <vt:variant>
        <vt:i4>0</vt:i4>
      </vt:variant>
      <vt:variant>
        <vt:i4>5</vt:i4>
      </vt:variant>
      <vt:variant>
        <vt:lpwstr/>
      </vt:variant>
      <vt:variant>
        <vt:lpwstr>_Toc294029574</vt:lpwstr>
      </vt:variant>
      <vt:variant>
        <vt:i4>1048625</vt:i4>
      </vt:variant>
      <vt:variant>
        <vt:i4>158</vt:i4>
      </vt:variant>
      <vt:variant>
        <vt:i4>0</vt:i4>
      </vt:variant>
      <vt:variant>
        <vt:i4>5</vt:i4>
      </vt:variant>
      <vt:variant>
        <vt:lpwstr/>
      </vt:variant>
      <vt:variant>
        <vt:lpwstr>_Toc294029573</vt:lpwstr>
      </vt:variant>
      <vt:variant>
        <vt:i4>1310769</vt:i4>
      </vt:variant>
      <vt:variant>
        <vt:i4>152</vt:i4>
      </vt:variant>
      <vt:variant>
        <vt:i4>0</vt:i4>
      </vt:variant>
      <vt:variant>
        <vt:i4>5</vt:i4>
      </vt:variant>
      <vt:variant>
        <vt:lpwstr/>
      </vt:variant>
      <vt:variant>
        <vt:lpwstr>_Toc294029530</vt:lpwstr>
      </vt:variant>
      <vt:variant>
        <vt:i4>1179703</vt:i4>
      </vt:variant>
      <vt:variant>
        <vt:i4>146</vt:i4>
      </vt:variant>
      <vt:variant>
        <vt:i4>0</vt:i4>
      </vt:variant>
      <vt:variant>
        <vt:i4>5</vt:i4>
      </vt:variant>
      <vt:variant>
        <vt:lpwstr/>
      </vt:variant>
      <vt:variant>
        <vt:lpwstr>_Toc294029358</vt:lpwstr>
      </vt:variant>
      <vt:variant>
        <vt:i4>1179703</vt:i4>
      </vt:variant>
      <vt:variant>
        <vt:i4>140</vt:i4>
      </vt:variant>
      <vt:variant>
        <vt:i4>0</vt:i4>
      </vt:variant>
      <vt:variant>
        <vt:i4>5</vt:i4>
      </vt:variant>
      <vt:variant>
        <vt:lpwstr/>
      </vt:variant>
      <vt:variant>
        <vt:lpwstr>_Toc294029357</vt:lpwstr>
      </vt:variant>
      <vt:variant>
        <vt:i4>1179703</vt:i4>
      </vt:variant>
      <vt:variant>
        <vt:i4>134</vt:i4>
      </vt:variant>
      <vt:variant>
        <vt:i4>0</vt:i4>
      </vt:variant>
      <vt:variant>
        <vt:i4>5</vt:i4>
      </vt:variant>
      <vt:variant>
        <vt:lpwstr/>
      </vt:variant>
      <vt:variant>
        <vt:lpwstr>_Toc294029356</vt:lpwstr>
      </vt:variant>
      <vt:variant>
        <vt:i4>1966134</vt:i4>
      </vt:variant>
      <vt:variant>
        <vt:i4>128</vt:i4>
      </vt:variant>
      <vt:variant>
        <vt:i4>0</vt:i4>
      </vt:variant>
      <vt:variant>
        <vt:i4>5</vt:i4>
      </vt:variant>
      <vt:variant>
        <vt:lpwstr/>
      </vt:variant>
      <vt:variant>
        <vt:lpwstr>_Toc294029294</vt:lpwstr>
      </vt:variant>
      <vt:variant>
        <vt:i4>1966134</vt:i4>
      </vt:variant>
      <vt:variant>
        <vt:i4>122</vt:i4>
      </vt:variant>
      <vt:variant>
        <vt:i4>0</vt:i4>
      </vt:variant>
      <vt:variant>
        <vt:i4>5</vt:i4>
      </vt:variant>
      <vt:variant>
        <vt:lpwstr/>
      </vt:variant>
      <vt:variant>
        <vt:lpwstr>_Toc294029293</vt:lpwstr>
      </vt:variant>
      <vt:variant>
        <vt:i4>1441846</vt:i4>
      </vt:variant>
      <vt:variant>
        <vt:i4>116</vt:i4>
      </vt:variant>
      <vt:variant>
        <vt:i4>0</vt:i4>
      </vt:variant>
      <vt:variant>
        <vt:i4>5</vt:i4>
      </vt:variant>
      <vt:variant>
        <vt:lpwstr/>
      </vt:variant>
      <vt:variant>
        <vt:lpwstr>_Toc294029216</vt:lpwstr>
      </vt:variant>
      <vt:variant>
        <vt:i4>2031669</vt:i4>
      </vt:variant>
      <vt:variant>
        <vt:i4>110</vt:i4>
      </vt:variant>
      <vt:variant>
        <vt:i4>0</vt:i4>
      </vt:variant>
      <vt:variant>
        <vt:i4>5</vt:i4>
      </vt:variant>
      <vt:variant>
        <vt:lpwstr/>
      </vt:variant>
      <vt:variant>
        <vt:lpwstr>_Toc294029189</vt:lpwstr>
      </vt:variant>
      <vt:variant>
        <vt:i4>2031669</vt:i4>
      </vt:variant>
      <vt:variant>
        <vt:i4>104</vt:i4>
      </vt:variant>
      <vt:variant>
        <vt:i4>0</vt:i4>
      </vt:variant>
      <vt:variant>
        <vt:i4>5</vt:i4>
      </vt:variant>
      <vt:variant>
        <vt:lpwstr/>
      </vt:variant>
      <vt:variant>
        <vt:lpwstr>_Toc294029188</vt:lpwstr>
      </vt:variant>
      <vt:variant>
        <vt:i4>2031669</vt:i4>
      </vt:variant>
      <vt:variant>
        <vt:i4>98</vt:i4>
      </vt:variant>
      <vt:variant>
        <vt:i4>0</vt:i4>
      </vt:variant>
      <vt:variant>
        <vt:i4>5</vt:i4>
      </vt:variant>
      <vt:variant>
        <vt:lpwstr/>
      </vt:variant>
      <vt:variant>
        <vt:lpwstr>_Toc294029187</vt:lpwstr>
      </vt:variant>
      <vt:variant>
        <vt:i4>2031669</vt:i4>
      </vt:variant>
      <vt:variant>
        <vt:i4>92</vt:i4>
      </vt:variant>
      <vt:variant>
        <vt:i4>0</vt:i4>
      </vt:variant>
      <vt:variant>
        <vt:i4>5</vt:i4>
      </vt:variant>
      <vt:variant>
        <vt:lpwstr/>
      </vt:variant>
      <vt:variant>
        <vt:lpwstr>_Toc294029186</vt:lpwstr>
      </vt:variant>
      <vt:variant>
        <vt:i4>2031669</vt:i4>
      </vt:variant>
      <vt:variant>
        <vt:i4>86</vt:i4>
      </vt:variant>
      <vt:variant>
        <vt:i4>0</vt:i4>
      </vt:variant>
      <vt:variant>
        <vt:i4>5</vt:i4>
      </vt:variant>
      <vt:variant>
        <vt:lpwstr/>
      </vt:variant>
      <vt:variant>
        <vt:lpwstr>_Toc294029185</vt:lpwstr>
      </vt:variant>
      <vt:variant>
        <vt:i4>1179700</vt:i4>
      </vt:variant>
      <vt:variant>
        <vt:i4>80</vt:i4>
      </vt:variant>
      <vt:variant>
        <vt:i4>0</vt:i4>
      </vt:variant>
      <vt:variant>
        <vt:i4>5</vt:i4>
      </vt:variant>
      <vt:variant>
        <vt:lpwstr/>
      </vt:variant>
      <vt:variant>
        <vt:lpwstr>_Toc294029058</vt:lpwstr>
      </vt:variant>
      <vt:variant>
        <vt:i4>1114173</vt:i4>
      </vt:variant>
      <vt:variant>
        <vt:i4>74</vt:i4>
      </vt:variant>
      <vt:variant>
        <vt:i4>0</vt:i4>
      </vt:variant>
      <vt:variant>
        <vt:i4>5</vt:i4>
      </vt:variant>
      <vt:variant>
        <vt:lpwstr/>
      </vt:variant>
      <vt:variant>
        <vt:lpwstr>_Toc294028979</vt:lpwstr>
      </vt:variant>
      <vt:variant>
        <vt:i4>1114173</vt:i4>
      </vt:variant>
      <vt:variant>
        <vt:i4>68</vt:i4>
      </vt:variant>
      <vt:variant>
        <vt:i4>0</vt:i4>
      </vt:variant>
      <vt:variant>
        <vt:i4>5</vt:i4>
      </vt:variant>
      <vt:variant>
        <vt:lpwstr/>
      </vt:variant>
      <vt:variant>
        <vt:lpwstr>_Toc294028978</vt:lpwstr>
      </vt:variant>
      <vt:variant>
        <vt:i4>1114173</vt:i4>
      </vt:variant>
      <vt:variant>
        <vt:i4>62</vt:i4>
      </vt:variant>
      <vt:variant>
        <vt:i4>0</vt:i4>
      </vt:variant>
      <vt:variant>
        <vt:i4>5</vt:i4>
      </vt:variant>
      <vt:variant>
        <vt:lpwstr/>
      </vt:variant>
      <vt:variant>
        <vt:lpwstr>_Toc294028977</vt:lpwstr>
      </vt:variant>
      <vt:variant>
        <vt:i4>1441841</vt:i4>
      </vt:variant>
      <vt:variant>
        <vt:i4>56</vt:i4>
      </vt:variant>
      <vt:variant>
        <vt:i4>0</vt:i4>
      </vt:variant>
      <vt:variant>
        <vt:i4>5</vt:i4>
      </vt:variant>
      <vt:variant>
        <vt:lpwstr/>
      </vt:variant>
      <vt:variant>
        <vt:lpwstr>_Toc294028504</vt:lpwstr>
      </vt:variant>
      <vt:variant>
        <vt:i4>1179701</vt:i4>
      </vt:variant>
      <vt:variant>
        <vt:i4>50</vt:i4>
      </vt:variant>
      <vt:variant>
        <vt:i4>0</vt:i4>
      </vt:variant>
      <vt:variant>
        <vt:i4>5</vt:i4>
      </vt:variant>
      <vt:variant>
        <vt:lpwstr/>
      </vt:variant>
      <vt:variant>
        <vt:lpwstr>_Toc294028149</vt:lpwstr>
      </vt:variant>
      <vt:variant>
        <vt:i4>1966141</vt:i4>
      </vt:variant>
      <vt:variant>
        <vt:i4>44</vt:i4>
      </vt:variant>
      <vt:variant>
        <vt:i4>0</vt:i4>
      </vt:variant>
      <vt:variant>
        <vt:i4>5</vt:i4>
      </vt:variant>
      <vt:variant>
        <vt:lpwstr/>
      </vt:variant>
      <vt:variant>
        <vt:lpwstr>_Toc294027971</vt:lpwstr>
      </vt:variant>
      <vt:variant>
        <vt:i4>1966141</vt:i4>
      </vt:variant>
      <vt:variant>
        <vt:i4>38</vt:i4>
      </vt:variant>
      <vt:variant>
        <vt:i4>0</vt:i4>
      </vt:variant>
      <vt:variant>
        <vt:i4>5</vt:i4>
      </vt:variant>
      <vt:variant>
        <vt:lpwstr/>
      </vt:variant>
      <vt:variant>
        <vt:lpwstr>_Toc294027970</vt:lpwstr>
      </vt:variant>
      <vt:variant>
        <vt:i4>2031677</vt:i4>
      </vt:variant>
      <vt:variant>
        <vt:i4>32</vt:i4>
      </vt:variant>
      <vt:variant>
        <vt:i4>0</vt:i4>
      </vt:variant>
      <vt:variant>
        <vt:i4>5</vt:i4>
      </vt:variant>
      <vt:variant>
        <vt:lpwstr/>
      </vt:variant>
      <vt:variant>
        <vt:lpwstr>_Toc294027969</vt:lpwstr>
      </vt:variant>
      <vt:variant>
        <vt:i4>1900605</vt:i4>
      </vt:variant>
      <vt:variant>
        <vt:i4>26</vt:i4>
      </vt:variant>
      <vt:variant>
        <vt:i4>0</vt:i4>
      </vt:variant>
      <vt:variant>
        <vt:i4>5</vt:i4>
      </vt:variant>
      <vt:variant>
        <vt:lpwstr/>
      </vt:variant>
      <vt:variant>
        <vt:lpwstr>_Toc294027949</vt:lpwstr>
      </vt:variant>
      <vt:variant>
        <vt:i4>1900605</vt:i4>
      </vt:variant>
      <vt:variant>
        <vt:i4>20</vt:i4>
      </vt:variant>
      <vt:variant>
        <vt:i4>0</vt:i4>
      </vt:variant>
      <vt:variant>
        <vt:i4>5</vt:i4>
      </vt:variant>
      <vt:variant>
        <vt:lpwstr/>
      </vt:variant>
      <vt:variant>
        <vt:lpwstr>_Toc294027947</vt:lpwstr>
      </vt:variant>
      <vt:variant>
        <vt:i4>1900605</vt:i4>
      </vt:variant>
      <vt:variant>
        <vt:i4>14</vt:i4>
      </vt:variant>
      <vt:variant>
        <vt:i4>0</vt:i4>
      </vt:variant>
      <vt:variant>
        <vt:i4>5</vt:i4>
      </vt:variant>
      <vt:variant>
        <vt:lpwstr/>
      </vt:variant>
      <vt:variant>
        <vt:lpwstr>_Toc294027946</vt:lpwstr>
      </vt:variant>
      <vt:variant>
        <vt:i4>1900605</vt:i4>
      </vt:variant>
      <vt:variant>
        <vt:i4>8</vt:i4>
      </vt:variant>
      <vt:variant>
        <vt:i4>0</vt:i4>
      </vt:variant>
      <vt:variant>
        <vt:i4>5</vt:i4>
      </vt:variant>
      <vt:variant>
        <vt:lpwstr/>
      </vt:variant>
      <vt:variant>
        <vt:lpwstr>_Toc294027945</vt:lpwstr>
      </vt:variant>
      <vt:variant>
        <vt:i4>1900605</vt:i4>
      </vt:variant>
      <vt:variant>
        <vt:i4>2</vt:i4>
      </vt:variant>
      <vt:variant>
        <vt:i4>0</vt:i4>
      </vt:variant>
      <vt:variant>
        <vt:i4>5</vt:i4>
      </vt:variant>
      <vt:variant>
        <vt:lpwstr/>
      </vt:variant>
      <vt:variant>
        <vt:lpwstr>_Toc294027944</vt:lpwstr>
      </vt:variant>
      <vt:variant>
        <vt:i4>2752624</vt:i4>
      </vt:variant>
      <vt:variant>
        <vt:i4>30</vt:i4>
      </vt:variant>
      <vt:variant>
        <vt:i4>0</vt:i4>
      </vt:variant>
      <vt:variant>
        <vt:i4>5</vt:i4>
      </vt:variant>
      <vt:variant>
        <vt:lpwstr>http://www.rokovania.sk/Rokovanie.aspx/BodRokovaniaDetail?idMaterial=19478</vt:lpwstr>
      </vt:variant>
      <vt:variant>
        <vt:lpwstr/>
      </vt:variant>
      <vt:variant>
        <vt:i4>8126518</vt:i4>
      </vt:variant>
      <vt:variant>
        <vt:i4>27</vt:i4>
      </vt:variant>
      <vt:variant>
        <vt:i4>0</vt:i4>
      </vt:variant>
      <vt:variant>
        <vt:i4>5</vt:i4>
      </vt:variant>
      <vt:variant>
        <vt:lpwstr>../../../../Local Settings/Temporary Internet Files/Local Settings/Temporary Internet Files/Content.Outlook/HJLX9NBC/www.esf.gov.sk</vt:lpwstr>
      </vt:variant>
      <vt:variant>
        <vt:lpwstr/>
      </vt:variant>
      <vt:variant>
        <vt:i4>3735589</vt:i4>
      </vt:variant>
      <vt:variant>
        <vt:i4>24</vt:i4>
      </vt:variant>
      <vt:variant>
        <vt:i4>0</vt:i4>
      </vt:variant>
      <vt:variant>
        <vt:i4>5</vt:i4>
      </vt:variant>
      <vt:variant>
        <vt:lpwstr>http://portal.statistics.sk/showdoc.do?docid=30299</vt:lpwstr>
      </vt:variant>
      <vt:variant>
        <vt:lpwstr/>
      </vt:variant>
      <vt:variant>
        <vt:i4>589884</vt:i4>
      </vt:variant>
      <vt:variant>
        <vt:i4>21</vt:i4>
      </vt:variant>
      <vt:variant>
        <vt:i4>0</vt:i4>
      </vt:variant>
      <vt:variant>
        <vt:i4>5</vt:i4>
      </vt:variant>
      <vt:variant>
        <vt:lpwstr>http://epp.eurostat.ec.europa.eu/cache/ITY_OFFPUB/KS-SF-09-102/EN/KS-SF-09-102-EN.PDF</vt:lpwstr>
      </vt:variant>
      <vt:variant>
        <vt:lpwstr/>
      </vt:variant>
      <vt:variant>
        <vt:i4>7012381</vt:i4>
      </vt:variant>
      <vt:variant>
        <vt:i4>18</vt:i4>
      </vt:variant>
      <vt:variant>
        <vt:i4>0</vt:i4>
      </vt:variant>
      <vt:variant>
        <vt:i4>5</vt:i4>
      </vt:variant>
      <vt:variant>
        <vt:lpwstr>http://epp.eurostat.ec.europa.eu/portal/page/portal/social_protection/data/database</vt:lpwstr>
      </vt:variant>
      <vt:variant>
        <vt:lpwstr/>
      </vt:variant>
      <vt:variant>
        <vt:i4>6553713</vt:i4>
      </vt:variant>
      <vt:variant>
        <vt:i4>15</vt:i4>
      </vt:variant>
      <vt:variant>
        <vt:i4>0</vt:i4>
      </vt:variant>
      <vt:variant>
        <vt:i4>5</vt:i4>
      </vt:variant>
      <vt:variant>
        <vt:lpwstr>http://eur-lex.europa.eu/LexUriServ/LexUriServ.do?uri=OJ:L:2008:005:0003:01:SK:HTML%20</vt:lpwstr>
      </vt:variant>
      <vt:variant>
        <vt:lpwstr/>
      </vt:variant>
      <vt:variant>
        <vt:i4>8257571</vt:i4>
      </vt:variant>
      <vt:variant>
        <vt:i4>12</vt:i4>
      </vt:variant>
      <vt:variant>
        <vt:i4>0</vt:i4>
      </vt:variant>
      <vt:variant>
        <vt:i4>5</vt:i4>
      </vt:variant>
      <vt:variant>
        <vt:lpwstr>http://eur-lex.europa.eu/LexUriServ/LexUriServ.do?uri=OJ:L:2007:294:0005:01:SK:HTML</vt:lpwstr>
      </vt:variant>
      <vt:variant>
        <vt:lpwstr/>
      </vt:variant>
      <vt:variant>
        <vt:i4>5439502</vt:i4>
      </vt:variant>
      <vt:variant>
        <vt:i4>9</vt:i4>
      </vt:variant>
      <vt:variant>
        <vt:i4>0</vt:i4>
      </vt:variant>
      <vt:variant>
        <vt:i4>5</vt:i4>
      </vt:variant>
      <vt:variant>
        <vt:lpwstr>http://eur-lex.europa.eu/LexUriServ/LexUriServ.do?uri=OJ:L:2007:113:0003:0008:SK:PDF</vt:lpwstr>
      </vt:variant>
      <vt:variant>
        <vt:lpwstr/>
      </vt:variant>
      <vt:variant>
        <vt:i4>589884</vt:i4>
      </vt:variant>
      <vt:variant>
        <vt:i4>6</vt:i4>
      </vt:variant>
      <vt:variant>
        <vt:i4>0</vt:i4>
      </vt:variant>
      <vt:variant>
        <vt:i4>5</vt:i4>
      </vt:variant>
      <vt:variant>
        <vt:lpwstr>http://epp.eurostat.ec.europa.eu/cache/ITY_OFFPUB/KS-RA-07-027/EN/KS-RA-07-027-EN.PDF</vt:lpwstr>
      </vt:variant>
      <vt:variant>
        <vt:lpwstr/>
      </vt:variant>
      <vt:variant>
        <vt:i4>5439499</vt:i4>
      </vt:variant>
      <vt:variant>
        <vt:i4>3</vt:i4>
      </vt:variant>
      <vt:variant>
        <vt:i4>0</vt:i4>
      </vt:variant>
      <vt:variant>
        <vt:i4>5</vt:i4>
      </vt:variant>
      <vt:variant>
        <vt:lpwstr>http://eur-lex.europa.eu/LexUriServ/LexUriServ.do?uri=OJ:L:2011:071:0004:0008:SK:PDF</vt:lpwstr>
      </vt:variant>
      <vt:variant>
        <vt:lpwstr/>
      </vt:variant>
      <vt:variant>
        <vt:i4>5832710</vt:i4>
      </vt:variant>
      <vt:variant>
        <vt:i4>0</vt:i4>
      </vt:variant>
      <vt:variant>
        <vt:i4>0</vt:i4>
      </vt:variant>
      <vt:variant>
        <vt:i4>5</vt:i4>
      </vt:variant>
      <vt:variant>
        <vt:lpwstr>http://eur-lex.europa.eu/LexUriServ/LexUriServ.do?uri=OJ:L:2011:034:0029:0032:SK:PDF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brezova</dc:creator>
  <cp:lastModifiedBy>Brezova Martina</cp:lastModifiedBy>
  <cp:revision>22</cp:revision>
  <cp:lastPrinted>2012-05-31T12:28:00Z</cp:lastPrinted>
  <dcterms:created xsi:type="dcterms:W3CDTF">2012-05-30T21:31:00Z</dcterms:created>
  <dcterms:modified xsi:type="dcterms:W3CDTF">2012-05-31T12:29:00Z</dcterms:modified>
</cp:coreProperties>
</file>