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559"/>
        <w:gridCol w:w="3260"/>
        <w:gridCol w:w="2694"/>
        <w:gridCol w:w="2126"/>
        <w:gridCol w:w="2956"/>
      </w:tblGrid>
      <w:tr w:rsidR="002D42EA" w:rsidTr="002D42EA">
        <w:trPr>
          <w:trHeight w:val="481"/>
        </w:trPr>
        <w:tc>
          <w:tcPr>
            <w:tcW w:w="2093" w:type="dxa"/>
            <w:shd w:val="clear" w:color="auto" w:fill="FFFF00"/>
          </w:tcPr>
          <w:p w:rsidR="008F03F0" w:rsidRPr="002D42EA" w:rsidRDefault="008F03F0" w:rsidP="008106E3">
            <w:pPr>
              <w:jc w:val="center"/>
              <w:rPr>
                <w:b/>
                <w:sz w:val="22"/>
                <w:szCs w:val="22"/>
              </w:rPr>
            </w:pPr>
            <w:r w:rsidRPr="002D42EA">
              <w:rPr>
                <w:b/>
                <w:sz w:val="22"/>
                <w:szCs w:val="22"/>
              </w:rPr>
              <w:t>Operačný program</w:t>
            </w:r>
          </w:p>
          <w:p w:rsidR="008F03F0" w:rsidRPr="002D42EA" w:rsidRDefault="008F03F0" w:rsidP="008106E3">
            <w:pPr>
              <w:jc w:val="center"/>
              <w:rPr>
                <w:b/>
                <w:sz w:val="22"/>
                <w:szCs w:val="22"/>
              </w:rPr>
            </w:pPr>
            <w:r w:rsidRPr="002D42EA">
              <w:rPr>
                <w:b/>
                <w:sz w:val="22"/>
                <w:szCs w:val="22"/>
              </w:rPr>
              <w:t>(OP)</w:t>
            </w:r>
          </w:p>
        </w:tc>
        <w:tc>
          <w:tcPr>
            <w:tcW w:w="1559" w:type="dxa"/>
            <w:shd w:val="clear" w:color="auto" w:fill="FFFF00"/>
          </w:tcPr>
          <w:p w:rsidR="008F03F0" w:rsidRPr="002D42EA" w:rsidRDefault="008F03F0" w:rsidP="008106E3">
            <w:pPr>
              <w:jc w:val="center"/>
              <w:rPr>
                <w:b/>
                <w:sz w:val="22"/>
                <w:szCs w:val="22"/>
              </w:rPr>
            </w:pPr>
            <w:r w:rsidRPr="002D42EA">
              <w:rPr>
                <w:b/>
                <w:sz w:val="22"/>
                <w:szCs w:val="22"/>
              </w:rPr>
              <w:t>Počet zmien revízie</w:t>
            </w:r>
          </w:p>
        </w:tc>
        <w:tc>
          <w:tcPr>
            <w:tcW w:w="3260" w:type="dxa"/>
            <w:shd w:val="clear" w:color="auto" w:fill="FFFF00"/>
          </w:tcPr>
          <w:p w:rsidR="008F03F0" w:rsidRPr="002D42EA" w:rsidRDefault="002D42EA" w:rsidP="0002019A">
            <w:pPr>
              <w:jc w:val="center"/>
              <w:rPr>
                <w:b/>
                <w:sz w:val="22"/>
                <w:szCs w:val="22"/>
              </w:rPr>
            </w:pPr>
            <w:r w:rsidRPr="002D42EA">
              <w:rPr>
                <w:b/>
                <w:sz w:val="22"/>
                <w:szCs w:val="22"/>
              </w:rPr>
              <w:t>Dátum zaslania navrhnutej revízie OP Európsk</w:t>
            </w:r>
            <w:r w:rsidR="0002019A">
              <w:rPr>
                <w:b/>
                <w:sz w:val="22"/>
                <w:szCs w:val="22"/>
              </w:rPr>
              <w:t>ej</w:t>
            </w:r>
            <w:r w:rsidRPr="002D42EA">
              <w:rPr>
                <w:b/>
                <w:sz w:val="22"/>
                <w:szCs w:val="22"/>
              </w:rPr>
              <w:t xml:space="preserve"> komisi</w:t>
            </w:r>
            <w:r w:rsidR="0002019A">
              <w:rPr>
                <w:b/>
                <w:sz w:val="22"/>
                <w:szCs w:val="22"/>
              </w:rPr>
              <w:t>í</w:t>
            </w:r>
          </w:p>
        </w:tc>
        <w:tc>
          <w:tcPr>
            <w:tcW w:w="2694" w:type="dxa"/>
            <w:shd w:val="clear" w:color="auto" w:fill="FFFF00"/>
          </w:tcPr>
          <w:p w:rsidR="008F03F0" w:rsidRPr="002D42EA" w:rsidRDefault="002D42EA" w:rsidP="008106E3">
            <w:pPr>
              <w:jc w:val="center"/>
              <w:rPr>
                <w:b/>
                <w:sz w:val="22"/>
                <w:szCs w:val="22"/>
              </w:rPr>
            </w:pPr>
            <w:r w:rsidRPr="002D42EA">
              <w:rPr>
                <w:b/>
                <w:sz w:val="22"/>
                <w:szCs w:val="22"/>
              </w:rPr>
              <w:t>Dátum schválenia revízie OP Európskou komisiou</w:t>
            </w:r>
          </w:p>
        </w:tc>
        <w:tc>
          <w:tcPr>
            <w:tcW w:w="2126" w:type="dxa"/>
            <w:shd w:val="clear" w:color="auto" w:fill="FFFF00"/>
          </w:tcPr>
          <w:p w:rsidR="008F03F0" w:rsidRPr="002D42EA" w:rsidRDefault="008F03F0" w:rsidP="002D42EA">
            <w:pPr>
              <w:jc w:val="center"/>
              <w:rPr>
                <w:b/>
                <w:sz w:val="22"/>
                <w:szCs w:val="22"/>
              </w:rPr>
            </w:pPr>
            <w:r w:rsidRPr="002D42EA">
              <w:rPr>
                <w:b/>
                <w:sz w:val="22"/>
                <w:szCs w:val="22"/>
              </w:rPr>
              <w:t>Číslo rozhodnutia E</w:t>
            </w:r>
            <w:r w:rsidR="002D42EA" w:rsidRPr="002D42EA">
              <w:rPr>
                <w:b/>
                <w:sz w:val="22"/>
                <w:szCs w:val="22"/>
              </w:rPr>
              <w:t>urópskej komisie</w:t>
            </w:r>
          </w:p>
        </w:tc>
        <w:tc>
          <w:tcPr>
            <w:tcW w:w="2956" w:type="dxa"/>
            <w:shd w:val="clear" w:color="auto" w:fill="FFFF00"/>
          </w:tcPr>
          <w:p w:rsidR="008F03F0" w:rsidRPr="002D42EA" w:rsidRDefault="002D42EA" w:rsidP="002D42EA">
            <w:pPr>
              <w:jc w:val="center"/>
              <w:rPr>
                <w:b/>
                <w:sz w:val="22"/>
                <w:szCs w:val="22"/>
              </w:rPr>
            </w:pPr>
            <w:r w:rsidRPr="002D42EA">
              <w:rPr>
                <w:b/>
                <w:sz w:val="22"/>
                <w:szCs w:val="22"/>
              </w:rPr>
              <w:t>Dôvod revízie</w:t>
            </w:r>
          </w:p>
        </w:tc>
      </w:tr>
      <w:tr w:rsidR="002D42EA" w:rsidTr="002D42EA">
        <w:trPr>
          <w:trHeight w:val="733"/>
        </w:trPr>
        <w:tc>
          <w:tcPr>
            <w:tcW w:w="2093" w:type="dxa"/>
            <w:shd w:val="clear" w:color="auto" w:fill="auto"/>
            <w:vAlign w:val="center"/>
          </w:tcPr>
          <w:p w:rsidR="002D42EA" w:rsidRPr="002D42EA" w:rsidRDefault="002D42EA" w:rsidP="008106E3">
            <w:pPr>
              <w:jc w:val="center"/>
              <w:rPr>
                <w:sz w:val="22"/>
                <w:szCs w:val="22"/>
              </w:rPr>
            </w:pPr>
            <w:r w:rsidRPr="002D42EA">
              <w:rPr>
                <w:sz w:val="22"/>
                <w:szCs w:val="22"/>
              </w:rPr>
              <w:t>OP Informatizácia spoločnosti</w:t>
            </w:r>
          </w:p>
          <w:p w:rsidR="002D42EA" w:rsidRPr="002D42EA" w:rsidRDefault="002D42EA" w:rsidP="008106E3">
            <w:pPr>
              <w:jc w:val="center"/>
              <w:rPr>
                <w:sz w:val="22"/>
                <w:szCs w:val="22"/>
              </w:rPr>
            </w:pPr>
          </w:p>
        </w:tc>
        <w:tc>
          <w:tcPr>
            <w:tcW w:w="1559" w:type="dxa"/>
            <w:shd w:val="clear" w:color="auto" w:fill="auto"/>
            <w:vAlign w:val="center"/>
          </w:tcPr>
          <w:p w:rsidR="002D42EA" w:rsidRPr="002D42EA" w:rsidRDefault="002D42EA" w:rsidP="008106E3">
            <w:pPr>
              <w:jc w:val="center"/>
              <w:rPr>
                <w:sz w:val="22"/>
                <w:szCs w:val="22"/>
              </w:rPr>
            </w:pPr>
            <w:r w:rsidRPr="002D42EA">
              <w:rPr>
                <w:sz w:val="22"/>
                <w:szCs w:val="22"/>
              </w:rPr>
              <w:t>1</w:t>
            </w:r>
          </w:p>
        </w:tc>
        <w:tc>
          <w:tcPr>
            <w:tcW w:w="3260" w:type="dxa"/>
            <w:shd w:val="clear" w:color="auto" w:fill="auto"/>
            <w:vAlign w:val="center"/>
          </w:tcPr>
          <w:p w:rsidR="002D42EA" w:rsidRPr="002D42EA" w:rsidRDefault="005D3ABF" w:rsidP="008106E3">
            <w:pPr>
              <w:jc w:val="center"/>
              <w:rPr>
                <w:sz w:val="22"/>
                <w:szCs w:val="22"/>
              </w:rPr>
            </w:pPr>
            <w:r>
              <w:rPr>
                <w:sz w:val="22"/>
                <w:szCs w:val="22"/>
              </w:rPr>
              <w:t>25. 03. 2010</w:t>
            </w:r>
          </w:p>
        </w:tc>
        <w:tc>
          <w:tcPr>
            <w:tcW w:w="2694" w:type="dxa"/>
            <w:shd w:val="clear" w:color="auto" w:fill="auto"/>
            <w:vAlign w:val="center"/>
          </w:tcPr>
          <w:p w:rsidR="002D42EA" w:rsidRPr="002D42EA" w:rsidRDefault="002D42EA" w:rsidP="008E57D7">
            <w:pPr>
              <w:jc w:val="center"/>
              <w:rPr>
                <w:sz w:val="22"/>
                <w:szCs w:val="22"/>
              </w:rPr>
            </w:pPr>
            <w:r w:rsidRPr="002D42EA">
              <w:rPr>
                <w:sz w:val="22"/>
                <w:szCs w:val="22"/>
              </w:rPr>
              <w:t>17. 11. 2010</w:t>
            </w:r>
          </w:p>
        </w:tc>
        <w:tc>
          <w:tcPr>
            <w:tcW w:w="2126" w:type="dxa"/>
            <w:shd w:val="clear" w:color="auto" w:fill="auto"/>
            <w:vAlign w:val="center"/>
          </w:tcPr>
          <w:p w:rsidR="002D42EA" w:rsidRPr="002D42EA" w:rsidRDefault="0054572E" w:rsidP="00080D3B">
            <w:pPr>
              <w:jc w:val="center"/>
              <w:rPr>
                <w:sz w:val="22"/>
                <w:szCs w:val="22"/>
              </w:rPr>
            </w:pPr>
            <w:hyperlink r:id="rId8" w:history="1">
              <w:r w:rsidR="002D42EA" w:rsidRPr="002D42EA">
                <w:rPr>
                  <w:color w:val="0000FF"/>
                  <w:sz w:val="22"/>
                  <w:szCs w:val="22"/>
                  <w:u w:val="single"/>
                </w:rPr>
                <w:t xml:space="preserve">C(2010)7981 - 17/11/2010 </w:t>
              </w:r>
            </w:hyperlink>
          </w:p>
        </w:tc>
        <w:tc>
          <w:tcPr>
            <w:tcW w:w="2956" w:type="dxa"/>
            <w:shd w:val="clear" w:color="auto" w:fill="auto"/>
            <w:vAlign w:val="center"/>
          </w:tcPr>
          <w:p w:rsidR="002D42EA" w:rsidRPr="006F60AF" w:rsidRDefault="00F0610D" w:rsidP="006F60AF">
            <w:pPr>
              <w:pStyle w:val="Odsekzoznamu"/>
              <w:numPr>
                <w:ilvl w:val="0"/>
                <w:numId w:val="1"/>
              </w:numPr>
              <w:jc w:val="both"/>
              <w:rPr>
                <w:sz w:val="22"/>
                <w:szCs w:val="22"/>
                <w:lang w:eastAsia="en-US"/>
              </w:rPr>
            </w:pPr>
            <w:proofErr w:type="spellStart"/>
            <w:r>
              <w:rPr>
                <w:sz w:val="22"/>
                <w:szCs w:val="22"/>
                <w:lang w:eastAsia="en-US"/>
              </w:rPr>
              <w:t>r</w:t>
            </w:r>
            <w:r w:rsidR="002D42EA" w:rsidRPr="006F60AF">
              <w:rPr>
                <w:sz w:val="22"/>
                <w:szCs w:val="22"/>
                <w:lang w:eastAsia="en-US"/>
              </w:rPr>
              <w:t>ealokácia</w:t>
            </w:r>
            <w:proofErr w:type="spellEnd"/>
            <w:r w:rsidR="002D42EA" w:rsidRPr="006F60AF">
              <w:rPr>
                <w:sz w:val="22"/>
                <w:szCs w:val="22"/>
                <w:lang w:eastAsia="en-US"/>
              </w:rPr>
              <w:t xml:space="preserve">  z OP IS do OP </w:t>
            </w:r>
            <w:proofErr w:type="spellStart"/>
            <w:r w:rsidR="002D42EA" w:rsidRPr="006F60AF">
              <w:rPr>
                <w:sz w:val="22"/>
                <w:szCs w:val="22"/>
                <w:lang w:eastAsia="en-US"/>
              </w:rPr>
              <w:t>KaHR</w:t>
            </w:r>
            <w:proofErr w:type="spellEnd"/>
            <w:r w:rsidR="002D42EA" w:rsidRPr="006F60AF">
              <w:rPr>
                <w:sz w:val="22"/>
                <w:szCs w:val="22"/>
                <w:lang w:eastAsia="en-US"/>
              </w:rPr>
              <w:t xml:space="preserve"> v </w:t>
            </w:r>
            <w:r>
              <w:rPr>
                <w:sz w:val="22"/>
                <w:szCs w:val="22"/>
                <w:lang w:eastAsia="en-US"/>
              </w:rPr>
              <w:t>sume</w:t>
            </w:r>
            <w:r w:rsidR="002D42EA" w:rsidRPr="006F60AF">
              <w:rPr>
                <w:sz w:val="22"/>
                <w:szCs w:val="22"/>
                <w:lang w:eastAsia="en-US"/>
              </w:rPr>
              <w:t xml:space="preserve"> 5 mil. EUR</w:t>
            </w:r>
            <w:r w:rsidRPr="006F60AF">
              <w:rPr>
                <w:sz w:val="22"/>
                <w:szCs w:val="22"/>
                <w:lang w:eastAsia="en-US"/>
              </w:rPr>
              <w:t xml:space="preserve"> z ERDF (vrátane</w:t>
            </w:r>
            <w:r>
              <w:rPr>
                <w:sz w:val="22"/>
                <w:szCs w:val="22"/>
                <w:lang w:eastAsia="en-US"/>
              </w:rPr>
              <w:t xml:space="preserve"> </w:t>
            </w:r>
            <w:r w:rsidRPr="006F60AF">
              <w:rPr>
                <w:sz w:val="22"/>
                <w:szCs w:val="22"/>
                <w:lang w:eastAsia="en-US"/>
              </w:rPr>
              <w:t>spolufinancovania zo štátneho rozpočtu v sume 5,9 mil. EUR)</w:t>
            </w:r>
            <w:r w:rsidR="0037645A">
              <w:rPr>
                <w:sz w:val="22"/>
                <w:szCs w:val="22"/>
                <w:lang w:eastAsia="en-US"/>
              </w:rPr>
              <w:t>,</w:t>
            </w:r>
          </w:p>
          <w:p w:rsidR="005D3ABF" w:rsidRPr="002D42EA" w:rsidRDefault="00F0610D" w:rsidP="00F0610D">
            <w:pPr>
              <w:numPr>
                <w:ilvl w:val="0"/>
                <w:numId w:val="1"/>
              </w:numPr>
              <w:jc w:val="both"/>
              <w:rPr>
                <w:sz w:val="22"/>
                <w:szCs w:val="22"/>
              </w:rPr>
            </w:pPr>
            <w:r>
              <w:rPr>
                <w:sz w:val="22"/>
                <w:szCs w:val="22"/>
                <w:lang w:eastAsia="en-US"/>
              </w:rPr>
              <w:t>ú</w:t>
            </w:r>
            <w:r w:rsidR="005D3ABF">
              <w:rPr>
                <w:sz w:val="22"/>
                <w:szCs w:val="22"/>
                <w:lang w:eastAsia="en-US"/>
              </w:rPr>
              <w:t xml:space="preserve">prava </w:t>
            </w:r>
            <w:r>
              <w:rPr>
                <w:sz w:val="22"/>
                <w:szCs w:val="22"/>
                <w:lang w:eastAsia="en-US"/>
              </w:rPr>
              <w:t>merateľných ukazovateľov na úrovni prioritných osí a OP</w:t>
            </w:r>
          </w:p>
        </w:tc>
      </w:tr>
      <w:tr w:rsidR="002D42EA" w:rsidTr="00D25E7C">
        <w:trPr>
          <w:trHeight w:val="4417"/>
        </w:trPr>
        <w:tc>
          <w:tcPr>
            <w:tcW w:w="2093" w:type="dxa"/>
            <w:vMerge w:val="restart"/>
            <w:shd w:val="clear" w:color="auto" w:fill="auto"/>
            <w:vAlign w:val="center"/>
          </w:tcPr>
          <w:p w:rsidR="002D42EA" w:rsidRPr="002D42EA" w:rsidRDefault="002D42EA" w:rsidP="008106E3">
            <w:pPr>
              <w:jc w:val="center"/>
              <w:rPr>
                <w:sz w:val="22"/>
                <w:szCs w:val="22"/>
              </w:rPr>
            </w:pPr>
            <w:r w:rsidRPr="002D42EA">
              <w:rPr>
                <w:sz w:val="22"/>
                <w:szCs w:val="22"/>
              </w:rPr>
              <w:t>OP Životné prostredie</w:t>
            </w:r>
          </w:p>
          <w:p w:rsidR="002D42EA" w:rsidRPr="002D42EA" w:rsidRDefault="002D42EA" w:rsidP="008106E3">
            <w:pPr>
              <w:jc w:val="center"/>
              <w:rPr>
                <w:sz w:val="22"/>
                <w:szCs w:val="22"/>
              </w:rPr>
            </w:pPr>
          </w:p>
        </w:tc>
        <w:tc>
          <w:tcPr>
            <w:tcW w:w="1559" w:type="dxa"/>
            <w:shd w:val="clear" w:color="auto" w:fill="auto"/>
            <w:vAlign w:val="center"/>
          </w:tcPr>
          <w:p w:rsidR="002D42EA" w:rsidRPr="002D42EA" w:rsidRDefault="002D42EA" w:rsidP="008106E3">
            <w:pPr>
              <w:jc w:val="center"/>
              <w:rPr>
                <w:sz w:val="22"/>
                <w:szCs w:val="22"/>
              </w:rPr>
            </w:pPr>
            <w:r w:rsidRPr="002D42EA">
              <w:rPr>
                <w:sz w:val="22"/>
                <w:szCs w:val="22"/>
              </w:rPr>
              <w:t>1</w:t>
            </w:r>
          </w:p>
        </w:tc>
        <w:tc>
          <w:tcPr>
            <w:tcW w:w="3260" w:type="dxa"/>
            <w:shd w:val="clear" w:color="auto" w:fill="auto"/>
            <w:vAlign w:val="center"/>
          </w:tcPr>
          <w:p w:rsidR="002D42EA" w:rsidRPr="002D42EA" w:rsidRDefault="00400C5C" w:rsidP="008106E3">
            <w:pPr>
              <w:jc w:val="center"/>
              <w:rPr>
                <w:sz w:val="22"/>
                <w:szCs w:val="22"/>
              </w:rPr>
            </w:pPr>
            <w:r>
              <w:rPr>
                <w:sz w:val="22"/>
                <w:szCs w:val="22"/>
              </w:rPr>
              <w:t>29. 01. 2010</w:t>
            </w:r>
          </w:p>
        </w:tc>
        <w:tc>
          <w:tcPr>
            <w:tcW w:w="2694" w:type="dxa"/>
            <w:shd w:val="clear" w:color="auto" w:fill="auto"/>
            <w:vAlign w:val="center"/>
          </w:tcPr>
          <w:p w:rsidR="002D42EA" w:rsidRPr="002D42EA" w:rsidRDefault="002D42EA" w:rsidP="008E57D7">
            <w:pPr>
              <w:jc w:val="center"/>
              <w:rPr>
                <w:sz w:val="22"/>
                <w:szCs w:val="22"/>
              </w:rPr>
            </w:pPr>
            <w:r w:rsidRPr="002D42EA">
              <w:rPr>
                <w:sz w:val="22"/>
                <w:szCs w:val="22"/>
              </w:rPr>
              <w:t>15. 04. 2010</w:t>
            </w:r>
          </w:p>
        </w:tc>
        <w:tc>
          <w:tcPr>
            <w:tcW w:w="2126" w:type="dxa"/>
            <w:shd w:val="clear" w:color="auto" w:fill="auto"/>
            <w:vAlign w:val="center"/>
          </w:tcPr>
          <w:p w:rsidR="002D42EA" w:rsidRPr="002D42EA" w:rsidRDefault="0054572E" w:rsidP="00080D3B">
            <w:pPr>
              <w:jc w:val="center"/>
              <w:rPr>
                <w:sz w:val="22"/>
                <w:szCs w:val="22"/>
              </w:rPr>
            </w:pPr>
            <w:hyperlink r:id="rId9" w:history="1">
              <w:r w:rsidR="002D42EA" w:rsidRPr="002D42EA">
                <w:rPr>
                  <w:color w:val="0000FF"/>
                  <w:sz w:val="22"/>
                  <w:szCs w:val="22"/>
                  <w:u w:val="single"/>
                </w:rPr>
                <w:t xml:space="preserve">C(2010)2270 - 15/04/2010 </w:t>
              </w:r>
            </w:hyperlink>
          </w:p>
        </w:tc>
        <w:tc>
          <w:tcPr>
            <w:tcW w:w="2956" w:type="dxa"/>
            <w:shd w:val="clear" w:color="auto" w:fill="auto"/>
            <w:vAlign w:val="center"/>
          </w:tcPr>
          <w:p w:rsidR="002D42EA" w:rsidRPr="002D42EA" w:rsidRDefault="00F81C77" w:rsidP="008F3C4A">
            <w:pPr>
              <w:snapToGrid w:val="0"/>
              <w:spacing w:before="120" w:after="120"/>
              <w:jc w:val="both"/>
              <w:rPr>
                <w:sz w:val="22"/>
                <w:szCs w:val="22"/>
              </w:rPr>
            </w:pPr>
            <w:r>
              <w:rPr>
                <w:sz w:val="22"/>
                <w:szCs w:val="22"/>
                <w:lang w:eastAsia="en-US"/>
              </w:rPr>
              <w:t xml:space="preserve">Revízia OP ŽP bola vykonaná v súvislosti s vyčlenením prostriedkov v rámci OP ŽP na implementáciu iniciatívy Európskeho spoločenstva JEREMIE. </w:t>
            </w:r>
            <w:r w:rsidR="008F3C4A">
              <w:rPr>
                <w:sz w:val="22"/>
                <w:szCs w:val="22"/>
                <w:lang w:eastAsia="en-US"/>
              </w:rPr>
              <w:t>V</w:t>
            </w:r>
            <w:r w:rsidR="00D25E7C" w:rsidRPr="00D25E7C">
              <w:rPr>
                <w:sz w:val="22"/>
                <w:szCs w:val="22"/>
                <w:lang w:eastAsia="en-US"/>
              </w:rPr>
              <w:t xml:space="preserve"> rámci uvedenej revízie nedochádzalo k </w:t>
            </w:r>
            <w:proofErr w:type="spellStart"/>
            <w:r w:rsidR="00D25E7C" w:rsidRPr="00D25E7C">
              <w:rPr>
                <w:sz w:val="22"/>
                <w:szCs w:val="22"/>
                <w:lang w:eastAsia="en-US"/>
              </w:rPr>
              <w:t>realokáci</w:t>
            </w:r>
            <w:r w:rsidR="008F3C4A">
              <w:rPr>
                <w:sz w:val="22"/>
                <w:szCs w:val="22"/>
                <w:lang w:eastAsia="en-US"/>
              </w:rPr>
              <w:t>í</w:t>
            </w:r>
            <w:proofErr w:type="spellEnd"/>
            <w:r w:rsidR="00D25E7C" w:rsidRPr="00D25E7C">
              <w:rPr>
                <w:sz w:val="22"/>
                <w:szCs w:val="22"/>
                <w:lang w:eastAsia="en-US"/>
              </w:rPr>
              <w:t xml:space="preserve"> prostriedkov  (t.j. k zníženiu alebo zvýšeniu alokácie ani na úrovni OP ŽP, ani na úrovni jeho jednotlivých prioritných osí). Finančná alokácia aj na úrovni OP ŽP, aj na úrovni jeho jednotlivých prioritných osí ostala zachovaná a zmenila sa iba forma pomoci (t.j. z formy pomoci  „nenávratný finančný príspevok“ na „iné formy pomoci“) v prípade prostriedkov (27 mil. EUR z ERDF) určených na iniciatívu JEREMIE.    </w:t>
            </w:r>
          </w:p>
        </w:tc>
      </w:tr>
      <w:tr w:rsidR="002D42EA" w:rsidTr="002D42EA">
        <w:trPr>
          <w:trHeight w:val="692"/>
        </w:trPr>
        <w:tc>
          <w:tcPr>
            <w:tcW w:w="2093" w:type="dxa"/>
            <w:vMerge/>
            <w:shd w:val="clear" w:color="auto" w:fill="auto"/>
            <w:vAlign w:val="center"/>
          </w:tcPr>
          <w:p w:rsidR="002D42EA" w:rsidRPr="002D42EA" w:rsidRDefault="002D42EA" w:rsidP="008106E3">
            <w:pPr>
              <w:jc w:val="center"/>
              <w:rPr>
                <w:sz w:val="22"/>
                <w:szCs w:val="22"/>
              </w:rPr>
            </w:pPr>
          </w:p>
        </w:tc>
        <w:tc>
          <w:tcPr>
            <w:tcW w:w="1559" w:type="dxa"/>
            <w:shd w:val="clear" w:color="auto" w:fill="auto"/>
            <w:vAlign w:val="center"/>
          </w:tcPr>
          <w:p w:rsidR="002D42EA" w:rsidRPr="002D42EA" w:rsidRDefault="002D42EA" w:rsidP="008106E3">
            <w:pPr>
              <w:jc w:val="center"/>
              <w:rPr>
                <w:sz w:val="22"/>
                <w:szCs w:val="22"/>
              </w:rPr>
            </w:pPr>
            <w:r w:rsidRPr="002D42EA">
              <w:rPr>
                <w:sz w:val="22"/>
                <w:szCs w:val="22"/>
              </w:rPr>
              <w:t>2</w:t>
            </w:r>
          </w:p>
        </w:tc>
        <w:tc>
          <w:tcPr>
            <w:tcW w:w="3260" w:type="dxa"/>
            <w:shd w:val="clear" w:color="auto" w:fill="auto"/>
            <w:vAlign w:val="center"/>
          </w:tcPr>
          <w:p w:rsidR="002D42EA" w:rsidRPr="002D42EA" w:rsidRDefault="00400C5C" w:rsidP="008106E3">
            <w:pPr>
              <w:jc w:val="center"/>
              <w:rPr>
                <w:sz w:val="22"/>
                <w:szCs w:val="22"/>
              </w:rPr>
            </w:pPr>
            <w:r>
              <w:rPr>
                <w:sz w:val="22"/>
                <w:szCs w:val="22"/>
              </w:rPr>
              <w:t>29. 10. 2010</w:t>
            </w:r>
          </w:p>
        </w:tc>
        <w:tc>
          <w:tcPr>
            <w:tcW w:w="2694" w:type="dxa"/>
            <w:shd w:val="clear" w:color="auto" w:fill="auto"/>
            <w:vAlign w:val="center"/>
          </w:tcPr>
          <w:p w:rsidR="002D42EA" w:rsidRPr="002D42EA" w:rsidRDefault="00F81C77" w:rsidP="008A006D">
            <w:pPr>
              <w:jc w:val="center"/>
              <w:rPr>
                <w:sz w:val="22"/>
                <w:szCs w:val="22"/>
              </w:rPr>
            </w:pPr>
            <w:r w:rsidRPr="00F81C77">
              <w:rPr>
                <w:sz w:val="22"/>
                <w:szCs w:val="22"/>
              </w:rPr>
              <w:t xml:space="preserve">Uvedená revízia nebola k 31. 12. 2010 schválená EK </w:t>
            </w:r>
            <w:r w:rsidRPr="00F81C77" w:rsidDel="008A006D">
              <w:rPr>
                <w:sz w:val="22"/>
                <w:szCs w:val="22"/>
              </w:rPr>
              <w:t xml:space="preserve"> </w:t>
            </w:r>
          </w:p>
        </w:tc>
        <w:tc>
          <w:tcPr>
            <w:tcW w:w="2126" w:type="dxa"/>
            <w:shd w:val="clear" w:color="auto" w:fill="auto"/>
            <w:vAlign w:val="center"/>
          </w:tcPr>
          <w:p w:rsidR="008A006D" w:rsidRPr="002D42EA" w:rsidDel="008A006D" w:rsidRDefault="002D42EA" w:rsidP="008A006D">
            <w:pPr>
              <w:jc w:val="center"/>
              <w:rPr>
                <w:color w:val="0000FF"/>
                <w:sz w:val="22"/>
                <w:szCs w:val="22"/>
                <w:u w:val="single"/>
              </w:rPr>
            </w:pPr>
            <w:r w:rsidRPr="002D42EA">
              <w:rPr>
                <w:sz w:val="22"/>
                <w:szCs w:val="22"/>
              </w:rPr>
              <w:fldChar w:fldCharType="begin"/>
            </w:r>
            <w:r w:rsidRPr="002D42EA">
              <w:rPr>
                <w:sz w:val="22"/>
                <w:szCs w:val="22"/>
              </w:rPr>
              <w:instrText>HYPERLINK "https://webgate.ec.europa.eu/sfc2007/frontoffice/commission/decision/display.do?objectUniqId=2968"</w:instrText>
            </w:r>
            <w:r w:rsidRPr="002D42EA">
              <w:rPr>
                <w:sz w:val="22"/>
                <w:szCs w:val="22"/>
              </w:rPr>
              <w:fldChar w:fldCharType="separate"/>
            </w:r>
          </w:p>
          <w:p w:rsidR="002D42EA" w:rsidRPr="002D42EA" w:rsidRDefault="00F81C77">
            <w:pPr>
              <w:jc w:val="center"/>
              <w:rPr>
                <w:sz w:val="22"/>
                <w:szCs w:val="22"/>
              </w:rPr>
            </w:pPr>
            <w:r>
              <w:rPr>
                <w:sz w:val="22"/>
                <w:szCs w:val="22"/>
              </w:rPr>
              <w:t>-</w:t>
            </w:r>
            <w:r w:rsidR="002D42EA" w:rsidRPr="002D42EA">
              <w:rPr>
                <w:sz w:val="22"/>
                <w:szCs w:val="22"/>
              </w:rPr>
              <w:fldChar w:fldCharType="end"/>
            </w:r>
          </w:p>
        </w:tc>
        <w:tc>
          <w:tcPr>
            <w:tcW w:w="2956" w:type="dxa"/>
            <w:shd w:val="clear" w:color="auto" w:fill="auto"/>
            <w:vAlign w:val="center"/>
          </w:tcPr>
          <w:p w:rsidR="002D42EA" w:rsidRPr="002D42EA" w:rsidRDefault="002D42EA" w:rsidP="008106E3">
            <w:pPr>
              <w:jc w:val="both"/>
              <w:rPr>
                <w:sz w:val="22"/>
                <w:szCs w:val="22"/>
              </w:rPr>
            </w:pPr>
            <w:r w:rsidRPr="002D42EA">
              <w:rPr>
                <w:sz w:val="22"/>
                <w:szCs w:val="22"/>
              </w:rPr>
              <w:t>Žiadosť odoslaná na EK 29/10/2010</w:t>
            </w:r>
          </w:p>
          <w:p w:rsidR="002D42EA" w:rsidRPr="002D42EA" w:rsidRDefault="002D42EA" w:rsidP="008106E3">
            <w:pPr>
              <w:jc w:val="both"/>
              <w:rPr>
                <w:sz w:val="22"/>
                <w:szCs w:val="22"/>
              </w:rPr>
            </w:pPr>
            <w:r w:rsidRPr="002D42EA">
              <w:rPr>
                <w:sz w:val="22"/>
                <w:szCs w:val="22"/>
                <w:lang w:eastAsia="en-US"/>
              </w:rPr>
              <w:t xml:space="preserve">Revízia OP ŽP bola v súvislosti so zmenou kompetenčného zákona a prerozdelenia dodatočnej finančnej alokácie vo výške 137 711 534 EUR vyplývajúceho z rozhodnutia Európskej Komisie K(2010)5817 zo dňa    30. augusta 2010, ktorým sa mení a dopĺňa rozhodnutie 2006/594/ES a rozhodnutie 2006/593/ES, ktorým sa stanovuje indikatívne pridelenie viazaných rozpočtových prostriedkov rozčlenených podľa členských štátov v rámci cieľa Konvergencia a cieľa Regionálna konkurencieschopnosť a zamestnanosť na obdobie rokov 2007 - 2013. </w:t>
            </w:r>
          </w:p>
        </w:tc>
      </w:tr>
      <w:tr w:rsidR="002D42EA" w:rsidTr="002D42EA">
        <w:trPr>
          <w:trHeight w:val="688"/>
        </w:trPr>
        <w:tc>
          <w:tcPr>
            <w:tcW w:w="2093" w:type="dxa"/>
            <w:shd w:val="clear" w:color="auto" w:fill="auto"/>
            <w:vAlign w:val="center"/>
          </w:tcPr>
          <w:p w:rsidR="002D42EA" w:rsidRPr="002D42EA" w:rsidRDefault="002D42EA" w:rsidP="008106E3">
            <w:pPr>
              <w:jc w:val="center"/>
              <w:rPr>
                <w:sz w:val="22"/>
                <w:szCs w:val="22"/>
              </w:rPr>
            </w:pPr>
            <w:r w:rsidRPr="002D42EA">
              <w:rPr>
                <w:sz w:val="22"/>
                <w:szCs w:val="22"/>
              </w:rPr>
              <w:t>Regionálny operačný program</w:t>
            </w:r>
          </w:p>
          <w:p w:rsidR="002D42EA" w:rsidRPr="002D42EA" w:rsidRDefault="002D42EA" w:rsidP="008106E3">
            <w:pPr>
              <w:jc w:val="center"/>
              <w:rPr>
                <w:sz w:val="22"/>
                <w:szCs w:val="22"/>
              </w:rPr>
            </w:pPr>
          </w:p>
        </w:tc>
        <w:tc>
          <w:tcPr>
            <w:tcW w:w="1559" w:type="dxa"/>
            <w:shd w:val="clear" w:color="auto" w:fill="auto"/>
            <w:vAlign w:val="center"/>
          </w:tcPr>
          <w:p w:rsidR="002D42EA" w:rsidRPr="002D42EA" w:rsidRDefault="002D42EA" w:rsidP="008106E3">
            <w:pPr>
              <w:jc w:val="center"/>
              <w:rPr>
                <w:sz w:val="22"/>
                <w:szCs w:val="22"/>
              </w:rPr>
            </w:pPr>
            <w:r w:rsidRPr="002D42EA">
              <w:rPr>
                <w:sz w:val="22"/>
                <w:szCs w:val="22"/>
              </w:rPr>
              <w:t>1</w:t>
            </w:r>
          </w:p>
        </w:tc>
        <w:tc>
          <w:tcPr>
            <w:tcW w:w="3260" w:type="dxa"/>
            <w:shd w:val="clear" w:color="auto" w:fill="auto"/>
            <w:vAlign w:val="center"/>
          </w:tcPr>
          <w:p w:rsidR="002D42EA" w:rsidRPr="002D42EA" w:rsidRDefault="00C42058" w:rsidP="008106E3">
            <w:pPr>
              <w:jc w:val="center"/>
              <w:rPr>
                <w:sz w:val="22"/>
                <w:szCs w:val="22"/>
              </w:rPr>
            </w:pPr>
            <w:r>
              <w:rPr>
                <w:sz w:val="22"/>
                <w:szCs w:val="22"/>
              </w:rPr>
              <w:t>29. 10. 2010</w:t>
            </w:r>
          </w:p>
        </w:tc>
        <w:tc>
          <w:tcPr>
            <w:tcW w:w="2694" w:type="dxa"/>
            <w:shd w:val="clear" w:color="auto" w:fill="auto"/>
            <w:vAlign w:val="center"/>
          </w:tcPr>
          <w:p w:rsidR="002D42EA" w:rsidRPr="002D42EA" w:rsidRDefault="00F33348" w:rsidP="008E57D7">
            <w:pPr>
              <w:jc w:val="center"/>
              <w:rPr>
                <w:sz w:val="22"/>
                <w:szCs w:val="22"/>
              </w:rPr>
            </w:pPr>
            <w:r w:rsidRPr="00A53DA7">
              <w:rPr>
                <w:sz w:val="22"/>
                <w:szCs w:val="22"/>
              </w:rPr>
              <w:t xml:space="preserve">Uvedená revízia nebola k 31. 12. 2010 schválená EK </w:t>
            </w:r>
            <w:r w:rsidRPr="00A53DA7" w:rsidDel="008A006D">
              <w:rPr>
                <w:sz w:val="22"/>
                <w:szCs w:val="22"/>
              </w:rPr>
              <w:t xml:space="preserve"> </w:t>
            </w:r>
          </w:p>
        </w:tc>
        <w:tc>
          <w:tcPr>
            <w:tcW w:w="2126" w:type="dxa"/>
            <w:shd w:val="clear" w:color="auto" w:fill="auto"/>
            <w:vAlign w:val="center"/>
          </w:tcPr>
          <w:p w:rsidR="002D42EA" w:rsidRPr="002D42EA" w:rsidRDefault="00F33348" w:rsidP="00080D3B">
            <w:pPr>
              <w:jc w:val="center"/>
              <w:rPr>
                <w:sz w:val="22"/>
                <w:szCs w:val="22"/>
              </w:rPr>
            </w:pPr>
            <w:r>
              <w:rPr>
                <w:sz w:val="22"/>
                <w:szCs w:val="22"/>
              </w:rPr>
              <w:t>-</w:t>
            </w:r>
          </w:p>
        </w:tc>
        <w:tc>
          <w:tcPr>
            <w:tcW w:w="2956" w:type="dxa"/>
            <w:shd w:val="clear" w:color="auto" w:fill="auto"/>
            <w:vAlign w:val="center"/>
          </w:tcPr>
          <w:p w:rsidR="002D42EA" w:rsidRPr="002D42EA" w:rsidRDefault="002D42EA" w:rsidP="008106E3">
            <w:pPr>
              <w:jc w:val="both"/>
              <w:rPr>
                <w:sz w:val="22"/>
                <w:szCs w:val="22"/>
              </w:rPr>
            </w:pPr>
            <w:r w:rsidRPr="002D42EA">
              <w:rPr>
                <w:sz w:val="22"/>
                <w:szCs w:val="22"/>
              </w:rPr>
              <w:t>Žiadosť odoslaná na EK 29/10/2010</w:t>
            </w:r>
          </w:p>
          <w:p w:rsidR="002D42EA" w:rsidRDefault="002D42EA" w:rsidP="00CE5C40">
            <w:pPr>
              <w:jc w:val="both"/>
              <w:rPr>
                <w:sz w:val="22"/>
                <w:szCs w:val="22"/>
              </w:rPr>
            </w:pPr>
            <w:r w:rsidRPr="002D42EA">
              <w:rPr>
                <w:sz w:val="22"/>
                <w:szCs w:val="22"/>
              </w:rPr>
              <w:t xml:space="preserve">Revízia ROP a OP BK bola v súvislosti so zmenou kompetenčného zákona a prerozdelenia dodatočnej finančnej alokácie vo výške         137 711 534 EUR vyplývajúceho z rozhodnutia Európskej Komisie </w:t>
            </w:r>
            <w:r w:rsidRPr="002D42EA">
              <w:rPr>
                <w:sz w:val="22"/>
                <w:szCs w:val="22"/>
              </w:rPr>
              <w:lastRenderedPageBreak/>
              <w:t>K(2010)5817 zo dňa 30. augusta 2010, ktorým sa mení a dopĺňa rozhodnutie 2006/594/ES a rozhodnutie 2006/593/ES, ktorým sa stanovuje indikatívne pridelenie viazaných rozpočtových prostriedkov rozčlenených podľa členských štátov v rámci cieľa Konvergencia a cieľa Regionálna konkurencieschopnosť a zamestnanosť na obdobie rokov 2007 - 2013.</w:t>
            </w:r>
            <w:r w:rsidR="00F33348">
              <w:rPr>
                <w:sz w:val="22"/>
                <w:szCs w:val="22"/>
              </w:rPr>
              <w:t xml:space="preserve"> </w:t>
            </w:r>
          </w:p>
          <w:p w:rsidR="00CE5C40" w:rsidRPr="002D42EA" w:rsidRDefault="00CE5C40" w:rsidP="00CE5C40">
            <w:pPr>
              <w:jc w:val="both"/>
              <w:rPr>
                <w:sz w:val="22"/>
                <w:szCs w:val="22"/>
              </w:rPr>
            </w:pPr>
            <w:r>
              <w:rPr>
                <w:sz w:val="22"/>
                <w:szCs w:val="22"/>
              </w:rPr>
              <w:t xml:space="preserve">Revízia ROP taktiež reaguje na závery pravidelného hodnotenia ROP vykonaného v roku 2010. Revíziou dochádza k úprave stratégie ROP a finančného plánu ROP a vzniku novej prioritnej osi 7 určenej pre projekty EHMK – Košice 2013. </w:t>
            </w:r>
          </w:p>
        </w:tc>
      </w:tr>
      <w:tr w:rsidR="002D42EA" w:rsidTr="002D42EA">
        <w:trPr>
          <w:trHeight w:val="674"/>
        </w:trPr>
        <w:tc>
          <w:tcPr>
            <w:tcW w:w="2093" w:type="dxa"/>
            <w:shd w:val="clear" w:color="auto" w:fill="auto"/>
            <w:vAlign w:val="center"/>
          </w:tcPr>
          <w:p w:rsidR="002D42EA" w:rsidRPr="002D42EA" w:rsidRDefault="002D42EA" w:rsidP="008106E3">
            <w:pPr>
              <w:jc w:val="center"/>
              <w:rPr>
                <w:sz w:val="22"/>
                <w:szCs w:val="22"/>
              </w:rPr>
            </w:pPr>
            <w:r w:rsidRPr="002D42EA">
              <w:rPr>
                <w:sz w:val="22"/>
                <w:szCs w:val="22"/>
              </w:rPr>
              <w:lastRenderedPageBreak/>
              <w:t>OP Konkurencia a hospodársky rast</w:t>
            </w:r>
          </w:p>
        </w:tc>
        <w:tc>
          <w:tcPr>
            <w:tcW w:w="1559" w:type="dxa"/>
            <w:shd w:val="clear" w:color="auto" w:fill="auto"/>
            <w:vAlign w:val="center"/>
          </w:tcPr>
          <w:p w:rsidR="002D42EA" w:rsidRPr="002D42EA" w:rsidRDefault="00A53DA7" w:rsidP="008106E3">
            <w:pPr>
              <w:jc w:val="center"/>
              <w:rPr>
                <w:sz w:val="22"/>
                <w:szCs w:val="22"/>
              </w:rPr>
            </w:pPr>
            <w:r>
              <w:rPr>
                <w:sz w:val="22"/>
                <w:szCs w:val="22"/>
              </w:rPr>
              <w:t>1</w:t>
            </w:r>
          </w:p>
        </w:tc>
        <w:tc>
          <w:tcPr>
            <w:tcW w:w="3260" w:type="dxa"/>
            <w:shd w:val="clear" w:color="auto" w:fill="auto"/>
            <w:vAlign w:val="center"/>
          </w:tcPr>
          <w:p w:rsidR="002D42EA" w:rsidRPr="002D42EA" w:rsidRDefault="00C42058" w:rsidP="00C42058">
            <w:pPr>
              <w:jc w:val="center"/>
              <w:rPr>
                <w:sz w:val="22"/>
                <w:szCs w:val="22"/>
              </w:rPr>
            </w:pPr>
            <w:r>
              <w:rPr>
                <w:sz w:val="22"/>
                <w:szCs w:val="22"/>
              </w:rPr>
              <w:t>09. 02. 2010</w:t>
            </w:r>
          </w:p>
        </w:tc>
        <w:tc>
          <w:tcPr>
            <w:tcW w:w="2694" w:type="dxa"/>
            <w:shd w:val="clear" w:color="auto" w:fill="auto"/>
            <w:vAlign w:val="center"/>
          </w:tcPr>
          <w:p w:rsidR="002D42EA" w:rsidRPr="002D42EA" w:rsidRDefault="002D42EA" w:rsidP="008E57D7">
            <w:pPr>
              <w:jc w:val="center"/>
              <w:rPr>
                <w:sz w:val="22"/>
                <w:szCs w:val="22"/>
              </w:rPr>
            </w:pPr>
            <w:r w:rsidRPr="002D42EA">
              <w:rPr>
                <w:sz w:val="22"/>
                <w:szCs w:val="22"/>
              </w:rPr>
              <w:t>15. 09. 2010</w:t>
            </w:r>
          </w:p>
        </w:tc>
        <w:tc>
          <w:tcPr>
            <w:tcW w:w="2126" w:type="dxa"/>
            <w:shd w:val="clear" w:color="auto" w:fill="auto"/>
            <w:vAlign w:val="center"/>
          </w:tcPr>
          <w:p w:rsidR="002D42EA" w:rsidRPr="002D42EA" w:rsidRDefault="0054572E" w:rsidP="00080D3B">
            <w:pPr>
              <w:jc w:val="center"/>
              <w:rPr>
                <w:sz w:val="22"/>
                <w:szCs w:val="22"/>
              </w:rPr>
            </w:pPr>
            <w:hyperlink r:id="rId10" w:history="1">
              <w:r w:rsidR="002D42EA" w:rsidRPr="002D42EA">
                <w:rPr>
                  <w:color w:val="0000FF"/>
                  <w:sz w:val="22"/>
                  <w:szCs w:val="22"/>
                  <w:u w:val="single"/>
                </w:rPr>
                <w:t xml:space="preserve">C(2010)6168 - 15/09/2010 </w:t>
              </w:r>
            </w:hyperlink>
          </w:p>
        </w:tc>
        <w:tc>
          <w:tcPr>
            <w:tcW w:w="2956" w:type="dxa"/>
            <w:shd w:val="clear" w:color="auto" w:fill="auto"/>
            <w:vAlign w:val="center"/>
          </w:tcPr>
          <w:p w:rsidR="002D42EA" w:rsidRPr="00AA4419" w:rsidRDefault="00AA4419" w:rsidP="00AA4419">
            <w:pPr>
              <w:pStyle w:val="Odsekzoznamu"/>
              <w:numPr>
                <w:ilvl w:val="0"/>
                <w:numId w:val="1"/>
              </w:numPr>
              <w:jc w:val="both"/>
              <w:rPr>
                <w:sz w:val="22"/>
                <w:szCs w:val="22"/>
                <w:lang w:eastAsia="en-US"/>
              </w:rPr>
            </w:pPr>
            <w:proofErr w:type="spellStart"/>
            <w:r>
              <w:rPr>
                <w:sz w:val="22"/>
                <w:szCs w:val="22"/>
                <w:lang w:eastAsia="en-US"/>
              </w:rPr>
              <w:t>r</w:t>
            </w:r>
            <w:r w:rsidR="002D42EA" w:rsidRPr="00AA4419">
              <w:rPr>
                <w:sz w:val="22"/>
                <w:szCs w:val="22"/>
                <w:lang w:eastAsia="en-US"/>
              </w:rPr>
              <w:t>ealokácia</w:t>
            </w:r>
            <w:proofErr w:type="spellEnd"/>
            <w:r w:rsidR="002D42EA" w:rsidRPr="00AA4419">
              <w:rPr>
                <w:sz w:val="22"/>
                <w:szCs w:val="22"/>
                <w:lang w:eastAsia="en-US"/>
              </w:rPr>
              <w:t xml:space="preserve"> z OPIS do OP </w:t>
            </w:r>
            <w:proofErr w:type="spellStart"/>
            <w:r w:rsidR="002D42EA" w:rsidRPr="00AA4419">
              <w:rPr>
                <w:sz w:val="22"/>
                <w:szCs w:val="22"/>
                <w:lang w:eastAsia="en-US"/>
              </w:rPr>
              <w:t>KaHR</w:t>
            </w:r>
            <w:proofErr w:type="spellEnd"/>
            <w:r w:rsidR="002D42EA" w:rsidRPr="00AA4419">
              <w:rPr>
                <w:sz w:val="22"/>
                <w:szCs w:val="22"/>
                <w:lang w:eastAsia="en-US"/>
              </w:rPr>
              <w:t xml:space="preserve"> v</w:t>
            </w:r>
            <w:r w:rsidRPr="00AA4419">
              <w:rPr>
                <w:sz w:val="22"/>
                <w:szCs w:val="22"/>
                <w:lang w:eastAsia="en-US"/>
              </w:rPr>
              <w:t xml:space="preserve"> sume </w:t>
            </w:r>
            <w:r w:rsidR="002D42EA" w:rsidRPr="00AA4419">
              <w:rPr>
                <w:sz w:val="22"/>
                <w:szCs w:val="22"/>
                <w:lang w:eastAsia="en-US"/>
              </w:rPr>
              <w:t>5 mil. EUR</w:t>
            </w:r>
            <w:r w:rsidRPr="00AA4419">
              <w:rPr>
                <w:sz w:val="22"/>
                <w:szCs w:val="22"/>
                <w:lang w:eastAsia="en-US"/>
              </w:rPr>
              <w:t xml:space="preserve"> z ERDF (vrátane spolufinancovania zo štátneho rozpočtu v sume 5,9 </w:t>
            </w:r>
            <w:proofErr w:type="spellStart"/>
            <w:r w:rsidRPr="00AA4419">
              <w:rPr>
                <w:sz w:val="22"/>
                <w:szCs w:val="22"/>
                <w:lang w:eastAsia="en-US"/>
              </w:rPr>
              <w:t>mil</w:t>
            </w:r>
            <w:proofErr w:type="spellEnd"/>
            <w:r w:rsidRPr="00AA4419">
              <w:rPr>
                <w:sz w:val="22"/>
                <w:szCs w:val="22"/>
                <w:lang w:eastAsia="en-US"/>
              </w:rPr>
              <w:t xml:space="preserve"> EUR),</w:t>
            </w:r>
          </w:p>
          <w:p w:rsidR="002D42EA" w:rsidRPr="002D42EA" w:rsidRDefault="00AA4419" w:rsidP="00080D3B">
            <w:pPr>
              <w:numPr>
                <w:ilvl w:val="0"/>
                <w:numId w:val="1"/>
              </w:numPr>
              <w:jc w:val="both"/>
              <w:rPr>
                <w:sz w:val="22"/>
                <w:szCs w:val="22"/>
              </w:rPr>
            </w:pPr>
            <w:r>
              <w:rPr>
                <w:sz w:val="22"/>
                <w:szCs w:val="22"/>
              </w:rPr>
              <w:t>úprava merateľných ukazovateľov na úrovni prioritných osí a OP</w:t>
            </w:r>
          </w:p>
        </w:tc>
      </w:tr>
      <w:tr w:rsidR="002D42EA" w:rsidTr="002D42EA">
        <w:trPr>
          <w:trHeight w:val="811"/>
        </w:trPr>
        <w:tc>
          <w:tcPr>
            <w:tcW w:w="2093" w:type="dxa"/>
            <w:shd w:val="clear" w:color="auto" w:fill="auto"/>
            <w:vAlign w:val="center"/>
          </w:tcPr>
          <w:p w:rsidR="002D42EA" w:rsidRPr="002D42EA" w:rsidRDefault="002D42EA" w:rsidP="008106E3">
            <w:pPr>
              <w:jc w:val="center"/>
              <w:rPr>
                <w:sz w:val="22"/>
                <w:szCs w:val="22"/>
              </w:rPr>
            </w:pPr>
            <w:r w:rsidRPr="002D42EA">
              <w:rPr>
                <w:sz w:val="22"/>
                <w:szCs w:val="22"/>
              </w:rPr>
              <w:lastRenderedPageBreak/>
              <w:t>OP Bratislavský kraj</w:t>
            </w:r>
          </w:p>
          <w:p w:rsidR="002D42EA" w:rsidRPr="002D42EA" w:rsidRDefault="002D42EA" w:rsidP="008106E3">
            <w:pPr>
              <w:jc w:val="center"/>
              <w:rPr>
                <w:sz w:val="22"/>
                <w:szCs w:val="22"/>
              </w:rPr>
            </w:pPr>
          </w:p>
        </w:tc>
        <w:tc>
          <w:tcPr>
            <w:tcW w:w="1559" w:type="dxa"/>
            <w:shd w:val="clear" w:color="auto" w:fill="auto"/>
            <w:vAlign w:val="center"/>
          </w:tcPr>
          <w:p w:rsidR="002D42EA" w:rsidRPr="002D42EA" w:rsidRDefault="006F60AF" w:rsidP="008106E3">
            <w:pPr>
              <w:jc w:val="center"/>
              <w:rPr>
                <w:sz w:val="22"/>
                <w:szCs w:val="22"/>
              </w:rPr>
            </w:pPr>
            <w:r>
              <w:rPr>
                <w:sz w:val="22"/>
                <w:szCs w:val="22"/>
              </w:rPr>
              <w:t>2</w:t>
            </w:r>
            <w:bookmarkStart w:id="0" w:name="_GoBack"/>
            <w:bookmarkEnd w:id="0"/>
          </w:p>
        </w:tc>
        <w:tc>
          <w:tcPr>
            <w:tcW w:w="3260" w:type="dxa"/>
            <w:shd w:val="clear" w:color="auto" w:fill="auto"/>
            <w:vAlign w:val="center"/>
          </w:tcPr>
          <w:p w:rsidR="002D42EA" w:rsidRPr="002D42EA" w:rsidRDefault="00C42058" w:rsidP="008106E3">
            <w:pPr>
              <w:jc w:val="center"/>
              <w:rPr>
                <w:sz w:val="22"/>
                <w:szCs w:val="22"/>
              </w:rPr>
            </w:pPr>
            <w:r>
              <w:rPr>
                <w:sz w:val="22"/>
                <w:szCs w:val="22"/>
              </w:rPr>
              <w:t>29. 10. 2010</w:t>
            </w:r>
          </w:p>
        </w:tc>
        <w:tc>
          <w:tcPr>
            <w:tcW w:w="2694" w:type="dxa"/>
            <w:shd w:val="clear" w:color="auto" w:fill="auto"/>
            <w:vAlign w:val="center"/>
          </w:tcPr>
          <w:p w:rsidR="002D42EA" w:rsidRPr="002D42EA" w:rsidRDefault="00CE5C40" w:rsidP="008E57D7">
            <w:pPr>
              <w:jc w:val="center"/>
              <w:rPr>
                <w:sz w:val="22"/>
                <w:szCs w:val="22"/>
              </w:rPr>
            </w:pPr>
            <w:r w:rsidRPr="00CE5C40">
              <w:rPr>
                <w:sz w:val="22"/>
                <w:szCs w:val="22"/>
              </w:rPr>
              <w:t>Uvedená revízia nebola k 31. 12. 2010 schválená EK</w:t>
            </w:r>
          </w:p>
        </w:tc>
        <w:tc>
          <w:tcPr>
            <w:tcW w:w="2126" w:type="dxa"/>
            <w:shd w:val="clear" w:color="auto" w:fill="auto"/>
            <w:vAlign w:val="center"/>
          </w:tcPr>
          <w:p w:rsidR="002D42EA" w:rsidRPr="002D42EA" w:rsidRDefault="002D42EA" w:rsidP="00080D3B">
            <w:pPr>
              <w:jc w:val="center"/>
              <w:rPr>
                <w:sz w:val="22"/>
                <w:szCs w:val="22"/>
              </w:rPr>
            </w:pPr>
          </w:p>
        </w:tc>
        <w:tc>
          <w:tcPr>
            <w:tcW w:w="2956" w:type="dxa"/>
            <w:shd w:val="clear" w:color="auto" w:fill="auto"/>
            <w:vAlign w:val="center"/>
          </w:tcPr>
          <w:p w:rsidR="002D42EA" w:rsidRPr="002D42EA" w:rsidRDefault="002D42EA" w:rsidP="008106E3">
            <w:pPr>
              <w:jc w:val="both"/>
              <w:rPr>
                <w:sz w:val="22"/>
                <w:szCs w:val="22"/>
              </w:rPr>
            </w:pPr>
            <w:r w:rsidRPr="002D42EA">
              <w:rPr>
                <w:sz w:val="22"/>
                <w:szCs w:val="22"/>
              </w:rPr>
              <w:t>Žiadosť odoslaná na EK 29/10/2010</w:t>
            </w:r>
          </w:p>
          <w:p w:rsidR="00CE5C40" w:rsidRDefault="002D42EA" w:rsidP="008106E3">
            <w:pPr>
              <w:jc w:val="both"/>
              <w:rPr>
                <w:sz w:val="22"/>
                <w:szCs w:val="22"/>
              </w:rPr>
            </w:pPr>
            <w:r w:rsidRPr="002D42EA">
              <w:rPr>
                <w:sz w:val="22"/>
                <w:szCs w:val="22"/>
              </w:rPr>
              <w:t>Revízia ROP a OP BK bola v súvislosti so zmenou kompetenčného zákona a prerozdelenia dodatočnej finančnej alokácie vo výške       137 711 534 EUR vyplývajúceho z rozhodnutia Európskej Komisie K(2010)5817 zo dňa 30. augusta 2010, ktorým sa mení a dopĺňa rozhodnutie 2006/594/ES a rozhodnutie 2006/593/ES, ktorým sa stanovuje indikatívne pridelenie viazaných rozpočtových prostriedkov rozčlenených podľa členských štátov v rámci cieľa Konvergencia a cieľa Regionálna konkurencieschopnosť a zamestnanosť na obdobie rokov 2007 - 2013.</w:t>
            </w:r>
          </w:p>
          <w:p w:rsidR="002D42EA" w:rsidRPr="002D42EA" w:rsidRDefault="00CE5C40" w:rsidP="008106E3">
            <w:pPr>
              <w:jc w:val="both"/>
              <w:rPr>
                <w:sz w:val="22"/>
                <w:szCs w:val="22"/>
              </w:rPr>
            </w:pPr>
            <w:r>
              <w:rPr>
                <w:sz w:val="22"/>
                <w:szCs w:val="22"/>
              </w:rPr>
              <w:t xml:space="preserve">Revízia OPBK taktiež súvisela s potrebou </w:t>
            </w:r>
            <w:proofErr w:type="spellStart"/>
            <w:r>
              <w:rPr>
                <w:sz w:val="22"/>
                <w:szCs w:val="22"/>
              </w:rPr>
              <w:t>realokácie</w:t>
            </w:r>
            <w:proofErr w:type="spellEnd"/>
            <w:r>
              <w:rPr>
                <w:sz w:val="22"/>
                <w:szCs w:val="22"/>
              </w:rPr>
              <w:t xml:space="preserve"> finančných prostriedkov v rámci prioritných osí OPBK č. 1 a 2 na základe výsledkov pravidelného hodnotenia OPBK vykonaného v roku 2010.</w:t>
            </w:r>
          </w:p>
        </w:tc>
      </w:tr>
    </w:tbl>
    <w:p w:rsidR="0079390A" w:rsidRDefault="0079390A" w:rsidP="0079390A"/>
    <w:p w:rsidR="0079390A" w:rsidRDefault="0079390A"/>
    <w:sectPr w:rsidR="0079390A" w:rsidSect="0079390A">
      <w:head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72E" w:rsidRDefault="0054572E" w:rsidP="008106E3">
      <w:r>
        <w:separator/>
      </w:r>
    </w:p>
  </w:endnote>
  <w:endnote w:type="continuationSeparator" w:id="0">
    <w:p w:rsidR="0054572E" w:rsidRDefault="0054572E" w:rsidP="00810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72E" w:rsidRDefault="0054572E" w:rsidP="008106E3">
      <w:r>
        <w:separator/>
      </w:r>
    </w:p>
  </w:footnote>
  <w:footnote w:type="continuationSeparator" w:id="0">
    <w:p w:rsidR="0054572E" w:rsidRDefault="0054572E" w:rsidP="00810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6E3" w:rsidRDefault="008106E3">
    <w:pPr>
      <w:pStyle w:val="Hlavika"/>
    </w:pPr>
    <w:r>
      <w:t>Príloha č. 1</w:t>
    </w:r>
    <w:r w:rsidR="009445F9">
      <w:t>4</w:t>
    </w:r>
    <w:r>
      <w:t xml:space="preserve">: </w:t>
    </w:r>
    <w:r w:rsidR="00F81282">
      <w:t xml:space="preserve">Stav v oblasti </w:t>
    </w:r>
    <w:r>
      <w:t>revízi</w:t>
    </w:r>
    <w:r w:rsidR="00F81282">
      <w:t xml:space="preserve">í </w:t>
    </w:r>
    <w:r>
      <w:t>operačných programov</w:t>
    </w:r>
    <w:r w:rsidR="00F81282">
      <w:t xml:space="preserve"> v roku 2010</w:t>
    </w:r>
  </w:p>
  <w:p w:rsidR="002D42EA" w:rsidRDefault="002D42EA">
    <w:pPr>
      <w:pStyle w:val="Hlavika"/>
    </w:pPr>
  </w:p>
  <w:p w:rsidR="002D42EA" w:rsidRDefault="002D42EA">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312BF"/>
    <w:multiLevelType w:val="hybridMultilevel"/>
    <w:tmpl w:val="A42829C4"/>
    <w:lvl w:ilvl="0" w:tplc="33F80E4A">
      <w:numFmt w:val="bullet"/>
      <w:lvlText w:val="-"/>
      <w:lvlJc w:val="left"/>
      <w:pPr>
        <w:ind w:left="405" w:hanging="360"/>
      </w:pPr>
      <w:rPr>
        <w:rFonts w:ascii="Calibri" w:eastAsia="Calibri" w:hAnsi="Calibri" w:hint="default"/>
      </w:rPr>
    </w:lvl>
    <w:lvl w:ilvl="1" w:tplc="041B0003">
      <w:start w:val="1"/>
      <w:numFmt w:val="bullet"/>
      <w:lvlText w:val="o"/>
      <w:lvlJc w:val="left"/>
      <w:pPr>
        <w:ind w:left="1125" w:hanging="360"/>
      </w:pPr>
      <w:rPr>
        <w:rFonts w:ascii="Courier New" w:hAnsi="Courier New" w:cs="Courier New" w:hint="default"/>
      </w:rPr>
    </w:lvl>
    <w:lvl w:ilvl="2" w:tplc="041B0005">
      <w:start w:val="1"/>
      <w:numFmt w:val="bullet"/>
      <w:lvlText w:val=""/>
      <w:lvlJc w:val="left"/>
      <w:pPr>
        <w:ind w:left="1845" w:hanging="360"/>
      </w:pPr>
      <w:rPr>
        <w:rFonts w:ascii="Wingdings" w:hAnsi="Wingdings" w:hint="default"/>
      </w:rPr>
    </w:lvl>
    <w:lvl w:ilvl="3" w:tplc="041B0001">
      <w:start w:val="1"/>
      <w:numFmt w:val="bullet"/>
      <w:lvlText w:val=""/>
      <w:lvlJc w:val="left"/>
      <w:pPr>
        <w:ind w:left="2565" w:hanging="360"/>
      </w:pPr>
      <w:rPr>
        <w:rFonts w:ascii="Symbol" w:hAnsi="Symbol" w:hint="default"/>
      </w:rPr>
    </w:lvl>
    <w:lvl w:ilvl="4" w:tplc="041B0003">
      <w:start w:val="1"/>
      <w:numFmt w:val="bullet"/>
      <w:lvlText w:val="o"/>
      <w:lvlJc w:val="left"/>
      <w:pPr>
        <w:ind w:left="3285" w:hanging="360"/>
      </w:pPr>
      <w:rPr>
        <w:rFonts w:ascii="Courier New" w:hAnsi="Courier New" w:cs="Courier New" w:hint="default"/>
      </w:rPr>
    </w:lvl>
    <w:lvl w:ilvl="5" w:tplc="041B0005">
      <w:start w:val="1"/>
      <w:numFmt w:val="bullet"/>
      <w:lvlText w:val=""/>
      <w:lvlJc w:val="left"/>
      <w:pPr>
        <w:ind w:left="4005" w:hanging="360"/>
      </w:pPr>
      <w:rPr>
        <w:rFonts w:ascii="Wingdings" w:hAnsi="Wingdings" w:hint="default"/>
      </w:rPr>
    </w:lvl>
    <w:lvl w:ilvl="6" w:tplc="041B0001">
      <w:start w:val="1"/>
      <w:numFmt w:val="bullet"/>
      <w:lvlText w:val=""/>
      <w:lvlJc w:val="left"/>
      <w:pPr>
        <w:ind w:left="4725" w:hanging="360"/>
      </w:pPr>
      <w:rPr>
        <w:rFonts w:ascii="Symbol" w:hAnsi="Symbol" w:hint="default"/>
      </w:rPr>
    </w:lvl>
    <w:lvl w:ilvl="7" w:tplc="041B0003">
      <w:start w:val="1"/>
      <w:numFmt w:val="bullet"/>
      <w:lvlText w:val="o"/>
      <w:lvlJc w:val="left"/>
      <w:pPr>
        <w:ind w:left="5445" w:hanging="360"/>
      </w:pPr>
      <w:rPr>
        <w:rFonts w:ascii="Courier New" w:hAnsi="Courier New" w:cs="Courier New" w:hint="default"/>
      </w:rPr>
    </w:lvl>
    <w:lvl w:ilvl="8" w:tplc="041B0005">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90A"/>
    <w:rsid w:val="0002019A"/>
    <w:rsid w:val="0002578B"/>
    <w:rsid w:val="00070104"/>
    <w:rsid w:val="00080D3B"/>
    <w:rsid w:val="0023118F"/>
    <w:rsid w:val="002D42EA"/>
    <w:rsid w:val="0037645A"/>
    <w:rsid w:val="003A1FF4"/>
    <w:rsid w:val="00400C5C"/>
    <w:rsid w:val="0054572E"/>
    <w:rsid w:val="005D3ABF"/>
    <w:rsid w:val="006F3EE9"/>
    <w:rsid w:val="006F60AF"/>
    <w:rsid w:val="00746E39"/>
    <w:rsid w:val="0079390A"/>
    <w:rsid w:val="008106E3"/>
    <w:rsid w:val="008A006D"/>
    <w:rsid w:val="008F03F0"/>
    <w:rsid w:val="008F3C4A"/>
    <w:rsid w:val="009445F9"/>
    <w:rsid w:val="00986B94"/>
    <w:rsid w:val="009A1AA6"/>
    <w:rsid w:val="00A53DA7"/>
    <w:rsid w:val="00A633EA"/>
    <w:rsid w:val="00AA123F"/>
    <w:rsid w:val="00AA4419"/>
    <w:rsid w:val="00BD4FF7"/>
    <w:rsid w:val="00C42058"/>
    <w:rsid w:val="00CE5C40"/>
    <w:rsid w:val="00D25E7C"/>
    <w:rsid w:val="00D657BD"/>
    <w:rsid w:val="00F0610D"/>
    <w:rsid w:val="00F33348"/>
    <w:rsid w:val="00F81282"/>
    <w:rsid w:val="00F81C77"/>
    <w:rsid w:val="00FE5A6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9390A"/>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106E3"/>
    <w:pPr>
      <w:tabs>
        <w:tab w:val="center" w:pos="4536"/>
        <w:tab w:val="right" w:pos="9072"/>
      </w:tabs>
    </w:pPr>
  </w:style>
  <w:style w:type="character" w:customStyle="1" w:styleId="HlavikaChar">
    <w:name w:val="Hlavička Char"/>
    <w:basedOn w:val="Predvolenpsmoodseku"/>
    <w:link w:val="Hlavika"/>
    <w:uiPriority w:val="99"/>
    <w:rsid w:val="008106E3"/>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8106E3"/>
    <w:pPr>
      <w:tabs>
        <w:tab w:val="center" w:pos="4536"/>
        <w:tab w:val="right" w:pos="9072"/>
      </w:tabs>
    </w:pPr>
  </w:style>
  <w:style w:type="character" w:customStyle="1" w:styleId="PtaChar">
    <w:name w:val="Päta Char"/>
    <w:basedOn w:val="Predvolenpsmoodseku"/>
    <w:link w:val="Pta"/>
    <w:uiPriority w:val="99"/>
    <w:rsid w:val="008106E3"/>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8106E3"/>
    <w:rPr>
      <w:rFonts w:ascii="Tahoma" w:hAnsi="Tahoma" w:cs="Tahoma"/>
      <w:sz w:val="16"/>
      <w:szCs w:val="16"/>
    </w:rPr>
  </w:style>
  <w:style w:type="character" w:customStyle="1" w:styleId="TextbublinyChar">
    <w:name w:val="Text bubliny Char"/>
    <w:basedOn w:val="Predvolenpsmoodseku"/>
    <w:link w:val="Textbubliny"/>
    <w:uiPriority w:val="99"/>
    <w:semiHidden/>
    <w:rsid w:val="008106E3"/>
    <w:rPr>
      <w:rFonts w:ascii="Tahoma" w:eastAsia="Times New Roman" w:hAnsi="Tahoma" w:cs="Tahoma"/>
      <w:sz w:val="16"/>
      <w:szCs w:val="16"/>
      <w:lang w:eastAsia="sk-SK"/>
    </w:rPr>
  </w:style>
  <w:style w:type="paragraph" w:styleId="Odsekzoznamu">
    <w:name w:val="List Paragraph"/>
    <w:basedOn w:val="Normlny"/>
    <w:uiPriority w:val="34"/>
    <w:qFormat/>
    <w:rsid w:val="00AA44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79390A"/>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106E3"/>
    <w:pPr>
      <w:tabs>
        <w:tab w:val="center" w:pos="4536"/>
        <w:tab w:val="right" w:pos="9072"/>
      </w:tabs>
    </w:pPr>
  </w:style>
  <w:style w:type="character" w:customStyle="1" w:styleId="HlavikaChar">
    <w:name w:val="Hlavička Char"/>
    <w:basedOn w:val="Predvolenpsmoodseku"/>
    <w:link w:val="Hlavika"/>
    <w:uiPriority w:val="99"/>
    <w:rsid w:val="008106E3"/>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8106E3"/>
    <w:pPr>
      <w:tabs>
        <w:tab w:val="center" w:pos="4536"/>
        <w:tab w:val="right" w:pos="9072"/>
      </w:tabs>
    </w:pPr>
  </w:style>
  <w:style w:type="character" w:customStyle="1" w:styleId="PtaChar">
    <w:name w:val="Päta Char"/>
    <w:basedOn w:val="Predvolenpsmoodseku"/>
    <w:link w:val="Pta"/>
    <w:uiPriority w:val="99"/>
    <w:rsid w:val="008106E3"/>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8106E3"/>
    <w:rPr>
      <w:rFonts w:ascii="Tahoma" w:hAnsi="Tahoma" w:cs="Tahoma"/>
      <w:sz w:val="16"/>
      <w:szCs w:val="16"/>
    </w:rPr>
  </w:style>
  <w:style w:type="character" w:customStyle="1" w:styleId="TextbublinyChar">
    <w:name w:val="Text bubliny Char"/>
    <w:basedOn w:val="Predvolenpsmoodseku"/>
    <w:link w:val="Textbubliny"/>
    <w:uiPriority w:val="99"/>
    <w:semiHidden/>
    <w:rsid w:val="008106E3"/>
    <w:rPr>
      <w:rFonts w:ascii="Tahoma" w:eastAsia="Times New Roman" w:hAnsi="Tahoma" w:cs="Tahoma"/>
      <w:sz w:val="16"/>
      <w:szCs w:val="16"/>
      <w:lang w:eastAsia="sk-SK"/>
    </w:rPr>
  </w:style>
  <w:style w:type="paragraph" w:styleId="Odsekzoznamu">
    <w:name w:val="List Paragraph"/>
    <w:basedOn w:val="Normlny"/>
    <w:uiPriority w:val="34"/>
    <w:qFormat/>
    <w:rsid w:val="00AA4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gate.ec.europa.eu/sfc2007/frontoffice/commission/decision/display.do?objectUniqId=301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ebgate.ec.europa.eu/sfc2007/frontoffice/commission/decision/display.do?objectUniqId=2968" TargetMode="External"/><Relationship Id="rId4" Type="http://schemas.openxmlformats.org/officeDocument/2006/relationships/settings" Target="settings.xml"/><Relationship Id="rId9" Type="http://schemas.openxmlformats.org/officeDocument/2006/relationships/hyperlink" Target="https://webgate.ec.europa.eu/sfc2007/frontoffice/commission/decision/display.do?objectUniqId=2887" TargetMode="External"/><Relationship Id="rId14" Type="http://schemas.openxmlformats.org/officeDocument/2006/relationships/customXml" Target="../customXml/item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9D4DC40D-BAA3-4649-946A-E50CCC6CA6FA}"/>
</file>

<file path=customXml/itemProps2.xml><?xml version="1.0" encoding="utf-8"?>
<ds:datastoreItem xmlns:ds="http://schemas.openxmlformats.org/officeDocument/2006/customXml" ds:itemID="{61664A40-C2CE-4F79-B1F7-9DAD10424F0E}"/>
</file>

<file path=customXml/itemProps3.xml><?xml version="1.0" encoding="utf-8"?>
<ds:datastoreItem xmlns:ds="http://schemas.openxmlformats.org/officeDocument/2006/customXml" ds:itemID="{48273740-600E-47AB-8396-7413ECF92765}"/>
</file>

<file path=docProps/app.xml><?xml version="1.0" encoding="utf-8"?>
<Properties xmlns="http://schemas.openxmlformats.org/officeDocument/2006/extended-properties" xmlns:vt="http://schemas.openxmlformats.org/officeDocument/2006/docPropsVTypes">
  <Template>Normal</Template>
  <TotalTime>97</TotalTime>
  <Pages>4</Pages>
  <Words>635</Words>
  <Characters>3621</Characters>
  <Application>Microsoft Office Word</Application>
  <DocSecurity>0</DocSecurity>
  <Lines>30</Lines>
  <Paragraphs>8</Paragraphs>
  <ScaleCrop>false</ScaleCrop>
  <HeadingPairs>
    <vt:vector size="2" baseType="variant">
      <vt:variant>
        <vt:lpstr>Názov</vt:lpstr>
      </vt:variant>
      <vt:variant>
        <vt:i4>1</vt:i4>
      </vt:variant>
    </vt:vector>
  </HeadingPairs>
  <TitlesOfParts>
    <vt:vector size="1" baseType="lpstr">
      <vt:lpstr/>
    </vt:vector>
  </TitlesOfParts>
  <Company>MVRR</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akubik</dc:creator>
  <cp:lastModifiedBy>Kubík, Andrej</cp:lastModifiedBy>
  <cp:revision>19</cp:revision>
  <cp:lastPrinted>2011-01-19T08:42:00Z</cp:lastPrinted>
  <dcterms:created xsi:type="dcterms:W3CDTF">2011-01-19T08:03:00Z</dcterms:created>
  <dcterms:modified xsi:type="dcterms:W3CDTF">2011-03-24T10:05:00Z</dcterms:modified>
</cp:coreProperties>
</file>