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B93BCA" w:rsidRPr="005A0BC9" w:rsidRDefault="00054C41" w:rsidP="00B63035">
      <w:pPr>
        <w:jc w:val="both"/>
        <w:rPr>
          <w:rFonts w:ascii="Times New Roman" w:eastAsia="Times New Roman" w:hAnsi="Times New Roman" w:cs="Times New Roman"/>
          <w:szCs w:val="20"/>
          <w:lang w:eastAsia="sk-SK"/>
        </w:rPr>
      </w:pPr>
      <w:r w:rsidRPr="001F1B43">
        <w:rPr>
          <w:rFonts w:ascii="Times New Roman" w:eastAsia="Calibri" w:hAnsi="Times New Roman" w:cs="Times New Roman"/>
          <w:b/>
          <w:sz w:val="24"/>
          <w:szCs w:val="24"/>
        </w:rPr>
        <w:t>Názov materiálu:</w:t>
      </w:r>
      <w:r w:rsidR="00B93BCA">
        <w:rPr>
          <w:rFonts w:ascii="Times New Roman" w:eastAsia="Calibri" w:hAnsi="Times New Roman" w:cs="Times New Roman"/>
          <w:b/>
          <w:sz w:val="24"/>
          <w:szCs w:val="24"/>
        </w:rPr>
        <w:t xml:space="preserve"> </w:t>
      </w:r>
      <w:r w:rsidR="00B93BCA" w:rsidRPr="00C22CE6">
        <w:rPr>
          <w:rFonts w:ascii="Times New Roman" w:eastAsia="Calibri" w:hAnsi="Times New Roman" w:cs="Times New Roman"/>
          <w:b/>
          <w:sz w:val="24"/>
          <w:szCs w:val="24"/>
        </w:rPr>
        <w:t xml:space="preserve">Návrh zákona </w:t>
      </w:r>
      <w:r w:rsidR="00C22CE6" w:rsidRPr="00C22CE6">
        <w:rPr>
          <w:rFonts w:ascii="Times New Roman" w:hAnsi="Times New Roman" w:cs="Times New Roman"/>
          <w:b/>
          <w:sz w:val="24"/>
          <w:szCs w:val="24"/>
        </w:rPr>
        <w:t xml:space="preserve">o príspevku poskytovanom z Európskeho poľnohospodárskeho fondu pre rozvoj vidieka a o zmene a doplnení </w:t>
      </w:r>
      <w:r w:rsidR="00C22CE6" w:rsidRPr="00C22CE6">
        <w:rPr>
          <w:rFonts w:ascii="Times New Roman" w:hAnsi="Times New Roman" w:cs="Times New Roman"/>
          <w:b/>
          <w:bCs/>
          <w:color w:val="000000"/>
          <w:sz w:val="24"/>
          <w:szCs w:val="24"/>
          <w:shd w:val="clear" w:color="auto" w:fill="FFFFFF"/>
        </w:rPr>
        <w:t xml:space="preserve">niektorých zákonov </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B93BCA">
        <w:rPr>
          <w:rFonts w:ascii="Times New Roman" w:eastAsia="Calibri" w:hAnsi="Times New Roman" w:cs="Times New Roman"/>
          <w:b/>
          <w:sz w:val="24"/>
          <w:szCs w:val="24"/>
        </w:rPr>
        <w:t xml:space="preserve"> </w:t>
      </w:r>
      <w:r w:rsidR="00B93BCA" w:rsidRPr="004F066A">
        <w:rPr>
          <w:rFonts w:ascii="Times New Roman" w:eastAsia="Calibri" w:hAnsi="Times New Roman" w:cs="Times New Roman"/>
          <w:b/>
          <w:sz w:val="24"/>
          <w:szCs w:val="24"/>
        </w:rPr>
        <w:t>Ministerstvo pôdohospodárstva a rozvoja vidieka Sl</w:t>
      </w:r>
      <w:bookmarkStart w:id="0" w:name="_GoBack"/>
      <w:bookmarkEnd w:id="0"/>
      <w:r w:rsidR="00B93BCA" w:rsidRPr="004F066A">
        <w:rPr>
          <w:rFonts w:ascii="Times New Roman" w:eastAsia="Calibri" w:hAnsi="Times New Roman" w:cs="Times New Roman"/>
          <w:b/>
          <w:sz w:val="24"/>
          <w:szCs w:val="24"/>
        </w:rPr>
        <w:t>ovenskej republiky</w:t>
      </w: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 prepočte na podnikateľské prostredie (PP), vyhodnotenie mechanizmu znižovania byrokracie a náklado</w:t>
      </w:r>
      <w:r w:rsidR="000A6B7F">
        <w:rPr>
          <w:rFonts w:ascii="Times New Roman" w:eastAsia="Calibri" w:hAnsi="Times New Roman" w:cs="Times New Roman"/>
          <w:i/>
          <w:sz w:val="24"/>
          <w:szCs w:val="24"/>
        </w:rPr>
        <w:t>v</w:t>
      </w:r>
      <w:r w:rsidR="00C929AE">
        <w:rPr>
          <w:rFonts w:ascii="Times New Roman" w:eastAsia="Calibri" w:hAnsi="Times New Roman" w:cs="Times New Roman"/>
          <w:i/>
          <w:sz w:val="24"/>
          <w:szCs w:val="24"/>
        </w:rPr>
        <w:t xml:space="preserve">, náklady </w:t>
      </w:r>
      <w:r w:rsidR="00C929AE" w:rsidRPr="00804BC8">
        <w:rPr>
          <w:rFonts w:ascii="Times New Roman" w:eastAsia="Calibri" w:hAnsi="Times New Roman" w:cs="Times New Roman"/>
          <w:i/>
          <w:sz w:val="24"/>
          <w:szCs w:val="24"/>
        </w:rPr>
        <w:t>goldplatingu</w:t>
      </w:r>
      <w:r w:rsidR="00C929AE">
        <w:rPr>
          <w:rStyle w:val="Odkaznapoznmkupodiarou"/>
          <w:rFonts w:ascii="Times New Roman" w:eastAsia="Calibri" w:hAnsi="Times New Roman" w:cs="Times New Roman"/>
          <w:i/>
          <w:sz w:val="24"/>
          <w:szCs w:val="24"/>
        </w:rPr>
        <w:footnoteReference w:id="1"/>
      </w:r>
      <w:r w:rsidR="000A6B7F">
        <w:rPr>
          <w:rFonts w:ascii="Times New Roman" w:eastAsia="Calibri" w:hAnsi="Times New Roman" w:cs="Times New Roman"/>
          <w:i/>
          <w:sz w:val="24"/>
          <w:szCs w:val="24"/>
        </w:rPr>
        <w:t xml:space="preserve"> </w:t>
      </w:r>
      <w:r w:rsidR="00C929AE">
        <w:rPr>
          <w:rFonts w:ascii="Times New Roman" w:eastAsia="Calibri" w:hAnsi="Times New Roman" w:cs="Times New Roman"/>
          <w:i/>
          <w:sz w:val="24"/>
          <w:szCs w:val="24"/>
        </w:rPr>
        <w:t>na podnikateľské prostredie</w:t>
      </w:r>
      <w:r w:rsidRPr="00D8247C">
        <w:rPr>
          <w:rFonts w:ascii="Times New Roman" w:eastAsia="Calibri" w:hAnsi="Times New Roman" w:cs="Times New Roman"/>
          <w:i/>
          <w:sz w:val="24"/>
          <w:szCs w:val="24"/>
        </w:rPr>
        <w:t xml:space="preserve">. </w:t>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9514" w:type="dxa"/>
        <w:tblInd w:w="70" w:type="dxa"/>
        <w:tblCellMar>
          <w:left w:w="70" w:type="dxa"/>
          <w:right w:w="70" w:type="dxa"/>
        </w:tblCellMar>
        <w:tblLook w:val="04A0" w:firstRow="1" w:lastRow="0" w:firstColumn="1" w:lastColumn="0" w:noHBand="0" w:noVBand="1"/>
      </w:tblPr>
      <w:tblGrid>
        <w:gridCol w:w="146"/>
        <w:gridCol w:w="3540"/>
        <w:gridCol w:w="2623"/>
        <w:gridCol w:w="169"/>
        <w:gridCol w:w="160"/>
        <w:gridCol w:w="2293"/>
        <w:gridCol w:w="423"/>
        <w:gridCol w:w="160"/>
      </w:tblGrid>
      <w:tr w:rsidR="00C929AE" w:rsidRPr="00C929AE" w:rsidTr="003A3124">
        <w:trPr>
          <w:trHeight w:val="270"/>
        </w:trPr>
        <w:tc>
          <w:tcPr>
            <w:tcW w:w="146"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16" w:type="dxa"/>
            <w:gridSpan w:val="2"/>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p>
        </w:tc>
      </w:tr>
      <w:tr w:rsidR="00C929AE" w:rsidRPr="00C929AE" w:rsidTr="00804BC8">
        <w:trPr>
          <w:gridAfter w:val="2"/>
          <w:wAfter w:w="583" w:type="dxa"/>
          <w:trHeight w:val="451"/>
        </w:trPr>
        <w:tc>
          <w:tcPr>
            <w:tcW w:w="146"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929AE" w:rsidRPr="00C929AE" w:rsidRDefault="00C929AE" w:rsidP="00C929AE">
            <w:pPr>
              <w:spacing w:after="0" w:line="240" w:lineRule="auto"/>
              <w:jc w:val="center"/>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TYP NÁKLADOV</w:t>
            </w:r>
          </w:p>
        </w:tc>
        <w:tc>
          <w:tcPr>
            <w:tcW w:w="2623" w:type="dxa"/>
            <w:tcBorders>
              <w:top w:val="single" w:sz="8" w:space="0" w:color="auto"/>
              <w:left w:val="nil"/>
              <w:bottom w:val="single" w:sz="4" w:space="0" w:color="auto"/>
              <w:right w:val="single" w:sz="4" w:space="0" w:color="auto"/>
            </w:tcBorders>
            <w:shd w:val="clear" w:color="000000" w:fill="FFC000"/>
            <w:vAlign w:val="center"/>
            <w:hideMark/>
          </w:tcPr>
          <w:p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Zvýšenie nákladov v € na PP</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Zníženie nákladov v € na PP</w:t>
            </w:r>
          </w:p>
        </w:tc>
      </w:tr>
      <w:tr w:rsidR="00100C94" w:rsidRPr="00C929AE" w:rsidTr="002D6771">
        <w:trPr>
          <w:gridAfter w:val="2"/>
          <w:wAfter w:w="583" w:type="dxa"/>
          <w:trHeight w:val="600"/>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A.</w:t>
            </w:r>
            <w:r>
              <w:rPr>
                <w:rFonts w:ascii="Times New Roman" w:eastAsia="Times New Roman" w:hAnsi="Times New Roman" w:cs="Times New Roman"/>
                <w:b/>
                <w:bCs/>
                <w:i/>
                <w:iCs/>
                <w:color w:val="000000"/>
                <w:sz w:val="20"/>
                <w:szCs w:val="20"/>
                <w:lang w:eastAsia="sk-SK"/>
              </w:rPr>
              <w:t xml:space="preserve"> </w:t>
            </w:r>
            <w:r w:rsidRPr="00C929AE">
              <w:rPr>
                <w:rFonts w:ascii="Times New Roman" w:eastAsia="Times New Roman" w:hAnsi="Times New Roman" w:cs="Times New Roman"/>
                <w:b/>
                <w:bCs/>
                <w:i/>
                <w:iCs/>
                <w:color w:val="000000"/>
                <w:sz w:val="20"/>
                <w:szCs w:val="20"/>
                <w:lang w:eastAsia="sk-SK"/>
              </w:rPr>
              <w:t>Dane, odvody, clá a poplatky, ktorých cieľom je znižovať negatívne externality</w:t>
            </w:r>
          </w:p>
        </w:tc>
        <w:tc>
          <w:tcPr>
            <w:tcW w:w="2623" w:type="dxa"/>
            <w:tcBorders>
              <w:top w:val="single" w:sz="4" w:space="0" w:color="auto"/>
              <w:left w:val="nil"/>
              <w:bottom w:val="single" w:sz="4"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100C94" w:rsidRPr="00C929AE" w:rsidTr="002D6771">
        <w:trPr>
          <w:gridAfter w:val="2"/>
          <w:wAfter w:w="583" w:type="dxa"/>
          <w:trHeight w:val="420"/>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 xml:space="preserve">B. Iné </w:t>
            </w:r>
            <w:r w:rsidRPr="00952CF6">
              <w:rPr>
                <w:rFonts w:ascii="Times New Roman" w:eastAsia="Times New Roman" w:hAnsi="Times New Roman" w:cs="Times New Roman"/>
                <w:b/>
                <w:bCs/>
                <w:i/>
                <w:iCs/>
                <w:color w:val="000000"/>
                <w:sz w:val="20"/>
                <w:szCs w:val="20"/>
                <w:lang w:eastAsia="sk-SK"/>
              </w:rPr>
              <w:t>poplatky</w:t>
            </w:r>
          </w:p>
        </w:tc>
        <w:tc>
          <w:tcPr>
            <w:tcW w:w="2623" w:type="dxa"/>
            <w:tcBorders>
              <w:top w:val="single" w:sz="4" w:space="0" w:color="auto"/>
              <w:left w:val="nil"/>
              <w:bottom w:val="single" w:sz="4"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100C94" w:rsidRPr="00C929AE" w:rsidTr="002D6771">
        <w:trPr>
          <w:gridAfter w:val="2"/>
          <w:wAfter w:w="583" w:type="dxa"/>
          <w:trHeight w:val="435"/>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C.</w:t>
            </w:r>
            <w:r>
              <w:rPr>
                <w:rFonts w:ascii="Times New Roman" w:eastAsia="Times New Roman" w:hAnsi="Times New Roman" w:cs="Times New Roman"/>
                <w:b/>
                <w:bCs/>
                <w:i/>
                <w:iCs/>
                <w:color w:val="000000"/>
                <w:sz w:val="20"/>
                <w:szCs w:val="20"/>
                <w:lang w:eastAsia="sk-SK"/>
              </w:rPr>
              <w:t xml:space="preserve"> Sankcie a pokuty</w:t>
            </w:r>
          </w:p>
        </w:tc>
        <w:tc>
          <w:tcPr>
            <w:tcW w:w="2623" w:type="dxa"/>
            <w:tcBorders>
              <w:top w:val="single" w:sz="4" w:space="0" w:color="auto"/>
              <w:left w:val="nil"/>
              <w:bottom w:val="single" w:sz="4"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100C94" w:rsidRPr="00C929AE" w:rsidTr="002D6771">
        <w:trPr>
          <w:gridAfter w:val="2"/>
          <w:wAfter w:w="583" w:type="dxa"/>
          <w:trHeight w:val="480"/>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sidRPr="00E961E8">
              <w:rPr>
                <w:rFonts w:ascii="Times New Roman" w:eastAsia="Times New Roman" w:hAnsi="Times New Roman" w:cs="Times New Roman"/>
                <w:b/>
                <w:bCs/>
                <w:i/>
                <w:iCs/>
                <w:color w:val="000000"/>
                <w:sz w:val="20"/>
                <w:szCs w:val="20"/>
                <w:lang w:eastAsia="sk-SK"/>
              </w:rPr>
              <w:t xml:space="preserve">D. </w:t>
            </w:r>
            <w:r>
              <w:rPr>
                <w:rFonts w:ascii="Times New Roman" w:eastAsia="Times New Roman" w:hAnsi="Times New Roman" w:cs="Times New Roman"/>
                <w:b/>
                <w:bCs/>
                <w:i/>
                <w:iCs/>
                <w:color w:val="000000"/>
                <w:sz w:val="20"/>
                <w:szCs w:val="20"/>
                <w:lang w:eastAsia="sk-SK"/>
              </w:rPr>
              <w:t xml:space="preserve">Nepriame finančné náklady </w:t>
            </w:r>
          </w:p>
        </w:tc>
        <w:tc>
          <w:tcPr>
            <w:tcW w:w="2623" w:type="dxa"/>
            <w:tcBorders>
              <w:top w:val="single" w:sz="4" w:space="0" w:color="auto"/>
              <w:left w:val="nil"/>
              <w:bottom w:val="single" w:sz="4"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100C94" w:rsidRPr="00C929AE" w:rsidTr="00804BC8">
        <w:trPr>
          <w:gridAfter w:val="2"/>
          <w:wAfter w:w="583" w:type="dxa"/>
          <w:trHeight w:val="480"/>
        </w:trPr>
        <w:tc>
          <w:tcPr>
            <w:tcW w:w="146" w:type="dxa"/>
            <w:tcBorders>
              <w:top w:val="nil"/>
              <w:left w:val="nil"/>
              <w:bottom w:val="nil"/>
              <w:right w:val="nil"/>
            </w:tcBorders>
            <w:shd w:val="clear" w:color="auto" w:fill="auto"/>
            <w:noWrap/>
            <w:vAlign w:val="bottom"/>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E. Administratívne náklady</w:t>
            </w:r>
          </w:p>
        </w:tc>
        <w:tc>
          <w:tcPr>
            <w:tcW w:w="2623" w:type="dxa"/>
            <w:tcBorders>
              <w:top w:val="single" w:sz="4" w:space="0" w:color="auto"/>
              <w:left w:val="nil"/>
              <w:bottom w:val="single" w:sz="4"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100C94" w:rsidRPr="00C929AE" w:rsidTr="002D6771">
        <w:trPr>
          <w:gridAfter w:val="2"/>
          <w:wAfter w:w="583" w:type="dxa"/>
          <w:trHeight w:val="600"/>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Spolu = A+B+C+D</w:t>
            </w:r>
            <w:r w:rsidRPr="00E961E8">
              <w:rPr>
                <w:rFonts w:ascii="Times New Roman" w:eastAsia="Times New Roman" w:hAnsi="Times New Roman" w:cs="Times New Roman"/>
                <w:b/>
                <w:bCs/>
                <w:i/>
                <w:iCs/>
                <w:color w:val="000000"/>
                <w:sz w:val="20"/>
                <w:szCs w:val="20"/>
                <w:lang w:eastAsia="sk-SK"/>
              </w:rPr>
              <w:t>+E</w:t>
            </w:r>
          </w:p>
        </w:tc>
        <w:tc>
          <w:tcPr>
            <w:tcW w:w="2623" w:type="dxa"/>
            <w:tcBorders>
              <w:top w:val="single" w:sz="4" w:space="0" w:color="auto"/>
              <w:left w:val="nil"/>
              <w:bottom w:val="single" w:sz="8"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8"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C929AE" w:rsidRPr="00C929AE" w:rsidTr="003A3124">
        <w:trPr>
          <w:trHeight w:val="270"/>
        </w:trPr>
        <w:tc>
          <w:tcPr>
            <w:tcW w:w="146"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2716" w:type="dxa"/>
            <w:gridSpan w:val="2"/>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r>
      <w:tr w:rsidR="00C929AE" w:rsidRPr="00C929AE" w:rsidTr="00804BC8">
        <w:trPr>
          <w:gridAfter w:val="2"/>
          <w:wAfter w:w="583" w:type="dxa"/>
          <w:trHeight w:val="412"/>
        </w:trPr>
        <w:tc>
          <w:tcPr>
            <w:tcW w:w="146"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lang w:eastAsia="sk-SK"/>
              </w:rPr>
            </w:pPr>
            <w:r w:rsidRPr="00C929AE">
              <w:rPr>
                <w:rFonts w:ascii="Times New Roman" w:eastAsia="Times New Roman" w:hAnsi="Times New Roman" w:cs="Times New Roman"/>
                <w:i/>
                <w:iCs/>
                <w:color w:val="000000"/>
                <w:lang w:eastAsia="sk-SK"/>
              </w:rPr>
              <w:t>Harmonizácia práva EÚ</w:t>
            </w:r>
          </w:p>
        </w:tc>
        <w:tc>
          <w:tcPr>
            <w:tcW w:w="2623" w:type="dxa"/>
            <w:tcBorders>
              <w:top w:val="single" w:sz="8" w:space="0" w:color="auto"/>
              <w:left w:val="nil"/>
              <w:bottom w:val="single" w:sz="4" w:space="0" w:color="auto"/>
              <w:right w:val="single" w:sz="4" w:space="0" w:color="auto"/>
            </w:tcBorders>
            <w:shd w:val="clear" w:color="000000" w:fill="FFC000"/>
            <w:vAlign w:val="center"/>
            <w:hideMark/>
          </w:tcPr>
          <w:p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Zvýšenie nákladov v € na PP</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Zníženie nákladov v € na PP</w:t>
            </w:r>
          </w:p>
        </w:tc>
      </w:tr>
      <w:tr w:rsidR="00100C94" w:rsidRPr="00C929AE" w:rsidTr="002D6771">
        <w:trPr>
          <w:gridAfter w:val="2"/>
          <w:wAfter w:w="583" w:type="dxa"/>
          <w:trHeight w:val="840"/>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F</w:t>
            </w:r>
            <w:r w:rsidRPr="00C929AE">
              <w:rPr>
                <w:rFonts w:ascii="Times New Roman" w:eastAsia="Times New Roman" w:hAnsi="Times New Roman" w:cs="Times New Roman"/>
                <w:b/>
                <w:bCs/>
                <w:i/>
                <w:iCs/>
                <w:color w:val="000000"/>
                <w:sz w:val="20"/>
                <w:szCs w:val="20"/>
                <w:lang w:eastAsia="sk-SK"/>
              </w:rPr>
              <w:t>. Úplná harmonizácia práva EÚ</w:t>
            </w:r>
            <w:r w:rsidRPr="00C929AE">
              <w:rPr>
                <w:rFonts w:ascii="Times New Roman" w:eastAsia="Times New Roman" w:hAnsi="Times New Roman" w:cs="Times New Roman"/>
                <w:b/>
                <w:bCs/>
                <w:i/>
                <w:iCs/>
                <w:color w:val="000000"/>
                <w:sz w:val="20"/>
                <w:szCs w:val="20"/>
                <w:lang w:eastAsia="sk-SK"/>
              </w:rPr>
              <w:br/>
            </w:r>
            <w:r w:rsidRPr="00C929AE">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23" w:type="dxa"/>
            <w:tcBorders>
              <w:top w:val="single" w:sz="4" w:space="0" w:color="auto"/>
              <w:left w:val="nil"/>
              <w:bottom w:val="single" w:sz="4"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100C94" w:rsidRPr="00C929AE" w:rsidTr="002D6771">
        <w:trPr>
          <w:gridAfter w:val="2"/>
          <w:wAfter w:w="583" w:type="dxa"/>
          <w:trHeight w:val="486"/>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rsidR="00100C94" w:rsidRPr="00C929AE" w:rsidRDefault="00100C94" w:rsidP="00100C94">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G</w:t>
            </w:r>
            <w:r w:rsidRPr="00C929AE">
              <w:rPr>
                <w:rFonts w:ascii="Times New Roman" w:eastAsia="Times New Roman" w:hAnsi="Times New Roman" w:cs="Times New Roman"/>
                <w:b/>
                <w:bCs/>
                <w:i/>
                <w:iCs/>
                <w:color w:val="000000"/>
                <w:sz w:val="20"/>
                <w:szCs w:val="20"/>
                <w:lang w:eastAsia="sk-SK"/>
              </w:rPr>
              <w:t>. Goldplating</w:t>
            </w:r>
          </w:p>
        </w:tc>
        <w:tc>
          <w:tcPr>
            <w:tcW w:w="2623" w:type="dxa"/>
            <w:tcBorders>
              <w:top w:val="single" w:sz="4" w:space="0" w:color="auto"/>
              <w:left w:val="nil"/>
              <w:bottom w:val="single" w:sz="8" w:space="0" w:color="auto"/>
              <w:right w:val="single" w:sz="4" w:space="0" w:color="auto"/>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8"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r w:rsidR="00C929AE" w:rsidRPr="00C929AE" w:rsidTr="003A3124">
        <w:trPr>
          <w:trHeight w:val="360"/>
        </w:trPr>
        <w:tc>
          <w:tcPr>
            <w:tcW w:w="146"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2716" w:type="dxa"/>
            <w:gridSpan w:val="2"/>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r>
      <w:tr w:rsidR="00C929AE" w:rsidRPr="00C929AE" w:rsidTr="00804BC8">
        <w:trPr>
          <w:gridAfter w:val="2"/>
          <w:wAfter w:w="583" w:type="dxa"/>
          <w:trHeight w:val="390"/>
        </w:trPr>
        <w:tc>
          <w:tcPr>
            <w:tcW w:w="146" w:type="dxa"/>
            <w:tcBorders>
              <w:top w:val="nil"/>
              <w:left w:val="nil"/>
              <w:bottom w:val="nil"/>
              <w:right w:val="nil"/>
            </w:tcBorders>
            <w:shd w:val="clear" w:color="auto" w:fill="auto"/>
            <w:noWrap/>
            <w:vAlign w:val="bottom"/>
            <w:hideMark/>
          </w:tcPr>
          <w:p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r w:rsidRPr="00C929AE">
              <w:rPr>
                <w:rFonts w:ascii="Times New Roman" w:eastAsia="Times New Roman" w:hAnsi="Times New Roman" w:cs="Times New Roman"/>
                <w:i/>
                <w:iCs/>
                <w:color w:val="000000"/>
                <w:sz w:val="20"/>
                <w:szCs w:val="20"/>
                <w:lang w:eastAsia="sk-SK"/>
              </w:rPr>
              <w:t>VÝPOČET PRAVIDLA 1in</w:t>
            </w:r>
            <w:r w:rsidR="00FC121B">
              <w:rPr>
                <w:rFonts w:ascii="Times New Roman" w:eastAsia="Times New Roman" w:hAnsi="Times New Roman" w:cs="Times New Roman"/>
                <w:i/>
                <w:iCs/>
                <w:color w:val="000000"/>
                <w:sz w:val="20"/>
                <w:szCs w:val="20"/>
                <w:lang w:eastAsia="sk-SK"/>
              </w:rPr>
              <w:t xml:space="preserve"> </w:t>
            </w:r>
            <w:r w:rsidRPr="00C929AE">
              <w:rPr>
                <w:rFonts w:ascii="Times New Roman" w:eastAsia="Times New Roman" w:hAnsi="Times New Roman" w:cs="Times New Roman"/>
                <w:i/>
                <w:iCs/>
                <w:color w:val="000000"/>
                <w:sz w:val="20"/>
                <w:szCs w:val="20"/>
                <w:lang w:eastAsia="sk-SK"/>
              </w:rPr>
              <w:t>2out:</w:t>
            </w:r>
          </w:p>
        </w:tc>
        <w:tc>
          <w:tcPr>
            <w:tcW w:w="2623" w:type="dxa"/>
            <w:tcBorders>
              <w:top w:val="single" w:sz="8" w:space="0" w:color="auto"/>
              <w:left w:val="nil"/>
              <w:bottom w:val="single" w:sz="4" w:space="0" w:color="auto"/>
              <w:right w:val="single" w:sz="4" w:space="0" w:color="000000"/>
            </w:tcBorders>
            <w:shd w:val="clear" w:color="000000" w:fill="FFC000"/>
            <w:vAlign w:val="center"/>
            <w:hideMark/>
          </w:tcPr>
          <w:p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r w:rsidRPr="00C929AE">
              <w:rPr>
                <w:rFonts w:ascii="Times New Roman" w:eastAsia="Times New Roman" w:hAnsi="Times New Roman" w:cs="Times New Roman"/>
                <w:color w:val="000000"/>
                <w:sz w:val="20"/>
                <w:szCs w:val="20"/>
                <w:lang w:eastAsia="sk-SK"/>
              </w:rPr>
              <w:t>IN</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r w:rsidRPr="00C929AE">
              <w:rPr>
                <w:rFonts w:ascii="Times New Roman" w:eastAsia="Times New Roman" w:hAnsi="Times New Roman" w:cs="Times New Roman"/>
                <w:color w:val="000000"/>
                <w:sz w:val="20"/>
                <w:szCs w:val="20"/>
                <w:lang w:eastAsia="sk-SK"/>
              </w:rPr>
              <w:t>OUT</w:t>
            </w:r>
          </w:p>
        </w:tc>
      </w:tr>
      <w:tr w:rsidR="00100C94" w:rsidRPr="00C929AE" w:rsidTr="002D6771">
        <w:trPr>
          <w:gridAfter w:val="2"/>
          <w:wAfter w:w="583" w:type="dxa"/>
          <w:trHeight w:val="390"/>
        </w:trPr>
        <w:tc>
          <w:tcPr>
            <w:tcW w:w="146" w:type="dxa"/>
            <w:tcBorders>
              <w:top w:val="nil"/>
              <w:left w:val="nil"/>
              <w:bottom w:val="nil"/>
              <w:right w:val="nil"/>
            </w:tcBorders>
            <w:shd w:val="clear" w:color="auto" w:fill="auto"/>
            <w:noWrap/>
            <w:vAlign w:val="bottom"/>
            <w:hideMark/>
          </w:tcPr>
          <w:p w:rsidR="00100C94" w:rsidRPr="00C929AE" w:rsidRDefault="00100C94" w:rsidP="00100C94">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rsidR="00100C94" w:rsidRPr="00751DA9" w:rsidRDefault="00100C94" w:rsidP="00100C94">
            <w:pPr>
              <w:spacing w:after="0" w:line="240" w:lineRule="auto"/>
              <w:rPr>
                <w:rFonts w:ascii="Times New Roman" w:eastAsia="Times New Roman" w:hAnsi="Times New Roman" w:cs="Times New Roman"/>
                <w:i/>
                <w:iCs/>
                <w:color w:val="000000"/>
                <w:sz w:val="20"/>
                <w:szCs w:val="20"/>
                <w:lang w:eastAsia="sk-SK"/>
              </w:rPr>
            </w:pPr>
            <w:r w:rsidRPr="00751DA9">
              <w:rPr>
                <w:rFonts w:ascii="Times New Roman" w:eastAsia="Times New Roman" w:hAnsi="Times New Roman" w:cs="Times New Roman"/>
                <w:b/>
                <w:i/>
                <w:iCs/>
                <w:color w:val="000000"/>
                <w:sz w:val="20"/>
                <w:szCs w:val="20"/>
                <w:lang w:eastAsia="sk-SK"/>
              </w:rPr>
              <w:t>H.</w:t>
            </w:r>
            <w:r>
              <w:rPr>
                <w:rFonts w:ascii="Times New Roman" w:eastAsia="Times New Roman" w:hAnsi="Times New Roman" w:cs="Times New Roman"/>
                <w:i/>
                <w:iCs/>
                <w:color w:val="000000"/>
                <w:sz w:val="20"/>
                <w:szCs w:val="20"/>
                <w:lang w:eastAsia="sk-SK"/>
              </w:rPr>
              <w:t xml:space="preserve"> Náklady okrem výnimiek = B+D</w:t>
            </w:r>
            <w:r w:rsidRPr="00751DA9">
              <w:rPr>
                <w:rFonts w:ascii="Times New Roman" w:eastAsia="Times New Roman" w:hAnsi="Times New Roman" w:cs="Times New Roman"/>
                <w:i/>
                <w:iCs/>
                <w:color w:val="000000"/>
                <w:sz w:val="20"/>
                <w:szCs w:val="20"/>
                <w:lang w:eastAsia="sk-SK"/>
              </w:rPr>
              <w:t>+E-F</w:t>
            </w:r>
          </w:p>
        </w:tc>
        <w:tc>
          <w:tcPr>
            <w:tcW w:w="2623" w:type="dxa"/>
            <w:tcBorders>
              <w:top w:val="single" w:sz="4" w:space="0" w:color="auto"/>
              <w:left w:val="nil"/>
              <w:bottom w:val="single" w:sz="8" w:space="0" w:color="auto"/>
              <w:right w:val="single" w:sz="4" w:space="0" w:color="000000"/>
            </w:tcBorders>
            <w:shd w:val="clear" w:color="000000" w:fill="FFC00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c>
          <w:tcPr>
            <w:tcW w:w="2622" w:type="dxa"/>
            <w:gridSpan w:val="3"/>
            <w:tcBorders>
              <w:top w:val="single" w:sz="4" w:space="0" w:color="auto"/>
              <w:left w:val="nil"/>
              <w:bottom w:val="single" w:sz="8" w:space="0" w:color="auto"/>
              <w:right w:val="single" w:sz="8" w:space="0" w:color="000000"/>
            </w:tcBorders>
            <w:shd w:val="clear" w:color="000000" w:fill="92D050"/>
            <w:vAlign w:val="center"/>
          </w:tcPr>
          <w:p w:rsidR="00100C94" w:rsidRPr="00012062" w:rsidRDefault="00100C94" w:rsidP="00100C94">
            <w:pPr>
              <w:spacing w:after="0" w:line="240" w:lineRule="auto"/>
              <w:jc w:val="center"/>
              <w:rPr>
                <w:rFonts w:ascii="Times New Roman" w:eastAsia="Times New Roman" w:hAnsi="Times New Roman" w:cs="Times New Roman"/>
                <w:b/>
                <w:bCs/>
                <w:color w:val="000000"/>
                <w:sz w:val="20"/>
                <w:szCs w:val="20"/>
                <w:lang w:eastAsia="sk-SK"/>
              </w:rPr>
            </w:pPr>
          </w:p>
        </w:tc>
      </w:tr>
    </w:tbl>
    <w:p w:rsidR="00054C41" w:rsidRPr="00895898" w:rsidRDefault="00054C41" w:rsidP="00054C41">
      <w:pPr>
        <w:rPr>
          <w:rFonts w:ascii="Times New Roman" w:eastAsia="Calibri" w:hAnsi="Times New Roman" w:cs="Times New Roman"/>
          <w:b/>
          <w:sz w:val="24"/>
          <w:szCs w:val="24"/>
        </w:rPr>
        <w:sectPr w:rsidR="00054C41" w:rsidRPr="00895898" w:rsidSect="00700AC6">
          <w:footerReference w:type="default" r:id="rId10"/>
          <w:pgSz w:w="11906" w:h="16838"/>
          <w:pgMar w:top="993" w:right="1417" w:bottom="1417" w:left="1417" w:header="708" w:footer="708" w:gutter="0"/>
          <w:pgNumType w:start="12"/>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175" w:type="dxa"/>
        <w:tblInd w:w="-572" w:type="dxa"/>
        <w:tblLayout w:type="fixed"/>
        <w:tblCellMar>
          <w:left w:w="70" w:type="dxa"/>
          <w:right w:w="70" w:type="dxa"/>
        </w:tblCellMar>
        <w:tblLook w:val="04A0" w:firstRow="1" w:lastRow="0" w:firstColumn="1" w:lastColumn="0" w:noHBand="0" w:noVBand="1"/>
      </w:tblPr>
      <w:tblGrid>
        <w:gridCol w:w="462"/>
        <w:gridCol w:w="1665"/>
        <w:gridCol w:w="1417"/>
        <w:gridCol w:w="1134"/>
        <w:gridCol w:w="1134"/>
        <w:gridCol w:w="992"/>
        <w:gridCol w:w="1701"/>
        <w:gridCol w:w="993"/>
        <w:gridCol w:w="850"/>
        <w:gridCol w:w="851"/>
        <w:gridCol w:w="1134"/>
        <w:gridCol w:w="708"/>
        <w:gridCol w:w="1134"/>
      </w:tblGrid>
      <w:tr w:rsidR="00854634" w:rsidRPr="000A6B7F" w:rsidTr="00854634">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P.č.</w:t>
            </w:r>
          </w:p>
        </w:tc>
        <w:tc>
          <w:tcPr>
            <w:tcW w:w="16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Zrozumiteľný a stručný opis regulácie </w:t>
            </w:r>
            <w:r w:rsidRPr="000A6B7F">
              <w:rPr>
                <w:rFonts w:ascii="Times New Roman" w:eastAsia="Times New Roman" w:hAnsi="Times New Roman" w:cs="Times New Roman"/>
                <w:b/>
                <w:bCs/>
                <w:color w:val="000000"/>
                <w:sz w:val="20"/>
                <w:szCs w:val="20"/>
                <w:lang w:eastAsia="sk-SK"/>
              </w:rPr>
              <w:br/>
              <w:t>(dôvod zvýšenia/zníženia nákladov na PP</w:t>
            </w:r>
            <w:r>
              <w:rPr>
                <w:rFonts w:ascii="Times New Roman" w:eastAsia="Times New Roman" w:hAnsi="Times New Roman" w:cs="Times New Roman"/>
                <w:b/>
                <w:bCs/>
                <w:color w:val="000000"/>
                <w:sz w:val="20"/>
                <w:szCs w:val="20"/>
                <w:lang w:eastAsia="sk-SK"/>
              </w:rPr>
              <w:t xml:space="preserve"> a dôvod ponechania nákladov na PP, ktoré sú goldplat</w:t>
            </w:r>
            <w:r w:rsidR="002255DD">
              <w:rPr>
                <w:rFonts w:ascii="Times New Roman" w:eastAsia="Times New Roman" w:hAnsi="Times New Roman" w:cs="Times New Roman"/>
                <w:b/>
                <w:bCs/>
                <w:color w:val="000000"/>
                <w:sz w:val="20"/>
                <w:szCs w:val="20"/>
                <w:lang w:eastAsia="sk-SK"/>
              </w:rPr>
              <w:t>i</w:t>
            </w:r>
            <w:r>
              <w:rPr>
                <w:rFonts w:ascii="Times New Roman" w:eastAsia="Times New Roman" w:hAnsi="Times New Roman" w:cs="Times New Roman"/>
                <w:b/>
                <w:bCs/>
                <w:color w:val="000000"/>
                <w:sz w:val="20"/>
                <w:szCs w:val="20"/>
                <w:lang w:eastAsia="sk-SK"/>
              </w:rPr>
              <w:t>ngom</w:t>
            </w:r>
            <w:r w:rsidRPr="000A6B7F">
              <w:rPr>
                <w:rFonts w:ascii="Times New Roman" w:eastAsia="Times New Roman" w:hAnsi="Times New Roman" w:cs="Times New Roman"/>
                <w:b/>
                <w:bCs/>
                <w:color w:val="000000"/>
                <w:sz w:val="20"/>
                <w:szCs w:val="20"/>
                <w:lang w:eastAsia="sk-SK"/>
              </w:rPr>
              <w:t>)</w:t>
            </w:r>
          </w:p>
        </w:tc>
        <w:tc>
          <w:tcPr>
            <w:tcW w:w="1417"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Číslo normy</w:t>
            </w:r>
            <w:r w:rsidRPr="000A6B7F">
              <w:rPr>
                <w:rFonts w:ascii="Times New Roman" w:eastAsia="Times New Roman" w:hAnsi="Times New Roman" w:cs="Times New Roman"/>
                <w:b/>
                <w:bCs/>
                <w:color w:val="000000"/>
                <w:sz w:val="20"/>
                <w:szCs w:val="20"/>
                <w:lang w:eastAsia="sk-SK"/>
              </w:rPr>
              <w:br/>
            </w:r>
            <w:r w:rsidRPr="000A6B7F">
              <w:rPr>
                <w:rFonts w:ascii="Times New Roman" w:eastAsia="Times New Roman" w:hAnsi="Times New Roman" w:cs="Times New Roman"/>
                <w:color w:val="000000"/>
                <w:sz w:val="20"/>
                <w:szCs w:val="20"/>
                <w:lang w:eastAsia="sk-SK"/>
              </w:rPr>
              <w:t>(zákona, vyhlášky a pod.)</w:t>
            </w:r>
          </w:p>
        </w:tc>
        <w:tc>
          <w:tcPr>
            <w:tcW w:w="1134"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Lokalizácia</w:t>
            </w:r>
            <w:r w:rsidRPr="000A6B7F">
              <w:rPr>
                <w:rFonts w:ascii="Times New Roman" w:eastAsia="Times New Roman" w:hAnsi="Times New Roman" w:cs="Times New Roman"/>
                <w:b/>
                <w:bCs/>
                <w:color w:val="000000"/>
                <w:sz w:val="20"/>
                <w:szCs w:val="20"/>
                <w:lang w:eastAsia="sk-SK"/>
              </w:rPr>
              <w:br/>
              <w:t>(§, ods.</w:t>
            </w:r>
            <w:r w:rsidR="00D114ED">
              <w:rPr>
                <w:rFonts w:ascii="Times New Roman" w:eastAsia="Times New Roman" w:hAnsi="Times New Roman" w:cs="Times New Roman"/>
                <w:b/>
                <w:bCs/>
                <w:color w:val="000000"/>
                <w:sz w:val="20"/>
                <w:szCs w:val="20"/>
                <w:lang w:eastAsia="sk-SK"/>
              </w:rPr>
              <w:t>, čl.,...</w:t>
            </w:r>
            <w:r w:rsidRPr="000A6B7F">
              <w:rPr>
                <w:rFonts w:ascii="Times New Roman" w:eastAsia="Times New Roman" w:hAnsi="Times New Roman" w:cs="Times New Roman"/>
                <w:b/>
                <w:bCs/>
                <w:color w:val="000000"/>
                <w:sz w:val="20"/>
                <w:szCs w:val="20"/>
                <w:lang w:eastAsia="sk-SK"/>
              </w:rPr>
              <w: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Default="00DE6ACB" w:rsidP="000A6B7F">
            <w:pPr>
              <w:spacing w:after="0" w:line="240" w:lineRule="auto"/>
              <w:jc w:val="center"/>
              <w:rPr>
                <w:rFonts w:ascii="Times New Roman" w:eastAsia="Times New Roman" w:hAnsi="Times New Roman" w:cs="Times New Roman"/>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Pôvod regulácie: </w:t>
            </w:r>
            <w:r w:rsidRPr="000A6B7F">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SK</w:t>
            </w:r>
            <w:r w:rsidRPr="000A6B7F">
              <w:rPr>
                <w:rFonts w:ascii="Times New Roman" w:eastAsia="Times New Roman" w:hAnsi="Times New Roman" w:cs="Times New Roman"/>
                <w:color w:val="000000"/>
                <w:sz w:val="20"/>
                <w:szCs w:val="20"/>
                <w:lang w:eastAsia="sk-SK"/>
              </w:rPr>
              <w:t>/EÚ úplná harm./</w:t>
            </w:r>
          </w:p>
          <w:p w:rsidR="00DE6ACB" w:rsidRPr="00854634" w:rsidRDefault="006564C3" w:rsidP="000A6B7F">
            <w:pPr>
              <w:spacing w:after="0" w:line="240" w:lineRule="auto"/>
              <w:jc w:val="center"/>
              <w:rPr>
                <w:rFonts w:ascii="Times New Roman" w:eastAsia="Times New Roman" w:hAnsi="Times New Roman" w:cs="Times New Roman"/>
                <w:b/>
                <w:bCs/>
                <w:color w:val="000000"/>
                <w:sz w:val="18"/>
                <w:szCs w:val="18"/>
                <w:lang w:eastAsia="sk-SK"/>
              </w:rPr>
            </w:pPr>
            <w:r w:rsidRPr="00854634">
              <w:rPr>
                <w:rFonts w:ascii="Times New Roman" w:eastAsia="Times New Roman" w:hAnsi="Times New Roman" w:cs="Times New Roman"/>
                <w:color w:val="000000"/>
                <w:sz w:val="18"/>
                <w:szCs w:val="18"/>
                <w:lang w:eastAsia="sk-SK"/>
              </w:rPr>
              <w:t>G</w:t>
            </w:r>
            <w:r w:rsidR="00DE6ACB" w:rsidRPr="00854634">
              <w:rPr>
                <w:rFonts w:ascii="Times New Roman" w:eastAsia="Times New Roman" w:hAnsi="Times New Roman" w:cs="Times New Roman"/>
                <w:color w:val="000000"/>
                <w:sz w:val="18"/>
                <w:szCs w:val="18"/>
                <w:lang w:eastAsia="sk-SK"/>
              </w:rPr>
              <w:t>oldplating</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Účinnosť regulácie</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Kategória dotk. subjektov</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114ED" w:rsidRDefault="00DE6ACB" w:rsidP="00047C70">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w:t>
            </w:r>
          </w:p>
          <w:p w:rsidR="00DE6ACB" w:rsidRPr="00895898" w:rsidRDefault="00D114ED" w:rsidP="00047C70">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dotk.</w:t>
            </w:r>
            <w:r w:rsidR="00DE6ACB" w:rsidRPr="00895898">
              <w:rPr>
                <w:rFonts w:ascii="Times New Roman" w:eastAsia="Times New Roman" w:hAnsi="Times New Roman" w:cs="Times New Roman"/>
                <w:b/>
                <w:bCs/>
                <w:color w:val="000000"/>
                <w:sz w:val="20"/>
                <w:szCs w:val="20"/>
                <w:lang w:eastAsia="sk-SK"/>
              </w:rPr>
              <w:t xml:space="preserve"> subjektov </w:t>
            </w:r>
            <w:r w:rsidR="00047C70">
              <w:rPr>
                <w:rFonts w:ascii="Times New Roman" w:eastAsia="Times New Roman" w:hAnsi="Times New Roman" w:cs="Times New Roman"/>
                <w:b/>
                <w:bCs/>
                <w:color w:val="000000"/>
                <w:sz w:val="20"/>
                <w:szCs w:val="20"/>
                <w:lang w:eastAsia="sk-SK"/>
              </w:rPr>
              <w:t>spolu</w:t>
            </w:r>
            <w:r w:rsidR="00DE6ACB" w:rsidRPr="00895898">
              <w:rPr>
                <w:rFonts w:ascii="Times New Roman" w:eastAsia="Times New Roman" w:hAnsi="Times New Roman" w:cs="Times New Roman"/>
                <w:b/>
                <w:bCs/>
                <w:color w:val="000000"/>
                <w:sz w:val="20"/>
                <w:szCs w:val="20"/>
                <w:lang w:eastAsia="sk-SK"/>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Vplyv na 1 podnik. v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Vplyv na kateg. dotk. subjekt.</w:t>
            </w:r>
            <w:r w:rsidRPr="000A6B7F">
              <w:rPr>
                <w:rFonts w:ascii="Times New Roman" w:eastAsia="Times New Roman" w:hAnsi="Times New Roman" w:cs="Times New Roman"/>
                <w:b/>
                <w:bCs/>
                <w:color w:val="000000"/>
                <w:sz w:val="20"/>
                <w:szCs w:val="20"/>
                <w:lang w:eastAsia="sk-SK"/>
              </w:rPr>
              <w:t xml:space="preserve"> v €</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895898" w:rsidRDefault="00DE6ACB" w:rsidP="00F541B6">
            <w:pPr>
              <w:spacing w:after="0" w:line="240" w:lineRule="auto"/>
              <w:jc w:val="center"/>
              <w:rPr>
                <w:rFonts w:ascii="Times New Roman" w:eastAsia="Times New Roman" w:hAnsi="Times New Roman" w:cs="Times New Roman"/>
                <w:bCs/>
                <w:color w:val="000000"/>
                <w:sz w:val="20"/>
                <w:szCs w:val="20"/>
                <w:lang w:eastAsia="sk-SK"/>
              </w:rPr>
            </w:pPr>
            <w:r w:rsidRPr="000A6B7F">
              <w:rPr>
                <w:rFonts w:ascii="Times New Roman" w:eastAsia="Times New Roman" w:hAnsi="Times New Roman" w:cs="Times New Roman"/>
                <w:b/>
                <w:bCs/>
                <w:color w:val="000000"/>
                <w:sz w:val="20"/>
                <w:szCs w:val="20"/>
                <w:lang w:eastAsia="sk-SK"/>
              </w:rPr>
              <w:t>Druh vplyvu</w:t>
            </w:r>
            <w:r w:rsidRPr="000A6B7F">
              <w:rPr>
                <w:rFonts w:ascii="Times New Roman" w:eastAsia="Times New Roman" w:hAnsi="Times New Roman" w:cs="Times New Roman"/>
                <w:b/>
                <w:bCs/>
                <w:color w:val="000000"/>
                <w:sz w:val="20"/>
                <w:szCs w:val="20"/>
                <w:lang w:eastAsia="sk-SK"/>
              </w:rPr>
              <w:br/>
            </w:r>
            <w:r w:rsidRPr="00895898">
              <w:rPr>
                <w:rFonts w:ascii="Times New Roman" w:eastAsia="Times New Roman" w:hAnsi="Times New Roman" w:cs="Times New Roman"/>
                <w:bCs/>
                <w:color w:val="000000"/>
                <w:sz w:val="20"/>
                <w:szCs w:val="20"/>
                <w:lang w:eastAsia="sk-SK"/>
              </w:rPr>
              <w:t xml:space="preserve">In (zvyšuje náklady) / </w:t>
            </w:r>
          </w:p>
          <w:p w:rsidR="00DE6ACB" w:rsidRPr="00895898" w:rsidRDefault="00DE6ACB" w:rsidP="00F541B6">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color w:val="000000"/>
                <w:sz w:val="20"/>
                <w:szCs w:val="20"/>
                <w:lang w:eastAsia="sk-SK"/>
              </w:rPr>
              <w:t>/ Nemení sa</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1in</w:t>
            </w:r>
          </w:p>
          <w:p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2out celkom</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Goldplating celkom</w:t>
            </w:r>
          </w:p>
        </w:tc>
      </w:tr>
      <w:tr w:rsidR="00854634" w:rsidRPr="00895898" w:rsidTr="00854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62" w:type="dxa"/>
            <w:vAlign w:val="center"/>
          </w:tcPr>
          <w:p w:rsidR="003B3173" w:rsidRPr="00895898" w:rsidRDefault="003B3173" w:rsidP="003B3173">
            <w:pPr>
              <w:spacing w:after="0" w:line="240" w:lineRule="auto"/>
              <w:rPr>
                <w:rFonts w:ascii="Times New Roman" w:eastAsia="Times New Roman" w:hAnsi="Times New Roman" w:cs="Times New Roman"/>
                <w:sz w:val="20"/>
                <w:szCs w:val="20"/>
                <w:lang w:eastAsia="sk-SK"/>
              </w:rPr>
            </w:pPr>
          </w:p>
        </w:tc>
        <w:tc>
          <w:tcPr>
            <w:tcW w:w="1665" w:type="dxa"/>
            <w:shd w:val="clear" w:color="auto" w:fill="auto"/>
            <w:vAlign w:val="center"/>
          </w:tcPr>
          <w:p w:rsidR="003B3173" w:rsidRPr="00895898" w:rsidRDefault="003B3173" w:rsidP="003B3173">
            <w:pPr>
              <w:spacing w:after="0" w:line="240" w:lineRule="auto"/>
              <w:rPr>
                <w:rFonts w:ascii="Times New Roman" w:eastAsia="Times New Roman" w:hAnsi="Times New Roman" w:cs="Times New Roman"/>
                <w:sz w:val="20"/>
                <w:szCs w:val="20"/>
                <w:lang w:eastAsia="sk-SK"/>
              </w:rPr>
            </w:pPr>
          </w:p>
        </w:tc>
        <w:tc>
          <w:tcPr>
            <w:tcW w:w="1417" w:type="dxa"/>
            <w:vAlign w:val="center"/>
          </w:tcPr>
          <w:p w:rsidR="003B3173" w:rsidRPr="00895898" w:rsidRDefault="003B3173" w:rsidP="003B3173">
            <w:pPr>
              <w:spacing w:after="0" w:line="240" w:lineRule="auto"/>
              <w:rPr>
                <w:rFonts w:ascii="Times New Roman" w:eastAsia="Times New Roman" w:hAnsi="Times New Roman" w:cs="Times New Roman"/>
                <w:sz w:val="20"/>
                <w:szCs w:val="20"/>
                <w:lang w:eastAsia="sk-SK"/>
              </w:rPr>
            </w:pPr>
          </w:p>
        </w:tc>
        <w:tc>
          <w:tcPr>
            <w:tcW w:w="1134" w:type="dxa"/>
            <w:vAlign w:val="center"/>
          </w:tcPr>
          <w:p w:rsidR="003B3173" w:rsidRPr="00895898" w:rsidRDefault="003B3173" w:rsidP="003B3173">
            <w:pPr>
              <w:spacing w:after="0" w:line="240" w:lineRule="auto"/>
              <w:rPr>
                <w:rFonts w:ascii="Times New Roman" w:eastAsia="Times New Roman" w:hAnsi="Times New Roman" w:cs="Times New Roman"/>
                <w:sz w:val="20"/>
                <w:szCs w:val="20"/>
                <w:lang w:eastAsia="sk-SK"/>
              </w:rPr>
            </w:pPr>
          </w:p>
        </w:tc>
        <w:tc>
          <w:tcPr>
            <w:tcW w:w="1134" w:type="dxa"/>
            <w:shd w:val="clear" w:color="auto" w:fill="auto"/>
            <w:vAlign w:val="center"/>
          </w:tcPr>
          <w:p w:rsidR="003B3173" w:rsidRPr="00895898" w:rsidRDefault="003B3173" w:rsidP="003B3173">
            <w:pPr>
              <w:pStyle w:val="gmail-m-1648484718305530482msolistparagraph"/>
              <w:spacing w:before="0" w:beforeAutospacing="0" w:after="0" w:afterAutospacing="0"/>
              <w:jc w:val="center"/>
              <w:rPr>
                <w:rFonts w:ascii="Times New Roman" w:eastAsia="Times New Roman" w:hAnsi="Times New Roman" w:cs="Times New Roman"/>
                <w:sz w:val="20"/>
                <w:szCs w:val="20"/>
              </w:rPr>
            </w:pPr>
          </w:p>
        </w:tc>
        <w:tc>
          <w:tcPr>
            <w:tcW w:w="992" w:type="dxa"/>
            <w:vAlign w:val="center"/>
          </w:tcPr>
          <w:p w:rsidR="003B3173" w:rsidRPr="00895898" w:rsidRDefault="003B3173" w:rsidP="003B3173">
            <w:pPr>
              <w:spacing w:after="0" w:line="240" w:lineRule="auto"/>
              <w:jc w:val="center"/>
              <w:rPr>
                <w:rFonts w:ascii="Times New Roman" w:eastAsia="Times New Roman" w:hAnsi="Times New Roman" w:cs="Times New Roman"/>
                <w:color w:val="000000"/>
                <w:sz w:val="20"/>
                <w:szCs w:val="20"/>
                <w:lang w:eastAsia="sk-SK"/>
              </w:rPr>
            </w:pPr>
          </w:p>
        </w:tc>
        <w:tc>
          <w:tcPr>
            <w:tcW w:w="1701" w:type="dxa"/>
            <w:shd w:val="clear" w:color="auto" w:fill="auto"/>
            <w:noWrap/>
            <w:vAlign w:val="center"/>
          </w:tcPr>
          <w:p w:rsidR="003B3173" w:rsidRPr="00895898" w:rsidRDefault="003B3173" w:rsidP="00ED7861">
            <w:pPr>
              <w:spacing w:after="0" w:line="240" w:lineRule="auto"/>
              <w:rPr>
                <w:rFonts w:ascii="Times New Roman" w:eastAsia="Times New Roman" w:hAnsi="Times New Roman" w:cs="Times New Roman"/>
                <w:color w:val="000000"/>
                <w:sz w:val="20"/>
                <w:szCs w:val="20"/>
                <w:lang w:eastAsia="sk-SK"/>
              </w:rPr>
            </w:pPr>
          </w:p>
        </w:tc>
        <w:tc>
          <w:tcPr>
            <w:tcW w:w="993" w:type="dxa"/>
            <w:vAlign w:val="center"/>
          </w:tcPr>
          <w:p w:rsidR="003B3173" w:rsidRPr="00895898" w:rsidRDefault="003B3173" w:rsidP="003B3173">
            <w:pPr>
              <w:spacing w:after="0" w:line="240" w:lineRule="auto"/>
              <w:jc w:val="center"/>
              <w:rPr>
                <w:rFonts w:ascii="Times New Roman" w:eastAsia="Times New Roman" w:hAnsi="Times New Roman" w:cs="Times New Roman"/>
                <w:sz w:val="20"/>
                <w:szCs w:val="20"/>
                <w:lang w:eastAsia="sk-SK"/>
              </w:rPr>
            </w:pPr>
          </w:p>
        </w:tc>
        <w:tc>
          <w:tcPr>
            <w:tcW w:w="850" w:type="dxa"/>
            <w:shd w:val="clear" w:color="auto" w:fill="auto"/>
            <w:noWrap/>
            <w:vAlign w:val="center"/>
          </w:tcPr>
          <w:p w:rsidR="003B3173" w:rsidRPr="00895898" w:rsidRDefault="003B3173" w:rsidP="003B3173">
            <w:pPr>
              <w:spacing w:after="0" w:line="240" w:lineRule="auto"/>
              <w:jc w:val="center"/>
              <w:rPr>
                <w:rFonts w:ascii="Times New Roman" w:eastAsia="Times New Roman" w:hAnsi="Times New Roman" w:cs="Times New Roman"/>
                <w:sz w:val="20"/>
                <w:szCs w:val="20"/>
                <w:lang w:eastAsia="sk-SK"/>
              </w:rPr>
            </w:pPr>
          </w:p>
        </w:tc>
        <w:tc>
          <w:tcPr>
            <w:tcW w:w="851" w:type="dxa"/>
            <w:shd w:val="clear" w:color="auto" w:fill="auto"/>
            <w:noWrap/>
            <w:vAlign w:val="center"/>
          </w:tcPr>
          <w:p w:rsidR="003B3173" w:rsidRPr="00895898" w:rsidRDefault="003B3173" w:rsidP="003B3173">
            <w:pPr>
              <w:spacing w:after="0" w:line="240" w:lineRule="auto"/>
              <w:jc w:val="center"/>
              <w:rPr>
                <w:rFonts w:ascii="Times New Roman" w:eastAsia="Times New Roman" w:hAnsi="Times New Roman" w:cs="Times New Roman"/>
                <w:color w:val="000000"/>
                <w:sz w:val="20"/>
                <w:szCs w:val="20"/>
                <w:lang w:eastAsia="sk-SK"/>
              </w:rPr>
            </w:pPr>
          </w:p>
        </w:tc>
        <w:tc>
          <w:tcPr>
            <w:tcW w:w="1134" w:type="dxa"/>
            <w:shd w:val="clear" w:color="auto" w:fill="auto"/>
            <w:noWrap/>
            <w:vAlign w:val="center"/>
          </w:tcPr>
          <w:p w:rsidR="003B3173" w:rsidRPr="00895898" w:rsidRDefault="003B3173" w:rsidP="003B3173">
            <w:pPr>
              <w:spacing w:after="0" w:line="240" w:lineRule="auto"/>
              <w:rPr>
                <w:rFonts w:ascii="Times New Roman" w:eastAsia="Times New Roman" w:hAnsi="Times New Roman" w:cs="Times New Roman"/>
                <w:sz w:val="20"/>
                <w:szCs w:val="20"/>
                <w:lang w:eastAsia="sk-SK"/>
              </w:rPr>
            </w:pPr>
          </w:p>
        </w:tc>
        <w:tc>
          <w:tcPr>
            <w:tcW w:w="708" w:type="dxa"/>
            <w:shd w:val="clear" w:color="auto" w:fill="auto"/>
            <w:noWrap/>
            <w:vAlign w:val="center"/>
          </w:tcPr>
          <w:p w:rsidR="003B3173" w:rsidRPr="00895898" w:rsidRDefault="003B3173" w:rsidP="003B3173">
            <w:pPr>
              <w:spacing w:after="0" w:line="240" w:lineRule="auto"/>
              <w:jc w:val="center"/>
              <w:rPr>
                <w:rFonts w:ascii="Times New Roman" w:eastAsia="Times New Roman" w:hAnsi="Times New Roman" w:cs="Times New Roman"/>
                <w:color w:val="000000"/>
                <w:sz w:val="20"/>
                <w:szCs w:val="20"/>
                <w:lang w:eastAsia="sk-SK"/>
              </w:rPr>
            </w:pPr>
          </w:p>
        </w:tc>
        <w:tc>
          <w:tcPr>
            <w:tcW w:w="1134" w:type="dxa"/>
            <w:vAlign w:val="center"/>
          </w:tcPr>
          <w:p w:rsidR="003B3173" w:rsidRPr="00895898" w:rsidRDefault="003B3173" w:rsidP="003B3173">
            <w:pPr>
              <w:spacing w:after="0" w:line="240" w:lineRule="auto"/>
              <w:jc w:val="center"/>
              <w:rPr>
                <w:rFonts w:ascii="Times New Roman" w:eastAsia="Times New Roman" w:hAnsi="Times New Roman" w:cs="Times New Roman"/>
                <w:sz w:val="20"/>
                <w:szCs w:val="20"/>
                <w:lang w:eastAsia="sk-SK"/>
              </w:rPr>
            </w:pPr>
          </w:p>
        </w:tc>
      </w:tr>
    </w:tbl>
    <w:p w:rsidR="00054C41" w:rsidRPr="00895898" w:rsidRDefault="00054C41" w:rsidP="00054C41">
      <w:pPr>
        <w:jc w:val="both"/>
        <w:rPr>
          <w:rFonts w:ascii="Times New Roman" w:eastAsia="Calibri" w:hAnsi="Times New Roman" w:cs="Times New Roman"/>
          <w:i/>
        </w:rPr>
      </w:pPr>
    </w:p>
    <w:p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rsidR="00054C41" w:rsidRPr="001F1B43" w:rsidRDefault="00511F8F" w:rsidP="00054C41">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 xml:space="preserve">3.1.3 </w:t>
      </w:r>
      <w:r w:rsidR="00054C41"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oplatky</w:t>
      </w:r>
      <w:r w:rsidRPr="00952CF6">
        <w:rPr>
          <w:rFonts w:ascii="Times New Roman" w:eastAsia="Calibri" w:hAnsi="Times New Roman" w:cs="Times New Roman"/>
          <w:bCs/>
          <w:i/>
          <w:iCs/>
          <w:color w:val="000000"/>
          <w:sz w:val="24"/>
          <w:szCs w:val="24"/>
        </w:rPr>
        <w:t>,</w:t>
      </w:r>
      <w:r w:rsidRPr="00D8247C">
        <w:rPr>
          <w:rFonts w:ascii="Times New Roman" w:eastAsia="Calibri" w:hAnsi="Times New Roman" w:cs="Times New Roman"/>
          <w:bCs/>
          <w:i/>
          <w:iCs/>
          <w:color w:val="000000"/>
          <w:sz w:val="24"/>
          <w:szCs w:val="24"/>
        </w:rPr>
        <w:t xml:space="preserve"> C. </w:t>
      </w:r>
      <w:r w:rsidR="00024EE4">
        <w:rPr>
          <w:rFonts w:ascii="Times New Roman" w:eastAsia="Calibri" w:hAnsi="Times New Roman" w:cs="Times New Roman"/>
          <w:bCs/>
          <w:i/>
          <w:iCs/>
          <w:color w:val="000000"/>
          <w:sz w:val="24"/>
          <w:szCs w:val="24"/>
        </w:rPr>
        <w:t>Sankcie</w:t>
      </w:r>
      <w:r w:rsidRPr="00D8247C">
        <w:rPr>
          <w:rFonts w:ascii="Times New Roman" w:eastAsia="Calibri" w:hAnsi="Times New Roman" w:cs="Times New Roman"/>
          <w:bCs/>
          <w:i/>
          <w:iCs/>
          <w:color w:val="000000"/>
          <w:sz w:val="24"/>
          <w:szCs w:val="24"/>
        </w:rPr>
        <w:t xml:space="preserve">, D. </w:t>
      </w:r>
      <w:r w:rsidR="00024EE4">
        <w:rPr>
          <w:rFonts w:ascii="Times New Roman" w:eastAsia="Calibri" w:hAnsi="Times New Roman" w:cs="Times New Roman"/>
          <w:bCs/>
          <w:i/>
          <w:iCs/>
          <w:color w:val="000000"/>
          <w:sz w:val="24"/>
          <w:szCs w:val="24"/>
        </w:rPr>
        <w:t>Nepriame finančné náklady</w:t>
      </w:r>
      <w:r w:rsidR="00A94A0F">
        <w:rPr>
          <w:rFonts w:ascii="Times New Roman" w:eastAsia="Calibri" w:hAnsi="Times New Roman" w:cs="Times New Roman"/>
          <w:bCs/>
          <w:i/>
          <w:iCs/>
          <w:color w:val="000000"/>
          <w:sz w:val="24"/>
          <w:szCs w:val="24"/>
        </w:rPr>
        <w:t xml:space="preserve">, E. </w:t>
      </w:r>
      <w:r w:rsidRPr="00D8247C">
        <w:rPr>
          <w:rFonts w:ascii="Times New Roman" w:eastAsia="Calibri" w:hAnsi="Times New Roman" w:cs="Times New Roman"/>
          <w:bCs/>
          <w:i/>
          <w:iCs/>
          <w:color w:val="000000"/>
          <w:sz w:val="24"/>
          <w:szCs w:val="24"/>
        </w:rPr>
        <w:t xml:space="preserve">Administratívne náklady). Rozčleňte ich a vypočítajte v súlade s metodickým postupom. </w:t>
      </w:r>
    </w:p>
    <w:p w:rsidR="00FC2F64" w:rsidRDefault="00FC2F64" w:rsidP="00032DAB">
      <w:pPr>
        <w:jc w:val="both"/>
        <w:rPr>
          <w:rFonts w:ascii="Times New Roman" w:eastAsia="Calibri" w:hAnsi="Times New Roman" w:cs="Times New Roman"/>
          <w:b/>
          <w:sz w:val="24"/>
          <w:szCs w:val="24"/>
        </w:rPr>
      </w:pPr>
    </w:p>
    <w:p w:rsidR="00512BA7" w:rsidRPr="001F1B43" w:rsidRDefault="00511F8F" w:rsidP="00512BA7">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t xml:space="preserve">3.1.4 </w:t>
      </w:r>
      <w:r w:rsidR="001E24E8">
        <w:rPr>
          <w:rFonts w:ascii="Times New Roman" w:eastAsia="Calibri" w:hAnsi="Times New Roman" w:cs="Times New Roman"/>
          <w:b/>
          <w:bCs/>
          <w:i/>
          <w:sz w:val="24"/>
          <w:szCs w:val="24"/>
          <w:u w:val="single"/>
        </w:rPr>
        <w:t>Odôvodnenie</w:t>
      </w:r>
      <w:r w:rsidR="008F6ADE" w:rsidRPr="00804BC8">
        <w:rPr>
          <w:rFonts w:ascii="Times New Roman" w:eastAsia="Calibri" w:hAnsi="Times New Roman" w:cs="Times New Roman"/>
          <w:b/>
          <w:bCs/>
          <w:i/>
          <w:sz w:val="24"/>
          <w:szCs w:val="24"/>
          <w:u w:val="single"/>
        </w:rPr>
        <w:t xml:space="preserve"> goldplating</w:t>
      </w:r>
      <w:r w:rsidR="0016512E">
        <w:rPr>
          <w:rFonts w:ascii="Times New Roman" w:eastAsia="Calibri" w:hAnsi="Times New Roman" w:cs="Times New Roman"/>
          <w:b/>
          <w:bCs/>
          <w:i/>
          <w:sz w:val="24"/>
          <w:szCs w:val="24"/>
          <w:u w:val="single"/>
        </w:rPr>
        <w:t>u</w:t>
      </w:r>
      <w:r w:rsidR="001E24E8">
        <w:rPr>
          <w:rFonts w:ascii="Times New Roman" w:eastAsia="Calibri" w:hAnsi="Times New Roman" w:cs="Times New Roman"/>
          <w:b/>
          <w:bCs/>
          <w:i/>
          <w:sz w:val="24"/>
          <w:szCs w:val="24"/>
          <w:u w:val="single"/>
        </w:rPr>
        <w:t xml:space="preserve"> </w:t>
      </w:r>
      <w:r w:rsidR="008F6ADE" w:rsidRPr="00804BC8">
        <w:rPr>
          <w:rFonts w:ascii="Times New Roman" w:eastAsia="Calibri" w:hAnsi="Times New Roman" w:cs="Times New Roman"/>
          <w:b/>
          <w:bCs/>
          <w:i/>
          <w:sz w:val="24"/>
          <w:szCs w:val="24"/>
          <w:u w:val="single"/>
        </w:rPr>
        <w:t xml:space="preserve">podľa bodu 4 časti III </w:t>
      </w:r>
      <w:r w:rsidR="00FA6FFE">
        <w:rPr>
          <w:rFonts w:ascii="Times New Roman" w:eastAsia="Calibri" w:hAnsi="Times New Roman" w:cs="Times New Roman"/>
          <w:b/>
          <w:bCs/>
          <w:i/>
          <w:sz w:val="24"/>
          <w:szCs w:val="24"/>
          <w:u w:val="single"/>
        </w:rPr>
        <w:t>j</w:t>
      </w:r>
      <w:r w:rsidR="001E24E8">
        <w:rPr>
          <w:rFonts w:ascii="Times New Roman" w:eastAsia="Calibri" w:hAnsi="Times New Roman" w:cs="Times New Roman"/>
          <w:b/>
          <w:bCs/>
          <w:i/>
          <w:sz w:val="24"/>
          <w:szCs w:val="24"/>
          <w:u w:val="single"/>
        </w:rPr>
        <w:t xml:space="preserve">ednotnej metodiky </w:t>
      </w:r>
      <w:r w:rsidR="00400BA5">
        <w:rPr>
          <w:rFonts w:ascii="Times New Roman" w:eastAsia="Calibri" w:hAnsi="Times New Roman" w:cs="Times New Roman"/>
          <w:b/>
          <w:bCs/>
          <w:i/>
          <w:sz w:val="24"/>
          <w:szCs w:val="24"/>
          <w:u w:val="single"/>
        </w:rPr>
        <w:t>a </w:t>
      </w:r>
      <w:r w:rsidR="00B21D1F">
        <w:rPr>
          <w:rFonts w:ascii="Times New Roman" w:eastAsia="Calibri" w:hAnsi="Times New Roman" w:cs="Times New Roman"/>
          <w:b/>
          <w:bCs/>
          <w:i/>
          <w:sz w:val="24"/>
          <w:szCs w:val="24"/>
          <w:u w:val="single"/>
        </w:rPr>
        <w:t>ďalšie</w:t>
      </w:r>
      <w:r w:rsidR="00400BA5">
        <w:rPr>
          <w:rFonts w:ascii="Times New Roman" w:eastAsia="Calibri" w:hAnsi="Times New Roman" w:cs="Times New Roman"/>
          <w:b/>
          <w:bCs/>
          <w:i/>
          <w:sz w:val="24"/>
          <w:szCs w:val="24"/>
          <w:u w:val="single"/>
        </w:rPr>
        <w:t xml:space="preserve"> d</w:t>
      </w:r>
      <w:r w:rsidR="00512BA7" w:rsidRPr="001F1B43">
        <w:rPr>
          <w:rFonts w:ascii="Times New Roman" w:eastAsia="Calibri" w:hAnsi="Times New Roman" w:cs="Times New Roman"/>
          <w:b/>
          <w:bCs/>
          <w:i/>
          <w:sz w:val="24"/>
          <w:szCs w:val="24"/>
          <w:u w:val="single"/>
        </w:rPr>
        <w:t>oplňujúce informácie</w:t>
      </w:r>
      <w:r w:rsidR="00512BA7">
        <w:rPr>
          <w:rStyle w:val="Odkaznapoznmkupodiarou"/>
          <w:rFonts w:ascii="Times New Roman" w:eastAsia="Calibri" w:hAnsi="Times New Roman" w:cs="Times New Roman"/>
          <w:b/>
          <w:bCs/>
          <w:i/>
          <w:sz w:val="24"/>
          <w:szCs w:val="24"/>
          <w:u w:val="single"/>
        </w:rPr>
        <w:footnoteReference w:id="2"/>
      </w:r>
      <w:r w:rsidR="00512BA7" w:rsidRPr="001F1B43">
        <w:rPr>
          <w:rFonts w:ascii="Times New Roman" w:eastAsia="Calibri" w:hAnsi="Times New Roman" w:cs="Times New Roman"/>
          <w:b/>
          <w:bCs/>
          <w:i/>
          <w:sz w:val="24"/>
          <w:szCs w:val="24"/>
          <w:u w:val="single"/>
        </w:rPr>
        <w:t xml:space="preserve"> </w:t>
      </w:r>
    </w:p>
    <w:p w:rsidR="000C5419" w:rsidRPr="000C5419" w:rsidRDefault="000C5419" w:rsidP="000C5419">
      <w:pPr>
        <w:jc w:val="both"/>
        <w:rPr>
          <w:rFonts w:ascii="Times New Roman" w:eastAsia="Calibri" w:hAnsi="Times New Roman" w:cs="Times New Roman"/>
          <w:bCs/>
          <w:i/>
          <w:iCs/>
          <w:color w:val="000000"/>
          <w:sz w:val="24"/>
          <w:szCs w:val="24"/>
        </w:rPr>
      </w:pPr>
      <w:r w:rsidRPr="000C5419">
        <w:rPr>
          <w:rFonts w:ascii="Times New Roman" w:eastAsia="Calibri" w:hAnsi="Times New Roman" w:cs="Times New Roman"/>
          <w:bCs/>
          <w:i/>
          <w:iCs/>
          <w:color w:val="000000"/>
          <w:sz w:val="24"/>
          <w:szCs w:val="24"/>
        </w:rPr>
        <w:t xml:space="preserve">Požadované informácie </w:t>
      </w:r>
      <w:r w:rsidR="00F153D7">
        <w:rPr>
          <w:rFonts w:ascii="Times New Roman" w:eastAsia="Calibri" w:hAnsi="Times New Roman" w:cs="Times New Roman"/>
          <w:bCs/>
          <w:i/>
          <w:iCs/>
          <w:color w:val="000000"/>
          <w:sz w:val="24"/>
          <w:szCs w:val="24"/>
        </w:rPr>
        <w:t>uveďte</w:t>
      </w:r>
      <w:r w:rsidRPr="000C5419">
        <w:rPr>
          <w:rFonts w:ascii="Times New Roman" w:eastAsia="Calibri" w:hAnsi="Times New Roman" w:cs="Times New Roman"/>
          <w:bCs/>
          <w:i/>
          <w:iCs/>
          <w:color w:val="000000"/>
          <w:sz w:val="24"/>
          <w:szCs w:val="24"/>
        </w:rPr>
        <w:t xml:space="preserve"> osobitne ku každému identifikovanému goldplatingu (ku každej hodnotenej regulácii s goldplatingom osobitne). </w:t>
      </w:r>
    </w:p>
    <w:p w:rsidR="0016512E" w:rsidRPr="000C5419" w:rsidRDefault="0016512E" w:rsidP="0016512E">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Uveďte</w:t>
      </w:r>
      <w:r w:rsidR="004239D1">
        <w:rPr>
          <w:rFonts w:ascii="Times New Roman" w:eastAsia="Calibri" w:hAnsi="Times New Roman" w:cs="Times New Roman"/>
          <w:bCs/>
          <w:i/>
          <w:iCs/>
          <w:color w:val="000000"/>
          <w:sz w:val="24"/>
          <w:szCs w:val="24"/>
        </w:rPr>
        <w:t xml:space="preserve"> o</w:t>
      </w:r>
      <w:r w:rsidR="004239D1" w:rsidRPr="004239D1">
        <w:rPr>
          <w:rFonts w:ascii="Times New Roman" w:eastAsia="Calibri" w:hAnsi="Times New Roman" w:cs="Times New Roman"/>
          <w:bCs/>
          <w:i/>
          <w:iCs/>
          <w:color w:val="000000"/>
          <w:sz w:val="24"/>
          <w:szCs w:val="24"/>
        </w:rPr>
        <w:t xml:space="preserve">dôvodnenie goldplatingu </w:t>
      </w:r>
      <w:r w:rsidR="004239D1">
        <w:rPr>
          <w:rFonts w:ascii="Times New Roman" w:eastAsia="Calibri" w:hAnsi="Times New Roman" w:cs="Times New Roman"/>
          <w:bCs/>
          <w:i/>
          <w:iCs/>
          <w:color w:val="000000"/>
          <w:sz w:val="24"/>
          <w:szCs w:val="24"/>
        </w:rPr>
        <w:t xml:space="preserve">z hľadiska </w:t>
      </w:r>
      <w:r w:rsidR="004239D1" w:rsidRPr="004239D1">
        <w:rPr>
          <w:rFonts w:ascii="Times New Roman" w:eastAsia="Calibri" w:hAnsi="Times New Roman" w:cs="Times New Roman"/>
          <w:bCs/>
          <w:i/>
          <w:iCs/>
          <w:color w:val="000000"/>
          <w:sz w:val="24"/>
          <w:szCs w:val="24"/>
        </w:rPr>
        <w:t>jeho nespochybniteľnej nevyhnutnosti.</w:t>
      </w:r>
      <w:r>
        <w:rPr>
          <w:rFonts w:ascii="Times New Roman" w:eastAsia="Calibri" w:hAnsi="Times New Roman" w:cs="Times New Roman"/>
          <w:bCs/>
          <w:i/>
          <w:iCs/>
          <w:color w:val="000000"/>
          <w:sz w:val="24"/>
          <w:szCs w:val="24"/>
        </w:rPr>
        <w:t xml:space="preserve"> Odôvodnenie doložte dôkladným hodnotením prínosov a</w:t>
      </w:r>
      <w:r w:rsidR="005D39D8">
        <w:rPr>
          <w:rFonts w:ascii="Times New Roman" w:eastAsia="Calibri" w:hAnsi="Times New Roman" w:cs="Times New Roman"/>
          <w:bCs/>
          <w:i/>
          <w:iCs/>
          <w:color w:val="000000"/>
          <w:sz w:val="24"/>
          <w:szCs w:val="24"/>
        </w:rPr>
        <w:t> </w:t>
      </w:r>
      <w:r>
        <w:rPr>
          <w:rFonts w:ascii="Times New Roman" w:eastAsia="Calibri" w:hAnsi="Times New Roman" w:cs="Times New Roman"/>
          <w:bCs/>
          <w:i/>
          <w:iCs/>
          <w:color w:val="000000"/>
          <w:sz w:val="24"/>
          <w:szCs w:val="24"/>
        </w:rPr>
        <w:t>nákladov</w:t>
      </w:r>
      <w:r w:rsidR="005D39D8">
        <w:rPr>
          <w:rFonts w:ascii="Times New Roman" w:eastAsia="Calibri" w:hAnsi="Times New Roman" w:cs="Times New Roman"/>
          <w:bCs/>
          <w:i/>
          <w:iCs/>
          <w:color w:val="000000"/>
          <w:sz w:val="24"/>
          <w:szCs w:val="24"/>
        </w:rPr>
        <w:t xml:space="preserve">. </w:t>
      </w:r>
      <w:r w:rsidR="005D39D8" w:rsidRPr="005D39D8">
        <w:rPr>
          <w:rFonts w:ascii="Times New Roman" w:eastAsia="Calibri" w:hAnsi="Times New Roman" w:cs="Times New Roman"/>
          <w:bCs/>
          <w:i/>
          <w:iCs/>
          <w:color w:val="000000"/>
          <w:sz w:val="24"/>
          <w:szCs w:val="24"/>
        </w:rPr>
        <w:t>Uveďte zvážené alternatívne riešenia.</w:t>
      </w:r>
    </w:p>
    <w:p w:rsidR="000C5419" w:rsidRPr="000C5419" w:rsidRDefault="00990813" w:rsidP="000C5419">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Zároveň </w:t>
      </w:r>
      <w:r w:rsidR="00D5309D">
        <w:rPr>
          <w:rFonts w:ascii="Times New Roman" w:eastAsia="Calibri" w:hAnsi="Times New Roman" w:cs="Times New Roman"/>
          <w:bCs/>
          <w:i/>
          <w:iCs/>
          <w:color w:val="000000"/>
          <w:sz w:val="24"/>
          <w:szCs w:val="24"/>
        </w:rPr>
        <w:t>uveďte</w:t>
      </w:r>
      <w:r w:rsidR="000C5419">
        <w:rPr>
          <w:rFonts w:ascii="Times New Roman" w:eastAsia="Calibri" w:hAnsi="Times New Roman" w:cs="Times New Roman"/>
          <w:bCs/>
          <w:i/>
          <w:iCs/>
          <w:color w:val="000000"/>
          <w:sz w:val="24"/>
          <w:szCs w:val="24"/>
        </w:rPr>
        <w:t xml:space="preserve"> </w:t>
      </w:r>
      <w:r w:rsidR="000C5419" w:rsidRPr="00284B8C">
        <w:rPr>
          <w:rFonts w:ascii="Times New Roman" w:eastAsia="Calibri" w:hAnsi="Times New Roman" w:cs="Times New Roman"/>
          <w:bCs/>
          <w:i/>
          <w:iCs/>
          <w:color w:val="000000"/>
          <w:sz w:val="24"/>
          <w:szCs w:val="24"/>
        </w:rPr>
        <w:t>konkrétne informácie súvisiace s </w:t>
      </w:r>
      <w:r>
        <w:rPr>
          <w:rFonts w:ascii="Times New Roman" w:eastAsia="Calibri" w:hAnsi="Times New Roman" w:cs="Times New Roman"/>
          <w:bCs/>
          <w:i/>
          <w:iCs/>
          <w:color w:val="000000"/>
          <w:sz w:val="24"/>
          <w:szCs w:val="24"/>
        </w:rPr>
        <w:t>kategóriou</w:t>
      </w:r>
      <w:r w:rsidRPr="00284B8C">
        <w:rPr>
          <w:rFonts w:ascii="Times New Roman" w:eastAsia="Calibri" w:hAnsi="Times New Roman" w:cs="Times New Roman"/>
          <w:bCs/>
          <w:i/>
          <w:iCs/>
          <w:color w:val="000000"/>
          <w:sz w:val="24"/>
          <w:szCs w:val="24"/>
        </w:rPr>
        <w:t xml:space="preserve"> </w:t>
      </w:r>
      <w:r w:rsidR="000C5419" w:rsidRPr="00284B8C">
        <w:rPr>
          <w:rFonts w:ascii="Times New Roman" w:eastAsia="Calibri" w:hAnsi="Times New Roman" w:cs="Times New Roman"/>
          <w:bCs/>
          <w:i/>
          <w:iCs/>
          <w:color w:val="000000"/>
          <w:sz w:val="24"/>
          <w:szCs w:val="24"/>
        </w:rPr>
        <w:t>goldplatingu</w:t>
      </w:r>
      <w:r>
        <w:rPr>
          <w:rFonts w:ascii="Times New Roman" w:eastAsia="Calibri" w:hAnsi="Times New Roman" w:cs="Times New Roman"/>
          <w:bCs/>
          <w:i/>
          <w:iCs/>
          <w:color w:val="000000"/>
          <w:sz w:val="24"/>
          <w:szCs w:val="24"/>
        </w:rPr>
        <w:t xml:space="preserve"> podľa </w:t>
      </w:r>
      <w:r w:rsidR="00D114ED">
        <w:rPr>
          <w:rFonts w:ascii="Times New Roman" w:eastAsia="Calibri" w:hAnsi="Times New Roman" w:cs="Times New Roman"/>
          <w:bCs/>
          <w:i/>
          <w:iCs/>
          <w:color w:val="000000"/>
          <w:sz w:val="24"/>
          <w:szCs w:val="24"/>
        </w:rPr>
        <w:t>jednotnej metodiky</w:t>
      </w:r>
      <w:r w:rsidR="000C5419" w:rsidRPr="00284B8C">
        <w:rPr>
          <w:rFonts w:ascii="Times New Roman" w:eastAsia="Calibri" w:hAnsi="Times New Roman" w:cs="Times New Roman"/>
          <w:bCs/>
          <w:i/>
          <w:iCs/>
          <w:color w:val="000000"/>
          <w:sz w:val="24"/>
          <w:szCs w:val="24"/>
        </w:rPr>
        <w:t>, najmä: na aké subjekty sa nad rámec navrhuje rozšíriť pôsobnosť smernice a z akého dôvodu; aké požiadavky sa navyšujú a na aké subjekty nad rámec minimálnych požiadaviek smernice; aká  menej prísnejšia výnimka alebo úprava vyplývajúca zo smernice nebola využitá a prečo; z akého dôvodu sa navrhujú prísnejšie sankčné režimy; z akého dôvodu sa navrhuje skoršia transpozícia; z akého dôvodu sa ponechávajú v platnosti už existujúce prísnejšie vnútroštátne</w:t>
      </w:r>
      <w:r w:rsidR="000C5419" w:rsidRPr="000C5419">
        <w:rPr>
          <w:rFonts w:ascii="Times New Roman" w:eastAsia="Calibri" w:hAnsi="Times New Roman" w:cs="Times New Roman"/>
          <w:bCs/>
          <w:i/>
          <w:iCs/>
          <w:color w:val="000000"/>
          <w:sz w:val="24"/>
          <w:szCs w:val="24"/>
        </w:rPr>
        <w:t xml:space="preserve"> požiadavky. </w:t>
      </w:r>
    </w:p>
    <w:p w:rsidR="00D114ED" w:rsidRPr="00F244DC" w:rsidRDefault="00D114ED" w:rsidP="00751DA9">
      <w:pPr>
        <w:jc w:val="both"/>
        <w:rPr>
          <w:rFonts w:ascii="Times New Roman" w:eastAsia="Calibri" w:hAnsi="Times New Roman" w:cs="Times New Roman"/>
          <w:bCs/>
          <w:i/>
          <w:iCs/>
          <w:sz w:val="24"/>
          <w:szCs w:val="24"/>
        </w:rPr>
      </w:pPr>
      <w:r w:rsidRPr="00F244DC">
        <w:rPr>
          <w:rFonts w:ascii="Times New Roman" w:eastAsia="Calibri" w:hAnsi="Times New Roman" w:cs="Times New Roman"/>
          <w:bCs/>
          <w:i/>
          <w:iCs/>
          <w:sz w:val="24"/>
          <w:szCs w:val="24"/>
        </w:rPr>
        <w:t>Využitie goldplatingu pri transpozícii alebo implementácii legislatívy EÚ je v zásade nežiadúce, keďže takýto postup môže viesť k zníženiu konkuren</w:t>
      </w:r>
      <w:r w:rsidR="00075E01">
        <w:rPr>
          <w:rFonts w:ascii="Times New Roman" w:eastAsia="Calibri" w:hAnsi="Times New Roman" w:cs="Times New Roman"/>
          <w:bCs/>
          <w:i/>
          <w:iCs/>
          <w:sz w:val="24"/>
          <w:szCs w:val="24"/>
        </w:rPr>
        <w:t xml:space="preserve">cieschopnosti domácich podnikov </w:t>
      </w:r>
      <w:r w:rsidRPr="00F244DC">
        <w:rPr>
          <w:rFonts w:ascii="Times New Roman" w:eastAsia="Calibri" w:hAnsi="Times New Roman" w:cs="Times New Roman"/>
          <w:bCs/>
          <w:i/>
          <w:iCs/>
          <w:sz w:val="24"/>
          <w:szCs w:val="24"/>
        </w:rPr>
        <w:t>v porovnaní s podnikmi z krajín, kde právne predpisy nie sú natoľko prísne. Využitie goldplatingu predkladateľom je preto prípustné iba vo výnimočných prípadoch, riadne odôvodnených a vysvetlených v analýze vplyvov na podnikateľské prostredie z hľadiska jeho nevyhnutnosti, spoločenského významu, nákladov, prekonzultovaných s dotknutými podnikateľmi a posúdených Komisiou.</w:t>
      </w:r>
    </w:p>
    <w:p w:rsidR="00024EE4" w:rsidRDefault="00024EE4" w:rsidP="00054C41">
      <w:pPr>
        <w:jc w:val="both"/>
        <w:rPr>
          <w:rFonts w:ascii="Times New Roman" w:eastAsia="Calibri" w:hAnsi="Times New Roman" w:cs="Times New Roman"/>
          <w:b/>
          <w:sz w:val="24"/>
          <w:szCs w:val="24"/>
        </w:rPr>
      </w:pPr>
    </w:p>
    <w:p w:rsidR="002D6771" w:rsidRDefault="002D6771" w:rsidP="00054C41">
      <w:pPr>
        <w:jc w:val="both"/>
        <w:rPr>
          <w:rFonts w:ascii="Times New Roman" w:eastAsia="Calibri" w:hAnsi="Times New Roman" w:cs="Times New Roman"/>
          <w:b/>
          <w:sz w:val="24"/>
          <w:szCs w:val="24"/>
        </w:rPr>
      </w:pPr>
    </w:p>
    <w:p w:rsidR="002D6771" w:rsidRDefault="002D677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9D30AF" w:rsidRPr="00CB7157" w:rsidRDefault="009D30AF" w:rsidP="00CB7157">
      <w:pPr>
        <w:pStyle w:val="Textkomentra"/>
        <w:spacing w:after="0" w:line="259" w:lineRule="auto"/>
        <w:rPr>
          <w:rFonts w:ascii="Times New Roman" w:eastAsia="Calibri" w:hAnsi="Times New Roman" w:cs="Times New Roman"/>
          <w:sz w:val="24"/>
          <w:szCs w:val="24"/>
        </w:rPr>
      </w:pPr>
      <w:r w:rsidRPr="00CB7157">
        <w:rPr>
          <w:rFonts w:ascii="Times New Roman" w:eastAsia="Calibri" w:hAnsi="Times New Roman" w:cs="Times New Roman"/>
          <w:sz w:val="24"/>
          <w:szCs w:val="24"/>
        </w:rPr>
        <w:t xml:space="preserve">Predbežná informácia </w:t>
      </w:r>
      <w:r>
        <w:rPr>
          <w:rFonts w:ascii="Times New Roman" w:eastAsia="Calibri" w:hAnsi="Times New Roman" w:cs="Times New Roman"/>
          <w:sz w:val="24"/>
          <w:szCs w:val="24"/>
        </w:rPr>
        <w:t xml:space="preserve">bola </w:t>
      </w:r>
      <w:r w:rsidRPr="00CB7157">
        <w:rPr>
          <w:rFonts w:ascii="Times New Roman" w:eastAsia="Calibri" w:hAnsi="Times New Roman" w:cs="Times New Roman"/>
          <w:sz w:val="24"/>
          <w:szCs w:val="24"/>
        </w:rPr>
        <w:t xml:space="preserve">zverejnená </w:t>
      </w:r>
      <w:r w:rsidR="0066686C">
        <w:rPr>
          <w:rFonts w:ascii="Times New Roman" w:eastAsia="Calibri" w:hAnsi="Times New Roman" w:cs="Times New Roman"/>
          <w:sz w:val="24"/>
          <w:szCs w:val="24"/>
        </w:rPr>
        <w:t>v</w:t>
      </w:r>
      <w:r w:rsidR="0066686C" w:rsidRPr="0066686C">
        <w:rPr>
          <w:rFonts w:ascii="Times New Roman" w:eastAsia="Calibri" w:hAnsi="Times New Roman" w:cs="Times New Roman"/>
          <w:sz w:val="24"/>
          <w:szCs w:val="24"/>
        </w:rPr>
        <w:t> právnom informačnom systéme Slov-Lex</w:t>
      </w:r>
      <w:r w:rsidRPr="00CB7157">
        <w:rPr>
          <w:rFonts w:ascii="Times New Roman" w:eastAsia="Calibri" w:hAnsi="Times New Roman" w:cs="Times New Roman"/>
          <w:sz w:val="24"/>
          <w:szCs w:val="24"/>
        </w:rPr>
        <w:t xml:space="preserve"> dňa 19. 09. 2023</w:t>
      </w:r>
      <w:r>
        <w:rPr>
          <w:rFonts w:ascii="Times New Roman" w:eastAsia="Calibri" w:hAnsi="Times New Roman" w:cs="Times New Roman"/>
          <w:sz w:val="24"/>
          <w:szCs w:val="24"/>
        </w:rPr>
        <w:t>:</w:t>
      </w:r>
    </w:p>
    <w:p w:rsidR="009D30AF" w:rsidRPr="00CB7157" w:rsidRDefault="00700AC6" w:rsidP="00CB7157">
      <w:pPr>
        <w:pStyle w:val="Textkomentra"/>
        <w:spacing w:after="0" w:line="259" w:lineRule="auto"/>
        <w:rPr>
          <w:rFonts w:ascii="Times New Roman" w:eastAsia="Calibri" w:hAnsi="Times New Roman" w:cs="Times New Roman"/>
          <w:color w:val="2E74B5" w:themeColor="accent1" w:themeShade="BF"/>
          <w:sz w:val="24"/>
          <w:szCs w:val="24"/>
          <w:u w:val="single"/>
        </w:rPr>
      </w:pPr>
      <w:hyperlink r:id="rId11" w:history="1">
        <w:r w:rsidR="009D30AF" w:rsidRPr="00CB7157">
          <w:rPr>
            <w:rFonts w:ascii="Times New Roman" w:eastAsia="Calibri" w:hAnsi="Times New Roman" w:cs="Times New Roman"/>
            <w:color w:val="2E74B5" w:themeColor="accent1" w:themeShade="BF"/>
            <w:sz w:val="24"/>
            <w:szCs w:val="24"/>
            <w:u w:val="single"/>
          </w:rPr>
          <w:t>https://www.slov-lex.sk/legislativne-procesy/SK/PI/2023/276</w:t>
        </w:r>
      </w:hyperlink>
    </w:p>
    <w:p w:rsidR="009D30AF" w:rsidRDefault="009D30AF" w:rsidP="00CB7157">
      <w:pPr>
        <w:spacing w:after="0"/>
        <w:jc w:val="both"/>
        <w:rPr>
          <w:rFonts w:ascii="Times New Roman" w:eastAsia="Calibri" w:hAnsi="Times New Roman" w:cs="Times New Roman"/>
          <w:color w:val="2E74B5" w:themeColor="accent1" w:themeShade="BF"/>
          <w:sz w:val="24"/>
          <w:szCs w:val="24"/>
          <w:u w:val="single"/>
        </w:rPr>
      </w:pPr>
      <w:r w:rsidRPr="00CB7157">
        <w:rPr>
          <w:rFonts w:ascii="Times New Roman" w:eastAsia="Calibri" w:hAnsi="Times New Roman" w:cs="Times New Roman"/>
          <w:sz w:val="24"/>
          <w:szCs w:val="24"/>
        </w:rPr>
        <w:t xml:space="preserve">Podklad pre konzultácie </w:t>
      </w:r>
      <w:r>
        <w:rPr>
          <w:rFonts w:ascii="Times New Roman" w:eastAsia="Calibri" w:hAnsi="Times New Roman" w:cs="Times New Roman"/>
          <w:sz w:val="24"/>
          <w:szCs w:val="24"/>
        </w:rPr>
        <w:t xml:space="preserve">bol </w:t>
      </w:r>
      <w:r w:rsidRPr="00CB7157">
        <w:rPr>
          <w:rFonts w:ascii="Times New Roman" w:eastAsia="Calibri" w:hAnsi="Times New Roman" w:cs="Times New Roman"/>
          <w:sz w:val="24"/>
          <w:szCs w:val="24"/>
        </w:rPr>
        <w:t>zverejnený na stránke MPRV SR dňa 27. 09. 2023</w:t>
      </w:r>
      <w:r>
        <w:rPr>
          <w:rFonts w:ascii="Times New Roman" w:eastAsia="Calibri" w:hAnsi="Times New Roman" w:cs="Times New Roman"/>
          <w:sz w:val="24"/>
          <w:szCs w:val="24"/>
        </w:rPr>
        <w:t>:</w:t>
      </w:r>
      <w:r w:rsidRPr="00CB7157">
        <w:rPr>
          <w:rFonts w:ascii="Times New Roman" w:eastAsia="Calibri" w:hAnsi="Times New Roman" w:cs="Times New Roman"/>
          <w:sz w:val="24"/>
          <w:szCs w:val="24"/>
        </w:rPr>
        <w:t xml:space="preserve"> </w:t>
      </w:r>
      <w:hyperlink r:id="rId12" w:history="1">
        <w:r w:rsidRPr="00CB7157">
          <w:rPr>
            <w:rFonts w:ascii="Times New Roman" w:eastAsia="Calibri" w:hAnsi="Times New Roman" w:cs="Times New Roman"/>
            <w:color w:val="2E74B5" w:themeColor="accent1" w:themeShade="BF"/>
            <w:sz w:val="24"/>
            <w:szCs w:val="24"/>
            <w:u w:val="single"/>
          </w:rPr>
          <w:t>https://www.mpsr.sk/aktualne/podklad-pre-konzultacie/18917/</w:t>
        </w:r>
      </w:hyperlink>
    </w:p>
    <w:p w:rsidR="00CB7157" w:rsidRPr="00CB7157" w:rsidRDefault="00CB7157" w:rsidP="00CB7157">
      <w:pPr>
        <w:spacing w:after="0"/>
        <w:jc w:val="both"/>
        <w:rPr>
          <w:rFonts w:ascii="Times New Roman" w:eastAsia="Calibri" w:hAnsi="Times New Roman" w:cs="Times New Roman"/>
          <w:color w:val="2E74B5" w:themeColor="accent1" w:themeShade="BF"/>
          <w:sz w:val="24"/>
          <w:szCs w:val="24"/>
          <w:u w:val="single"/>
        </w:rPr>
      </w:pPr>
    </w:p>
    <w:p w:rsidR="009D30AF" w:rsidRDefault="009D30AF" w:rsidP="00CB715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prípravy právneho predpisu sa </w:t>
      </w:r>
      <w:r w:rsidR="003312CA">
        <w:rPr>
          <w:rFonts w:ascii="Times New Roman" w:eastAsia="Calibri" w:hAnsi="Times New Roman" w:cs="Times New Roman"/>
          <w:sz w:val="24"/>
          <w:szCs w:val="24"/>
        </w:rPr>
        <w:t>nezapojil žiadny subjekt.</w:t>
      </w:r>
    </w:p>
    <w:p w:rsidR="009D30AF" w:rsidRPr="00CB7157" w:rsidRDefault="009D30AF" w:rsidP="009D30AF">
      <w:pPr>
        <w:spacing w:after="0"/>
        <w:jc w:val="both"/>
        <w:rPr>
          <w:rFonts w:ascii="Times New Roman" w:eastAsia="Calibri" w:hAnsi="Times New Roman" w:cs="Times New Roman"/>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9D30AF" w:rsidRDefault="009D30AF" w:rsidP="00054C41">
      <w:pPr>
        <w:spacing w:after="0"/>
        <w:jc w:val="both"/>
        <w:rPr>
          <w:rFonts w:ascii="Times New Roman" w:eastAsia="Calibri" w:hAnsi="Times New Roman" w:cs="Times New Roman"/>
          <w:i/>
          <w:sz w:val="24"/>
          <w:szCs w:val="24"/>
        </w:rPr>
      </w:pPr>
    </w:p>
    <w:p w:rsidR="00B01CD0" w:rsidRPr="00D8247C" w:rsidRDefault="00B01CD0"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FD0D70" w:rsidRPr="00934B4E" w:rsidRDefault="00FD0D70" w:rsidP="00FD0D70">
      <w:pPr>
        <w:spacing w:after="0"/>
        <w:jc w:val="both"/>
        <w:rPr>
          <w:rFonts w:ascii="Times New Roman" w:eastAsia="Calibri" w:hAnsi="Times New Roman" w:cs="Times New Roman"/>
          <w:sz w:val="24"/>
          <w:szCs w:val="24"/>
        </w:rPr>
      </w:pPr>
      <w:r w:rsidRPr="00934B4E">
        <w:rPr>
          <w:rFonts w:ascii="Times New Roman" w:eastAsia="Calibri" w:hAnsi="Times New Roman" w:cs="Times New Roman"/>
          <w:sz w:val="24"/>
          <w:szCs w:val="24"/>
        </w:rPr>
        <w:t>Strategický plán spoločnej poľnohospodárskej politiky 2023-2027 (ďalej len „</w:t>
      </w:r>
      <w:r w:rsidR="00D55E82">
        <w:rPr>
          <w:rFonts w:ascii="Times New Roman" w:eastAsia="Calibri" w:hAnsi="Times New Roman" w:cs="Times New Roman"/>
          <w:sz w:val="24"/>
          <w:szCs w:val="24"/>
        </w:rPr>
        <w:t>strategický plán</w:t>
      </w:r>
      <w:r w:rsidRPr="00934B4E">
        <w:rPr>
          <w:rFonts w:ascii="Times New Roman" w:eastAsia="Calibri" w:hAnsi="Times New Roman" w:cs="Times New Roman"/>
          <w:sz w:val="24"/>
          <w:szCs w:val="24"/>
        </w:rPr>
        <w:t>“) cieli na vyššiu podporu produkcie ovocia a zeleniny a produktov živočíšnej výroby, udržateľného hospodárenia, podpor</w:t>
      </w:r>
      <w:r w:rsidR="009B60DB">
        <w:rPr>
          <w:rFonts w:ascii="Times New Roman" w:eastAsia="Calibri" w:hAnsi="Times New Roman" w:cs="Times New Roman"/>
          <w:sz w:val="24"/>
          <w:szCs w:val="24"/>
        </w:rPr>
        <w:t>u</w:t>
      </w:r>
      <w:r w:rsidRPr="00934B4E">
        <w:rPr>
          <w:rFonts w:ascii="Times New Roman" w:eastAsia="Calibri" w:hAnsi="Times New Roman" w:cs="Times New Roman"/>
          <w:sz w:val="24"/>
          <w:szCs w:val="24"/>
        </w:rPr>
        <w:t xml:space="preserve"> malých a mladých poľnohospodárov, zvýšená podpora ide aj do oblastí so znevýhodnenými prírodnými podmienkami. Slovensko má jednu z najvyšších koncentrácií veľkých poľnohospodárskych podnikov v rámci E</w:t>
      </w:r>
      <w:r w:rsidR="0031465A">
        <w:rPr>
          <w:rFonts w:ascii="Times New Roman" w:eastAsia="Calibri" w:hAnsi="Times New Roman" w:cs="Times New Roman"/>
          <w:sz w:val="24"/>
          <w:szCs w:val="24"/>
        </w:rPr>
        <w:t>urópskej únie</w:t>
      </w:r>
      <w:r w:rsidRPr="00934B4E">
        <w:rPr>
          <w:rFonts w:ascii="Times New Roman" w:eastAsia="Calibri" w:hAnsi="Times New Roman" w:cs="Times New Roman"/>
          <w:sz w:val="24"/>
          <w:szCs w:val="24"/>
        </w:rPr>
        <w:t xml:space="preserve">. Priemerná veľkosť poľnohospodárskeho podniku je 80,7 ha a priemerná veľkosť poľnohospodárskeho podniku podporeného z prostriedkov </w:t>
      </w:r>
      <w:r w:rsidR="0031465A">
        <w:rPr>
          <w:rFonts w:ascii="Times New Roman" w:eastAsia="Calibri" w:hAnsi="Times New Roman" w:cs="Times New Roman"/>
          <w:sz w:val="24"/>
          <w:szCs w:val="24"/>
        </w:rPr>
        <w:t>Spoločnej poľnohospodárskej politiky Európskej únie</w:t>
      </w:r>
      <w:r w:rsidR="0031465A" w:rsidRPr="00934B4E">
        <w:rPr>
          <w:rFonts w:ascii="Times New Roman" w:eastAsia="Calibri" w:hAnsi="Times New Roman" w:cs="Times New Roman"/>
          <w:sz w:val="24"/>
          <w:szCs w:val="24"/>
        </w:rPr>
        <w:t xml:space="preserve"> </w:t>
      </w:r>
      <w:r w:rsidRPr="00934B4E">
        <w:rPr>
          <w:rFonts w:ascii="Times New Roman" w:eastAsia="Calibri" w:hAnsi="Times New Roman" w:cs="Times New Roman"/>
          <w:sz w:val="24"/>
          <w:szCs w:val="24"/>
        </w:rPr>
        <w:t>je 101 ha, čo je 5 násobne viac ako priemer E</w:t>
      </w:r>
      <w:r w:rsidR="0031465A">
        <w:rPr>
          <w:rFonts w:ascii="Times New Roman" w:eastAsia="Calibri" w:hAnsi="Times New Roman" w:cs="Times New Roman"/>
          <w:sz w:val="24"/>
          <w:szCs w:val="24"/>
        </w:rPr>
        <w:t>urópskej únie</w:t>
      </w:r>
      <w:r w:rsidRPr="00934B4E">
        <w:rPr>
          <w:rFonts w:ascii="Times New Roman" w:eastAsia="Calibri" w:hAnsi="Times New Roman" w:cs="Times New Roman"/>
          <w:sz w:val="24"/>
          <w:szCs w:val="24"/>
        </w:rPr>
        <w:t>. Generačná obnova je nevyhnutná pre zachovanie poľnohospodárskej výroby. Vekový priemer pracovníkov v poľnohospodárstve je vyšší ako v ostatných odvetviach hospodárstva.</w:t>
      </w:r>
    </w:p>
    <w:p w:rsidR="00FD0D70" w:rsidRPr="00934B4E" w:rsidRDefault="00FD0D70" w:rsidP="00FD0D70">
      <w:pPr>
        <w:spacing w:after="0"/>
        <w:jc w:val="both"/>
        <w:rPr>
          <w:rFonts w:ascii="Times New Roman" w:eastAsia="Calibri" w:hAnsi="Times New Roman" w:cs="Times New Roman"/>
          <w:sz w:val="24"/>
          <w:szCs w:val="24"/>
        </w:rPr>
      </w:pPr>
      <w:r w:rsidRPr="00934B4E">
        <w:rPr>
          <w:rFonts w:ascii="Times New Roman" w:eastAsia="Calibri" w:hAnsi="Times New Roman" w:cs="Times New Roman"/>
          <w:sz w:val="24"/>
          <w:szCs w:val="24"/>
        </w:rPr>
        <w:t xml:space="preserve">V II. pilieri </w:t>
      </w:r>
      <w:r w:rsidR="004E30A5">
        <w:rPr>
          <w:rFonts w:ascii="Times New Roman" w:eastAsia="Calibri" w:hAnsi="Times New Roman" w:cs="Times New Roman"/>
          <w:sz w:val="24"/>
          <w:szCs w:val="24"/>
        </w:rPr>
        <w:t>Spoločnej poľnohospodárskej politiky Európskej únie</w:t>
      </w:r>
      <w:r w:rsidR="004E30A5" w:rsidRPr="00934B4E" w:rsidDel="004E30A5">
        <w:rPr>
          <w:rFonts w:ascii="Times New Roman" w:eastAsia="Calibri" w:hAnsi="Times New Roman" w:cs="Times New Roman"/>
          <w:sz w:val="24"/>
          <w:szCs w:val="24"/>
        </w:rPr>
        <w:t xml:space="preserve"> </w:t>
      </w:r>
      <w:r w:rsidRPr="00934B4E">
        <w:rPr>
          <w:rFonts w:ascii="Times New Roman" w:eastAsia="Calibri" w:hAnsi="Times New Roman" w:cs="Times New Roman"/>
          <w:sz w:val="24"/>
          <w:szCs w:val="24"/>
        </w:rPr>
        <w:t>budú projekty pre tieto skupiny poľnohospodárov zvýhodnené bodovo alebo vyššou intenzitou pomoci (nižšou mierou spolufinancovania žiadateľa).</w:t>
      </w:r>
    </w:p>
    <w:p w:rsidR="00FD0D70" w:rsidRDefault="00FD0D70" w:rsidP="00FD0D70">
      <w:pPr>
        <w:spacing w:after="0"/>
        <w:jc w:val="both"/>
        <w:rPr>
          <w:rFonts w:ascii="Times New Roman" w:eastAsia="Calibri" w:hAnsi="Times New Roman" w:cs="Times New Roman"/>
          <w:sz w:val="24"/>
          <w:szCs w:val="24"/>
        </w:rPr>
      </w:pPr>
      <w:r w:rsidRPr="00934B4E">
        <w:rPr>
          <w:rFonts w:ascii="Times New Roman" w:eastAsia="Calibri" w:hAnsi="Times New Roman" w:cs="Times New Roman"/>
          <w:sz w:val="24"/>
          <w:szCs w:val="24"/>
        </w:rPr>
        <w:t xml:space="preserve">Projektové intervencie v záujme rozvoja vidieka v rámci </w:t>
      </w:r>
      <w:r w:rsidR="004E30A5">
        <w:rPr>
          <w:rFonts w:ascii="Times New Roman" w:eastAsia="Calibri" w:hAnsi="Times New Roman" w:cs="Times New Roman"/>
          <w:sz w:val="24"/>
          <w:szCs w:val="24"/>
        </w:rPr>
        <w:t>strategického plánu</w:t>
      </w:r>
      <w:r w:rsidRPr="00934B4E">
        <w:rPr>
          <w:rFonts w:ascii="Times New Roman" w:eastAsia="Calibri" w:hAnsi="Times New Roman" w:cs="Times New Roman"/>
          <w:sz w:val="24"/>
          <w:szCs w:val="24"/>
        </w:rPr>
        <w:t xml:space="preserve"> pre uvedené skupiny poľnohospodárov budú nap</w:t>
      </w:r>
      <w:r w:rsidR="004E30A5">
        <w:rPr>
          <w:rFonts w:ascii="Times New Roman" w:eastAsia="Calibri" w:hAnsi="Times New Roman" w:cs="Times New Roman"/>
          <w:sz w:val="24"/>
          <w:szCs w:val="24"/>
        </w:rPr>
        <w:t>ríklad</w:t>
      </w:r>
      <w:r w:rsidRPr="00934B4E">
        <w:rPr>
          <w:rFonts w:ascii="Times New Roman" w:eastAsia="Calibri" w:hAnsi="Times New Roman" w:cs="Times New Roman"/>
          <w:sz w:val="24"/>
          <w:szCs w:val="24"/>
        </w:rPr>
        <w:t xml:space="preserve"> produktívne investície v poľnohospodárskych podnikoch – mladý poľnohospodár, investície do biohospodárstva, získavanie a udržanie mladých poľnohospodárov.</w:t>
      </w:r>
    </w:p>
    <w:p w:rsidR="00FD0D70" w:rsidRPr="00D8247C" w:rsidRDefault="00FD0D70"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FD0D70" w:rsidRPr="0028432B" w:rsidRDefault="00FD0D70" w:rsidP="00FD0D70">
      <w:pPr>
        <w:spacing w:after="0"/>
        <w:jc w:val="both"/>
        <w:rPr>
          <w:rFonts w:ascii="Times New Roman" w:eastAsia="Calibri" w:hAnsi="Times New Roman" w:cs="Times New Roman"/>
          <w:sz w:val="24"/>
          <w:szCs w:val="24"/>
        </w:rPr>
      </w:pPr>
      <w:r w:rsidRPr="0028432B">
        <w:rPr>
          <w:rFonts w:ascii="Times New Roman" w:eastAsia="Calibri" w:hAnsi="Times New Roman" w:cs="Times New Roman"/>
          <w:sz w:val="24"/>
          <w:szCs w:val="24"/>
        </w:rPr>
        <w:lastRenderedPageBreak/>
        <w:t xml:space="preserve">Spoločná poľnohospodárska politika </w:t>
      </w:r>
      <w:r w:rsidR="004E30A5" w:rsidRPr="0028432B">
        <w:rPr>
          <w:rFonts w:ascii="Times New Roman" w:eastAsia="Calibri" w:hAnsi="Times New Roman" w:cs="Times New Roman"/>
          <w:sz w:val="24"/>
          <w:szCs w:val="24"/>
        </w:rPr>
        <w:t>E</w:t>
      </w:r>
      <w:r w:rsidR="004E30A5">
        <w:rPr>
          <w:rFonts w:ascii="Times New Roman" w:eastAsia="Calibri" w:hAnsi="Times New Roman" w:cs="Times New Roman"/>
          <w:sz w:val="24"/>
          <w:szCs w:val="24"/>
        </w:rPr>
        <w:t>urópskej únie</w:t>
      </w:r>
      <w:r w:rsidR="004E30A5" w:rsidRPr="0028432B">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 xml:space="preserve"> sa aplikuje vo všetkých členských </w:t>
      </w:r>
      <w:r w:rsidR="00231B5A">
        <w:rPr>
          <w:rFonts w:ascii="Times New Roman" w:eastAsia="Calibri" w:hAnsi="Times New Roman" w:cs="Times New Roman"/>
          <w:sz w:val="24"/>
          <w:szCs w:val="24"/>
        </w:rPr>
        <w:t>štátoch</w:t>
      </w:r>
      <w:r w:rsidR="00231B5A" w:rsidRPr="0028432B">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E</w:t>
      </w:r>
      <w:r w:rsidR="004E30A5">
        <w:rPr>
          <w:rFonts w:ascii="Times New Roman" w:eastAsia="Calibri" w:hAnsi="Times New Roman" w:cs="Times New Roman"/>
          <w:sz w:val="24"/>
          <w:szCs w:val="24"/>
        </w:rPr>
        <w:t>urópskej únie</w:t>
      </w:r>
      <w:r w:rsidRPr="0028432B">
        <w:rPr>
          <w:rFonts w:ascii="Times New Roman" w:eastAsia="Calibri" w:hAnsi="Times New Roman" w:cs="Times New Roman"/>
          <w:sz w:val="24"/>
          <w:szCs w:val="24"/>
        </w:rPr>
        <w:t xml:space="preserve">. Členské štáty </w:t>
      </w:r>
      <w:r w:rsidR="004E30A5" w:rsidRPr="0028432B">
        <w:rPr>
          <w:rFonts w:ascii="Times New Roman" w:eastAsia="Calibri" w:hAnsi="Times New Roman" w:cs="Times New Roman"/>
          <w:sz w:val="24"/>
          <w:szCs w:val="24"/>
        </w:rPr>
        <w:t>E</w:t>
      </w:r>
      <w:r w:rsidR="004E30A5">
        <w:rPr>
          <w:rFonts w:ascii="Times New Roman" w:eastAsia="Calibri" w:hAnsi="Times New Roman" w:cs="Times New Roman"/>
          <w:sz w:val="24"/>
          <w:szCs w:val="24"/>
        </w:rPr>
        <w:t>urópskej únie</w:t>
      </w:r>
      <w:r w:rsidR="00231B5A">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 xml:space="preserve">sa riadia rovnakým legislatívnym rámcom </w:t>
      </w:r>
      <w:r w:rsidR="004E30A5" w:rsidRPr="0028432B">
        <w:rPr>
          <w:rFonts w:ascii="Times New Roman" w:eastAsia="Calibri" w:hAnsi="Times New Roman" w:cs="Times New Roman"/>
          <w:sz w:val="24"/>
          <w:szCs w:val="24"/>
        </w:rPr>
        <w:t>E</w:t>
      </w:r>
      <w:r w:rsidR="004E30A5">
        <w:rPr>
          <w:rFonts w:ascii="Times New Roman" w:eastAsia="Calibri" w:hAnsi="Times New Roman" w:cs="Times New Roman"/>
          <w:sz w:val="24"/>
          <w:szCs w:val="24"/>
        </w:rPr>
        <w:t xml:space="preserve">urópskej únie </w:t>
      </w:r>
      <w:r w:rsidRPr="0028432B">
        <w:rPr>
          <w:rFonts w:ascii="Times New Roman" w:eastAsia="Calibri" w:hAnsi="Times New Roman" w:cs="Times New Roman"/>
          <w:sz w:val="24"/>
          <w:szCs w:val="24"/>
        </w:rPr>
        <w:t xml:space="preserve">a majú možnosť prispôsobiť si </w:t>
      </w:r>
      <w:r w:rsidR="004E30A5">
        <w:rPr>
          <w:rFonts w:ascii="Times New Roman" w:eastAsia="Calibri" w:hAnsi="Times New Roman" w:cs="Times New Roman"/>
          <w:sz w:val="24"/>
          <w:szCs w:val="24"/>
        </w:rPr>
        <w:t>strategický plán</w:t>
      </w:r>
      <w:r w:rsidRPr="0028432B">
        <w:rPr>
          <w:rFonts w:ascii="Times New Roman" w:eastAsia="Calibri" w:hAnsi="Times New Roman" w:cs="Times New Roman"/>
          <w:sz w:val="24"/>
          <w:szCs w:val="24"/>
        </w:rPr>
        <w:t xml:space="preserve"> vlastným vnútorným podmienkam. V súčasnosti nie je možné vyhodnotiť </w:t>
      </w:r>
      <w:r w:rsidR="00231B5A">
        <w:rPr>
          <w:rFonts w:ascii="Times New Roman" w:eastAsia="Calibri" w:hAnsi="Times New Roman" w:cs="Times New Roman"/>
          <w:sz w:val="24"/>
          <w:szCs w:val="24"/>
        </w:rPr>
        <w:t>vplyvy</w:t>
      </w:r>
      <w:r w:rsidR="00231B5A" w:rsidRPr="0028432B">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intervencií v záujme rozvoja vidieka spolufinancovaných z</w:t>
      </w:r>
      <w:r w:rsidR="004E30A5">
        <w:rPr>
          <w:rFonts w:ascii="Times New Roman" w:eastAsia="Calibri" w:hAnsi="Times New Roman" w:cs="Times New Roman"/>
          <w:sz w:val="24"/>
          <w:szCs w:val="24"/>
        </w:rPr>
        <w:t> </w:t>
      </w:r>
      <w:r w:rsidRPr="0028432B">
        <w:rPr>
          <w:rFonts w:ascii="Times New Roman" w:eastAsia="Calibri" w:hAnsi="Times New Roman" w:cs="Times New Roman"/>
          <w:sz w:val="24"/>
          <w:szCs w:val="24"/>
        </w:rPr>
        <w:t>E</w:t>
      </w:r>
      <w:r w:rsidR="004E30A5">
        <w:rPr>
          <w:rFonts w:ascii="Times New Roman" w:eastAsia="Calibri" w:hAnsi="Times New Roman" w:cs="Times New Roman"/>
          <w:sz w:val="24"/>
          <w:szCs w:val="24"/>
        </w:rPr>
        <w:t>urópskeho poľnohospodárskeho fondu pre rozvoj vidieka</w:t>
      </w:r>
      <w:r w:rsidRPr="0028432B">
        <w:rPr>
          <w:rFonts w:ascii="Times New Roman" w:eastAsia="Calibri" w:hAnsi="Times New Roman" w:cs="Times New Roman"/>
          <w:sz w:val="24"/>
          <w:szCs w:val="24"/>
        </w:rPr>
        <w:t xml:space="preserve"> na konkurencieschopnosť </w:t>
      </w:r>
      <w:r w:rsidR="004E30A5">
        <w:rPr>
          <w:rFonts w:ascii="Times New Roman" w:eastAsia="Calibri" w:hAnsi="Times New Roman" w:cs="Times New Roman"/>
          <w:sz w:val="24"/>
          <w:szCs w:val="24"/>
        </w:rPr>
        <w:t>Slovenska</w:t>
      </w:r>
      <w:r w:rsidR="004E30A5" w:rsidRPr="0028432B">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 xml:space="preserve">v rámci </w:t>
      </w:r>
      <w:r w:rsidR="004E30A5" w:rsidRPr="0028432B">
        <w:rPr>
          <w:rFonts w:ascii="Times New Roman" w:eastAsia="Calibri" w:hAnsi="Times New Roman" w:cs="Times New Roman"/>
          <w:sz w:val="24"/>
          <w:szCs w:val="24"/>
        </w:rPr>
        <w:t>E</w:t>
      </w:r>
      <w:r w:rsidR="004E30A5">
        <w:rPr>
          <w:rFonts w:ascii="Times New Roman" w:eastAsia="Calibri" w:hAnsi="Times New Roman" w:cs="Times New Roman"/>
          <w:sz w:val="24"/>
          <w:szCs w:val="24"/>
        </w:rPr>
        <w:t>urópskej únie</w:t>
      </w:r>
      <w:r w:rsidRPr="0028432B">
        <w:rPr>
          <w:rFonts w:ascii="Times New Roman" w:eastAsia="Calibri" w:hAnsi="Times New Roman" w:cs="Times New Roman"/>
          <w:sz w:val="24"/>
          <w:szCs w:val="24"/>
        </w:rPr>
        <w:t>.</w:t>
      </w:r>
    </w:p>
    <w:p w:rsidR="00FD0D70" w:rsidRPr="00D8247C" w:rsidRDefault="00FD0D70"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B963C8" w:rsidRPr="00850D79" w:rsidRDefault="00B963C8" w:rsidP="00B963C8">
      <w:pPr>
        <w:jc w:val="both"/>
        <w:rPr>
          <w:rFonts w:ascii="Times New Roman" w:eastAsia="Calibri" w:hAnsi="Times New Roman" w:cs="Times New Roman"/>
          <w:i/>
          <w:color w:val="FF0000"/>
          <w:sz w:val="24"/>
          <w:szCs w:val="24"/>
        </w:rPr>
      </w:pPr>
      <w:r w:rsidRPr="00852522">
        <w:rPr>
          <w:rFonts w:ascii="Times New Roman" w:eastAsia="Calibri" w:hAnsi="Times New Roman" w:cs="Times New Roman"/>
          <w:sz w:val="24"/>
          <w:szCs w:val="24"/>
        </w:rPr>
        <w:t xml:space="preserve">Jedným zo základných cieľov </w:t>
      </w:r>
      <w:r w:rsidR="00231B5A" w:rsidRPr="0028432B">
        <w:rPr>
          <w:rFonts w:ascii="Times New Roman" w:eastAsia="Calibri" w:hAnsi="Times New Roman" w:cs="Times New Roman"/>
          <w:sz w:val="24"/>
          <w:szCs w:val="24"/>
        </w:rPr>
        <w:t>Spoločn</w:t>
      </w:r>
      <w:r w:rsidR="00231B5A">
        <w:rPr>
          <w:rFonts w:ascii="Times New Roman" w:eastAsia="Calibri" w:hAnsi="Times New Roman" w:cs="Times New Roman"/>
          <w:sz w:val="24"/>
          <w:szCs w:val="24"/>
        </w:rPr>
        <w:t>ej poľnohospodárskej</w:t>
      </w:r>
      <w:r w:rsidR="00231B5A" w:rsidRPr="0028432B">
        <w:rPr>
          <w:rFonts w:ascii="Times New Roman" w:eastAsia="Calibri" w:hAnsi="Times New Roman" w:cs="Times New Roman"/>
          <w:sz w:val="24"/>
          <w:szCs w:val="24"/>
        </w:rPr>
        <w:t xml:space="preserve"> politik</w:t>
      </w:r>
      <w:r w:rsidR="00231B5A">
        <w:rPr>
          <w:rFonts w:ascii="Times New Roman" w:eastAsia="Calibri" w:hAnsi="Times New Roman" w:cs="Times New Roman"/>
          <w:sz w:val="24"/>
          <w:szCs w:val="24"/>
        </w:rPr>
        <w:t>y</w:t>
      </w:r>
      <w:r w:rsidR="00231B5A" w:rsidRPr="0028432B">
        <w:rPr>
          <w:rFonts w:ascii="Times New Roman" w:eastAsia="Calibri" w:hAnsi="Times New Roman" w:cs="Times New Roman"/>
          <w:sz w:val="24"/>
          <w:szCs w:val="24"/>
        </w:rPr>
        <w:t xml:space="preserve"> E</w:t>
      </w:r>
      <w:r w:rsidR="00231B5A">
        <w:rPr>
          <w:rFonts w:ascii="Times New Roman" w:eastAsia="Calibri" w:hAnsi="Times New Roman" w:cs="Times New Roman"/>
          <w:sz w:val="24"/>
          <w:szCs w:val="24"/>
        </w:rPr>
        <w:t>urópskej únie</w:t>
      </w:r>
      <w:r w:rsidR="00231B5A" w:rsidRPr="0028432B">
        <w:rPr>
          <w:rFonts w:ascii="Times New Roman" w:eastAsia="Calibri" w:hAnsi="Times New Roman" w:cs="Times New Roman"/>
          <w:sz w:val="24"/>
          <w:szCs w:val="24"/>
        </w:rPr>
        <w:t xml:space="preserve"> </w:t>
      </w:r>
      <w:r w:rsidRPr="00852522">
        <w:rPr>
          <w:rFonts w:ascii="Times New Roman" w:eastAsia="Calibri" w:hAnsi="Times New Roman" w:cs="Times New Roman"/>
          <w:sz w:val="24"/>
          <w:szCs w:val="24"/>
        </w:rPr>
        <w:t xml:space="preserve">je podpora investícií do potravinárstva, poľnohospodárstva, lesného hospodárstva a do rozvoja vidieka. Predpokladaná celková finančná alokácia z </w:t>
      </w:r>
      <w:r w:rsidR="001D626E" w:rsidRPr="0028432B">
        <w:rPr>
          <w:rFonts w:ascii="Times New Roman" w:eastAsia="Calibri" w:hAnsi="Times New Roman" w:cs="Times New Roman"/>
          <w:sz w:val="24"/>
          <w:szCs w:val="24"/>
        </w:rPr>
        <w:t>E</w:t>
      </w:r>
      <w:r w:rsidR="001D626E">
        <w:rPr>
          <w:rFonts w:ascii="Times New Roman" w:eastAsia="Calibri" w:hAnsi="Times New Roman" w:cs="Times New Roman"/>
          <w:sz w:val="24"/>
          <w:szCs w:val="24"/>
        </w:rPr>
        <w:t>urópskeho poľnohospodárskeho fondu pre rozvoj vidieka</w:t>
      </w:r>
      <w:r w:rsidR="003326E9">
        <w:rPr>
          <w:rFonts w:ascii="Times New Roman" w:eastAsia="Calibri" w:hAnsi="Times New Roman" w:cs="Times New Roman"/>
          <w:sz w:val="24"/>
          <w:szCs w:val="24"/>
        </w:rPr>
        <w:t xml:space="preserve"> </w:t>
      </w:r>
      <w:r w:rsidRPr="00852522">
        <w:rPr>
          <w:rFonts w:ascii="Times New Roman" w:eastAsia="Calibri" w:hAnsi="Times New Roman" w:cs="Times New Roman"/>
          <w:sz w:val="24"/>
          <w:szCs w:val="24"/>
        </w:rPr>
        <w:t xml:space="preserve">vo forme projektových </w:t>
      </w:r>
      <w:r>
        <w:rPr>
          <w:rFonts w:ascii="Times New Roman" w:eastAsia="Calibri" w:hAnsi="Times New Roman" w:cs="Times New Roman"/>
          <w:sz w:val="24"/>
          <w:szCs w:val="24"/>
        </w:rPr>
        <w:t>intervencií</w:t>
      </w:r>
      <w:r w:rsidRPr="00852522">
        <w:rPr>
          <w:rFonts w:ascii="Times New Roman" w:eastAsia="Calibri" w:hAnsi="Times New Roman" w:cs="Times New Roman"/>
          <w:sz w:val="24"/>
          <w:szCs w:val="24"/>
        </w:rPr>
        <w:t xml:space="preserve"> v rámci </w:t>
      </w:r>
      <w:r w:rsidR="001D626E">
        <w:rPr>
          <w:rFonts w:ascii="Times New Roman" w:eastAsia="Calibri" w:hAnsi="Times New Roman" w:cs="Times New Roman"/>
          <w:sz w:val="24"/>
          <w:szCs w:val="24"/>
        </w:rPr>
        <w:t>s</w:t>
      </w:r>
      <w:r w:rsidRPr="00852522">
        <w:rPr>
          <w:rFonts w:ascii="Times New Roman" w:eastAsia="Calibri" w:hAnsi="Times New Roman" w:cs="Times New Roman"/>
          <w:sz w:val="24"/>
          <w:szCs w:val="24"/>
        </w:rPr>
        <w:t xml:space="preserve">trategického plánu predstavuje viac ako </w:t>
      </w:r>
      <w:r>
        <w:rPr>
          <w:rFonts w:ascii="Times New Roman" w:eastAsia="Calibri" w:hAnsi="Times New Roman" w:cs="Times New Roman"/>
          <w:sz w:val="24"/>
          <w:szCs w:val="24"/>
        </w:rPr>
        <w:t>626 mil</w:t>
      </w:r>
      <w:r w:rsidRPr="00852522">
        <w:rPr>
          <w:rFonts w:ascii="Times New Roman" w:eastAsia="Calibri" w:hAnsi="Times New Roman" w:cs="Times New Roman"/>
          <w:sz w:val="24"/>
          <w:szCs w:val="24"/>
        </w:rPr>
        <w:t xml:space="preserve">. </w:t>
      </w:r>
      <w:r w:rsidR="003326E9">
        <w:rPr>
          <w:rFonts w:ascii="Times New Roman" w:eastAsia="Calibri" w:hAnsi="Times New Roman" w:cs="Times New Roman"/>
          <w:sz w:val="24"/>
          <w:szCs w:val="24"/>
        </w:rPr>
        <w:t>eur</w:t>
      </w:r>
      <w:r w:rsidRPr="008525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B963C8" w:rsidRDefault="00B963C8" w:rsidP="00054C41">
      <w:pPr>
        <w:spacing w:after="0"/>
        <w:jc w:val="both"/>
        <w:rPr>
          <w:rFonts w:ascii="Times New Roman" w:eastAsia="Calibri" w:hAnsi="Times New Roman" w:cs="Times New Roman"/>
          <w:i/>
          <w:sz w:val="24"/>
          <w:szCs w:val="24"/>
        </w:rPr>
      </w:pPr>
    </w:p>
    <w:p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B963C8" w:rsidRDefault="00B963C8" w:rsidP="00B963C8">
      <w:pPr>
        <w:spacing w:after="0"/>
        <w:jc w:val="both"/>
        <w:rPr>
          <w:rFonts w:ascii="Times New Roman" w:eastAsia="Calibri" w:hAnsi="Times New Roman" w:cs="Times New Roman"/>
          <w:sz w:val="24"/>
          <w:szCs w:val="24"/>
        </w:rPr>
      </w:pPr>
      <w:r w:rsidRPr="0028432B">
        <w:rPr>
          <w:rFonts w:ascii="Times New Roman" w:eastAsia="Calibri" w:hAnsi="Times New Roman" w:cs="Times New Roman"/>
          <w:sz w:val="24"/>
          <w:szCs w:val="24"/>
        </w:rPr>
        <w:t xml:space="preserve">Medzi cieľmi </w:t>
      </w:r>
      <w:r w:rsidR="003326E9" w:rsidRPr="0028432B">
        <w:rPr>
          <w:rFonts w:ascii="Times New Roman" w:eastAsia="Calibri" w:hAnsi="Times New Roman" w:cs="Times New Roman"/>
          <w:sz w:val="24"/>
          <w:szCs w:val="24"/>
        </w:rPr>
        <w:t>Spoločn</w:t>
      </w:r>
      <w:r w:rsidR="003326E9">
        <w:rPr>
          <w:rFonts w:ascii="Times New Roman" w:eastAsia="Calibri" w:hAnsi="Times New Roman" w:cs="Times New Roman"/>
          <w:sz w:val="24"/>
          <w:szCs w:val="24"/>
        </w:rPr>
        <w:t>ej poľnohospodárskej</w:t>
      </w:r>
      <w:r w:rsidR="003326E9" w:rsidRPr="0028432B">
        <w:rPr>
          <w:rFonts w:ascii="Times New Roman" w:eastAsia="Calibri" w:hAnsi="Times New Roman" w:cs="Times New Roman"/>
          <w:sz w:val="24"/>
          <w:szCs w:val="24"/>
        </w:rPr>
        <w:t xml:space="preserve"> politik</w:t>
      </w:r>
      <w:r w:rsidR="003326E9">
        <w:rPr>
          <w:rFonts w:ascii="Times New Roman" w:eastAsia="Calibri" w:hAnsi="Times New Roman" w:cs="Times New Roman"/>
          <w:sz w:val="24"/>
          <w:szCs w:val="24"/>
        </w:rPr>
        <w:t>y</w:t>
      </w:r>
      <w:r w:rsidR="003326E9" w:rsidRPr="0028432B">
        <w:rPr>
          <w:rFonts w:ascii="Times New Roman" w:eastAsia="Calibri" w:hAnsi="Times New Roman" w:cs="Times New Roman"/>
          <w:sz w:val="24"/>
          <w:szCs w:val="24"/>
        </w:rPr>
        <w:t xml:space="preserve"> E</w:t>
      </w:r>
      <w:r w:rsidR="003326E9">
        <w:rPr>
          <w:rFonts w:ascii="Times New Roman" w:eastAsia="Calibri" w:hAnsi="Times New Roman" w:cs="Times New Roman"/>
          <w:sz w:val="24"/>
          <w:szCs w:val="24"/>
        </w:rPr>
        <w:t>urópskej únie</w:t>
      </w:r>
      <w:r w:rsidR="003326E9" w:rsidRPr="0028432B">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 xml:space="preserve">je zaradený prierezový cieľ s alokáciou 30 mil. </w:t>
      </w:r>
      <w:r w:rsidR="003326E9">
        <w:rPr>
          <w:rFonts w:ascii="Times New Roman" w:eastAsia="Calibri" w:hAnsi="Times New Roman" w:cs="Times New Roman"/>
          <w:sz w:val="24"/>
          <w:szCs w:val="24"/>
        </w:rPr>
        <w:t>eur</w:t>
      </w:r>
      <w:r w:rsidRPr="0028432B">
        <w:rPr>
          <w:rFonts w:ascii="Times New Roman" w:eastAsia="Calibri" w:hAnsi="Times New Roman" w:cs="Times New Roman"/>
          <w:sz w:val="24"/>
          <w:szCs w:val="24"/>
        </w:rPr>
        <w:t>: Modernizácia sektora prostredníctvom podpory a spoločného využívania poznatkov, inovácií a digitalizácie v pôdohospodárstve a vo vidieckych oblastiach. V rámci tohto cieľa bude podporená aj modernizácia AKIS (Agricultural Knowledge and Innovation System – Poľnohospodársky vedomostný a inovačný systém). AKIS tvorí hlavný pilier výmeny poznatkov v sektore poľnohospodárstva a spracovania výrobkov a lesného h</w:t>
      </w:r>
      <w:r w:rsidR="00225DE4">
        <w:rPr>
          <w:rFonts w:ascii="Times New Roman" w:eastAsia="Calibri" w:hAnsi="Times New Roman" w:cs="Times New Roman"/>
          <w:sz w:val="24"/>
          <w:szCs w:val="24"/>
        </w:rPr>
        <w:t>ospodárstva. Dôraz bude kladený</w:t>
      </w:r>
      <w:r>
        <w:rPr>
          <w:rFonts w:ascii="Times New Roman" w:eastAsia="Calibri" w:hAnsi="Times New Roman" w:cs="Times New Roman"/>
          <w:sz w:val="24"/>
          <w:szCs w:val="24"/>
        </w:rPr>
        <w:t xml:space="preserve"> </w:t>
      </w:r>
      <w:r w:rsidRPr="0028432B">
        <w:rPr>
          <w:rFonts w:ascii="Times New Roman" w:eastAsia="Calibri" w:hAnsi="Times New Roman" w:cs="Times New Roman"/>
          <w:sz w:val="24"/>
          <w:szCs w:val="24"/>
        </w:rPr>
        <w:t>na lepšie zapojenie vzdelávacích a výskumných inštitúcií a vyššiu kvalitu poskytovaného vzdelávania a poradenstva.</w:t>
      </w:r>
      <w:r>
        <w:rPr>
          <w:rFonts w:ascii="Times New Roman" w:eastAsia="Calibri" w:hAnsi="Times New Roman" w:cs="Times New Roman"/>
          <w:sz w:val="24"/>
          <w:szCs w:val="24"/>
        </w:rPr>
        <w:t xml:space="preserve"> </w:t>
      </w:r>
    </w:p>
    <w:p w:rsidR="00B963C8" w:rsidRPr="00D2259F" w:rsidRDefault="00B963C8" w:rsidP="00B963C8">
      <w:pPr>
        <w:spacing w:after="0"/>
        <w:jc w:val="both"/>
        <w:rPr>
          <w:rFonts w:ascii="Times New Roman" w:eastAsia="Calibri" w:hAnsi="Times New Roman" w:cs="Times New Roman"/>
          <w:sz w:val="24"/>
          <w:szCs w:val="24"/>
        </w:rPr>
      </w:pPr>
      <w:r w:rsidRPr="00D2259F">
        <w:rPr>
          <w:rFonts w:ascii="Times New Roman" w:eastAsia="Calibri" w:hAnsi="Times New Roman" w:cs="Times New Roman"/>
          <w:sz w:val="24"/>
          <w:szCs w:val="24"/>
        </w:rPr>
        <w:t xml:space="preserve">AKIS je prierezový cieľ a preto každá z intervencií by mala k jeho napĺňaniu prispievať. Špecificky a veľmi exaktne však bude podporovať vytváranie Inovatívnych partnerstiev (tzv. EIP),  vzdelávacích projektov a poradenstva, t. j.: OS EIP - 14 mil. EUR; prenos inovácií a poznatkov vo forme vzdelávania - 10 mil. EUR; prenos inovácií a poznatkov formou poradenstva - 4 mil. EUR; AKIS (digitálna platforma - v rámci technickej pomoci) - 2  mil. EUR. </w:t>
      </w:r>
    </w:p>
    <w:p w:rsidR="00B963C8" w:rsidRDefault="00B963C8" w:rsidP="00B963C8">
      <w:pPr>
        <w:spacing w:after="0"/>
        <w:jc w:val="both"/>
        <w:rPr>
          <w:rFonts w:ascii="Times New Roman" w:eastAsia="Calibri" w:hAnsi="Times New Roman" w:cs="Times New Roman"/>
          <w:i/>
          <w:color w:val="FF0000"/>
          <w:sz w:val="24"/>
          <w:szCs w:val="24"/>
        </w:rPr>
      </w:pPr>
    </w:p>
    <w:p w:rsidR="00B963C8" w:rsidRPr="00895AD3" w:rsidRDefault="00B963C8" w:rsidP="00B963C8">
      <w:pPr>
        <w:jc w:val="both"/>
        <w:rPr>
          <w:rFonts w:ascii="Times New Roman" w:eastAsia="Calibri" w:hAnsi="Times New Roman" w:cs="Times New Roman"/>
          <w:sz w:val="24"/>
          <w:szCs w:val="24"/>
        </w:rPr>
      </w:pPr>
      <w:r w:rsidRPr="00895AD3">
        <w:rPr>
          <w:rFonts w:ascii="Times New Roman" w:eastAsia="Calibri" w:hAnsi="Times New Roman" w:cs="Times New Roman"/>
          <w:sz w:val="24"/>
          <w:szCs w:val="24"/>
        </w:rPr>
        <w:t xml:space="preserve">Z </w:t>
      </w:r>
      <w:r w:rsidR="003326E9" w:rsidRPr="0028432B">
        <w:rPr>
          <w:rFonts w:ascii="Times New Roman" w:eastAsia="Calibri" w:hAnsi="Times New Roman" w:cs="Times New Roman"/>
          <w:sz w:val="24"/>
          <w:szCs w:val="24"/>
        </w:rPr>
        <w:t>E</w:t>
      </w:r>
      <w:r w:rsidR="003326E9">
        <w:rPr>
          <w:rFonts w:ascii="Times New Roman" w:eastAsia="Calibri" w:hAnsi="Times New Roman" w:cs="Times New Roman"/>
          <w:sz w:val="24"/>
          <w:szCs w:val="24"/>
        </w:rPr>
        <w:t>urópskeho poľnohospodárskeho fondu pre rozvoj vidieka</w:t>
      </w:r>
      <w:r w:rsidR="00355436">
        <w:rPr>
          <w:rFonts w:ascii="Times New Roman" w:eastAsia="Calibri" w:hAnsi="Times New Roman" w:cs="Times New Roman"/>
          <w:sz w:val="24"/>
          <w:szCs w:val="24"/>
        </w:rPr>
        <w:t xml:space="preserve"> </w:t>
      </w:r>
      <w:r w:rsidRPr="00895AD3">
        <w:rPr>
          <w:rFonts w:ascii="Times New Roman" w:eastAsia="Calibri" w:hAnsi="Times New Roman" w:cs="Times New Roman"/>
          <w:sz w:val="24"/>
          <w:szCs w:val="24"/>
        </w:rPr>
        <w:t xml:space="preserve">sa v rámci strategického plánu spolufinancuje osem typov intervencií v záujme rozvoja vidieka a technická pomoc, ktorou sa podporujú akcie potrebné na efektívnu správu a implementáciu podpory v súvislosti so strategickým plánom. Intervencia </w:t>
      </w:r>
      <w:r w:rsidR="00355436" w:rsidRPr="0028432B">
        <w:rPr>
          <w:rFonts w:ascii="Times New Roman" w:eastAsia="Calibri" w:hAnsi="Times New Roman" w:cs="Times New Roman"/>
          <w:sz w:val="24"/>
          <w:szCs w:val="24"/>
        </w:rPr>
        <w:t>E</w:t>
      </w:r>
      <w:r w:rsidR="00355436">
        <w:rPr>
          <w:rFonts w:ascii="Times New Roman" w:eastAsia="Calibri" w:hAnsi="Times New Roman" w:cs="Times New Roman"/>
          <w:sz w:val="24"/>
          <w:szCs w:val="24"/>
        </w:rPr>
        <w:t xml:space="preserve">urópskeho poľnohospodárskeho fondu pre rozvoj vidieka </w:t>
      </w:r>
      <w:r w:rsidRPr="00895AD3">
        <w:rPr>
          <w:rFonts w:ascii="Times New Roman" w:eastAsia="Calibri" w:hAnsi="Times New Roman" w:cs="Times New Roman"/>
          <w:sz w:val="24"/>
          <w:szCs w:val="24"/>
        </w:rPr>
        <w:t xml:space="preserve">v záujme rozvoja vidieka „Výmena vedomostí a šírenie informácií“ je implementovaná cez prenos inovácií a poznatkov formou vzdelávania a taktiež prenos inovácií a poznatkov formou poradenstva. </w:t>
      </w:r>
    </w:p>
    <w:p w:rsidR="00B963C8" w:rsidRDefault="00B963C8" w:rsidP="00054C41">
      <w:pPr>
        <w:spacing w:after="0"/>
        <w:jc w:val="both"/>
        <w:rPr>
          <w:rFonts w:ascii="Times New Roman" w:eastAsia="Calibri" w:hAnsi="Times New Roman" w:cs="Times New Roman"/>
          <w:i/>
          <w:sz w:val="24"/>
          <w:szCs w:val="24"/>
        </w:rPr>
      </w:pPr>
    </w:p>
    <w:p w:rsidR="00BA19B0" w:rsidRPr="00D8247C" w:rsidRDefault="00BA19B0"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Ak bol identifikovaný goldplating</w:t>
      </w:r>
      <w:r w:rsidR="00581EB9">
        <w:rPr>
          <w:rFonts w:ascii="Times New Roman" w:eastAsia="Calibri" w:hAnsi="Times New Roman" w:cs="Times New Roman"/>
          <w:i/>
          <w:sz w:val="24"/>
          <w:szCs w:val="24"/>
        </w:rPr>
        <w:t>,</w:t>
      </w:r>
      <w:r w:rsidR="00C14655">
        <w:rPr>
          <w:rFonts w:ascii="Times New Roman" w:eastAsia="Calibri" w:hAnsi="Times New Roman" w:cs="Times New Roman"/>
          <w:i/>
          <w:sz w:val="24"/>
          <w:szCs w:val="24"/>
        </w:rPr>
        <w:t xml:space="preserve"> prispieva k zníženiu konkurencieschopnosti a produktivity?</w:t>
      </w:r>
      <w:r w:rsidR="00581EB9">
        <w:rPr>
          <w:rFonts w:ascii="Times New Roman" w:eastAsia="Calibri" w:hAnsi="Times New Roman" w:cs="Times New Roman"/>
          <w:i/>
          <w:sz w:val="24"/>
          <w:szCs w:val="24"/>
        </w:rPr>
        <w:t xml:space="preserve"> Akým spôsobom?</w:t>
      </w:r>
    </w:p>
    <w:p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B963C8" w:rsidRPr="00934B4E" w:rsidRDefault="00355436" w:rsidP="00B963C8">
      <w:pPr>
        <w:spacing w:after="0" w:line="254" w:lineRule="auto"/>
        <w:jc w:val="both"/>
        <w:rPr>
          <w:rFonts w:ascii="Times New Roman" w:eastAsia="Calibri" w:hAnsi="Times New Roman" w:cs="Times New Roman"/>
          <w:sz w:val="24"/>
          <w:szCs w:val="24"/>
        </w:rPr>
      </w:pPr>
      <w:r w:rsidRPr="0028432B">
        <w:rPr>
          <w:rFonts w:ascii="Times New Roman" w:eastAsia="Calibri" w:hAnsi="Times New Roman" w:cs="Times New Roman"/>
          <w:sz w:val="24"/>
          <w:szCs w:val="24"/>
        </w:rPr>
        <w:t>Spoločn</w:t>
      </w:r>
      <w:r>
        <w:rPr>
          <w:rFonts w:ascii="Times New Roman" w:eastAsia="Calibri" w:hAnsi="Times New Roman" w:cs="Times New Roman"/>
          <w:sz w:val="24"/>
          <w:szCs w:val="24"/>
        </w:rPr>
        <w:t>á poľnohospodárska</w:t>
      </w:r>
      <w:r w:rsidRPr="0028432B">
        <w:rPr>
          <w:rFonts w:ascii="Times New Roman" w:eastAsia="Calibri" w:hAnsi="Times New Roman" w:cs="Times New Roman"/>
          <w:sz w:val="24"/>
          <w:szCs w:val="24"/>
        </w:rPr>
        <w:t xml:space="preserve"> politik</w:t>
      </w:r>
      <w:r>
        <w:rPr>
          <w:rFonts w:ascii="Times New Roman" w:eastAsia="Calibri" w:hAnsi="Times New Roman" w:cs="Times New Roman"/>
          <w:sz w:val="24"/>
          <w:szCs w:val="24"/>
        </w:rPr>
        <w:t>a</w:t>
      </w:r>
      <w:r w:rsidRPr="0028432B">
        <w:rPr>
          <w:rFonts w:ascii="Times New Roman" w:eastAsia="Calibri" w:hAnsi="Times New Roman" w:cs="Times New Roman"/>
          <w:sz w:val="24"/>
          <w:szCs w:val="24"/>
        </w:rPr>
        <w:t xml:space="preserve"> E</w:t>
      </w:r>
      <w:r>
        <w:rPr>
          <w:rFonts w:ascii="Times New Roman" w:eastAsia="Calibri" w:hAnsi="Times New Roman" w:cs="Times New Roman"/>
          <w:sz w:val="24"/>
          <w:szCs w:val="24"/>
        </w:rPr>
        <w:t>urópskej únie</w:t>
      </w:r>
      <w:r w:rsidRPr="0028432B">
        <w:rPr>
          <w:rFonts w:ascii="Times New Roman" w:eastAsia="Calibri" w:hAnsi="Times New Roman" w:cs="Times New Roman"/>
          <w:sz w:val="24"/>
          <w:szCs w:val="24"/>
        </w:rPr>
        <w:t xml:space="preserve"> </w:t>
      </w:r>
      <w:r w:rsidR="00B963C8" w:rsidRPr="00934B4E">
        <w:rPr>
          <w:rFonts w:ascii="Times New Roman" w:eastAsia="Calibri" w:hAnsi="Times New Roman" w:cs="Times New Roman"/>
          <w:sz w:val="24"/>
          <w:szCs w:val="24"/>
        </w:rPr>
        <w:t xml:space="preserve">vytvára v rámci možností spoločných podmienok </w:t>
      </w:r>
      <w:r>
        <w:rPr>
          <w:rFonts w:ascii="Times New Roman" w:eastAsia="Calibri" w:hAnsi="Times New Roman" w:cs="Times New Roman"/>
          <w:sz w:val="24"/>
          <w:szCs w:val="24"/>
        </w:rPr>
        <w:t>Európskej únie</w:t>
      </w:r>
      <w:r w:rsidRPr="00934B4E">
        <w:rPr>
          <w:rFonts w:ascii="Times New Roman" w:eastAsia="Calibri" w:hAnsi="Times New Roman" w:cs="Times New Roman"/>
          <w:sz w:val="24"/>
          <w:szCs w:val="24"/>
        </w:rPr>
        <w:t xml:space="preserve"> </w:t>
      </w:r>
      <w:r w:rsidR="00B963C8" w:rsidRPr="00934B4E">
        <w:rPr>
          <w:rFonts w:ascii="Times New Roman" w:eastAsia="Calibri" w:hAnsi="Times New Roman" w:cs="Times New Roman"/>
          <w:sz w:val="24"/>
          <w:szCs w:val="24"/>
        </w:rPr>
        <w:t>čo najlepšie podmienky pre rozvoj poľnohospodárstva, potravinárstva</w:t>
      </w:r>
      <w:r w:rsidR="00186523">
        <w:rPr>
          <w:rFonts w:ascii="Times New Roman" w:eastAsia="Calibri" w:hAnsi="Times New Roman" w:cs="Times New Roman"/>
          <w:sz w:val="24"/>
          <w:szCs w:val="24"/>
        </w:rPr>
        <w:t>,</w:t>
      </w:r>
      <w:r w:rsidR="00B963C8" w:rsidRPr="00934B4E">
        <w:rPr>
          <w:rFonts w:ascii="Times New Roman" w:eastAsia="Calibri" w:hAnsi="Times New Roman" w:cs="Times New Roman"/>
          <w:sz w:val="24"/>
          <w:szCs w:val="24"/>
        </w:rPr>
        <w:t xml:space="preserve"> lesníctva a vidieka na Slovensku. Na tento účel bola vypracovaná analýza </w:t>
      </w:r>
      <w:r w:rsidR="00B963C8" w:rsidRPr="00934B4E">
        <w:rPr>
          <w:rFonts w:ascii="Times New Roman" w:eastAsia="Calibri" w:hAnsi="Times New Roman" w:cs="Times New Roman"/>
          <w:sz w:val="24"/>
          <w:szCs w:val="24"/>
        </w:rPr>
        <w:lastRenderedPageBreak/>
        <w:t xml:space="preserve">SWOT a na jej základe identifikácia potrieb, ktoré predstavovali vstup do prípravy </w:t>
      </w:r>
      <w:r w:rsidR="008E5DE7">
        <w:rPr>
          <w:rFonts w:ascii="Times New Roman" w:eastAsia="Calibri" w:hAnsi="Times New Roman" w:cs="Times New Roman"/>
          <w:sz w:val="24"/>
          <w:szCs w:val="24"/>
        </w:rPr>
        <w:t>strategického plánu</w:t>
      </w:r>
      <w:r w:rsidR="00B963C8" w:rsidRPr="00934B4E">
        <w:rPr>
          <w:rFonts w:ascii="Times New Roman" w:eastAsia="Calibri" w:hAnsi="Times New Roman" w:cs="Times New Roman"/>
          <w:sz w:val="24"/>
          <w:szCs w:val="24"/>
        </w:rPr>
        <w:t xml:space="preserve">. Na základe uvedeného sa určili aj projektové intervencie v záujme rozvoja vidieka. </w:t>
      </w:r>
    </w:p>
    <w:p w:rsidR="00054C41" w:rsidRDefault="00054C41" w:rsidP="00054C41">
      <w:pPr>
        <w:spacing w:after="0"/>
        <w:jc w:val="both"/>
        <w:rPr>
          <w:rFonts w:ascii="Times New Roman" w:eastAsia="Calibri" w:hAnsi="Times New Roman" w:cs="Times New Roman"/>
          <w:i/>
          <w:sz w:val="24"/>
          <w:szCs w:val="24"/>
        </w:rPr>
      </w:pPr>
    </w:p>
    <w:p w:rsidR="002D6771" w:rsidRPr="00D8247C" w:rsidRDefault="002D677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700AC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B963C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B963C8" w:rsidRPr="00934B4E" w:rsidRDefault="00B963C8" w:rsidP="00B963C8">
      <w:pPr>
        <w:spacing w:after="0"/>
        <w:jc w:val="both"/>
        <w:rPr>
          <w:rFonts w:ascii="Times New Roman" w:eastAsia="Calibri" w:hAnsi="Times New Roman" w:cs="Times New Roman"/>
          <w:color w:val="000000" w:themeColor="text1"/>
          <w:sz w:val="24"/>
          <w:szCs w:val="24"/>
        </w:rPr>
      </w:pPr>
      <w:r w:rsidRPr="00934B4E">
        <w:rPr>
          <w:rFonts w:ascii="Times New Roman" w:eastAsia="Calibri" w:hAnsi="Times New Roman" w:cs="Times New Roman"/>
          <w:color w:val="000000" w:themeColor="text1"/>
          <w:sz w:val="24"/>
          <w:szCs w:val="24"/>
        </w:rPr>
        <w:t xml:space="preserve">Posúdenie efektivity projektových intervencií v záujme rozvoja vidieka je možné na základe ex-post analýz vybraného zámeru, kde predmetom hodnotenia sú </w:t>
      </w:r>
      <w:r w:rsidR="000E55C5">
        <w:rPr>
          <w:rFonts w:ascii="Times New Roman" w:eastAsia="Calibri" w:hAnsi="Times New Roman" w:cs="Times New Roman"/>
          <w:color w:val="000000" w:themeColor="text1"/>
          <w:sz w:val="24"/>
          <w:szCs w:val="24"/>
        </w:rPr>
        <w:t>vplyvy</w:t>
      </w:r>
      <w:r w:rsidR="000E55C5" w:rsidRPr="00934B4E">
        <w:rPr>
          <w:rFonts w:ascii="Times New Roman" w:eastAsia="Calibri" w:hAnsi="Times New Roman" w:cs="Times New Roman"/>
          <w:color w:val="000000" w:themeColor="text1"/>
          <w:sz w:val="24"/>
          <w:szCs w:val="24"/>
        </w:rPr>
        <w:t xml:space="preserve"> </w:t>
      </w:r>
      <w:r w:rsidRPr="00934B4E">
        <w:rPr>
          <w:rFonts w:ascii="Times New Roman" w:eastAsia="Calibri" w:hAnsi="Times New Roman" w:cs="Times New Roman"/>
          <w:color w:val="000000" w:themeColor="text1"/>
          <w:sz w:val="24"/>
          <w:szCs w:val="24"/>
        </w:rPr>
        <w:t>(efekty) realizovaných projektov a efektivita a účinnosť vynaložených nákladov.</w:t>
      </w:r>
      <w:r w:rsidRPr="00934B4E">
        <w:rPr>
          <w:color w:val="000000" w:themeColor="text1"/>
        </w:rPr>
        <w:t xml:space="preserve"> </w:t>
      </w:r>
      <w:r w:rsidRPr="00934B4E">
        <w:rPr>
          <w:rFonts w:ascii="Times New Roman" w:eastAsia="Calibri" w:hAnsi="Times New Roman" w:cs="Times New Roman"/>
          <w:color w:val="000000" w:themeColor="text1"/>
          <w:sz w:val="24"/>
          <w:szCs w:val="24"/>
        </w:rPr>
        <w:t xml:space="preserve">Je ale predpoklad, že efektom </w:t>
      </w:r>
      <w:r>
        <w:rPr>
          <w:rFonts w:ascii="Times New Roman" w:eastAsia="Calibri" w:hAnsi="Times New Roman" w:cs="Times New Roman"/>
          <w:color w:val="000000" w:themeColor="text1"/>
          <w:sz w:val="24"/>
          <w:szCs w:val="24"/>
        </w:rPr>
        <w:t>projektových intervencií</w:t>
      </w:r>
      <w:r w:rsidRPr="00934B4E">
        <w:rPr>
          <w:rFonts w:ascii="Times New Roman" w:eastAsia="Calibri" w:hAnsi="Times New Roman" w:cs="Times New Roman"/>
          <w:color w:val="000000" w:themeColor="text1"/>
          <w:sz w:val="24"/>
          <w:szCs w:val="24"/>
        </w:rPr>
        <w:t xml:space="preserve"> na podnikovej úrovni je vybudovanie alebo obnova kapitálu, zvýšenie produktivity alebo zamestnanosti. </w:t>
      </w:r>
    </w:p>
    <w:p w:rsidR="00B01CD0" w:rsidRPr="00D8247C" w:rsidRDefault="00B01CD0"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700AC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B963C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Default="00054C41" w:rsidP="00054C41">
      <w:pPr>
        <w:spacing w:after="0"/>
        <w:jc w:val="both"/>
        <w:rPr>
          <w:rFonts w:ascii="Times New Roman" w:eastAsia="Calibri" w:hAnsi="Times New Roman" w:cs="Times New Roman"/>
          <w:i/>
          <w:sz w:val="24"/>
          <w:szCs w:val="24"/>
        </w:rPr>
      </w:pPr>
    </w:p>
    <w:p w:rsidR="00D93AEB" w:rsidRDefault="00D93AEB"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w:t>
      </w:r>
      <w:r w:rsidRPr="00F244DC">
        <w:rPr>
          <w:rFonts w:ascii="Times New Roman" w:eastAsia="Calibri" w:hAnsi="Times New Roman" w:cs="Times New Roman"/>
          <w:i/>
          <w:sz w:val="24"/>
          <w:szCs w:val="24"/>
        </w:rPr>
        <w:t>vplyvy, ktoré predpokladá materiál, ale nemožno ich zaradiť do častí 3.1 a 3.3.</w:t>
      </w:r>
      <w:r w:rsidR="00E214C0" w:rsidRPr="00F244DC">
        <w:rPr>
          <w:rFonts w:ascii="Times New Roman" w:eastAsia="Calibri" w:hAnsi="Times New Roman" w:cs="Times New Roman"/>
          <w:i/>
          <w:sz w:val="24"/>
          <w:szCs w:val="24"/>
        </w:rPr>
        <w:t>,</w:t>
      </w:r>
    </w:p>
    <w:p w:rsidR="0055502E" w:rsidRPr="00934B4E" w:rsidRDefault="0055502E" w:rsidP="0055502E">
      <w:pPr>
        <w:spacing w:after="0" w:line="254" w:lineRule="auto"/>
        <w:jc w:val="both"/>
        <w:rPr>
          <w:rFonts w:ascii="Times New Roman" w:eastAsia="Calibri" w:hAnsi="Times New Roman" w:cs="Times New Roman"/>
          <w:sz w:val="24"/>
          <w:szCs w:val="24"/>
        </w:rPr>
      </w:pPr>
      <w:r w:rsidRPr="00934B4E">
        <w:rPr>
          <w:rFonts w:ascii="Times New Roman" w:eastAsia="Calibri" w:hAnsi="Times New Roman" w:cs="Times New Roman"/>
          <w:sz w:val="24"/>
          <w:szCs w:val="24"/>
        </w:rPr>
        <w:t>Cieľom predkladaného návrhu zákona je nastaviť právne prostredie pre implementáciu príslušných nariadení Európsk</w:t>
      </w:r>
      <w:r>
        <w:rPr>
          <w:rFonts w:ascii="Times New Roman" w:eastAsia="Calibri" w:hAnsi="Times New Roman" w:cs="Times New Roman"/>
          <w:sz w:val="24"/>
          <w:szCs w:val="24"/>
        </w:rPr>
        <w:t xml:space="preserve">ej únie pre programové obdobie </w:t>
      </w:r>
      <w:r w:rsidR="000E55C5">
        <w:rPr>
          <w:rFonts w:ascii="Times New Roman" w:eastAsia="Calibri" w:hAnsi="Times New Roman" w:cs="Times New Roman"/>
          <w:sz w:val="24"/>
          <w:szCs w:val="24"/>
        </w:rPr>
        <w:t>S</w:t>
      </w:r>
      <w:r w:rsidRPr="00934B4E">
        <w:rPr>
          <w:rFonts w:ascii="Times New Roman" w:eastAsia="Calibri" w:hAnsi="Times New Roman" w:cs="Times New Roman"/>
          <w:sz w:val="24"/>
          <w:szCs w:val="24"/>
        </w:rPr>
        <w:t>poločnej poľnohospodárskej politiky</w:t>
      </w:r>
      <w:r w:rsidR="000E55C5">
        <w:rPr>
          <w:rFonts w:ascii="Times New Roman" w:eastAsia="Calibri" w:hAnsi="Times New Roman" w:cs="Times New Roman"/>
          <w:sz w:val="24"/>
          <w:szCs w:val="24"/>
        </w:rPr>
        <w:t xml:space="preserve"> Európskej únie</w:t>
      </w:r>
      <w:r w:rsidRPr="00934B4E">
        <w:rPr>
          <w:rFonts w:ascii="Times New Roman" w:eastAsia="Calibri" w:hAnsi="Times New Roman" w:cs="Times New Roman"/>
          <w:sz w:val="24"/>
          <w:szCs w:val="24"/>
        </w:rPr>
        <w:t xml:space="preserve"> na roky 2023 - 2027 v podmienkach Slovenskej republiky, a to s ohľadom na projektové intervencie v záujme rozvoja vidieka. </w:t>
      </w:r>
    </w:p>
    <w:p w:rsidR="0055502E" w:rsidRPr="00934B4E" w:rsidRDefault="0055502E" w:rsidP="0055502E">
      <w:pPr>
        <w:spacing w:after="0"/>
        <w:ind w:firstLine="708"/>
        <w:jc w:val="both"/>
        <w:rPr>
          <w:rFonts w:ascii="Times New Roman" w:hAnsi="Times New Roman" w:cs="Times New Roman"/>
          <w:sz w:val="24"/>
          <w:szCs w:val="24"/>
        </w:rPr>
      </w:pPr>
    </w:p>
    <w:p w:rsidR="0055502E" w:rsidRPr="00934B4E" w:rsidRDefault="0055502E" w:rsidP="00A64A95">
      <w:pPr>
        <w:spacing w:after="0"/>
        <w:jc w:val="both"/>
        <w:rPr>
          <w:rFonts w:ascii="Times New Roman" w:hAnsi="Times New Roman" w:cs="Times New Roman"/>
          <w:bCs/>
          <w:color w:val="BFBFBF" w:themeColor="background1" w:themeShade="BF"/>
          <w:sz w:val="24"/>
          <w:szCs w:val="24"/>
        </w:rPr>
      </w:pPr>
      <w:r w:rsidRPr="00934B4E">
        <w:rPr>
          <w:rFonts w:ascii="Times New Roman" w:hAnsi="Times New Roman" w:cs="Times New Roman"/>
          <w:sz w:val="24"/>
          <w:szCs w:val="24"/>
        </w:rPr>
        <w:t>Prijímateľov finančnej podpory možno rozdeliť na:</w:t>
      </w:r>
    </w:p>
    <w:p w:rsidR="0055502E" w:rsidRPr="00934B4E" w:rsidRDefault="0055502E" w:rsidP="0055502E">
      <w:pPr>
        <w:spacing w:after="0"/>
        <w:jc w:val="both"/>
        <w:rPr>
          <w:rFonts w:ascii="Times New Roman" w:hAnsi="Times New Roman" w:cs="Times New Roman"/>
          <w:bCs/>
          <w:sz w:val="24"/>
          <w:szCs w:val="24"/>
        </w:rPr>
      </w:pPr>
      <w:r w:rsidRPr="00934B4E">
        <w:rPr>
          <w:rFonts w:ascii="Times New Roman" w:hAnsi="Times New Roman" w:cs="Times New Roman"/>
          <w:bCs/>
          <w:sz w:val="24"/>
          <w:szCs w:val="24"/>
        </w:rPr>
        <w:t>A. Prijímateľov zo súkromného sektora</w:t>
      </w:r>
    </w:p>
    <w:p w:rsidR="0055502E" w:rsidRPr="00934B4E" w:rsidRDefault="0055502E" w:rsidP="00A64A95">
      <w:pPr>
        <w:spacing w:after="0"/>
        <w:jc w:val="both"/>
        <w:rPr>
          <w:rFonts w:ascii="Times New Roman" w:hAnsi="Times New Roman" w:cs="Times New Roman"/>
          <w:sz w:val="24"/>
          <w:szCs w:val="24"/>
        </w:rPr>
      </w:pPr>
      <w:r w:rsidRPr="00934B4E">
        <w:rPr>
          <w:rFonts w:ascii="Times New Roman" w:hAnsi="Times New Roman" w:cs="Times New Roman"/>
          <w:sz w:val="24"/>
          <w:szCs w:val="24"/>
        </w:rPr>
        <w:t>Medzi prijímateľov zo súkromného sektora patria subjekty, ktoré nespadajú pod definíciu subjektov verejnej správy podľa § 3 zákona č. 523/2004 Z. z., t. j.:</w:t>
      </w:r>
    </w:p>
    <w:p w:rsidR="0055502E" w:rsidRPr="00934B4E" w:rsidRDefault="0055502E" w:rsidP="00A64A95">
      <w:pPr>
        <w:spacing w:after="0"/>
        <w:jc w:val="both"/>
        <w:rPr>
          <w:rFonts w:ascii="Times New Roman" w:hAnsi="Times New Roman" w:cs="Times New Roman"/>
          <w:sz w:val="24"/>
          <w:szCs w:val="24"/>
        </w:rPr>
      </w:pPr>
      <w:r w:rsidRPr="00934B4E">
        <w:rPr>
          <w:rFonts w:ascii="Times New Roman" w:hAnsi="Times New Roman" w:cs="Times New Roman"/>
          <w:sz w:val="24"/>
          <w:szCs w:val="24"/>
        </w:rPr>
        <w:t>1.  fyzické osoby a</w:t>
      </w:r>
    </w:p>
    <w:p w:rsidR="0055502E" w:rsidRPr="00934B4E" w:rsidRDefault="0055502E" w:rsidP="00A64A95">
      <w:pPr>
        <w:spacing w:after="0"/>
        <w:jc w:val="both"/>
        <w:rPr>
          <w:rFonts w:ascii="Times New Roman" w:hAnsi="Times New Roman" w:cs="Times New Roman"/>
          <w:sz w:val="24"/>
          <w:szCs w:val="24"/>
        </w:rPr>
      </w:pPr>
      <w:r w:rsidRPr="00934B4E">
        <w:rPr>
          <w:rFonts w:ascii="Times New Roman" w:hAnsi="Times New Roman" w:cs="Times New Roman"/>
          <w:sz w:val="24"/>
          <w:szCs w:val="24"/>
        </w:rPr>
        <w:t>2.  právnické osoby.</w:t>
      </w:r>
    </w:p>
    <w:p w:rsidR="0055502E" w:rsidRPr="00934B4E" w:rsidRDefault="0055502E" w:rsidP="0055502E">
      <w:pPr>
        <w:pStyle w:val="Pta"/>
        <w:tabs>
          <w:tab w:val="clear" w:pos="4536"/>
          <w:tab w:val="clear" w:pos="9072"/>
        </w:tabs>
        <w:spacing w:line="259" w:lineRule="auto"/>
        <w:jc w:val="both"/>
        <w:rPr>
          <w:rFonts w:ascii="Times New Roman" w:hAnsi="Times New Roman" w:cs="Times New Roman"/>
          <w:bCs/>
          <w:sz w:val="24"/>
          <w:szCs w:val="24"/>
        </w:rPr>
      </w:pPr>
      <w:r w:rsidRPr="00934B4E">
        <w:rPr>
          <w:rFonts w:ascii="Times New Roman" w:hAnsi="Times New Roman" w:cs="Times New Roman"/>
          <w:bCs/>
          <w:sz w:val="24"/>
          <w:szCs w:val="24"/>
        </w:rPr>
        <w:t>B. Prijímateľov z verejnej správy</w:t>
      </w:r>
    </w:p>
    <w:p w:rsidR="0055502E" w:rsidRPr="00934B4E" w:rsidRDefault="0055502E" w:rsidP="0055502E">
      <w:pPr>
        <w:numPr>
          <w:ilvl w:val="0"/>
          <w:numId w:val="16"/>
        </w:numPr>
        <w:spacing w:after="0"/>
        <w:ind w:left="360"/>
        <w:jc w:val="both"/>
        <w:rPr>
          <w:rFonts w:ascii="Times New Roman" w:hAnsi="Times New Roman" w:cs="Times New Roman"/>
          <w:sz w:val="24"/>
          <w:szCs w:val="24"/>
          <w:u w:val="single"/>
        </w:rPr>
      </w:pPr>
      <w:r w:rsidRPr="00934B4E">
        <w:rPr>
          <w:rFonts w:ascii="Times New Roman" w:hAnsi="Times New Roman" w:cs="Times New Roman"/>
          <w:sz w:val="24"/>
          <w:szCs w:val="24"/>
          <w:u w:val="single"/>
        </w:rPr>
        <w:t>subjekty ústrednej správy:</w:t>
      </w:r>
    </w:p>
    <w:p w:rsidR="0055502E" w:rsidRPr="00934B4E" w:rsidRDefault="0055502E" w:rsidP="0055502E">
      <w:pPr>
        <w:numPr>
          <w:ilvl w:val="0"/>
          <w:numId w:val="17"/>
        </w:numPr>
        <w:tabs>
          <w:tab w:val="clear" w:pos="720"/>
          <w:tab w:val="num" w:pos="1440"/>
        </w:tabs>
        <w:spacing w:after="0"/>
        <w:ind w:left="717"/>
        <w:jc w:val="both"/>
        <w:rPr>
          <w:rFonts w:ascii="Times New Roman" w:hAnsi="Times New Roman" w:cs="Times New Roman"/>
          <w:sz w:val="24"/>
          <w:szCs w:val="24"/>
        </w:rPr>
      </w:pPr>
      <w:r w:rsidRPr="00934B4E">
        <w:rPr>
          <w:rFonts w:ascii="Times New Roman" w:hAnsi="Times New Roman" w:cs="Times New Roman"/>
          <w:sz w:val="24"/>
          <w:szCs w:val="24"/>
        </w:rPr>
        <w:t>štátne rozpočtové organizácie,</w:t>
      </w:r>
    </w:p>
    <w:p w:rsidR="0055502E" w:rsidRPr="00934B4E" w:rsidRDefault="0055502E" w:rsidP="0055502E">
      <w:pPr>
        <w:numPr>
          <w:ilvl w:val="0"/>
          <w:numId w:val="17"/>
        </w:numPr>
        <w:tabs>
          <w:tab w:val="clear" w:pos="720"/>
          <w:tab w:val="num" w:pos="1440"/>
        </w:tabs>
        <w:spacing w:after="0"/>
        <w:ind w:left="717"/>
        <w:jc w:val="both"/>
        <w:rPr>
          <w:rFonts w:ascii="Times New Roman" w:hAnsi="Times New Roman" w:cs="Times New Roman"/>
          <w:sz w:val="24"/>
          <w:szCs w:val="24"/>
        </w:rPr>
      </w:pPr>
      <w:r w:rsidRPr="00934B4E">
        <w:rPr>
          <w:rFonts w:ascii="Times New Roman" w:hAnsi="Times New Roman" w:cs="Times New Roman"/>
          <w:sz w:val="24"/>
          <w:szCs w:val="24"/>
        </w:rPr>
        <w:t xml:space="preserve">štátne príspevkové organizácie, </w:t>
      </w:r>
    </w:p>
    <w:p w:rsidR="0055502E" w:rsidRPr="00934B4E" w:rsidRDefault="0055502E" w:rsidP="0055502E">
      <w:pPr>
        <w:numPr>
          <w:ilvl w:val="0"/>
          <w:numId w:val="17"/>
        </w:numPr>
        <w:tabs>
          <w:tab w:val="clear" w:pos="720"/>
          <w:tab w:val="num" w:pos="1440"/>
        </w:tabs>
        <w:spacing w:after="0"/>
        <w:ind w:left="717"/>
        <w:jc w:val="both"/>
        <w:rPr>
          <w:rFonts w:ascii="Times New Roman" w:hAnsi="Times New Roman" w:cs="Times New Roman"/>
          <w:sz w:val="24"/>
          <w:szCs w:val="24"/>
        </w:rPr>
      </w:pPr>
      <w:r w:rsidRPr="00934B4E">
        <w:rPr>
          <w:rFonts w:ascii="Times New Roman" w:hAnsi="Times New Roman" w:cs="Times New Roman"/>
          <w:sz w:val="24"/>
          <w:szCs w:val="24"/>
        </w:rPr>
        <w:lastRenderedPageBreak/>
        <w:t>iné subjekty, ktoré sú zapísané v registri organizácií vedených Štatistickým úradom SR podľa § 19 až 21 zákona č. 540/2001 Z. z. o štátnej štatistike v znení neskorších predpisov;</w:t>
      </w:r>
    </w:p>
    <w:p w:rsidR="0055502E" w:rsidRPr="00934B4E" w:rsidRDefault="0055502E" w:rsidP="0055502E">
      <w:pPr>
        <w:numPr>
          <w:ilvl w:val="0"/>
          <w:numId w:val="16"/>
        </w:numPr>
        <w:spacing w:after="0"/>
        <w:ind w:left="360"/>
        <w:jc w:val="both"/>
        <w:rPr>
          <w:rFonts w:ascii="Times New Roman" w:hAnsi="Times New Roman" w:cs="Times New Roman"/>
          <w:sz w:val="24"/>
          <w:szCs w:val="24"/>
          <w:u w:val="single"/>
        </w:rPr>
      </w:pPr>
      <w:r w:rsidRPr="00934B4E">
        <w:rPr>
          <w:rFonts w:ascii="Times New Roman" w:hAnsi="Times New Roman" w:cs="Times New Roman"/>
          <w:sz w:val="24"/>
          <w:szCs w:val="24"/>
          <w:u w:val="single"/>
        </w:rPr>
        <w:t>subjekty územnej samosprávy:</w:t>
      </w:r>
    </w:p>
    <w:p w:rsidR="0055502E" w:rsidRPr="00934B4E" w:rsidRDefault="0055502E" w:rsidP="0055502E">
      <w:pPr>
        <w:numPr>
          <w:ilvl w:val="0"/>
          <w:numId w:val="17"/>
        </w:numPr>
        <w:tabs>
          <w:tab w:val="clear" w:pos="720"/>
          <w:tab w:val="num" w:pos="1440"/>
        </w:tabs>
        <w:spacing w:after="0"/>
        <w:ind w:left="717"/>
        <w:jc w:val="both"/>
        <w:rPr>
          <w:rFonts w:ascii="Times New Roman" w:hAnsi="Times New Roman" w:cs="Times New Roman"/>
          <w:sz w:val="24"/>
          <w:szCs w:val="24"/>
        </w:rPr>
      </w:pPr>
      <w:r w:rsidRPr="00934B4E">
        <w:rPr>
          <w:rFonts w:ascii="Times New Roman" w:hAnsi="Times New Roman" w:cs="Times New Roman"/>
          <w:sz w:val="24"/>
          <w:szCs w:val="24"/>
        </w:rPr>
        <w:t>obce.</w:t>
      </w:r>
    </w:p>
    <w:p w:rsidR="0055502E" w:rsidRPr="00934B4E" w:rsidRDefault="0055502E" w:rsidP="0055502E">
      <w:pPr>
        <w:spacing w:after="0"/>
        <w:jc w:val="both"/>
        <w:rPr>
          <w:rFonts w:ascii="Times New Roman" w:eastAsia="Calibri" w:hAnsi="Times New Roman" w:cs="Times New Roman"/>
          <w:sz w:val="24"/>
          <w:szCs w:val="24"/>
        </w:rPr>
      </w:pPr>
    </w:p>
    <w:p w:rsidR="0055502E" w:rsidRPr="00D11124" w:rsidRDefault="0055502E" w:rsidP="0055502E">
      <w:pPr>
        <w:spacing w:after="0" w:line="254" w:lineRule="auto"/>
        <w:jc w:val="both"/>
        <w:rPr>
          <w:rFonts w:ascii="Times New Roman" w:eastAsia="Calibri" w:hAnsi="Times New Roman" w:cs="Times New Roman"/>
          <w:sz w:val="24"/>
          <w:szCs w:val="24"/>
        </w:rPr>
      </w:pPr>
      <w:r w:rsidRPr="00D11124">
        <w:rPr>
          <w:rFonts w:ascii="Times New Roman" w:eastAsia="Calibri" w:hAnsi="Times New Roman" w:cs="Times New Roman"/>
          <w:sz w:val="24"/>
          <w:szCs w:val="24"/>
        </w:rPr>
        <w:t xml:space="preserve">Predkladaný materiál vytvára novú reguláciu </w:t>
      </w:r>
      <w:r w:rsidRPr="002054C8">
        <w:rPr>
          <w:rFonts w:ascii="Times New Roman" w:eastAsia="Calibri" w:hAnsi="Times New Roman" w:cs="Times New Roman"/>
          <w:sz w:val="24"/>
          <w:szCs w:val="24"/>
        </w:rPr>
        <w:t>„vykonávanie finančných nástrojov“</w:t>
      </w:r>
      <w:r w:rsidR="009B60DB">
        <w:rPr>
          <w:rFonts w:ascii="Times New Roman" w:eastAsia="Calibri" w:hAnsi="Times New Roman" w:cs="Times New Roman"/>
          <w:sz w:val="24"/>
          <w:szCs w:val="24"/>
        </w:rPr>
        <w:t>,</w:t>
      </w:r>
      <w:r w:rsidRPr="002054C8">
        <w:rPr>
          <w:rFonts w:ascii="Times New Roman" w:eastAsia="Calibri" w:hAnsi="Times New Roman" w:cs="Times New Roman"/>
          <w:sz w:val="24"/>
          <w:szCs w:val="24"/>
        </w:rPr>
        <w:t xml:space="preserve"> ktorá mení administratívne náklady podnikateľských subjektov ako konečných prijímateľov</w:t>
      </w:r>
      <w:r w:rsidRPr="00D11124">
        <w:rPr>
          <w:rFonts w:ascii="Times New Roman" w:eastAsia="Calibri" w:hAnsi="Times New Roman" w:cs="Times New Roman"/>
          <w:sz w:val="24"/>
          <w:szCs w:val="24"/>
        </w:rPr>
        <w:t>. Predmetný návrh zákona nevytvára zmeny v priamych finančných nákladoch</w:t>
      </w:r>
      <w:r>
        <w:rPr>
          <w:rFonts w:ascii="Times New Roman" w:eastAsia="Calibri" w:hAnsi="Times New Roman" w:cs="Times New Roman"/>
          <w:sz w:val="24"/>
          <w:szCs w:val="24"/>
        </w:rPr>
        <w:t xml:space="preserve"> a</w:t>
      </w:r>
      <w:r w:rsidRPr="00D11124">
        <w:rPr>
          <w:rFonts w:ascii="Times New Roman" w:eastAsia="Calibri" w:hAnsi="Times New Roman" w:cs="Times New Roman"/>
          <w:sz w:val="24"/>
          <w:szCs w:val="24"/>
        </w:rPr>
        <w:t xml:space="preserve"> v nepriamych finančných nákladoch </w:t>
      </w:r>
      <w:r>
        <w:rPr>
          <w:rFonts w:ascii="Times New Roman" w:eastAsia="Calibri" w:hAnsi="Times New Roman" w:cs="Times New Roman"/>
          <w:sz w:val="24"/>
          <w:szCs w:val="24"/>
        </w:rPr>
        <w:t>a v ostatných a</w:t>
      </w:r>
      <w:r w:rsidRPr="00D11124">
        <w:rPr>
          <w:rFonts w:ascii="Times New Roman" w:eastAsia="Calibri" w:hAnsi="Times New Roman" w:cs="Times New Roman"/>
          <w:sz w:val="24"/>
          <w:szCs w:val="24"/>
        </w:rPr>
        <w:t>dministratívn</w:t>
      </w:r>
      <w:r>
        <w:rPr>
          <w:rFonts w:ascii="Times New Roman" w:eastAsia="Calibri" w:hAnsi="Times New Roman" w:cs="Times New Roman"/>
          <w:sz w:val="24"/>
          <w:szCs w:val="24"/>
        </w:rPr>
        <w:t xml:space="preserve">ych </w:t>
      </w:r>
      <w:r w:rsidRPr="00D11124">
        <w:rPr>
          <w:rFonts w:ascii="Times New Roman" w:eastAsia="Calibri" w:hAnsi="Times New Roman" w:cs="Times New Roman"/>
          <w:sz w:val="24"/>
          <w:szCs w:val="24"/>
        </w:rPr>
        <w:t>úkon</w:t>
      </w:r>
      <w:r>
        <w:rPr>
          <w:rFonts w:ascii="Times New Roman" w:eastAsia="Calibri" w:hAnsi="Times New Roman" w:cs="Times New Roman"/>
          <w:sz w:val="24"/>
          <w:szCs w:val="24"/>
        </w:rPr>
        <w:t>och</w:t>
      </w:r>
      <w:r w:rsidRPr="00D1112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D11124">
        <w:rPr>
          <w:rFonts w:ascii="Times New Roman" w:eastAsia="Calibri" w:hAnsi="Times New Roman" w:cs="Times New Roman"/>
          <w:sz w:val="24"/>
          <w:szCs w:val="24"/>
        </w:rPr>
        <w:t>a s tým súvisiac</w:t>
      </w:r>
      <w:r>
        <w:rPr>
          <w:rFonts w:ascii="Times New Roman" w:eastAsia="Calibri" w:hAnsi="Times New Roman" w:cs="Times New Roman"/>
          <w:sz w:val="24"/>
          <w:szCs w:val="24"/>
        </w:rPr>
        <w:t>ich</w:t>
      </w:r>
      <w:r w:rsidRPr="00D11124">
        <w:rPr>
          <w:rFonts w:ascii="Times New Roman" w:eastAsia="Calibri" w:hAnsi="Times New Roman" w:cs="Times New Roman"/>
          <w:sz w:val="24"/>
          <w:szCs w:val="24"/>
        </w:rPr>
        <w:t xml:space="preserve"> náklad</w:t>
      </w:r>
      <w:r>
        <w:rPr>
          <w:rFonts w:ascii="Times New Roman" w:eastAsia="Calibri" w:hAnsi="Times New Roman" w:cs="Times New Roman"/>
          <w:sz w:val="24"/>
          <w:szCs w:val="24"/>
        </w:rPr>
        <w:t>och)</w:t>
      </w:r>
      <w:r w:rsidRPr="00D11124">
        <w:rPr>
          <w:rFonts w:ascii="Times New Roman" w:eastAsia="Calibri" w:hAnsi="Times New Roman" w:cs="Times New Roman"/>
          <w:sz w:val="24"/>
          <w:szCs w:val="24"/>
        </w:rPr>
        <w:t xml:space="preserve"> v porovnaní s procesom poskytovania </w:t>
      </w:r>
      <w:r>
        <w:rPr>
          <w:rFonts w:ascii="Times New Roman" w:eastAsia="Calibri" w:hAnsi="Times New Roman" w:cs="Times New Roman"/>
          <w:sz w:val="24"/>
          <w:szCs w:val="24"/>
        </w:rPr>
        <w:t>projektových podpôr</w:t>
      </w:r>
      <w:r w:rsidR="009B60DB">
        <w:rPr>
          <w:rFonts w:ascii="Times New Roman" w:eastAsia="Calibri" w:hAnsi="Times New Roman" w:cs="Times New Roman"/>
          <w:sz w:val="24"/>
          <w:szCs w:val="24"/>
        </w:rPr>
        <w:t xml:space="preserve"> podľa</w:t>
      </w:r>
      <w:r w:rsidRPr="00D11124">
        <w:rPr>
          <w:rFonts w:ascii="Times New Roman" w:eastAsia="Calibri" w:hAnsi="Times New Roman" w:cs="Times New Roman"/>
          <w:sz w:val="24"/>
          <w:szCs w:val="24"/>
        </w:rPr>
        <w:t xml:space="preserve"> v súčasnosti platného </w:t>
      </w:r>
      <w:r>
        <w:rPr>
          <w:rFonts w:ascii="Times New Roman" w:eastAsia="Calibri" w:hAnsi="Times New Roman" w:cs="Times New Roman"/>
          <w:sz w:val="24"/>
          <w:szCs w:val="24"/>
        </w:rPr>
        <w:t>z</w:t>
      </w:r>
      <w:r w:rsidRPr="00D11124">
        <w:rPr>
          <w:rFonts w:ascii="Times New Roman" w:eastAsia="Calibri" w:hAnsi="Times New Roman" w:cs="Times New Roman"/>
          <w:sz w:val="24"/>
          <w:szCs w:val="24"/>
        </w:rPr>
        <w:t>ákona č. 292/2014 Z. z. o príspevku poskytovanom z európskych štrukturálnych a investičných fondov a o zmene a doplnení niektorých zákonov</w:t>
      </w:r>
      <w:r w:rsidR="000D0BC5">
        <w:rPr>
          <w:rFonts w:ascii="Times New Roman" w:eastAsia="Calibri" w:hAnsi="Times New Roman" w:cs="Times New Roman"/>
          <w:sz w:val="24"/>
          <w:szCs w:val="24"/>
        </w:rPr>
        <w:t xml:space="preserve"> v znení neskorších predpisov</w:t>
      </w:r>
      <w:r w:rsidRPr="00D11124">
        <w:rPr>
          <w:rFonts w:ascii="Times New Roman" w:eastAsia="Calibri" w:hAnsi="Times New Roman" w:cs="Times New Roman"/>
          <w:sz w:val="24"/>
          <w:szCs w:val="24"/>
        </w:rPr>
        <w:t xml:space="preserve">. </w:t>
      </w:r>
    </w:p>
    <w:p w:rsidR="0055502E" w:rsidRPr="00934B4E" w:rsidRDefault="0055502E" w:rsidP="0055502E">
      <w:pPr>
        <w:spacing w:after="0"/>
        <w:jc w:val="both"/>
        <w:rPr>
          <w:rFonts w:ascii="Times New Roman" w:eastAsia="Calibri" w:hAnsi="Times New Roman" w:cs="Times New Roman"/>
          <w:sz w:val="24"/>
          <w:szCs w:val="24"/>
        </w:rPr>
      </w:pPr>
    </w:p>
    <w:p w:rsidR="0055502E" w:rsidRDefault="0055502E" w:rsidP="0055502E">
      <w:pPr>
        <w:spacing w:after="0" w:line="254" w:lineRule="auto"/>
        <w:jc w:val="both"/>
        <w:rPr>
          <w:rFonts w:ascii="Times New Roman" w:eastAsia="Calibri" w:hAnsi="Times New Roman" w:cs="Times New Roman"/>
          <w:sz w:val="24"/>
          <w:szCs w:val="24"/>
        </w:rPr>
      </w:pPr>
      <w:r w:rsidRPr="00934B4E">
        <w:rPr>
          <w:rFonts w:ascii="Times New Roman" w:eastAsia="Calibri" w:hAnsi="Times New Roman" w:cs="Times New Roman"/>
          <w:sz w:val="24"/>
          <w:szCs w:val="24"/>
        </w:rPr>
        <w:t xml:space="preserve">Návrh zákona predpokladá pozitívny vplyv na podnikateľské prostredie, keďže sa predkladá aj s cieľom podporiť podnikanie v poľnohospodárstve prostredníctvom projektov zameraných                na ich rozvoj. </w:t>
      </w:r>
      <w:r>
        <w:rPr>
          <w:rFonts w:ascii="Times New Roman" w:eastAsia="Calibri" w:hAnsi="Times New Roman" w:cs="Times New Roman"/>
          <w:sz w:val="24"/>
          <w:szCs w:val="24"/>
        </w:rPr>
        <w:t>Podpora investícií</w:t>
      </w:r>
      <w:r w:rsidRPr="00934B4E">
        <w:rPr>
          <w:rFonts w:ascii="Times New Roman" w:eastAsia="Calibri" w:hAnsi="Times New Roman" w:cs="Times New Roman"/>
          <w:sz w:val="24"/>
          <w:szCs w:val="24"/>
        </w:rPr>
        <w:t xml:space="preserve"> a ďalších rozvojových aktivít a podpora spolupráce v oblasti výmeny vedomostí a šírenia informácií umožní prijímateľom zvýšiť konkurencieschopnosť              na trhu a tým stimulovať rozvoj podnikateľských aktivít, ktoré majú pozitívne ekonomické, sociálne a environmentálne vplyvy na poľnohospodárstvo aj na vidiek. </w:t>
      </w:r>
    </w:p>
    <w:p w:rsidR="0055502E" w:rsidRDefault="0055502E" w:rsidP="0055502E">
      <w:pPr>
        <w:spacing w:after="0" w:line="254" w:lineRule="auto"/>
        <w:jc w:val="both"/>
        <w:rPr>
          <w:rFonts w:ascii="Times New Roman" w:eastAsia="Calibri" w:hAnsi="Times New Roman" w:cs="Times New Roman"/>
          <w:sz w:val="24"/>
          <w:szCs w:val="24"/>
        </w:rPr>
      </w:pPr>
    </w:p>
    <w:p w:rsidR="00845BF5" w:rsidRPr="00C2053F" w:rsidRDefault="00845BF5" w:rsidP="00FC2F64">
      <w:pPr>
        <w:spacing w:after="0" w:line="254" w:lineRule="auto"/>
        <w:jc w:val="both"/>
        <w:rPr>
          <w:rFonts w:ascii="Times New Roman" w:eastAsia="Calibri" w:hAnsi="Times New Roman" w:cs="Times New Roman"/>
          <w:sz w:val="24"/>
          <w:szCs w:val="24"/>
        </w:rPr>
      </w:pPr>
      <w:r w:rsidRPr="00C2053F">
        <w:rPr>
          <w:rFonts w:ascii="Times New Roman" w:eastAsia="Calibri" w:hAnsi="Times New Roman" w:cs="Times New Roman"/>
          <w:sz w:val="24"/>
          <w:szCs w:val="24"/>
        </w:rPr>
        <w:t xml:space="preserve">Kvantifikácie aj kvalitatívny popis negatívneho vplyvu </w:t>
      </w:r>
      <w:r w:rsidR="008C1740" w:rsidRPr="00934B4E">
        <w:rPr>
          <w:rFonts w:ascii="Times New Roman" w:eastAsia="Calibri" w:hAnsi="Times New Roman" w:cs="Times New Roman"/>
          <w:sz w:val="24"/>
          <w:szCs w:val="24"/>
        </w:rPr>
        <w:t>na podnikateľské prostredie</w:t>
      </w:r>
      <w:r w:rsidR="008C1740" w:rsidRPr="00C2053F">
        <w:rPr>
          <w:rFonts w:ascii="Times New Roman" w:eastAsia="Calibri" w:hAnsi="Times New Roman" w:cs="Times New Roman"/>
          <w:sz w:val="24"/>
          <w:szCs w:val="24"/>
        </w:rPr>
        <w:t xml:space="preserve"> </w:t>
      </w:r>
      <w:r w:rsidRPr="00C2053F">
        <w:rPr>
          <w:rFonts w:ascii="Times New Roman" w:eastAsia="Calibri" w:hAnsi="Times New Roman" w:cs="Times New Roman"/>
          <w:sz w:val="24"/>
          <w:szCs w:val="24"/>
        </w:rPr>
        <w:t>v súvislosti s uzavretím zmluvy na poskytnutie príspevku na finančný nástroj je nasledovn</w:t>
      </w:r>
      <w:r w:rsidR="005656F2">
        <w:rPr>
          <w:rFonts w:ascii="Times New Roman" w:eastAsia="Calibri" w:hAnsi="Times New Roman" w:cs="Times New Roman"/>
          <w:sz w:val="24"/>
          <w:szCs w:val="24"/>
        </w:rPr>
        <w:t>ý</w:t>
      </w:r>
      <w:r w:rsidRPr="00C2053F">
        <w:rPr>
          <w:rFonts w:ascii="Times New Roman" w:eastAsia="Calibri" w:hAnsi="Times New Roman" w:cs="Times New Roman"/>
          <w:sz w:val="24"/>
          <w:szCs w:val="24"/>
        </w:rPr>
        <w:t>:</w:t>
      </w:r>
    </w:p>
    <w:p w:rsidR="00845BF5" w:rsidRPr="00C2053F" w:rsidRDefault="00845BF5" w:rsidP="00FC2F64">
      <w:pPr>
        <w:spacing w:after="0" w:line="254" w:lineRule="auto"/>
        <w:jc w:val="both"/>
        <w:rPr>
          <w:rFonts w:ascii="Times New Roman" w:eastAsia="Calibri" w:hAnsi="Times New Roman" w:cs="Times New Roman"/>
          <w:sz w:val="24"/>
          <w:szCs w:val="24"/>
          <w:u w:val="single"/>
        </w:rPr>
      </w:pPr>
      <w:r w:rsidRPr="00C2053F">
        <w:rPr>
          <w:rFonts w:ascii="Times New Roman" w:eastAsia="Calibri" w:hAnsi="Times New Roman" w:cs="Times New Roman"/>
          <w:sz w:val="24"/>
          <w:szCs w:val="24"/>
          <w:u w:val="single"/>
        </w:rPr>
        <w:t xml:space="preserve">Regulácia - uzavretie zmluvy na poskytnutie príspevku na finančný nástroj – spadá </w:t>
      </w:r>
      <w:r w:rsidR="00651962" w:rsidRPr="00C2053F">
        <w:rPr>
          <w:rFonts w:ascii="Times New Roman" w:eastAsia="Calibri" w:hAnsi="Times New Roman" w:cs="Times New Roman"/>
          <w:sz w:val="24"/>
          <w:szCs w:val="24"/>
          <w:u w:val="single"/>
        </w:rPr>
        <w:t xml:space="preserve">                                </w:t>
      </w:r>
      <w:r w:rsidRPr="00C2053F">
        <w:rPr>
          <w:rFonts w:ascii="Times New Roman" w:eastAsia="Calibri" w:hAnsi="Times New Roman" w:cs="Times New Roman"/>
          <w:sz w:val="24"/>
          <w:szCs w:val="24"/>
          <w:u w:val="single"/>
        </w:rPr>
        <w:t>pod výnimku z mechanizmu znižovania byrokracie a</w:t>
      </w:r>
      <w:r w:rsidR="00FC2F64" w:rsidRPr="00C2053F">
        <w:rPr>
          <w:rFonts w:ascii="Times New Roman" w:eastAsia="Calibri" w:hAnsi="Times New Roman" w:cs="Times New Roman"/>
          <w:sz w:val="24"/>
          <w:szCs w:val="24"/>
          <w:u w:val="single"/>
        </w:rPr>
        <w:t> </w:t>
      </w:r>
      <w:r w:rsidRPr="00C2053F">
        <w:rPr>
          <w:rFonts w:ascii="Times New Roman" w:eastAsia="Calibri" w:hAnsi="Times New Roman" w:cs="Times New Roman"/>
          <w:sz w:val="24"/>
          <w:szCs w:val="24"/>
          <w:u w:val="single"/>
        </w:rPr>
        <w:t>nákladov</w:t>
      </w:r>
      <w:r w:rsidR="00FC2F64" w:rsidRPr="00C2053F">
        <w:rPr>
          <w:rFonts w:ascii="Times New Roman" w:eastAsia="Calibri" w:hAnsi="Times New Roman" w:cs="Times New Roman"/>
          <w:sz w:val="24"/>
          <w:szCs w:val="24"/>
          <w:u w:val="single"/>
        </w:rPr>
        <w:t>.</w:t>
      </w:r>
    </w:p>
    <w:p w:rsidR="00FC2F64" w:rsidRPr="00C2053F" w:rsidRDefault="00FC2F64" w:rsidP="00FC2F64">
      <w:pPr>
        <w:spacing w:after="0"/>
        <w:jc w:val="both"/>
        <w:rPr>
          <w:rFonts w:ascii="Times New Roman" w:eastAsia="Calibri" w:hAnsi="Times New Roman" w:cs="Times New Roman"/>
          <w:sz w:val="24"/>
          <w:szCs w:val="24"/>
        </w:rPr>
      </w:pPr>
      <w:r w:rsidRPr="00C2053F">
        <w:rPr>
          <w:rFonts w:ascii="Times New Roman" w:eastAsia="Calibri" w:hAnsi="Times New Roman" w:cs="Times New Roman"/>
          <w:sz w:val="24"/>
          <w:szCs w:val="24"/>
        </w:rPr>
        <w:t xml:space="preserve">Finančným nástrojom je mechanizmus podľa osobitného predpisu, prostredníctvom ktorého sa poskytujú finančné prostriedky konečným prijímateľom; finančné prostriedky poskytované             pri vykonávaní finančného nástroja sú návratnou formou príspevku alebo kombináciou návratnej a nenávratnej formy príspevku, pričom ak sa kombinuje návratná a nenávratná forma podpory </w:t>
      </w:r>
      <w:r w:rsidRPr="00C2053F">
        <w:rPr>
          <w:rFonts w:ascii="Times New Roman" w:hAnsi="Times New Roman" w:cs="Times New Roman"/>
          <w:sz w:val="24"/>
          <w:szCs w:val="24"/>
        </w:rPr>
        <w:t>v jednej operácii finančného nástroja v rámci jednej zmluvy o financovaní</w:t>
      </w:r>
      <w:r w:rsidRPr="00C2053F">
        <w:rPr>
          <w:rFonts w:ascii="Times New Roman" w:eastAsia="Calibri" w:hAnsi="Times New Roman" w:cs="Times New Roman"/>
          <w:sz w:val="24"/>
          <w:szCs w:val="24"/>
        </w:rPr>
        <w:t xml:space="preserve">, mechanizmus jej poskytovania sa riadi pravidlami poskytovania návratnej formy príspevku. Poskytovateľ príspevku na finančný nástroj poskytuje  príspevok  na finančný nástroj prijímateľovi príspevku na finančný nástroj </w:t>
      </w:r>
      <w:r w:rsidRPr="00C2053F">
        <w:rPr>
          <w:rFonts w:ascii="Times New Roman" w:eastAsia="Calibri" w:hAnsi="Times New Roman" w:cs="Times New Roman"/>
          <w:sz w:val="24"/>
          <w:szCs w:val="24"/>
          <w:u w:val="single"/>
        </w:rPr>
        <w:t>na základe zmluvy o financovaní podľa § 27</w:t>
      </w:r>
      <w:r w:rsidRPr="00C2053F">
        <w:rPr>
          <w:rFonts w:ascii="Times New Roman" w:eastAsia="Calibri" w:hAnsi="Times New Roman" w:cs="Times New Roman"/>
          <w:sz w:val="24"/>
          <w:szCs w:val="24"/>
        </w:rPr>
        <w:t xml:space="preserve">. Prijímateľ príspevku na finančný nástroj môže finančného sprostredkovateľa poveriť vykonávaním svojich úloh pri vykonávaní finančného nástroja </w:t>
      </w:r>
      <w:r w:rsidRPr="00C2053F">
        <w:rPr>
          <w:rFonts w:ascii="Times New Roman" w:eastAsia="Calibri" w:hAnsi="Times New Roman" w:cs="Times New Roman"/>
          <w:sz w:val="24"/>
          <w:szCs w:val="24"/>
          <w:u w:val="single"/>
        </w:rPr>
        <w:t>na základe zmluvy s finančným sprostredkovateľom podľa § 28</w:t>
      </w:r>
      <w:r w:rsidRPr="00C2053F">
        <w:rPr>
          <w:rFonts w:ascii="Times New Roman" w:eastAsia="Calibri" w:hAnsi="Times New Roman" w:cs="Times New Roman"/>
          <w:sz w:val="24"/>
          <w:szCs w:val="24"/>
        </w:rPr>
        <w:t>.</w:t>
      </w:r>
    </w:p>
    <w:p w:rsidR="00C808D5" w:rsidRPr="00C2053F" w:rsidRDefault="00C808D5" w:rsidP="001A6809">
      <w:pPr>
        <w:spacing w:after="0" w:line="254" w:lineRule="auto"/>
        <w:jc w:val="both"/>
        <w:rPr>
          <w:rFonts w:ascii="Times New Roman" w:eastAsia="Calibri" w:hAnsi="Times New Roman" w:cs="Times New Roman"/>
          <w:sz w:val="24"/>
          <w:szCs w:val="24"/>
          <w:u w:val="single"/>
        </w:rPr>
      </w:pPr>
      <w:r w:rsidRPr="00C2053F">
        <w:rPr>
          <w:rFonts w:ascii="Times New Roman" w:eastAsia="Calibri" w:hAnsi="Times New Roman" w:cs="Times New Roman"/>
          <w:sz w:val="24"/>
          <w:szCs w:val="24"/>
          <w:u w:val="single"/>
        </w:rPr>
        <w:t>Opis regulácie „Uzavretie zmluvy za účelom poskytnutia príspevku na finančný nástroj“:</w:t>
      </w:r>
    </w:p>
    <w:p w:rsidR="00C808D5" w:rsidRPr="00C2053F" w:rsidRDefault="00C808D5" w:rsidP="001A6809">
      <w:pPr>
        <w:spacing w:after="0" w:line="254" w:lineRule="auto"/>
        <w:jc w:val="both"/>
        <w:rPr>
          <w:rFonts w:ascii="Times New Roman" w:eastAsia="Calibri" w:hAnsi="Times New Roman" w:cs="Times New Roman"/>
          <w:sz w:val="24"/>
          <w:szCs w:val="24"/>
        </w:rPr>
      </w:pPr>
      <w:r w:rsidRPr="00C2053F">
        <w:rPr>
          <w:rFonts w:ascii="Times New Roman" w:eastAsia="Calibri" w:hAnsi="Times New Roman" w:cs="Times New Roman"/>
          <w:sz w:val="24"/>
          <w:szCs w:val="24"/>
        </w:rPr>
        <w:t>Predkladaný zákon v § 27 zavádza povinnosť uzavrieť zmluvu o financovaní medzi poskytovateľom príspevku na finančný nástroj a prijímateľom príspevku na finančný nástroj. Predkladaný zákon v § 28 zavádza možnosť uzavrieť zmluvu s finančným sprostredkovateľom medzi prijímateľom príspevku na finančný nástroj a finančným sprostredkovateľom. Prijímateľ príspevku alebo finančný sprostredkovateľ poskytuje finančné prostriedky z finančného nástroja konečnému prijímateľovi prostredníctvom osobitnej zmluvy (napr</w:t>
      </w:r>
      <w:r w:rsidR="000D0BC5">
        <w:rPr>
          <w:rFonts w:ascii="Times New Roman" w:eastAsia="Calibri" w:hAnsi="Times New Roman" w:cs="Times New Roman"/>
          <w:sz w:val="24"/>
          <w:szCs w:val="24"/>
        </w:rPr>
        <w:t>íklad</w:t>
      </w:r>
      <w:r w:rsidRPr="00C2053F">
        <w:rPr>
          <w:rFonts w:ascii="Times New Roman" w:eastAsia="Calibri" w:hAnsi="Times New Roman" w:cs="Times New Roman"/>
          <w:sz w:val="24"/>
          <w:szCs w:val="24"/>
        </w:rPr>
        <w:t xml:space="preserve"> zmluva o úvere podľa § 497 a</w:t>
      </w:r>
      <w:r w:rsidR="000D0BC5">
        <w:rPr>
          <w:rFonts w:ascii="Times New Roman" w:eastAsia="Calibri" w:hAnsi="Times New Roman" w:cs="Times New Roman"/>
          <w:sz w:val="24"/>
          <w:szCs w:val="24"/>
        </w:rPr>
        <w:t>ž 507</w:t>
      </w:r>
      <w:r w:rsidRPr="00C2053F">
        <w:rPr>
          <w:rFonts w:ascii="Times New Roman" w:eastAsia="Calibri" w:hAnsi="Times New Roman" w:cs="Times New Roman"/>
          <w:sz w:val="24"/>
          <w:szCs w:val="24"/>
        </w:rPr>
        <w:t xml:space="preserve"> Obchodného zákonníka). S príspevkom </w:t>
      </w:r>
      <w:r w:rsidR="00A66F99">
        <w:rPr>
          <w:rFonts w:ascii="Times New Roman" w:eastAsia="Calibri" w:hAnsi="Times New Roman" w:cs="Times New Roman"/>
          <w:sz w:val="24"/>
          <w:szCs w:val="24"/>
        </w:rPr>
        <w:t>pre finančné nástroje sa počíta</w:t>
      </w:r>
      <w:r w:rsidR="00651962" w:rsidRPr="00C2053F">
        <w:rPr>
          <w:rFonts w:ascii="Times New Roman" w:eastAsia="Calibri" w:hAnsi="Times New Roman" w:cs="Times New Roman"/>
          <w:sz w:val="24"/>
          <w:szCs w:val="24"/>
        </w:rPr>
        <w:t xml:space="preserve"> </w:t>
      </w:r>
      <w:r w:rsidRPr="00C2053F">
        <w:rPr>
          <w:rFonts w:ascii="Times New Roman" w:eastAsia="Calibri" w:hAnsi="Times New Roman" w:cs="Times New Roman"/>
          <w:sz w:val="24"/>
          <w:szCs w:val="24"/>
        </w:rPr>
        <w:t xml:space="preserve">pri intervencii 73.04 Produktívne investície v poľnohospodárskych podnikoch a pri intervencii 73.05 Produktívne investície v poľnohospodárskych podnikoch – mladý poľnohospodár. V zmysle </w:t>
      </w:r>
      <w:r w:rsidR="00F50CE0">
        <w:rPr>
          <w:rFonts w:ascii="Times New Roman" w:eastAsia="Calibri" w:hAnsi="Times New Roman" w:cs="Times New Roman"/>
          <w:sz w:val="24"/>
          <w:szCs w:val="24"/>
        </w:rPr>
        <w:t>s</w:t>
      </w:r>
      <w:r w:rsidRPr="00C2053F">
        <w:rPr>
          <w:rFonts w:ascii="Times New Roman" w:eastAsia="Calibri" w:hAnsi="Times New Roman" w:cs="Times New Roman"/>
          <w:sz w:val="24"/>
          <w:szCs w:val="24"/>
        </w:rPr>
        <w:t xml:space="preserve">trategického plánu je súčasný odhad konečných </w:t>
      </w:r>
      <w:r w:rsidRPr="00C2053F">
        <w:rPr>
          <w:rFonts w:ascii="Times New Roman" w:eastAsia="Calibri" w:hAnsi="Times New Roman" w:cs="Times New Roman"/>
          <w:sz w:val="24"/>
          <w:szCs w:val="24"/>
        </w:rPr>
        <w:lastRenderedPageBreak/>
        <w:t xml:space="preserve">prijímateľov 1980 na intervenciu 73.04 a 420 na intervenciu 73.05. Spolu je to 2400 odhadovaných konečných prijímateľov príspevkov na finančný nástroj. </w:t>
      </w:r>
    </w:p>
    <w:p w:rsidR="00C808D5" w:rsidRPr="00C2053F" w:rsidRDefault="00C808D5" w:rsidP="001A6809">
      <w:pPr>
        <w:spacing w:after="0" w:line="254" w:lineRule="auto"/>
        <w:jc w:val="both"/>
        <w:rPr>
          <w:rFonts w:ascii="Times New Roman" w:eastAsia="Calibri" w:hAnsi="Times New Roman" w:cs="Times New Roman"/>
          <w:sz w:val="24"/>
          <w:szCs w:val="24"/>
        </w:rPr>
      </w:pPr>
      <w:r w:rsidRPr="00C2053F">
        <w:rPr>
          <w:rFonts w:ascii="Times New Roman" w:eastAsia="Calibri" w:hAnsi="Times New Roman" w:cs="Times New Roman"/>
          <w:sz w:val="24"/>
          <w:szCs w:val="24"/>
        </w:rPr>
        <w:t xml:space="preserve">Časová  náročnosť uzatvárania zmlúv medzi prijímateľom príspevku na finančné nástroje/ finančným sprostredkovateľom a konečným prijímateľom príspevku na finančný nástroj je odhadovaná na 120 minút jednorazovo. Časová náročnosť je odhadom </w:t>
      </w:r>
      <w:r w:rsidR="00F50CE0">
        <w:rPr>
          <w:rFonts w:ascii="Times New Roman" w:eastAsia="Calibri" w:hAnsi="Times New Roman" w:cs="Times New Roman"/>
          <w:sz w:val="24"/>
          <w:szCs w:val="24"/>
        </w:rPr>
        <w:t>Ministerstva pôdohospodárstva a rozvoja vidieka Slovenskej republiky</w:t>
      </w:r>
      <w:r w:rsidRPr="00C2053F">
        <w:rPr>
          <w:rFonts w:ascii="Times New Roman" w:eastAsia="Calibri" w:hAnsi="Times New Roman" w:cs="Times New Roman"/>
          <w:sz w:val="24"/>
          <w:szCs w:val="24"/>
        </w:rPr>
        <w:t xml:space="preserve"> na základe praxe a predkladatelia sa inšpirovali aj kalkulačkou nákladov podnikateľského prostredia, kde je uvedená možnosť „Vypracovanie dokumentu, správy, potvrdenia, dokladu, zmluvy“ v malom rozsahu 120 minút, v štandardnom rozsahu 360 minút. V prípade tejto predmetnej regulácie podnikateľ zmluvu nevypracováva, ale ju uzatvára. </w:t>
      </w:r>
    </w:p>
    <w:p w:rsidR="00C808D5" w:rsidRPr="00C2053F" w:rsidRDefault="00C808D5" w:rsidP="001A6809">
      <w:pPr>
        <w:spacing w:after="0" w:line="254" w:lineRule="auto"/>
        <w:jc w:val="both"/>
        <w:rPr>
          <w:rFonts w:ascii="Times New Roman" w:eastAsia="Calibri" w:hAnsi="Times New Roman" w:cs="Times New Roman"/>
          <w:sz w:val="24"/>
          <w:szCs w:val="24"/>
        </w:rPr>
      </w:pPr>
      <w:r w:rsidRPr="00C2053F">
        <w:rPr>
          <w:rFonts w:ascii="Times New Roman" w:eastAsia="Calibri" w:hAnsi="Times New Roman" w:cs="Times New Roman"/>
          <w:sz w:val="24"/>
          <w:szCs w:val="24"/>
        </w:rPr>
        <w:t xml:space="preserve">Zvýšenie nákladov participujúceho podnikateľského subjektu je pri jednorazovej frekvencii plnenia povinnosti o 6 </w:t>
      </w:r>
      <w:r w:rsidR="00E266B7">
        <w:rPr>
          <w:rFonts w:ascii="Times New Roman" w:eastAsia="Calibri" w:hAnsi="Times New Roman" w:cs="Times New Roman"/>
          <w:sz w:val="24"/>
          <w:szCs w:val="24"/>
        </w:rPr>
        <w:t>eur</w:t>
      </w:r>
      <w:r w:rsidRPr="00C2053F">
        <w:rPr>
          <w:rFonts w:ascii="Times New Roman" w:eastAsia="Calibri" w:hAnsi="Times New Roman" w:cs="Times New Roman"/>
          <w:sz w:val="24"/>
          <w:szCs w:val="24"/>
        </w:rPr>
        <w:t xml:space="preserve">. Vplyv na kategóriu dotknutých subjektov je 13 223 </w:t>
      </w:r>
      <w:r w:rsidR="00E266B7">
        <w:rPr>
          <w:rFonts w:ascii="Times New Roman" w:eastAsia="Calibri" w:hAnsi="Times New Roman" w:cs="Times New Roman"/>
          <w:sz w:val="24"/>
          <w:szCs w:val="24"/>
        </w:rPr>
        <w:t>eur</w:t>
      </w:r>
      <w:r w:rsidRPr="00C2053F">
        <w:rPr>
          <w:rFonts w:ascii="Times New Roman" w:eastAsia="Calibri" w:hAnsi="Times New Roman" w:cs="Times New Roman"/>
          <w:sz w:val="24"/>
          <w:szCs w:val="24"/>
        </w:rPr>
        <w:t>.</w:t>
      </w:r>
    </w:p>
    <w:p w:rsidR="00EE6C84" w:rsidRDefault="00EE6C84" w:rsidP="0055502E">
      <w:pPr>
        <w:spacing w:after="0" w:line="254" w:lineRule="auto"/>
        <w:jc w:val="both"/>
        <w:rPr>
          <w:rFonts w:ascii="Times New Roman" w:eastAsia="Calibri" w:hAnsi="Times New Roman" w:cs="Times New Roman"/>
          <w:sz w:val="24"/>
          <w:szCs w:val="24"/>
        </w:rPr>
      </w:pPr>
    </w:p>
    <w:p w:rsidR="0055502E" w:rsidRPr="00FD0D70" w:rsidRDefault="0055502E" w:rsidP="0055502E">
      <w:pPr>
        <w:spacing w:after="0" w:line="254" w:lineRule="auto"/>
        <w:jc w:val="both"/>
        <w:rPr>
          <w:rFonts w:ascii="Times New Roman" w:eastAsia="Calibri" w:hAnsi="Times New Roman" w:cs="Times New Roman"/>
          <w:sz w:val="24"/>
          <w:szCs w:val="24"/>
        </w:rPr>
      </w:pPr>
      <w:r w:rsidRPr="00B01CD0">
        <w:rPr>
          <w:rFonts w:ascii="Times New Roman" w:eastAsia="Calibri" w:hAnsi="Times New Roman" w:cs="Times New Roman"/>
          <w:sz w:val="24"/>
          <w:szCs w:val="24"/>
        </w:rPr>
        <w:t>Budúce sankcie alebo pokuty, ako dôsledok porušenia právne záväzných ustanovení v súčasnosti nie je možné kvantifikovať.</w:t>
      </w:r>
    </w:p>
    <w:p w:rsidR="0055502E" w:rsidRPr="00934B4E" w:rsidRDefault="0055502E" w:rsidP="0055502E">
      <w:pPr>
        <w:spacing w:after="0" w:line="254" w:lineRule="auto"/>
        <w:jc w:val="both"/>
        <w:rPr>
          <w:rFonts w:ascii="Times New Roman" w:eastAsia="Calibri" w:hAnsi="Times New Roman" w:cs="Times New Roman"/>
          <w:sz w:val="24"/>
          <w:szCs w:val="24"/>
        </w:rPr>
      </w:pPr>
      <w:r w:rsidRPr="00934B4E">
        <w:rPr>
          <w:rFonts w:ascii="Times New Roman" w:eastAsia="Calibri" w:hAnsi="Times New Roman" w:cs="Times New Roman"/>
          <w:sz w:val="24"/>
          <w:szCs w:val="24"/>
        </w:rPr>
        <w:t xml:space="preserve">Ak </w:t>
      </w:r>
      <w:r>
        <w:rPr>
          <w:rFonts w:ascii="Times New Roman" w:eastAsia="Calibri" w:hAnsi="Times New Roman" w:cs="Times New Roman"/>
          <w:sz w:val="24"/>
          <w:szCs w:val="24"/>
        </w:rPr>
        <w:t>poskytovateľ príspevku na finančné nástroje</w:t>
      </w:r>
      <w:r w:rsidRPr="00934B4E">
        <w:rPr>
          <w:rFonts w:ascii="Times New Roman" w:eastAsia="Calibri" w:hAnsi="Times New Roman" w:cs="Times New Roman"/>
          <w:sz w:val="24"/>
          <w:szCs w:val="24"/>
        </w:rPr>
        <w:t xml:space="preserve"> zistí porušenie povinnosti zo strany prijímateľa </w:t>
      </w:r>
      <w:r>
        <w:rPr>
          <w:rFonts w:ascii="Times New Roman" w:eastAsia="Calibri" w:hAnsi="Times New Roman" w:cs="Times New Roman"/>
          <w:sz w:val="24"/>
          <w:szCs w:val="24"/>
        </w:rPr>
        <w:t xml:space="preserve">príspevku na finančné nástroje, </w:t>
      </w:r>
      <w:r w:rsidRPr="00934B4E">
        <w:rPr>
          <w:rFonts w:ascii="Times New Roman" w:eastAsia="Calibri" w:hAnsi="Times New Roman" w:cs="Times New Roman"/>
          <w:sz w:val="24"/>
          <w:szCs w:val="24"/>
        </w:rPr>
        <w:t xml:space="preserve">vyzve </w:t>
      </w:r>
      <w:r>
        <w:rPr>
          <w:rFonts w:ascii="Times New Roman" w:eastAsia="Calibri" w:hAnsi="Times New Roman" w:cs="Times New Roman"/>
          <w:sz w:val="24"/>
          <w:szCs w:val="24"/>
        </w:rPr>
        <w:t xml:space="preserve">ho </w:t>
      </w:r>
      <w:r w:rsidRPr="00934B4E">
        <w:rPr>
          <w:rFonts w:ascii="Times New Roman" w:eastAsia="Calibri" w:hAnsi="Times New Roman" w:cs="Times New Roman"/>
          <w:sz w:val="24"/>
          <w:szCs w:val="24"/>
        </w:rPr>
        <w:t>na vrátenie poskytnut</w:t>
      </w:r>
      <w:r>
        <w:rPr>
          <w:rFonts w:ascii="Times New Roman" w:eastAsia="Calibri" w:hAnsi="Times New Roman" w:cs="Times New Roman"/>
          <w:sz w:val="24"/>
          <w:szCs w:val="24"/>
        </w:rPr>
        <w:t>ých</w:t>
      </w:r>
      <w:r w:rsidRPr="00934B4E">
        <w:rPr>
          <w:rFonts w:ascii="Times New Roman" w:eastAsia="Calibri" w:hAnsi="Times New Roman" w:cs="Times New Roman"/>
          <w:sz w:val="24"/>
          <w:szCs w:val="24"/>
        </w:rPr>
        <w:t xml:space="preserve"> finančn</w:t>
      </w:r>
      <w:r>
        <w:rPr>
          <w:rFonts w:ascii="Times New Roman" w:eastAsia="Calibri" w:hAnsi="Times New Roman" w:cs="Times New Roman"/>
          <w:sz w:val="24"/>
          <w:szCs w:val="24"/>
        </w:rPr>
        <w:t>ých</w:t>
      </w:r>
      <w:r w:rsidRPr="00934B4E">
        <w:rPr>
          <w:rFonts w:ascii="Times New Roman" w:eastAsia="Calibri" w:hAnsi="Times New Roman" w:cs="Times New Roman"/>
          <w:sz w:val="24"/>
          <w:szCs w:val="24"/>
        </w:rPr>
        <w:t xml:space="preserve"> prostriedk</w:t>
      </w:r>
      <w:r>
        <w:rPr>
          <w:rFonts w:ascii="Times New Roman" w:eastAsia="Calibri" w:hAnsi="Times New Roman" w:cs="Times New Roman"/>
          <w:sz w:val="24"/>
          <w:szCs w:val="24"/>
        </w:rPr>
        <w:t>ov</w:t>
      </w:r>
      <w:r w:rsidRPr="00934B4E">
        <w:rPr>
          <w:rFonts w:ascii="Times New Roman" w:eastAsia="Calibri" w:hAnsi="Times New Roman" w:cs="Times New Roman"/>
          <w:sz w:val="24"/>
          <w:szCs w:val="24"/>
        </w:rPr>
        <w:t xml:space="preserve"> </w:t>
      </w:r>
      <w:r w:rsidR="00E266B7" w:rsidRPr="0028432B">
        <w:rPr>
          <w:rFonts w:ascii="Times New Roman" w:eastAsia="Calibri" w:hAnsi="Times New Roman" w:cs="Times New Roman"/>
          <w:sz w:val="24"/>
          <w:szCs w:val="24"/>
        </w:rPr>
        <w:t>E</w:t>
      </w:r>
      <w:r w:rsidR="00E266B7">
        <w:rPr>
          <w:rFonts w:ascii="Times New Roman" w:eastAsia="Calibri" w:hAnsi="Times New Roman" w:cs="Times New Roman"/>
          <w:sz w:val="24"/>
          <w:szCs w:val="24"/>
        </w:rPr>
        <w:t xml:space="preserve">urópskeho poľnohospodárskeho fondu pre rozvoj vidieka </w:t>
      </w:r>
      <w:r w:rsidRPr="00934B4E">
        <w:rPr>
          <w:rFonts w:ascii="Times New Roman" w:eastAsia="Calibri" w:hAnsi="Times New Roman" w:cs="Times New Roman"/>
          <w:sz w:val="24"/>
          <w:szCs w:val="24"/>
        </w:rPr>
        <w:t xml:space="preserve">a </w:t>
      </w:r>
      <w:r w:rsidR="00E266B7">
        <w:rPr>
          <w:rFonts w:ascii="Times New Roman" w:eastAsia="Calibri" w:hAnsi="Times New Roman" w:cs="Times New Roman"/>
          <w:sz w:val="24"/>
          <w:szCs w:val="24"/>
        </w:rPr>
        <w:t>štátneho rozpočtu</w:t>
      </w:r>
      <w:r w:rsidR="00E266B7" w:rsidRPr="00934B4E">
        <w:rPr>
          <w:rFonts w:ascii="Times New Roman" w:eastAsia="Calibri" w:hAnsi="Times New Roman" w:cs="Times New Roman"/>
          <w:sz w:val="24"/>
          <w:szCs w:val="24"/>
        </w:rPr>
        <w:t xml:space="preserve"> </w:t>
      </w:r>
      <w:r w:rsidRPr="00934B4E">
        <w:rPr>
          <w:rFonts w:ascii="Times New Roman" w:eastAsia="Calibri" w:hAnsi="Times New Roman" w:cs="Times New Roman"/>
          <w:sz w:val="24"/>
          <w:szCs w:val="24"/>
        </w:rPr>
        <w:t xml:space="preserve">na spolufinancovanie alebo ich časti. Ak prijímateľ </w:t>
      </w:r>
      <w:r>
        <w:rPr>
          <w:rFonts w:ascii="Times New Roman" w:eastAsia="Calibri" w:hAnsi="Times New Roman" w:cs="Times New Roman"/>
          <w:sz w:val="24"/>
          <w:szCs w:val="24"/>
        </w:rPr>
        <w:t xml:space="preserve">príspevku na finančné nástroje </w:t>
      </w:r>
      <w:r w:rsidRPr="00934B4E">
        <w:rPr>
          <w:rFonts w:ascii="Times New Roman" w:eastAsia="Calibri" w:hAnsi="Times New Roman" w:cs="Times New Roman"/>
          <w:sz w:val="24"/>
          <w:szCs w:val="24"/>
        </w:rPr>
        <w:t>uvedené prostrie</w:t>
      </w:r>
      <w:r>
        <w:rPr>
          <w:rFonts w:ascii="Times New Roman" w:eastAsia="Calibri" w:hAnsi="Times New Roman" w:cs="Times New Roman"/>
          <w:sz w:val="24"/>
          <w:szCs w:val="24"/>
        </w:rPr>
        <w:t xml:space="preserve">dky nevráti, </w:t>
      </w:r>
      <w:r w:rsidR="0079437C">
        <w:rPr>
          <w:rFonts w:ascii="Times New Roman" w:eastAsia="Calibri" w:hAnsi="Times New Roman" w:cs="Times New Roman"/>
          <w:sz w:val="24"/>
          <w:szCs w:val="24"/>
        </w:rPr>
        <w:t xml:space="preserve">v zmysle § 26 </w:t>
      </w:r>
      <w:r>
        <w:rPr>
          <w:rFonts w:ascii="Times New Roman" w:eastAsia="Calibri" w:hAnsi="Times New Roman" w:cs="Times New Roman"/>
          <w:sz w:val="24"/>
          <w:szCs w:val="24"/>
        </w:rPr>
        <w:t>poskytovateľ príspevku</w:t>
      </w:r>
      <w:r w:rsidR="0079437C">
        <w:rPr>
          <w:rFonts w:ascii="Times New Roman" w:eastAsia="Calibri" w:hAnsi="Times New Roman" w:cs="Times New Roman"/>
          <w:sz w:val="24"/>
          <w:szCs w:val="24"/>
        </w:rPr>
        <w:t xml:space="preserve"> na finančné nástroje</w:t>
      </w:r>
      <w:r>
        <w:rPr>
          <w:rFonts w:ascii="Times New Roman" w:eastAsia="Calibri" w:hAnsi="Times New Roman" w:cs="Times New Roman"/>
          <w:sz w:val="24"/>
          <w:szCs w:val="24"/>
        </w:rPr>
        <w:t xml:space="preserve"> vysporiadava finančné vzťahy podľa </w:t>
      </w:r>
      <w:r w:rsidRPr="00934B4E">
        <w:rPr>
          <w:rFonts w:ascii="Times New Roman" w:eastAsia="Calibri" w:hAnsi="Times New Roman" w:cs="Times New Roman"/>
          <w:sz w:val="24"/>
          <w:szCs w:val="24"/>
        </w:rPr>
        <w:t xml:space="preserve">§ </w:t>
      </w:r>
      <w:r>
        <w:rPr>
          <w:rFonts w:ascii="Times New Roman" w:eastAsia="Calibri" w:hAnsi="Times New Roman" w:cs="Times New Roman"/>
          <w:sz w:val="24"/>
          <w:szCs w:val="24"/>
        </w:rPr>
        <w:t>34</w:t>
      </w:r>
      <w:r w:rsidRPr="00934B4E">
        <w:rPr>
          <w:rFonts w:ascii="Times New Roman" w:eastAsia="Calibri" w:hAnsi="Times New Roman" w:cs="Times New Roman"/>
          <w:sz w:val="24"/>
          <w:szCs w:val="24"/>
        </w:rPr>
        <w:t xml:space="preserve"> a</w:t>
      </w:r>
      <w:r>
        <w:rPr>
          <w:rFonts w:ascii="Times New Roman" w:eastAsia="Calibri" w:hAnsi="Times New Roman" w:cs="Times New Roman"/>
          <w:sz w:val="24"/>
          <w:szCs w:val="24"/>
        </w:rPr>
        <w:t>ž</w:t>
      </w:r>
      <w:r w:rsidRPr="00934B4E">
        <w:rPr>
          <w:rFonts w:ascii="Times New Roman" w:eastAsia="Calibri" w:hAnsi="Times New Roman" w:cs="Times New Roman"/>
          <w:sz w:val="24"/>
          <w:szCs w:val="24"/>
        </w:rPr>
        <w:t xml:space="preserve"> </w:t>
      </w:r>
      <w:r>
        <w:rPr>
          <w:rFonts w:ascii="Times New Roman" w:eastAsia="Calibri" w:hAnsi="Times New Roman" w:cs="Times New Roman"/>
          <w:sz w:val="24"/>
          <w:szCs w:val="24"/>
        </w:rPr>
        <w:t>38 zákona. Vysporiadanie finančných vzťahov voči konečnému prijímateľovi sa spravuje zmluvou (napr</w:t>
      </w:r>
      <w:r w:rsidR="00E266B7">
        <w:rPr>
          <w:rFonts w:ascii="Times New Roman" w:eastAsia="Calibri" w:hAnsi="Times New Roman" w:cs="Times New Roman"/>
          <w:sz w:val="24"/>
          <w:szCs w:val="24"/>
        </w:rPr>
        <w:t>íklad</w:t>
      </w:r>
      <w:r>
        <w:rPr>
          <w:rFonts w:ascii="Times New Roman" w:eastAsia="Calibri" w:hAnsi="Times New Roman" w:cs="Times New Roman"/>
          <w:sz w:val="24"/>
          <w:szCs w:val="24"/>
        </w:rPr>
        <w:t xml:space="preserve"> zmluvou o úvere podľa § 497 Obchodného zákonníka)</w:t>
      </w:r>
      <w:r w:rsidR="00E266B7">
        <w:rPr>
          <w:rFonts w:ascii="Times New Roman" w:eastAsia="Calibri" w:hAnsi="Times New Roman" w:cs="Times New Roman"/>
          <w:sz w:val="24"/>
          <w:szCs w:val="24"/>
        </w:rPr>
        <w:t>.</w:t>
      </w:r>
    </w:p>
    <w:p w:rsidR="0055502E" w:rsidRPr="006B112C" w:rsidRDefault="0055502E" w:rsidP="0055502E">
      <w:pPr>
        <w:spacing w:after="0" w:line="254" w:lineRule="auto"/>
        <w:jc w:val="both"/>
        <w:rPr>
          <w:rFonts w:ascii="Times New Roman" w:eastAsia="Calibri" w:hAnsi="Times New Roman" w:cs="Times New Roman"/>
          <w:sz w:val="24"/>
          <w:szCs w:val="24"/>
        </w:rPr>
      </w:pPr>
      <w:r w:rsidRPr="006B112C">
        <w:rPr>
          <w:rFonts w:ascii="Times New Roman" w:eastAsia="Calibri" w:hAnsi="Times New Roman" w:cs="Times New Roman"/>
          <w:sz w:val="24"/>
          <w:szCs w:val="24"/>
        </w:rPr>
        <w:t xml:space="preserve">Bez toho, aby boli dotknuté akékoľvek opatrenia vymáhania ustanovené vo vnútroštátnych právnych predpisoch, v súlade s čl. 31 vykonávacieho nariadenia Komisie (EÚ) 2022/128, započítavajú sa všetky ešte neuhradené dlhy prijímateľa príspevku na finančný nástroj, ktoré sa stanovili v súlade s vnútroštátnymi právnymi predpismi, </w:t>
      </w:r>
      <w:r w:rsidRPr="006B112C">
        <w:rPr>
          <w:rFonts w:ascii="Times New Roman" w:hAnsi="Times New Roman" w:cs="Times New Roman"/>
          <w:sz w:val="24"/>
          <w:szCs w:val="24"/>
        </w:rPr>
        <w:t>voči akýmkoľvek budúcim platbám v prospech daného prijímateľa príspevku na finančný nástroj.</w:t>
      </w:r>
    </w:p>
    <w:p w:rsidR="0055502E" w:rsidRPr="0055502E" w:rsidRDefault="0055502E" w:rsidP="0055502E">
      <w:pPr>
        <w:spacing w:after="0" w:line="254" w:lineRule="auto"/>
        <w:ind w:left="360"/>
        <w:jc w:val="both"/>
        <w:rPr>
          <w:rFonts w:ascii="Times New Roman" w:eastAsia="Calibri" w:hAnsi="Times New Roman" w:cs="Times New Roman"/>
          <w:i/>
          <w:sz w:val="24"/>
          <w:szCs w:val="24"/>
        </w:rPr>
      </w:pPr>
    </w:p>
    <w:p w:rsidR="00D114ED" w:rsidRPr="00F244DC" w:rsidRDefault="00D114ED" w:rsidP="00D114ED">
      <w:pPr>
        <w:pStyle w:val="Odsekzoznamu"/>
        <w:numPr>
          <w:ilvl w:val="0"/>
          <w:numId w:val="6"/>
        </w:numPr>
        <w:spacing w:after="0" w:line="254" w:lineRule="auto"/>
        <w:jc w:val="both"/>
        <w:rPr>
          <w:rFonts w:ascii="Times New Roman" w:eastAsia="Calibri" w:hAnsi="Times New Roman" w:cs="Times New Roman"/>
          <w:i/>
          <w:sz w:val="24"/>
          <w:szCs w:val="24"/>
        </w:rPr>
      </w:pPr>
      <w:r w:rsidRPr="00F244DC">
        <w:rPr>
          <w:rFonts w:ascii="Times New Roman" w:eastAsia="Calibri" w:hAnsi="Times New Roman" w:cs="Times New Roman"/>
          <w:i/>
          <w:sz w:val="24"/>
          <w:szCs w:val="24"/>
        </w:rPr>
        <w:t>iné vplyvy podľa písm. a) až c), ktoré sú goldplatingom.</w:t>
      </w:r>
    </w:p>
    <w:p w:rsidR="000A754D" w:rsidRPr="00934B4E" w:rsidRDefault="000A754D" w:rsidP="00B963C8">
      <w:pPr>
        <w:spacing w:after="0" w:line="254" w:lineRule="auto"/>
        <w:jc w:val="both"/>
        <w:rPr>
          <w:rFonts w:ascii="Times New Roman" w:eastAsia="Calibri" w:hAnsi="Times New Roman" w:cs="Times New Roman"/>
          <w:sz w:val="24"/>
          <w:szCs w:val="24"/>
        </w:rPr>
      </w:pPr>
    </w:p>
    <w:p w:rsidR="00B21D1F" w:rsidRDefault="00B21D1F" w:rsidP="00054C41">
      <w:pPr>
        <w:spacing w:after="0" w:line="240" w:lineRule="auto"/>
        <w:jc w:val="center"/>
        <w:rPr>
          <w:rFonts w:ascii="Times New Roman" w:eastAsia="Times New Roman" w:hAnsi="Times New Roman" w:cs="Times New Roman"/>
          <w:b/>
          <w:sz w:val="28"/>
          <w:szCs w:val="28"/>
          <w:lang w:eastAsia="sk-SK"/>
        </w:rPr>
      </w:pPr>
    </w:p>
    <w:p w:rsidR="00B21D1F" w:rsidRDefault="00B21D1F" w:rsidP="00054C41">
      <w:pPr>
        <w:spacing w:after="0" w:line="240" w:lineRule="auto"/>
        <w:jc w:val="center"/>
        <w:rPr>
          <w:rFonts w:ascii="Times New Roman" w:eastAsia="Times New Roman" w:hAnsi="Times New Roman" w:cs="Times New Roman"/>
          <w:b/>
          <w:sz w:val="28"/>
          <w:szCs w:val="28"/>
          <w:lang w:eastAsia="sk-SK"/>
        </w:rPr>
      </w:pPr>
    </w:p>
    <w:p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sectPr w:rsidR="00054C41" w:rsidRPr="00895898" w:rsidSect="00231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C4" w:rsidRDefault="003228C4" w:rsidP="00054C41">
      <w:pPr>
        <w:spacing w:after="0" w:line="240" w:lineRule="auto"/>
      </w:pPr>
      <w:r>
        <w:separator/>
      </w:r>
    </w:p>
  </w:endnote>
  <w:endnote w:type="continuationSeparator" w:id="0">
    <w:p w:rsidR="003228C4" w:rsidRDefault="003228C4"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696269"/>
      <w:docPartObj>
        <w:docPartGallery w:val="Page Numbers (Bottom of Page)"/>
        <w:docPartUnique/>
      </w:docPartObj>
    </w:sdtPr>
    <w:sdtContent>
      <w:p w:rsidR="00B963C8" w:rsidRDefault="00700AC6" w:rsidP="00700AC6">
        <w:pPr>
          <w:pStyle w:val="Pta"/>
          <w:jc w:val="center"/>
        </w:pPr>
        <w:r>
          <w:fldChar w:fldCharType="begin"/>
        </w:r>
        <w:r>
          <w:instrText>PAGE   \* MERGEFORMAT</w:instrText>
        </w:r>
        <w:r>
          <w:fldChar w:fldCharType="separate"/>
        </w:r>
        <w:r>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C4" w:rsidRDefault="003228C4" w:rsidP="00054C41">
      <w:pPr>
        <w:spacing w:after="0" w:line="240" w:lineRule="auto"/>
      </w:pPr>
      <w:r>
        <w:separator/>
      </w:r>
    </w:p>
  </w:footnote>
  <w:footnote w:type="continuationSeparator" w:id="0">
    <w:p w:rsidR="003228C4" w:rsidRDefault="003228C4" w:rsidP="00054C41">
      <w:pPr>
        <w:spacing w:after="0" w:line="240" w:lineRule="auto"/>
      </w:pPr>
      <w:r>
        <w:continuationSeparator/>
      </w:r>
    </w:p>
  </w:footnote>
  <w:footnote w:id="1">
    <w:p w:rsidR="00B963C8" w:rsidRPr="000A6B7F" w:rsidRDefault="00B963C8" w:rsidP="00C929AE">
      <w:pPr>
        <w:pStyle w:val="Textpoznmkypodiarou"/>
        <w:rPr>
          <w:rFonts w:ascii="Times New Roman" w:hAnsi="Times New Roman" w:cs="Times New Roman"/>
        </w:rPr>
      </w:pPr>
      <w:r>
        <w:rPr>
          <w:rStyle w:val="Odkaznapoznmkupodiarou"/>
        </w:rPr>
        <w:footnoteRef/>
      </w:r>
      <w:r>
        <w:t xml:space="preserve"> </w:t>
      </w:r>
      <w:r w:rsidRPr="000A6B7F">
        <w:rPr>
          <w:rFonts w:ascii="Times New Roman" w:hAnsi="Times New Roman" w:cs="Times New Roman"/>
        </w:rPr>
        <w:t xml:space="preserve">Definícia goldplatingu </w:t>
      </w:r>
      <w:r w:rsidRPr="00D114ED">
        <w:rPr>
          <w:rFonts w:ascii="Times New Roman" w:hAnsi="Times New Roman" w:cs="Times New Roman"/>
        </w:rPr>
        <w:t>je uvedená v bode 4 časti III. jednotnej metodiky.</w:t>
      </w:r>
    </w:p>
  </w:footnote>
  <w:footnote w:id="2">
    <w:p w:rsidR="00B963C8" w:rsidRPr="00804BC8" w:rsidRDefault="00B963C8" w:rsidP="00804BC8">
      <w:pPr>
        <w:pStyle w:val="Textpoznmkypodiarou"/>
        <w:jc w:val="both"/>
        <w:rPr>
          <w:rFonts w:ascii="Times New Roman" w:hAnsi="Times New Roman" w:cs="Times New Roman"/>
        </w:rPr>
      </w:pPr>
      <w:r w:rsidRPr="0099544D">
        <w:rPr>
          <w:rStyle w:val="Odkaznapoznmkupodiarou"/>
          <w:rFonts w:ascii="Times New Roman" w:hAnsi="Times New Roman" w:cs="Times New Roman"/>
        </w:rPr>
        <w:footnoteRef/>
      </w:r>
      <w:r w:rsidRPr="0099544D">
        <w:rPr>
          <w:rFonts w:ascii="Times New Roman" w:hAnsi="Times New Roman" w:cs="Times New Roman"/>
        </w:rPr>
        <w:t xml:space="preserve"> </w:t>
      </w:r>
      <w:r w:rsidRPr="00804BC8">
        <w:rPr>
          <w:rFonts w:ascii="Times New Roman" w:hAnsi="Times New Roman" w:cs="Times New Roman"/>
        </w:rPr>
        <w:t xml:space="preserve">Informácie sa uvádzajú  iba v prípade, ak sa predkladaným návrhom regulácie vykonáva transpozícia smernice </w:t>
      </w:r>
      <w:r w:rsidRPr="0099544D">
        <w:rPr>
          <w:rFonts w:ascii="Times New Roman" w:hAnsi="Times New Roman" w:cs="Times New Roman"/>
        </w:rPr>
        <w:t>EÚ</w:t>
      </w:r>
      <w:r w:rsidRPr="00804BC8">
        <w:rPr>
          <w:rFonts w:ascii="Times New Roman" w:hAnsi="Times New Roman" w:cs="Times New Roman"/>
        </w:rPr>
        <w:t xml:space="preserve"> a bol identifikovaný goldplating podľa tabuľky zhody alebo sa vykonáva implementácia nariadenia EÚ s goldplatingom.</w:t>
      </w:r>
      <w:r>
        <w:rPr>
          <w:rFonts w:ascii="Times New Roman" w:hAnsi="Times New Roman" w:cs="Times New Roman"/>
        </w:rPr>
        <w:t xml:space="preserve"> Informácie sa uvádzajú aj v prípade</w:t>
      </w:r>
      <w:r w:rsidRPr="00CF4D09">
        <w:rPr>
          <w:rFonts w:ascii="Times New Roman" w:hAnsi="Times New Roman" w:cs="Times New Roman"/>
        </w:rPr>
        <w:t xml:space="preserve"> (ak nejde o transpozíciu smernice EÚ alebo implementáciu nariadenia EÚ)</w:t>
      </w:r>
      <w:r>
        <w:rPr>
          <w:rFonts w:ascii="Times New Roman" w:hAnsi="Times New Roman" w:cs="Times New Roman"/>
        </w:rPr>
        <w:t>, ak sa predloženým návrhom odstraňuje goldplating, ktorého pôvod je v skoršom zachovaní existujúcej právnej úpravy (existujúcich vnútroštátnych požiadaviek).</w:t>
      </w:r>
    </w:p>
    <w:p w:rsidR="00B963C8" w:rsidRDefault="00B963C8" w:rsidP="00512BA7">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26B"/>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E793507"/>
    <w:multiLevelType w:val="hybridMultilevel"/>
    <w:tmpl w:val="DDD49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982F49"/>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1054B2"/>
    <w:multiLevelType w:val="hybridMultilevel"/>
    <w:tmpl w:val="189A43A2"/>
    <w:lvl w:ilvl="0" w:tplc="44BC4C12">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FC225572">
      <w:start w:val="1"/>
      <w:numFmt w:val="decimal"/>
      <w:lvlText w:val="%2."/>
      <w:lvlJc w:val="left"/>
      <w:pPr>
        <w:tabs>
          <w:tab w:val="num" w:pos="360"/>
        </w:tabs>
        <w:ind w:left="360" w:hanging="360"/>
      </w:pPr>
      <w:rPr>
        <w:rFonts w:cs="Times New Roman" w:hint="default"/>
        <w:b/>
        <w:bCs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310A0F18"/>
    <w:multiLevelType w:val="hybridMultilevel"/>
    <w:tmpl w:val="B058A1E4"/>
    <w:lvl w:ilvl="0" w:tplc="92987D92">
      <w:start w:val="15"/>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9B4294"/>
    <w:multiLevelType w:val="hybridMultilevel"/>
    <w:tmpl w:val="DB90B4D4"/>
    <w:lvl w:ilvl="0" w:tplc="A80C46B4">
      <w:start w:val="3"/>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F7276D"/>
    <w:multiLevelType w:val="hybridMultilevel"/>
    <w:tmpl w:val="50AE8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21570F"/>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252805"/>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6FD0C6E"/>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145"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12"/>
  </w:num>
  <w:num w:numId="3">
    <w:abstractNumId w:val="13"/>
  </w:num>
  <w:num w:numId="4">
    <w:abstractNumId w:val="1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7"/>
  </w:num>
  <w:num w:numId="12">
    <w:abstractNumId w:val="0"/>
  </w:num>
  <w:num w:numId="13">
    <w:abstractNumId w:val="14"/>
  </w:num>
  <w:num w:numId="14">
    <w:abstractNumId w:val="8"/>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4C41"/>
    <w:rsid w:val="00012062"/>
    <w:rsid w:val="0002425A"/>
    <w:rsid w:val="00024EE4"/>
    <w:rsid w:val="00032DAB"/>
    <w:rsid w:val="00047C70"/>
    <w:rsid w:val="00050AAB"/>
    <w:rsid w:val="00054A53"/>
    <w:rsid w:val="00054C41"/>
    <w:rsid w:val="00060DA1"/>
    <w:rsid w:val="00061E85"/>
    <w:rsid w:val="00074CE9"/>
    <w:rsid w:val="00075E01"/>
    <w:rsid w:val="000820E0"/>
    <w:rsid w:val="00091A43"/>
    <w:rsid w:val="0009490E"/>
    <w:rsid w:val="000A6B7F"/>
    <w:rsid w:val="000A754D"/>
    <w:rsid w:val="000C5419"/>
    <w:rsid w:val="000C5E9A"/>
    <w:rsid w:val="000D0BC5"/>
    <w:rsid w:val="000D15F0"/>
    <w:rsid w:val="000D7838"/>
    <w:rsid w:val="000E175D"/>
    <w:rsid w:val="000E55C5"/>
    <w:rsid w:val="00100C94"/>
    <w:rsid w:val="00103982"/>
    <w:rsid w:val="00103F0F"/>
    <w:rsid w:val="0011003B"/>
    <w:rsid w:val="001133DA"/>
    <w:rsid w:val="00126A2B"/>
    <w:rsid w:val="00142154"/>
    <w:rsid w:val="001476A4"/>
    <w:rsid w:val="00162C6C"/>
    <w:rsid w:val="0016512E"/>
    <w:rsid w:val="0017333C"/>
    <w:rsid w:val="0017700D"/>
    <w:rsid w:val="00186523"/>
    <w:rsid w:val="0018715C"/>
    <w:rsid w:val="001A1561"/>
    <w:rsid w:val="001A6809"/>
    <w:rsid w:val="001B4C03"/>
    <w:rsid w:val="001C7B91"/>
    <w:rsid w:val="001D1083"/>
    <w:rsid w:val="001D3FA0"/>
    <w:rsid w:val="001D626E"/>
    <w:rsid w:val="001E24E8"/>
    <w:rsid w:val="001E53CB"/>
    <w:rsid w:val="001F562E"/>
    <w:rsid w:val="002054C8"/>
    <w:rsid w:val="00206550"/>
    <w:rsid w:val="00207F43"/>
    <w:rsid w:val="0021706D"/>
    <w:rsid w:val="002232D3"/>
    <w:rsid w:val="002255DD"/>
    <w:rsid w:val="00225A83"/>
    <w:rsid w:val="00225DE4"/>
    <w:rsid w:val="00231B5A"/>
    <w:rsid w:val="00231B8F"/>
    <w:rsid w:val="00255A2F"/>
    <w:rsid w:val="00270EA5"/>
    <w:rsid w:val="002712B9"/>
    <w:rsid w:val="00284B8C"/>
    <w:rsid w:val="0029483F"/>
    <w:rsid w:val="002C2FC0"/>
    <w:rsid w:val="002D6771"/>
    <w:rsid w:val="00302A17"/>
    <w:rsid w:val="0031465A"/>
    <w:rsid w:val="00314D25"/>
    <w:rsid w:val="00315BE2"/>
    <w:rsid w:val="003228C4"/>
    <w:rsid w:val="003312CA"/>
    <w:rsid w:val="003322EE"/>
    <w:rsid w:val="003326E9"/>
    <w:rsid w:val="00337630"/>
    <w:rsid w:val="00340CFD"/>
    <w:rsid w:val="003413D5"/>
    <w:rsid w:val="00342621"/>
    <w:rsid w:val="00355436"/>
    <w:rsid w:val="00357F22"/>
    <w:rsid w:val="0036748D"/>
    <w:rsid w:val="00376039"/>
    <w:rsid w:val="0038255E"/>
    <w:rsid w:val="00391648"/>
    <w:rsid w:val="0039304E"/>
    <w:rsid w:val="0039334E"/>
    <w:rsid w:val="00394AD2"/>
    <w:rsid w:val="003A02AF"/>
    <w:rsid w:val="003A3124"/>
    <w:rsid w:val="003A686F"/>
    <w:rsid w:val="003B3173"/>
    <w:rsid w:val="003B4072"/>
    <w:rsid w:val="003C0CF4"/>
    <w:rsid w:val="003E58B8"/>
    <w:rsid w:val="003F06D7"/>
    <w:rsid w:val="003F2AF7"/>
    <w:rsid w:val="00400224"/>
    <w:rsid w:val="00400BA5"/>
    <w:rsid w:val="00410E62"/>
    <w:rsid w:val="00414FA7"/>
    <w:rsid w:val="00420090"/>
    <w:rsid w:val="00420D65"/>
    <w:rsid w:val="004239D1"/>
    <w:rsid w:val="00437E5D"/>
    <w:rsid w:val="0044097D"/>
    <w:rsid w:val="00445638"/>
    <w:rsid w:val="00446432"/>
    <w:rsid w:val="00446512"/>
    <w:rsid w:val="004536A1"/>
    <w:rsid w:val="00466D7A"/>
    <w:rsid w:val="0048237B"/>
    <w:rsid w:val="00484D16"/>
    <w:rsid w:val="00491853"/>
    <w:rsid w:val="004A14CD"/>
    <w:rsid w:val="004A25F9"/>
    <w:rsid w:val="004A2C6B"/>
    <w:rsid w:val="004D20CB"/>
    <w:rsid w:val="004D65B2"/>
    <w:rsid w:val="004D681D"/>
    <w:rsid w:val="004E2324"/>
    <w:rsid w:val="004E30A5"/>
    <w:rsid w:val="004F0C86"/>
    <w:rsid w:val="004F63E6"/>
    <w:rsid w:val="005103DA"/>
    <w:rsid w:val="00511F8F"/>
    <w:rsid w:val="00512BA7"/>
    <w:rsid w:val="00513C01"/>
    <w:rsid w:val="00515726"/>
    <w:rsid w:val="00532C60"/>
    <w:rsid w:val="0055502E"/>
    <w:rsid w:val="00562527"/>
    <w:rsid w:val="00562A1E"/>
    <w:rsid w:val="00563427"/>
    <w:rsid w:val="005656F2"/>
    <w:rsid w:val="00581EB9"/>
    <w:rsid w:val="00582B40"/>
    <w:rsid w:val="00590405"/>
    <w:rsid w:val="005B4E6E"/>
    <w:rsid w:val="005B56E4"/>
    <w:rsid w:val="005C32B1"/>
    <w:rsid w:val="005C795C"/>
    <w:rsid w:val="005C7DFC"/>
    <w:rsid w:val="005D0E50"/>
    <w:rsid w:val="005D39D8"/>
    <w:rsid w:val="005F79BC"/>
    <w:rsid w:val="006074D9"/>
    <w:rsid w:val="0061097B"/>
    <w:rsid w:val="0061612F"/>
    <w:rsid w:val="006177C8"/>
    <w:rsid w:val="0062600A"/>
    <w:rsid w:val="00627C7B"/>
    <w:rsid w:val="0063777D"/>
    <w:rsid w:val="00643358"/>
    <w:rsid w:val="00646084"/>
    <w:rsid w:val="00651962"/>
    <w:rsid w:val="006564C3"/>
    <w:rsid w:val="006578CB"/>
    <w:rsid w:val="0066686C"/>
    <w:rsid w:val="006A4E85"/>
    <w:rsid w:val="006A60C0"/>
    <w:rsid w:val="006A712F"/>
    <w:rsid w:val="006B5D74"/>
    <w:rsid w:val="006C25BE"/>
    <w:rsid w:val="006D7AD8"/>
    <w:rsid w:val="006F1D57"/>
    <w:rsid w:val="006F4484"/>
    <w:rsid w:val="00700AC6"/>
    <w:rsid w:val="00700D55"/>
    <w:rsid w:val="0070364C"/>
    <w:rsid w:val="00710EDF"/>
    <w:rsid w:val="007139BB"/>
    <w:rsid w:val="0072221D"/>
    <w:rsid w:val="0072357C"/>
    <w:rsid w:val="007259CB"/>
    <w:rsid w:val="00726031"/>
    <w:rsid w:val="00751463"/>
    <w:rsid w:val="00751DA9"/>
    <w:rsid w:val="00755E69"/>
    <w:rsid w:val="007648EE"/>
    <w:rsid w:val="0077106D"/>
    <w:rsid w:val="00780ACC"/>
    <w:rsid w:val="00787A11"/>
    <w:rsid w:val="0079437C"/>
    <w:rsid w:val="00797B40"/>
    <w:rsid w:val="007A0C9D"/>
    <w:rsid w:val="007B40FB"/>
    <w:rsid w:val="007B62AF"/>
    <w:rsid w:val="007E24B2"/>
    <w:rsid w:val="007E2DA4"/>
    <w:rsid w:val="007E6815"/>
    <w:rsid w:val="007E71A5"/>
    <w:rsid w:val="007E7632"/>
    <w:rsid w:val="007F1C84"/>
    <w:rsid w:val="007F4579"/>
    <w:rsid w:val="00801596"/>
    <w:rsid w:val="00804BC8"/>
    <w:rsid w:val="00806E23"/>
    <w:rsid w:val="00807981"/>
    <w:rsid w:val="00823F5A"/>
    <w:rsid w:val="00840939"/>
    <w:rsid w:val="00845BF5"/>
    <w:rsid w:val="00845D3B"/>
    <w:rsid w:val="00854634"/>
    <w:rsid w:val="008634E9"/>
    <w:rsid w:val="008801B5"/>
    <w:rsid w:val="00880578"/>
    <w:rsid w:val="00882407"/>
    <w:rsid w:val="008920C3"/>
    <w:rsid w:val="00894052"/>
    <w:rsid w:val="008A7B87"/>
    <w:rsid w:val="008B4AA1"/>
    <w:rsid w:val="008C1740"/>
    <w:rsid w:val="008C1C71"/>
    <w:rsid w:val="008E1AD0"/>
    <w:rsid w:val="008E23FC"/>
    <w:rsid w:val="008E315F"/>
    <w:rsid w:val="008E5DE7"/>
    <w:rsid w:val="008E6B82"/>
    <w:rsid w:val="008F6ADE"/>
    <w:rsid w:val="0091269B"/>
    <w:rsid w:val="009159E2"/>
    <w:rsid w:val="00923C0C"/>
    <w:rsid w:val="00933D7B"/>
    <w:rsid w:val="0095170D"/>
    <w:rsid w:val="00952CF6"/>
    <w:rsid w:val="00960413"/>
    <w:rsid w:val="00981995"/>
    <w:rsid w:val="00981C7F"/>
    <w:rsid w:val="00985515"/>
    <w:rsid w:val="00990813"/>
    <w:rsid w:val="0099544D"/>
    <w:rsid w:val="00997513"/>
    <w:rsid w:val="009A0E2C"/>
    <w:rsid w:val="009A4D56"/>
    <w:rsid w:val="009B1F04"/>
    <w:rsid w:val="009B2F2D"/>
    <w:rsid w:val="009B60DB"/>
    <w:rsid w:val="009D30AF"/>
    <w:rsid w:val="009E09F7"/>
    <w:rsid w:val="009E2D5C"/>
    <w:rsid w:val="009E3E44"/>
    <w:rsid w:val="009F4175"/>
    <w:rsid w:val="009F66A4"/>
    <w:rsid w:val="009F6C80"/>
    <w:rsid w:val="00A000DA"/>
    <w:rsid w:val="00A1736E"/>
    <w:rsid w:val="00A20AD3"/>
    <w:rsid w:val="00A216DF"/>
    <w:rsid w:val="00A33F2C"/>
    <w:rsid w:val="00A50EE3"/>
    <w:rsid w:val="00A64A95"/>
    <w:rsid w:val="00A66F99"/>
    <w:rsid w:val="00A83E11"/>
    <w:rsid w:val="00A94A0F"/>
    <w:rsid w:val="00AA3C6D"/>
    <w:rsid w:val="00AB57C4"/>
    <w:rsid w:val="00AC2D1A"/>
    <w:rsid w:val="00AF7E37"/>
    <w:rsid w:val="00B01CD0"/>
    <w:rsid w:val="00B06C72"/>
    <w:rsid w:val="00B11CF5"/>
    <w:rsid w:val="00B209FA"/>
    <w:rsid w:val="00B21D1F"/>
    <w:rsid w:val="00B410BA"/>
    <w:rsid w:val="00B43D68"/>
    <w:rsid w:val="00B44A3A"/>
    <w:rsid w:val="00B5600C"/>
    <w:rsid w:val="00B62BF4"/>
    <w:rsid w:val="00B63035"/>
    <w:rsid w:val="00B66E33"/>
    <w:rsid w:val="00B72FB1"/>
    <w:rsid w:val="00B93BCA"/>
    <w:rsid w:val="00B953DA"/>
    <w:rsid w:val="00B963C8"/>
    <w:rsid w:val="00BA19B0"/>
    <w:rsid w:val="00BB2322"/>
    <w:rsid w:val="00BB3870"/>
    <w:rsid w:val="00BB45A7"/>
    <w:rsid w:val="00BD0EF7"/>
    <w:rsid w:val="00BD296D"/>
    <w:rsid w:val="00BD6778"/>
    <w:rsid w:val="00C01599"/>
    <w:rsid w:val="00C048D1"/>
    <w:rsid w:val="00C04A7F"/>
    <w:rsid w:val="00C05563"/>
    <w:rsid w:val="00C11132"/>
    <w:rsid w:val="00C115B9"/>
    <w:rsid w:val="00C12FDD"/>
    <w:rsid w:val="00C145AA"/>
    <w:rsid w:val="00C14655"/>
    <w:rsid w:val="00C2053F"/>
    <w:rsid w:val="00C21399"/>
    <w:rsid w:val="00C22CE6"/>
    <w:rsid w:val="00C446E2"/>
    <w:rsid w:val="00C535F5"/>
    <w:rsid w:val="00C560C4"/>
    <w:rsid w:val="00C617B6"/>
    <w:rsid w:val="00C6748F"/>
    <w:rsid w:val="00C74337"/>
    <w:rsid w:val="00C75DC8"/>
    <w:rsid w:val="00C808D5"/>
    <w:rsid w:val="00C83A68"/>
    <w:rsid w:val="00C929AE"/>
    <w:rsid w:val="00CA4344"/>
    <w:rsid w:val="00CA6348"/>
    <w:rsid w:val="00CB1232"/>
    <w:rsid w:val="00CB17A0"/>
    <w:rsid w:val="00CB7157"/>
    <w:rsid w:val="00CC3B7D"/>
    <w:rsid w:val="00CD5AE4"/>
    <w:rsid w:val="00CD5E86"/>
    <w:rsid w:val="00CE1449"/>
    <w:rsid w:val="00CE3B21"/>
    <w:rsid w:val="00CF4D09"/>
    <w:rsid w:val="00D005F2"/>
    <w:rsid w:val="00D03A8E"/>
    <w:rsid w:val="00D114ED"/>
    <w:rsid w:val="00D3032C"/>
    <w:rsid w:val="00D31A3B"/>
    <w:rsid w:val="00D5309D"/>
    <w:rsid w:val="00D55E82"/>
    <w:rsid w:val="00D623C2"/>
    <w:rsid w:val="00D631FA"/>
    <w:rsid w:val="00D71064"/>
    <w:rsid w:val="00D811BB"/>
    <w:rsid w:val="00D82356"/>
    <w:rsid w:val="00D84EEE"/>
    <w:rsid w:val="00D90A61"/>
    <w:rsid w:val="00D93AEB"/>
    <w:rsid w:val="00D946EF"/>
    <w:rsid w:val="00D95553"/>
    <w:rsid w:val="00DC355F"/>
    <w:rsid w:val="00DD1E4C"/>
    <w:rsid w:val="00DE331A"/>
    <w:rsid w:val="00DE6ACB"/>
    <w:rsid w:val="00DF02CE"/>
    <w:rsid w:val="00DF1462"/>
    <w:rsid w:val="00DF729B"/>
    <w:rsid w:val="00E030DA"/>
    <w:rsid w:val="00E13E34"/>
    <w:rsid w:val="00E14A14"/>
    <w:rsid w:val="00E214C0"/>
    <w:rsid w:val="00E266B7"/>
    <w:rsid w:val="00E30D85"/>
    <w:rsid w:val="00E444EB"/>
    <w:rsid w:val="00E77A69"/>
    <w:rsid w:val="00E81A42"/>
    <w:rsid w:val="00E961E8"/>
    <w:rsid w:val="00E96244"/>
    <w:rsid w:val="00E96DE0"/>
    <w:rsid w:val="00EA2E5A"/>
    <w:rsid w:val="00EB2BEC"/>
    <w:rsid w:val="00EB74BF"/>
    <w:rsid w:val="00EC0704"/>
    <w:rsid w:val="00EC1822"/>
    <w:rsid w:val="00EC508B"/>
    <w:rsid w:val="00ED6B5D"/>
    <w:rsid w:val="00ED7861"/>
    <w:rsid w:val="00EE4C99"/>
    <w:rsid w:val="00EE6C84"/>
    <w:rsid w:val="00F0404E"/>
    <w:rsid w:val="00F153D7"/>
    <w:rsid w:val="00F1599C"/>
    <w:rsid w:val="00F2433F"/>
    <w:rsid w:val="00F244DC"/>
    <w:rsid w:val="00F378F4"/>
    <w:rsid w:val="00F47912"/>
    <w:rsid w:val="00F50CE0"/>
    <w:rsid w:val="00F541B6"/>
    <w:rsid w:val="00F57702"/>
    <w:rsid w:val="00F61361"/>
    <w:rsid w:val="00F613E8"/>
    <w:rsid w:val="00F6613A"/>
    <w:rsid w:val="00F74D3C"/>
    <w:rsid w:val="00F74FC9"/>
    <w:rsid w:val="00F91F47"/>
    <w:rsid w:val="00FA4F36"/>
    <w:rsid w:val="00FA6FFE"/>
    <w:rsid w:val="00FC121B"/>
    <w:rsid w:val="00FC2F64"/>
    <w:rsid w:val="00FC30FB"/>
    <w:rsid w:val="00FC5B5E"/>
    <w:rsid w:val="00FC65C9"/>
    <w:rsid w:val="00FD0D70"/>
    <w:rsid w:val="00FD3DFB"/>
    <w:rsid w:val="00FD55ED"/>
    <w:rsid w:val="00FE6D44"/>
    <w:rsid w:val="00FF0272"/>
    <w:rsid w:val="00FF414B"/>
    <w:rsid w:val="00FF4B7A"/>
    <w:rsid w:val="00FF6FF5"/>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A6F"/>
  <w15:docId w15:val="{6FEE40AB-9011-400D-9625-D2087AB0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34"/>
    <w:qFormat/>
    <w:rsid w:val="00EE4C99"/>
    <w:pPr>
      <w:ind w:left="720"/>
      <w:contextualSpacing/>
    </w:pPr>
  </w:style>
  <w:style w:type="paragraph" w:customStyle="1" w:styleId="gmail-m-1648484718305530482msolistparagraph">
    <w:name w:val="gmail-m_-1648484718305530482msolistparagraph"/>
    <w:basedOn w:val="Normlny"/>
    <w:rsid w:val="00A50EE3"/>
    <w:pPr>
      <w:spacing w:before="100" w:beforeAutospacing="1" w:after="100" w:afterAutospacing="1" w:line="240" w:lineRule="auto"/>
    </w:pPr>
    <w:rPr>
      <w:rFonts w:ascii="Calibri" w:hAnsi="Calibri" w:cs="Calibri"/>
      <w:lang w:eastAsia="sk-SK"/>
    </w:rPr>
  </w:style>
  <w:style w:type="paragraph" w:styleId="Textpoznmkypodiarou">
    <w:name w:val="footnote text"/>
    <w:basedOn w:val="Normlny"/>
    <w:link w:val="TextpoznmkypodiarouChar"/>
    <w:uiPriority w:val="99"/>
    <w:semiHidden/>
    <w:unhideWhenUsed/>
    <w:rsid w:val="00C929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29AE"/>
    <w:rPr>
      <w:sz w:val="20"/>
      <w:szCs w:val="20"/>
    </w:rPr>
  </w:style>
  <w:style w:type="character" w:styleId="Odkaznapoznmkupodiarou">
    <w:name w:val="footnote reference"/>
    <w:basedOn w:val="Predvolenpsmoodseku"/>
    <w:uiPriority w:val="99"/>
    <w:semiHidden/>
    <w:unhideWhenUsed/>
    <w:rsid w:val="00C929AE"/>
    <w:rPr>
      <w:vertAlign w:val="superscript"/>
    </w:rPr>
  </w:style>
  <w:style w:type="paragraph" w:styleId="Revzia">
    <w:name w:val="Revision"/>
    <w:hidden/>
    <w:uiPriority w:val="99"/>
    <w:semiHidden/>
    <w:rsid w:val="00DE6ACB"/>
    <w:pPr>
      <w:spacing w:after="0" w:line="240" w:lineRule="auto"/>
    </w:p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34"/>
    <w:qFormat/>
    <w:locked/>
    <w:rsid w:val="00032DAB"/>
  </w:style>
  <w:style w:type="character" w:styleId="Hypertextovprepojenie">
    <w:name w:val="Hyperlink"/>
    <w:basedOn w:val="Predvolenpsmoodseku"/>
    <w:uiPriority w:val="99"/>
    <w:unhideWhenUsed/>
    <w:rsid w:val="003F2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862">
      <w:bodyDiv w:val="1"/>
      <w:marLeft w:val="0"/>
      <w:marRight w:val="0"/>
      <w:marTop w:val="0"/>
      <w:marBottom w:val="0"/>
      <w:divBdr>
        <w:top w:val="none" w:sz="0" w:space="0" w:color="auto"/>
        <w:left w:val="none" w:sz="0" w:space="0" w:color="auto"/>
        <w:bottom w:val="none" w:sz="0" w:space="0" w:color="auto"/>
        <w:right w:val="none" w:sz="0" w:space="0" w:color="auto"/>
      </w:divBdr>
    </w:div>
    <w:div w:id="348797041">
      <w:bodyDiv w:val="1"/>
      <w:marLeft w:val="0"/>
      <w:marRight w:val="0"/>
      <w:marTop w:val="0"/>
      <w:marBottom w:val="0"/>
      <w:divBdr>
        <w:top w:val="none" w:sz="0" w:space="0" w:color="auto"/>
        <w:left w:val="none" w:sz="0" w:space="0" w:color="auto"/>
        <w:bottom w:val="none" w:sz="0" w:space="0" w:color="auto"/>
        <w:right w:val="none" w:sz="0" w:space="0" w:color="auto"/>
      </w:divBdr>
    </w:div>
    <w:div w:id="627048967">
      <w:bodyDiv w:val="1"/>
      <w:marLeft w:val="0"/>
      <w:marRight w:val="0"/>
      <w:marTop w:val="0"/>
      <w:marBottom w:val="0"/>
      <w:divBdr>
        <w:top w:val="none" w:sz="0" w:space="0" w:color="auto"/>
        <w:left w:val="none" w:sz="0" w:space="0" w:color="auto"/>
        <w:bottom w:val="none" w:sz="0" w:space="0" w:color="auto"/>
        <w:right w:val="none" w:sz="0" w:space="0" w:color="auto"/>
      </w:divBdr>
    </w:div>
    <w:div w:id="747580039">
      <w:bodyDiv w:val="1"/>
      <w:marLeft w:val="0"/>
      <w:marRight w:val="0"/>
      <w:marTop w:val="0"/>
      <w:marBottom w:val="0"/>
      <w:divBdr>
        <w:top w:val="none" w:sz="0" w:space="0" w:color="auto"/>
        <w:left w:val="none" w:sz="0" w:space="0" w:color="auto"/>
        <w:bottom w:val="none" w:sz="0" w:space="0" w:color="auto"/>
        <w:right w:val="none" w:sz="0" w:space="0" w:color="auto"/>
      </w:divBdr>
    </w:div>
    <w:div w:id="897276704">
      <w:bodyDiv w:val="1"/>
      <w:marLeft w:val="0"/>
      <w:marRight w:val="0"/>
      <w:marTop w:val="0"/>
      <w:marBottom w:val="0"/>
      <w:divBdr>
        <w:top w:val="none" w:sz="0" w:space="0" w:color="auto"/>
        <w:left w:val="none" w:sz="0" w:space="0" w:color="auto"/>
        <w:bottom w:val="none" w:sz="0" w:space="0" w:color="auto"/>
        <w:right w:val="none" w:sz="0" w:space="0" w:color="auto"/>
      </w:divBdr>
    </w:div>
    <w:div w:id="109852637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psr.sk/aktualne/podklad-pre-konzultacie/1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legislativne-procesy/SK/PI/2023/276"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3a-AVnaPP-do-MPK"/>
    <f:field ref="objsubject" par="" edit="true" text=""/>
    <f:field ref="objcreatedby" par="" text="Pavlíková, Katarína, Mgr."/>
    <f:field ref="objcreatedat" par="" text="10.11.2022 9:46:51"/>
    <f:field ref="objchangedby" par="" text="Administrator, System"/>
    <f:field ref="objmodifiedat" par="" text="10.11.2022 9:46: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2C05FB-0164-4C12-A644-41C14C0F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2792</Words>
  <Characters>15921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Pavlikova Katarina</dc:creator>
  <cp:lastModifiedBy>Benová Tímea</cp:lastModifiedBy>
  <cp:revision>11</cp:revision>
  <cp:lastPrinted>2024-04-09T09:07:00Z</cp:lastPrinted>
  <dcterms:created xsi:type="dcterms:W3CDTF">2023-12-25T09:59:00Z</dcterms:created>
  <dcterms:modified xsi:type="dcterms:W3CDTF">2024-04-09T09:07:00Z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Pavlíková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Návrh zmien a doplnení Jednotnej metodiky na posudzovanie vybraných vplyvov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Komponent č. 14 Plánu obnovy a odolnosti SR</vt:lpwstr>
  </property>
  <property fmtid="{D5CDD505-2E9C-101B-9397-08002B2CF9AE}" pid="23" name="FSC#SKEDITIONSLOVLEX@103.510:plnynazovpredpis">
    <vt:lpwstr> Návrh zmien a doplnení Jednotnej metodiky na posudzovanie vybraných vplyvov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44877/2022-3213-103108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Výrazné pozitívne vplyvy v tejto oblasti sa očakávajú po implementácii ochrany pred neopodstatneným goldplatingom.&lt;/p&gt;&lt;p style="text-align: justify;"&gt;&amp;nbs</vt:lpwstr>
  </property>
  <property fmtid="{D5CDD505-2E9C-101B-9397-08002B2CF9AE}" pid="66" name="FSC#SKEDITIONSLOVLEX@103.510:AttrStrListDocPropAltRiesenia">
    <vt:lpwstr>Nulový variant – zachovanie súčasného stavu vytvára nekontrolovaný priestor na vytváranie takej regulačnej záťaže podnikateľského prostredia, ktorá znižuje konkurencieschopnosť tuzemských podnikateľov. V prípade zachovania súčasného stavu by nebol zaveden</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hospodárstva_x000d_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zmien a doplnení Jednotnej metodiky na posudzovanie vybraných vplyvov predkladá na rokovanie vlády Slovenskej republiky Ministerstvo hospodárstva Slovenskej republiky (ďalej len „MH SR“) v nadväznosti na Komponent č. </vt:lpwstr>
  </property>
  <property fmtid="{D5CDD505-2E9C-101B-9397-08002B2CF9AE}" pid="150" name="FSC#SKEDITIONSLOVLEX@103.510:vytvorenedna">
    <vt:lpwstr>10. 11. 2022</vt:lpwstr>
  </property>
  <property fmtid="{D5CDD505-2E9C-101B-9397-08002B2CF9AE}" pid="151" name="FSC#COOSYSTEM@1.1:Container">
    <vt:lpwstr>COO.2145.1000.3.5328105</vt:lpwstr>
  </property>
  <property fmtid="{D5CDD505-2E9C-101B-9397-08002B2CF9AE}" pid="152" name="FSC#FSCFOLIO@1.1001:docpropproject">
    <vt:lpwstr/>
  </property>
</Properties>
</file>