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F3" w:rsidRDefault="00FA48F3" w:rsidP="007654BC">
      <w:pPr>
        <w:widowControl/>
        <w:jc w:val="center"/>
        <w:rPr>
          <w:b/>
          <w:caps/>
          <w:color w:val="000000"/>
          <w:spacing w:val="30"/>
        </w:rPr>
      </w:pPr>
    </w:p>
    <w:p w:rsidR="008B25A6" w:rsidRPr="001E5E19" w:rsidRDefault="008B25A6" w:rsidP="007654BC">
      <w:pPr>
        <w:widowControl/>
        <w:jc w:val="center"/>
        <w:rPr>
          <w:b/>
          <w:caps/>
          <w:color w:val="000000"/>
          <w:spacing w:val="30"/>
        </w:rPr>
      </w:pPr>
      <w:r w:rsidRPr="001E5E19">
        <w:rPr>
          <w:b/>
          <w:caps/>
          <w:color w:val="000000"/>
          <w:spacing w:val="30"/>
        </w:rPr>
        <w:t>Dôvodová správa</w:t>
      </w:r>
    </w:p>
    <w:p w:rsidR="008B25A6" w:rsidRPr="001E5E19" w:rsidRDefault="008B25A6" w:rsidP="007654BC">
      <w:pPr>
        <w:widowControl/>
        <w:jc w:val="both"/>
        <w:rPr>
          <w:color w:val="000000"/>
        </w:rPr>
      </w:pPr>
    </w:p>
    <w:p w:rsidR="008B25A6" w:rsidRDefault="008B25A6" w:rsidP="007654BC">
      <w:pPr>
        <w:widowControl/>
        <w:jc w:val="both"/>
        <w:rPr>
          <w:color w:val="000000"/>
        </w:rPr>
      </w:pPr>
    </w:p>
    <w:p w:rsidR="006F7C61" w:rsidRPr="001E5E19" w:rsidRDefault="006F7C61" w:rsidP="007654BC">
      <w:pPr>
        <w:widowControl/>
        <w:jc w:val="both"/>
        <w:rPr>
          <w:color w:val="000000"/>
        </w:rPr>
      </w:pPr>
    </w:p>
    <w:p w:rsidR="008B25A6" w:rsidRPr="001E5E19" w:rsidRDefault="008B25A6" w:rsidP="007654BC">
      <w:pPr>
        <w:widowControl/>
        <w:jc w:val="both"/>
        <w:rPr>
          <w:b/>
          <w:color w:val="000000"/>
        </w:rPr>
      </w:pPr>
      <w:r w:rsidRPr="001E5E19">
        <w:rPr>
          <w:b/>
          <w:color w:val="000000"/>
        </w:rPr>
        <w:t>A. Všeobecná časť</w:t>
      </w:r>
    </w:p>
    <w:p w:rsidR="00047476" w:rsidRPr="001E5E19" w:rsidRDefault="00047476" w:rsidP="007654BC">
      <w:pPr>
        <w:widowControl/>
        <w:jc w:val="both"/>
        <w:rPr>
          <w:b/>
          <w:color w:val="000000"/>
        </w:rPr>
      </w:pPr>
    </w:p>
    <w:p w:rsidR="00AC4670" w:rsidRPr="00083B01" w:rsidRDefault="009C3597" w:rsidP="009C3597">
      <w:pPr>
        <w:widowControl/>
        <w:jc w:val="both"/>
        <w:rPr>
          <w:color w:val="000000"/>
        </w:rPr>
      </w:pPr>
      <w:r w:rsidRPr="00083B01">
        <w:rPr>
          <w:rStyle w:val="Textzstupnhosymbolu"/>
          <w:color w:val="000000"/>
        </w:rPr>
        <w:t>Dôvodom predloženia návrhu nariadenia vlády Slovenskej republiky, ktorým sa</w:t>
      </w:r>
      <w:r w:rsidR="003F76B9" w:rsidRPr="00083B01">
        <w:rPr>
          <w:rStyle w:val="Textzstupnhosymbolu"/>
          <w:color w:val="000000"/>
        </w:rPr>
        <w:t xml:space="preserve"> </w:t>
      </w:r>
      <w:r w:rsidR="00261C78" w:rsidRPr="00083B01">
        <w:rPr>
          <w:rStyle w:val="Textzstupnhosymbolu"/>
          <w:color w:val="000000"/>
        </w:rPr>
        <w:t xml:space="preserve">ustanovuje </w:t>
      </w:r>
      <w:r w:rsidRPr="00083B01">
        <w:rPr>
          <w:rStyle w:val="Textzstupnhosymbolu"/>
          <w:color w:val="000000"/>
        </w:rPr>
        <w:t xml:space="preserve"> národn</w:t>
      </w:r>
      <w:r w:rsidR="003F76B9" w:rsidRPr="00083B01">
        <w:rPr>
          <w:rStyle w:val="Textzstupnhosymbolu"/>
          <w:color w:val="000000"/>
        </w:rPr>
        <w:t>ý</w:t>
      </w:r>
      <w:r w:rsidRPr="00083B01">
        <w:rPr>
          <w:rStyle w:val="Textzstupnhosymbolu"/>
          <w:color w:val="000000"/>
        </w:rPr>
        <w:t xml:space="preserve"> zoznam území európskeho významu (ďalej len „návrh nariadenia vlády“), </w:t>
      </w:r>
      <w:r w:rsidRPr="00083B01">
        <w:rPr>
          <w:color w:val="000000"/>
        </w:rPr>
        <w:t>je splnenie požiadavky vyplývajúcej z</w:t>
      </w:r>
      <w:r w:rsidR="001F70CA" w:rsidRPr="00083B01">
        <w:rPr>
          <w:color w:val="000000"/>
        </w:rPr>
        <w:t xml:space="preserve">o </w:t>
      </w:r>
      <w:r w:rsidRPr="00083B01">
        <w:rPr>
          <w:color w:val="000000"/>
        </w:rPr>
        <w:t>smernice Rady 92/43/EHS z 21. mája 1992 o ochrane prirodzených biotopov a voľne žijúcich živočíchov a rastlín (Ú. v. ES L 206, 22.7.1992; Mimoriadne vydanie Ú. v. EÚ, kap. 15/zv. 2) v platnom znení (ďalej len „smernica 92/43/EHS</w:t>
      </w:r>
      <w:r w:rsidR="004E4EBF" w:rsidRPr="00083B01">
        <w:rPr>
          <w:color w:val="000000"/>
        </w:rPr>
        <w:t xml:space="preserve"> v platnom znení</w:t>
      </w:r>
      <w:r w:rsidRPr="00083B01">
        <w:rPr>
          <w:color w:val="000000"/>
        </w:rPr>
        <w:t>“).</w:t>
      </w:r>
      <w:r w:rsidR="00F07E67" w:rsidRPr="00083B01">
        <w:rPr>
          <w:color w:val="000000"/>
        </w:rPr>
        <w:t xml:space="preserve"> </w:t>
      </w:r>
    </w:p>
    <w:p w:rsidR="00AC4670" w:rsidRPr="00083B01" w:rsidRDefault="00AC4670" w:rsidP="009C3597">
      <w:pPr>
        <w:widowControl/>
        <w:jc w:val="both"/>
        <w:rPr>
          <w:color w:val="000000"/>
        </w:rPr>
      </w:pPr>
    </w:p>
    <w:p w:rsidR="00AC4670" w:rsidRPr="00083B01" w:rsidRDefault="00F07E67" w:rsidP="00143124">
      <w:pPr>
        <w:widowControl/>
        <w:jc w:val="both"/>
        <w:rPr>
          <w:rStyle w:val="Textzstupnhosymbolu"/>
          <w:color w:val="000000"/>
        </w:rPr>
      </w:pPr>
      <w:r w:rsidRPr="00083B01">
        <w:rPr>
          <w:color w:val="000000"/>
        </w:rPr>
        <w:t xml:space="preserve">Európska komisia vedie vo vzťahu k územiam európskeho významu </w:t>
      </w:r>
      <w:r w:rsidR="00690A95" w:rsidRPr="00083B01">
        <w:rPr>
          <w:color w:val="000000"/>
        </w:rPr>
        <w:t xml:space="preserve">(ÚEV) </w:t>
      </w:r>
      <w:r w:rsidR="00143124" w:rsidRPr="00083B01">
        <w:rPr>
          <w:color w:val="000000"/>
        </w:rPr>
        <w:t>dve konania</w:t>
      </w:r>
      <w:r w:rsidR="004D0B8F" w:rsidRPr="00083B01">
        <w:rPr>
          <w:color w:val="000000"/>
        </w:rPr>
        <w:t xml:space="preserve">, </w:t>
      </w:r>
      <w:r w:rsidR="00143124" w:rsidRPr="00083B01">
        <w:rPr>
          <w:color w:val="000000"/>
        </w:rPr>
        <w:t xml:space="preserve">obe </w:t>
      </w:r>
      <w:r w:rsidR="004D0B8F" w:rsidRPr="00083B01">
        <w:rPr>
          <w:color w:val="000000"/>
        </w:rPr>
        <w:t xml:space="preserve">sú </w:t>
      </w:r>
      <w:r w:rsidR="00143124" w:rsidRPr="00083B01">
        <w:rPr>
          <w:color w:val="000000"/>
        </w:rPr>
        <w:t xml:space="preserve">vo fáze odôvodneného stanoviska. </w:t>
      </w:r>
      <w:r w:rsidR="00F645D6" w:rsidRPr="00083B01">
        <w:rPr>
          <w:color w:val="000000"/>
        </w:rPr>
        <w:t>Návrhom nariadenia vlády dôjde predovšetkým k odstráneniu výhrad Európskej komisie v</w:t>
      </w:r>
      <w:r w:rsidR="00143124" w:rsidRPr="00083B01">
        <w:rPr>
          <w:color w:val="000000"/>
        </w:rPr>
        <w:t xml:space="preserve"> rámci konania </w:t>
      </w:r>
      <w:r w:rsidRPr="00083B01">
        <w:rPr>
          <w:rStyle w:val="Textzstupnhosymbolu"/>
          <w:color w:val="000000"/>
        </w:rPr>
        <w:t>o porušení zmlúv č. 2019/2141</w:t>
      </w:r>
      <w:r w:rsidR="00F645D6" w:rsidRPr="00083B01">
        <w:rPr>
          <w:rStyle w:val="Textzstupnhosymbolu"/>
          <w:color w:val="000000"/>
        </w:rPr>
        <w:t>.</w:t>
      </w:r>
      <w:r w:rsidR="00143124" w:rsidRPr="00083B01">
        <w:rPr>
          <w:rStyle w:val="Textzstupnhosymbolu"/>
          <w:color w:val="000000"/>
        </w:rPr>
        <w:t xml:space="preserve"> </w:t>
      </w:r>
      <w:r w:rsidRPr="00083B01">
        <w:rPr>
          <w:rStyle w:val="Textzstupnhosymbolu"/>
          <w:color w:val="000000"/>
        </w:rPr>
        <w:t xml:space="preserve">Európska komisia konštatovala, že podľa článku 258 Zmluvy o fungovaní Európskej únie si Slovenská republika nesplnila povinnosti podľa článku 4 ods. 4 a článku 6 ods. 1 smernice 92/43/EHS </w:t>
      </w:r>
      <w:r w:rsidR="00F767A2" w:rsidRPr="00083B01">
        <w:rPr>
          <w:rStyle w:val="Textzstupnhosymbolu"/>
          <w:color w:val="000000"/>
        </w:rPr>
        <w:t>v platnom znení</w:t>
      </w:r>
      <w:r w:rsidRPr="00083B01">
        <w:rPr>
          <w:rStyle w:val="Textzstupnhosymbolu"/>
          <w:color w:val="000000"/>
        </w:rPr>
        <w:t>. Európska komisia uviedla, že je potrebné, aby sa mapy, ktoré vymedzujú osobitne chránené územia, a zoznam druhov a typov prirodzených biotopov, pre ktoré sa daná lokalita označila za osobitne chránené územia, stanovovali s vyššou mierou podrobnosti. Označeni</w:t>
      </w:r>
      <w:r w:rsidR="00F409A1" w:rsidRPr="00083B01">
        <w:rPr>
          <w:rStyle w:val="Textzstupnhosymbolu"/>
          <w:color w:val="000000"/>
        </w:rPr>
        <w:t>e</w:t>
      </w:r>
      <w:r w:rsidRPr="00083B01">
        <w:rPr>
          <w:rStyle w:val="Textzstupnhosymbolu"/>
          <w:color w:val="000000"/>
        </w:rPr>
        <w:t xml:space="preserve"> osobitne chránených území </w:t>
      </w:r>
      <w:r w:rsidR="001B27D6" w:rsidRPr="00083B01">
        <w:rPr>
          <w:rStyle w:val="Textzstupnhosymbolu"/>
          <w:color w:val="000000"/>
        </w:rPr>
        <w:t xml:space="preserve">musí </w:t>
      </w:r>
      <w:r w:rsidRPr="00083B01">
        <w:rPr>
          <w:rStyle w:val="Textzstupnhosymbolu"/>
          <w:color w:val="000000"/>
        </w:rPr>
        <w:t>byť taktiež dostatočne konkrétne, presné a jasné, a teda v súlade s požiadavkami právnej istoty. Pre jednoznačné vymedzenie lokalít je potrebné, aby právny predpis obsahoval aj identifikáciu lokalít v mapovom zobrazení.</w:t>
      </w:r>
      <w:r w:rsidR="00143124" w:rsidRPr="00083B01">
        <w:rPr>
          <w:rStyle w:val="Textzstupnhosymbolu"/>
          <w:color w:val="000000"/>
        </w:rPr>
        <w:t xml:space="preserve"> </w:t>
      </w:r>
    </w:p>
    <w:p w:rsidR="00F645D6" w:rsidRPr="00083B01" w:rsidRDefault="00143124" w:rsidP="00143124">
      <w:pPr>
        <w:widowControl/>
        <w:jc w:val="both"/>
      </w:pPr>
      <w:r w:rsidRPr="00083B01">
        <w:rPr>
          <w:color w:val="000000"/>
        </w:rPr>
        <w:t xml:space="preserve">V rámci konania o porušení zmlúv č. </w:t>
      </w:r>
      <w:r w:rsidR="00F07E67" w:rsidRPr="00083B01">
        <w:t>2016/2091</w:t>
      </w:r>
      <w:r w:rsidRPr="00083B01">
        <w:t xml:space="preserve"> Európska komisia posudzuje dostatočnosť národného zoznamu ÚEV z hľadiska kritérií uvedených v prílohe III smernice 92/</w:t>
      </w:r>
      <w:r w:rsidR="001B27D6" w:rsidRPr="00083B01">
        <w:t>43</w:t>
      </w:r>
      <w:r w:rsidRPr="00083B01">
        <w:t>/EHS</w:t>
      </w:r>
      <w:r w:rsidR="004E4EBF" w:rsidRPr="00083B01">
        <w:t xml:space="preserve"> v platnom znení</w:t>
      </w:r>
      <w:r w:rsidRPr="00083B01">
        <w:t xml:space="preserve">. Všetky lokality nachádzajúce sa v databáze európskej sústavy chránených území Natura 2000 </w:t>
      </w:r>
      <w:r w:rsidR="00F645D6" w:rsidRPr="00083B01">
        <w:t>musia mať zabezpečenú právnu ochranu.</w:t>
      </w:r>
    </w:p>
    <w:p w:rsidR="00F07E67" w:rsidRPr="00083B01" w:rsidRDefault="00F07E67" w:rsidP="009C3597">
      <w:pPr>
        <w:widowControl/>
        <w:jc w:val="both"/>
        <w:rPr>
          <w:color w:val="000000"/>
        </w:rPr>
      </w:pPr>
    </w:p>
    <w:p w:rsidR="00F645D6" w:rsidRPr="00083B01" w:rsidRDefault="00F645D6" w:rsidP="00904824">
      <w:pPr>
        <w:pStyle w:val="Zkladntext"/>
        <w:spacing w:after="240"/>
        <w:jc w:val="both"/>
        <w:rPr>
          <w:lang w:val="sk-SK" w:eastAsia="sk-SK"/>
        </w:rPr>
      </w:pPr>
      <w:r w:rsidRPr="00083B01">
        <w:rPr>
          <w:color w:val="000000"/>
          <w:lang w:val="sk-SK"/>
        </w:rPr>
        <w:t>Dôvodom predloženia návrhu nariadenia</w:t>
      </w:r>
      <w:r w:rsidR="001B27D6" w:rsidRPr="00083B01">
        <w:rPr>
          <w:color w:val="000000"/>
          <w:lang w:val="sk-SK"/>
        </w:rPr>
        <w:t xml:space="preserve"> vlády</w:t>
      </w:r>
      <w:r w:rsidRPr="00083B01">
        <w:rPr>
          <w:color w:val="000000"/>
          <w:lang w:val="sk-SK"/>
        </w:rPr>
        <w:t xml:space="preserve"> je </w:t>
      </w:r>
      <w:r w:rsidR="00CA4387" w:rsidRPr="00083B01">
        <w:rPr>
          <w:color w:val="000000"/>
          <w:lang w:val="sk-SK"/>
        </w:rPr>
        <w:t xml:space="preserve">aj </w:t>
      </w:r>
      <w:r w:rsidR="004D0B8F" w:rsidRPr="00083B01">
        <w:rPr>
          <w:color w:val="000000"/>
          <w:lang w:val="sk-SK"/>
        </w:rPr>
        <w:t xml:space="preserve">jednoznačnejšia a prehľadnejšia identifikácia ÚEV, ktoré sa nachádzajú v národnom zozname ÚEV </w:t>
      </w:r>
      <w:r w:rsidR="00AC4670" w:rsidRPr="00083B01">
        <w:rPr>
          <w:color w:val="000000"/>
          <w:lang w:val="sk-SK"/>
        </w:rPr>
        <w:t xml:space="preserve">po </w:t>
      </w:r>
      <w:r w:rsidR="004D0B8F" w:rsidRPr="00083B01">
        <w:rPr>
          <w:color w:val="000000"/>
          <w:lang w:val="sk-SK"/>
        </w:rPr>
        <w:t xml:space="preserve">jeho </w:t>
      </w:r>
      <w:r w:rsidR="00AC4670" w:rsidRPr="00083B01">
        <w:rPr>
          <w:color w:val="000000"/>
          <w:lang w:val="sk-SK"/>
        </w:rPr>
        <w:t xml:space="preserve">troch </w:t>
      </w:r>
      <w:r w:rsidR="004D0B8F" w:rsidRPr="00083B01">
        <w:rPr>
          <w:color w:val="000000"/>
          <w:lang w:val="sk-SK"/>
        </w:rPr>
        <w:t xml:space="preserve">doplnkoch. </w:t>
      </w:r>
      <w:r w:rsidR="00AC4670" w:rsidRPr="00083B01">
        <w:rPr>
          <w:color w:val="000000"/>
          <w:lang w:val="sk-SK"/>
        </w:rPr>
        <w:t xml:space="preserve">Národný zoznam ÚEV a jeho doplnenia </w:t>
      </w:r>
      <w:r w:rsidR="004D0B8F" w:rsidRPr="00083B01">
        <w:rPr>
          <w:color w:val="000000"/>
          <w:lang w:val="sk-SK"/>
        </w:rPr>
        <w:t>boli schválené uzneseniami vlády Slovenskej republiky č.</w:t>
      </w:r>
      <w:r w:rsidR="004D0B8F" w:rsidRPr="00083B01">
        <w:rPr>
          <w:lang w:val="sk-SK" w:eastAsia="sk-SK"/>
        </w:rPr>
        <w:t xml:space="preserve"> 239 zo 17. marca 2004, č. 577 z 31. augusta 2011, č. 495 z 25. októbra 2017 a č. 454 z 13. júla 2022. ÚEV schválené do roku 2017 boli zaradené do výnosu Ministerstva životného prostredia Slovenskej republiky č. 2/2004-5.1 zo 14. júla 2004, ktorým sa vydáva národný zoznam území európskeho významu v znení neskorších predpisov. </w:t>
      </w:r>
    </w:p>
    <w:p w:rsidR="00261C78" w:rsidRPr="00083B01" w:rsidRDefault="00481AA3" w:rsidP="00481AA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083B01">
        <w:rPr>
          <w:rFonts w:ascii="Times New Roman" w:hAnsi="Times New Roman" w:cs="Times New Roman"/>
          <w:color w:val="auto"/>
          <w:szCs w:val="20"/>
        </w:rPr>
        <w:t>Prílohou návrhu nariadenia vlády je národn</w:t>
      </w:r>
      <w:r w:rsidR="00C01379" w:rsidRPr="00083B01">
        <w:rPr>
          <w:rFonts w:ascii="Times New Roman" w:hAnsi="Times New Roman" w:cs="Times New Roman"/>
          <w:color w:val="auto"/>
          <w:szCs w:val="20"/>
        </w:rPr>
        <w:t>ý</w:t>
      </w:r>
      <w:r w:rsidRPr="00083B01">
        <w:rPr>
          <w:rFonts w:ascii="Times New Roman" w:hAnsi="Times New Roman" w:cs="Times New Roman"/>
          <w:color w:val="auto"/>
          <w:szCs w:val="20"/>
        </w:rPr>
        <w:t xml:space="preserve"> zoznam ÚEV, </w:t>
      </w:r>
      <w:r w:rsidR="00AC4670" w:rsidRPr="00083B01">
        <w:rPr>
          <w:rFonts w:ascii="Times New Roman" w:hAnsi="Times New Roman" w:cs="Times New Roman"/>
          <w:color w:val="auto"/>
          <w:szCs w:val="20"/>
        </w:rPr>
        <w:t>ktorý obsahuje výlučne len vládou schválené ÚEV</w:t>
      </w:r>
      <w:r w:rsidRPr="00083B01">
        <w:rPr>
          <w:rFonts w:ascii="Times New Roman" w:hAnsi="Times New Roman" w:cs="Times New Roman"/>
          <w:color w:val="auto"/>
          <w:szCs w:val="20"/>
        </w:rPr>
        <w:t>. Pre každú lokalitu sú uvedené náležitosti podľa § 27 ods. 5 zákona č. 543/2002 Z. z. o ochrane prírody a krajiny v znení neskorších predpisov (ďalej len „zákon č. 543/2002 Z. z.“) a</w:t>
      </w:r>
      <w:r w:rsidR="004D0B8F" w:rsidRPr="00083B01">
        <w:rPr>
          <w:rFonts w:ascii="Times New Roman" w:hAnsi="Times New Roman" w:cs="Times New Roman"/>
          <w:color w:val="auto"/>
          <w:szCs w:val="20"/>
        </w:rPr>
        <w:t> </w:t>
      </w:r>
      <w:r w:rsidRPr="00083B01">
        <w:rPr>
          <w:rFonts w:ascii="Times New Roman" w:hAnsi="Times New Roman" w:cs="Times New Roman"/>
          <w:color w:val="auto"/>
          <w:szCs w:val="20"/>
        </w:rPr>
        <w:t>mapa</w:t>
      </w:r>
      <w:r w:rsidR="004D0B8F" w:rsidRPr="00083B01">
        <w:rPr>
          <w:rFonts w:ascii="Times New Roman" w:hAnsi="Times New Roman" w:cs="Times New Roman"/>
          <w:color w:val="auto"/>
          <w:szCs w:val="20"/>
        </w:rPr>
        <w:t xml:space="preserve"> pre jednoznačnú identifikáciu </w:t>
      </w:r>
      <w:r w:rsidRPr="00083B01">
        <w:rPr>
          <w:rFonts w:ascii="Times New Roman" w:hAnsi="Times New Roman" w:cs="Times New Roman"/>
          <w:color w:val="auto"/>
          <w:szCs w:val="20"/>
        </w:rPr>
        <w:t>lokalít. Vymedzenie lokalít je uvedené jednotne podľa parcelného stavu katastra nehnuteľností k</w:t>
      </w:r>
      <w:r w:rsidR="001D6B0E" w:rsidRPr="00083B01">
        <w:rPr>
          <w:rFonts w:ascii="Times New Roman" w:hAnsi="Times New Roman" w:cs="Times New Roman"/>
          <w:color w:val="auto"/>
          <w:szCs w:val="20"/>
        </w:rPr>
        <w:t xml:space="preserve"> </w:t>
      </w:r>
      <w:r w:rsidR="00CB2995" w:rsidRPr="00083B01">
        <w:rPr>
          <w:rFonts w:ascii="Times New Roman" w:hAnsi="Times New Roman" w:cs="Times New Roman"/>
          <w:color w:val="auto"/>
          <w:szCs w:val="20"/>
        </w:rPr>
        <w:t>30</w:t>
      </w:r>
      <w:r w:rsidR="001D6B0E" w:rsidRPr="00083B01">
        <w:rPr>
          <w:rFonts w:ascii="Times New Roman" w:hAnsi="Times New Roman" w:cs="Times New Roman"/>
          <w:color w:val="auto"/>
          <w:szCs w:val="20"/>
        </w:rPr>
        <w:t xml:space="preserve">. </w:t>
      </w:r>
      <w:r w:rsidR="006733AC" w:rsidRPr="00083B01">
        <w:rPr>
          <w:rFonts w:ascii="Times New Roman" w:hAnsi="Times New Roman" w:cs="Times New Roman"/>
          <w:color w:val="auto"/>
          <w:szCs w:val="20"/>
        </w:rPr>
        <w:t>aprílu</w:t>
      </w:r>
      <w:r w:rsidR="00CB2995" w:rsidRPr="00083B01">
        <w:rPr>
          <w:rFonts w:ascii="Times New Roman" w:hAnsi="Times New Roman" w:cs="Times New Roman"/>
          <w:color w:val="auto"/>
          <w:szCs w:val="20"/>
        </w:rPr>
        <w:t xml:space="preserve"> </w:t>
      </w:r>
      <w:r w:rsidR="001D6B0E" w:rsidRPr="00083B01">
        <w:rPr>
          <w:rFonts w:ascii="Times New Roman" w:hAnsi="Times New Roman" w:cs="Times New Roman"/>
          <w:color w:val="auto"/>
          <w:szCs w:val="20"/>
        </w:rPr>
        <w:t>202</w:t>
      </w:r>
      <w:r w:rsidR="00CB2995" w:rsidRPr="00083B01">
        <w:rPr>
          <w:rFonts w:ascii="Times New Roman" w:hAnsi="Times New Roman" w:cs="Times New Roman"/>
          <w:color w:val="auto"/>
          <w:szCs w:val="20"/>
        </w:rPr>
        <w:t>3</w:t>
      </w:r>
      <w:r w:rsidRPr="00083B01">
        <w:rPr>
          <w:rFonts w:ascii="Times New Roman" w:hAnsi="Times New Roman" w:cs="Times New Roman"/>
          <w:color w:val="auto"/>
          <w:szCs w:val="20"/>
        </w:rPr>
        <w:t xml:space="preserve">. </w:t>
      </w:r>
      <w:r w:rsidR="00261C78" w:rsidRPr="00083B01">
        <w:rPr>
          <w:rFonts w:ascii="Times New Roman" w:hAnsi="Times New Roman" w:cs="Times New Roman"/>
          <w:color w:val="auto"/>
          <w:szCs w:val="20"/>
        </w:rPr>
        <w:t xml:space="preserve">Takto vydaný predpis </w:t>
      </w:r>
      <w:r w:rsidR="00C01379" w:rsidRPr="00083B01">
        <w:rPr>
          <w:rFonts w:ascii="Times New Roman" w:hAnsi="Times New Roman" w:cs="Times New Roman"/>
          <w:color w:val="auto"/>
          <w:szCs w:val="20"/>
        </w:rPr>
        <w:t xml:space="preserve">bude </w:t>
      </w:r>
      <w:r w:rsidR="00261C78" w:rsidRPr="00083B01">
        <w:rPr>
          <w:rFonts w:ascii="Times New Roman" w:hAnsi="Times New Roman" w:cs="Times New Roman"/>
          <w:color w:val="auto"/>
          <w:szCs w:val="20"/>
        </w:rPr>
        <w:t>jednoznačným prínosom pre vlastníkov a užívateľov pozemkov, ako aj pre orgány štátnej správy a samosprávy a pre ďalšie subjekty, ktoré majú v daných lokalitách svoje zámery.</w:t>
      </w:r>
    </w:p>
    <w:p w:rsidR="00084DCD" w:rsidRPr="0065785E" w:rsidRDefault="00084DCD" w:rsidP="00481AA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083B01">
        <w:rPr>
          <w:rFonts w:ascii="Times New Roman" w:hAnsi="Times New Roman" w:cs="Times New Roman"/>
          <w:color w:val="auto"/>
          <w:szCs w:val="20"/>
        </w:rPr>
        <w:t xml:space="preserve">Všetky vládou schválené ÚEV boli v rokoch 2004 – 2022 predložené Európskej komisii, ktorá ich zaraďuje vo vykonávacích rozhodnutiach EÚ zverejnených v Úradnom vestníku Európskej únie.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ÚEV predložené v júli 2022 Európska komisia doplní do rozhodnutí pre alpský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biogeografický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Pr="0065785E">
        <w:rPr>
          <w:rFonts w:ascii="Times New Roman" w:hAnsi="Times New Roman" w:cs="Times New Roman"/>
          <w:color w:val="auto"/>
          <w:szCs w:val="20"/>
        </w:rPr>
        <w:t xml:space="preserve">región a pre panónsky </w:t>
      </w:r>
      <w:proofErr w:type="spellStart"/>
      <w:r w:rsidRPr="0065785E">
        <w:rPr>
          <w:rFonts w:ascii="Times New Roman" w:hAnsi="Times New Roman" w:cs="Times New Roman"/>
          <w:color w:val="auto"/>
          <w:szCs w:val="20"/>
        </w:rPr>
        <w:t>biogeografický</w:t>
      </w:r>
      <w:proofErr w:type="spellEnd"/>
      <w:r w:rsidRPr="0065785E">
        <w:rPr>
          <w:rFonts w:ascii="Times New Roman" w:hAnsi="Times New Roman" w:cs="Times New Roman"/>
          <w:color w:val="auto"/>
          <w:szCs w:val="20"/>
        </w:rPr>
        <w:t xml:space="preserve"> región, ktoré budú zverejnené v januári 2024.</w:t>
      </w:r>
    </w:p>
    <w:p w:rsidR="00283739" w:rsidRPr="00083B01" w:rsidRDefault="00283739" w:rsidP="00481AA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</w:p>
    <w:p w:rsidR="00371480" w:rsidRDefault="00261C7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083B01">
        <w:rPr>
          <w:rFonts w:ascii="Times New Roman" w:hAnsi="Times New Roman" w:cs="Times New Roman"/>
          <w:szCs w:val="20"/>
        </w:rPr>
        <w:t>Návrh národného zoznamu ÚEV pripravila Štátna ochrana prírody Slovenskej republiky v úzkej súčinnosti s Ministerstvom životného prostredia Slovenskej republiky a správami národných parkov, do pôsobnosti ktorých dané územia patria. Ministerstvo životného prostredia Slovenskej republiky zvolalo v mesiacoch december 2022 – j</w:t>
      </w:r>
      <w:r w:rsidR="003C6BB1" w:rsidRPr="00083B01">
        <w:rPr>
          <w:rFonts w:ascii="Times New Roman" w:hAnsi="Times New Roman" w:cs="Times New Roman"/>
          <w:szCs w:val="20"/>
        </w:rPr>
        <w:t>ún</w:t>
      </w:r>
      <w:r w:rsidRPr="00083B01">
        <w:rPr>
          <w:rFonts w:ascii="Times New Roman" w:hAnsi="Times New Roman" w:cs="Times New Roman"/>
          <w:szCs w:val="20"/>
        </w:rPr>
        <w:t xml:space="preserve"> 2023 desiatky rokovaní </w:t>
      </w:r>
      <w:r w:rsidR="004A3561" w:rsidRPr="00083B01">
        <w:rPr>
          <w:rFonts w:ascii="Times New Roman" w:hAnsi="Times New Roman" w:cs="Times New Roman"/>
          <w:szCs w:val="20"/>
        </w:rPr>
        <w:t xml:space="preserve">podľa  § 27 ods. 3 zákona č. 543/2002 Z. z. </w:t>
      </w:r>
      <w:r w:rsidRPr="00083B01">
        <w:rPr>
          <w:rFonts w:ascii="Times New Roman" w:hAnsi="Times New Roman" w:cs="Times New Roman"/>
          <w:szCs w:val="20"/>
        </w:rPr>
        <w:t>k</w:t>
      </w:r>
      <w:r w:rsidR="006733AC" w:rsidRPr="00083B01">
        <w:rPr>
          <w:rFonts w:ascii="Times New Roman" w:hAnsi="Times New Roman" w:cs="Times New Roman"/>
          <w:szCs w:val="20"/>
        </w:rPr>
        <w:t> </w:t>
      </w:r>
      <w:r w:rsidRPr="00083B01">
        <w:rPr>
          <w:rFonts w:ascii="Times New Roman" w:hAnsi="Times New Roman" w:cs="Times New Roman"/>
          <w:szCs w:val="20"/>
        </w:rPr>
        <w:t>spresneniam</w:t>
      </w:r>
      <w:r w:rsidR="006733AC" w:rsidRPr="00083B01">
        <w:rPr>
          <w:rFonts w:ascii="Times New Roman" w:hAnsi="Times New Roman" w:cs="Times New Roman"/>
          <w:szCs w:val="20"/>
        </w:rPr>
        <w:t xml:space="preserve"> hraníc ÚEV</w:t>
      </w:r>
      <w:r w:rsidRPr="00083B01">
        <w:rPr>
          <w:rFonts w:ascii="Times New Roman" w:hAnsi="Times New Roman" w:cs="Times New Roman"/>
          <w:szCs w:val="20"/>
        </w:rPr>
        <w:t xml:space="preserve">, ktorými boli navrhnuté doplnenia parciel alebo zmeny stupňa ochrany. </w:t>
      </w:r>
      <w:r w:rsidR="0017782F" w:rsidRPr="00083B01">
        <w:rPr>
          <w:rFonts w:ascii="Times New Roman" w:hAnsi="Times New Roman" w:cs="Times New Roman"/>
          <w:szCs w:val="20"/>
        </w:rPr>
        <w:t xml:space="preserve">V auguste </w:t>
      </w:r>
      <w:r w:rsidR="0017782F" w:rsidRPr="00083B01">
        <w:rPr>
          <w:rFonts w:ascii="Times New Roman" w:hAnsi="Times New Roman" w:cs="Times New Roman"/>
        </w:rPr>
        <w:t xml:space="preserve">2023 </w:t>
      </w:r>
      <w:r w:rsidR="00283739" w:rsidRPr="00083B01">
        <w:rPr>
          <w:rFonts w:ascii="Times New Roman" w:hAnsi="Times New Roman" w:cs="Times New Roman"/>
        </w:rPr>
        <w:t xml:space="preserve">sa uskutočnilo </w:t>
      </w:r>
      <w:r w:rsidR="0017782F" w:rsidRPr="00083B01">
        <w:rPr>
          <w:rFonts w:ascii="Times New Roman" w:hAnsi="Times New Roman" w:cs="Times New Roman"/>
        </w:rPr>
        <w:t>prerokovanie s Ministerstvom pôdohospodárstva a rozvoja vidieka Slovenskej republiky podľa § 27 ods. 1 písm. b) zákona č. 543/2002 Z. z.</w:t>
      </w:r>
      <w:r w:rsidR="00F66853" w:rsidRPr="00083B01">
        <w:rPr>
          <w:rFonts w:ascii="Times New Roman" w:hAnsi="Times New Roman" w:cs="Times New Roman"/>
        </w:rPr>
        <w:t xml:space="preserve"> </w:t>
      </w:r>
      <w:r w:rsidRPr="00083B01">
        <w:rPr>
          <w:rFonts w:ascii="Times New Roman" w:hAnsi="Times New Roman" w:cs="Times New Roman"/>
          <w:color w:val="auto"/>
          <w:szCs w:val="20"/>
        </w:rPr>
        <w:t xml:space="preserve">Návrh nariadenia vlády bol pripravený po vyhodnotení rokovaní </w:t>
      </w:r>
      <w:r w:rsidR="002601BA" w:rsidRPr="00083B01">
        <w:rPr>
          <w:rFonts w:ascii="Times New Roman" w:hAnsi="Times New Roman" w:cs="Times New Roman"/>
          <w:color w:val="auto"/>
          <w:szCs w:val="20"/>
        </w:rPr>
        <w:t>s dotknutými subjektmi (identifikovanými podľa evidencie</w:t>
      </w:r>
      <w:r w:rsidR="002601BA" w:rsidRPr="00976F01">
        <w:rPr>
          <w:rFonts w:ascii="Times New Roman" w:hAnsi="Times New Roman" w:cs="Times New Roman"/>
          <w:color w:val="auto"/>
          <w:szCs w:val="20"/>
        </w:rPr>
        <w:t xml:space="preserve"> katastra </w:t>
      </w:r>
      <w:r w:rsidR="002601BA" w:rsidRPr="0065785E">
        <w:rPr>
          <w:rFonts w:ascii="Times New Roman" w:hAnsi="Times New Roman" w:cs="Times New Roman"/>
          <w:color w:val="auto"/>
          <w:szCs w:val="20"/>
        </w:rPr>
        <w:t>nehnut</w:t>
      </w:r>
      <w:r w:rsidR="002D38FC" w:rsidRPr="0065785E">
        <w:rPr>
          <w:rFonts w:ascii="Times New Roman" w:hAnsi="Times New Roman" w:cs="Times New Roman"/>
          <w:color w:val="auto"/>
          <w:szCs w:val="20"/>
        </w:rPr>
        <w:t>e</w:t>
      </w:r>
      <w:r w:rsidR="00213C4E" w:rsidRPr="0065785E">
        <w:rPr>
          <w:rFonts w:ascii="Times New Roman" w:hAnsi="Times New Roman" w:cs="Times New Roman"/>
          <w:color w:val="auto"/>
          <w:szCs w:val="20"/>
        </w:rPr>
        <w:t xml:space="preserve">ľností) </w:t>
      </w:r>
      <w:r w:rsidRPr="0065785E">
        <w:rPr>
          <w:rFonts w:ascii="Times New Roman" w:hAnsi="Times New Roman" w:cs="Times New Roman"/>
          <w:color w:val="auto"/>
          <w:szCs w:val="20"/>
        </w:rPr>
        <w:t>a po technických rokovaniach s Európskou komisiou</w:t>
      </w:r>
      <w:r w:rsidR="002D38FC" w:rsidRPr="0065785E">
        <w:rPr>
          <w:rFonts w:ascii="Times New Roman" w:hAnsi="Times New Roman" w:cs="Times New Roman"/>
          <w:color w:val="auto"/>
          <w:szCs w:val="20"/>
        </w:rPr>
        <w:t xml:space="preserve">. Rokovania s Európskou komisiou ku korekciám hraníc </w:t>
      </w:r>
      <w:r w:rsidR="00690A95" w:rsidRPr="0065785E">
        <w:rPr>
          <w:rFonts w:ascii="Times New Roman" w:hAnsi="Times New Roman" w:cs="Times New Roman"/>
          <w:color w:val="auto"/>
          <w:szCs w:val="20"/>
        </w:rPr>
        <w:t>boli ukončené 18. júla 2023</w:t>
      </w:r>
      <w:r w:rsidR="00821AB2" w:rsidRPr="0065785E">
        <w:rPr>
          <w:rFonts w:ascii="Times New Roman" w:hAnsi="Times New Roman" w:cs="Times New Roman"/>
          <w:color w:val="auto"/>
          <w:szCs w:val="20"/>
        </w:rPr>
        <w:t>.</w:t>
      </w:r>
      <w:r w:rsidR="00080F4E" w:rsidRPr="0065785E">
        <w:rPr>
          <w:rFonts w:ascii="Times New Roman" w:hAnsi="Times New Roman" w:cs="Times New Roman"/>
          <w:color w:val="auto"/>
          <w:szCs w:val="20"/>
        </w:rPr>
        <w:t xml:space="preserve"> </w:t>
      </w:r>
      <w:r w:rsidR="00821AB2" w:rsidRPr="0065785E">
        <w:rPr>
          <w:rFonts w:ascii="Times New Roman" w:hAnsi="Times New Roman" w:cs="Times New Roman"/>
          <w:color w:val="auto"/>
          <w:szCs w:val="20"/>
        </w:rPr>
        <w:t>Európska komisia odsúhlasila</w:t>
      </w:r>
      <w:r w:rsidR="006733AC" w:rsidRPr="0065785E">
        <w:rPr>
          <w:rFonts w:ascii="Times New Roman" w:hAnsi="Times New Roman" w:cs="Times New Roman"/>
          <w:color w:val="auto"/>
          <w:szCs w:val="20"/>
        </w:rPr>
        <w:t xml:space="preserve"> </w:t>
      </w:r>
      <w:r w:rsidR="007220F2" w:rsidRPr="0065785E">
        <w:rPr>
          <w:rFonts w:ascii="Times New Roman" w:hAnsi="Times New Roman" w:cs="Times New Roman"/>
          <w:color w:val="auto"/>
          <w:szCs w:val="20"/>
        </w:rPr>
        <w:t xml:space="preserve">spresnenie hraníc niektorých ÚEV a tiež </w:t>
      </w:r>
      <w:r w:rsidR="006733AC" w:rsidRPr="0065785E">
        <w:rPr>
          <w:rFonts w:ascii="Times New Roman" w:hAnsi="Times New Roman" w:cs="Times New Roman"/>
          <w:color w:val="auto"/>
          <w:szCs w:val="20"/>
        </w:rPr>
        <w:t>zlúčenie tých</w:t>
      </w:r>
      <w:r w:rsidR="00821AB2" w:rsidRPr="0065785E">
        <w:rPr>
          <w:rFonts w:ascii="Times New Roman" w:hAnsi="Times New Roman" w:cs="Times New Roman"/>
          <w:color w:val="auto"/>
          <w:szCs w:val="20"/>
        </w:rPr>
        <w:t xml:space="preserve"> </w:t>
      </w:r>
      <w:r w:rsidR="00267589" w:rsidRPr="0065785E">
        <w:rPr>
          <w:rFonts w:ascii="Times New Roman" w:hAnsi="Times New Roman" w:cs="Times New Roman"/>
          <w:color w:val="auto"/>
          <w:szCs w:val="20"/>
        </w:rPr>
        <w:t xml:space="preserve">ÚEV, ktoré boli </w:t>
      </w:r>
      <w:r w:rsidR="006733AC" w:rsidRPr="0065785E">
        <w:rPr>
          <w:rFonts w:ascii="Times New Roman" w:hAnsi="Times New Roman" w:cs="Times New Roman"/>
          <w:color w:val="auto"/>
          <w:szCs w:val="20"/>
        </w:rPr>
        <w:t xml:space="preserve">v predchádzajúcich doplneniach národného zoznamu </w:t>
      </w:r>
      <w:r w:rsidR="004D0B8F" w:rsidRPr="0065785E">
        <w:rPr>
          <w:rFonts w:ascii="Times New Roman" w:hAnsi="Times New Roman" w:cs="Times New Roman"/>
          <w:color w:val="auto"/>
          <w:szCs w:val="20"/>
        </w:rPr>
        <w:t xml:space="preserve">ÚEV </w:t>
      </w:r>
      <w:r w:rsidR="00267589" w:rsidRPr="0065785E">
        <w:rPr>
          <w:rFonts w:ascii="Times New Roman" w:hAnsi="Times New Roman" w:cs="Times New Roman"/>
          <w:color w:val="auto"/>
          <w:szCs w:val="20"/>
        </w:rPr>
        <w:t>rozširované</w:t>
      </w:r>
      <w:r w:rsidR="00C01379" w:rsidRPr="0065785E">
        <w:rPr>
          <w:rFonts w:ascii="Times New Roman" w:hAnsi="Times New Roman" w:cs="Times New Roman"/>
          <w:color w:val="auto"/>
          <w:szCs w:val="20"/>
        </w:rPr>
        <w:t>.</w:t>
      </w:r>
      <w:r w:rsidR="00267589" w:rsidRPr="0065785E">
        <w:rPr>
          <w:rFonts w:ascii="Times New Roman" w:hAnsi="Times New Roman" w:cs="Times New Roman"/>
          <w:color w:val="auto"/>
          <w:szCs w:val="20"/>
        </w:rPr>
        <w:t xml:space="preserve"> </w:t>
      </w:r>
      <w:r w:rsidR="004D0B8F" w:rsidRPr="0065785E">
        <w:rPr>
          <w:rFonts w:ascii="Times New Roman" w:hAnsi="Times New Roman" w:cs="Times New Roman"/>
          <w:color w:val="auto"/>
          <w:szCs w:val="20"/>
        </w:rPr>
        <w:t>Po</w:t>
      </w:r>
      <w:r w:rsidR="004D0B8F" w:rsidRPr="004D0B8F">
        <w:rPr>
          <w:rFonts w:ascii="Times New Roman" w:hAnsi="Times New Roman" w:cs="Times New Roman"/>
          <w:color w:val="auto"/>
          <w:szCs w:val="20"/>
        </w:rPr>
        <w:t xml:space="preserve"> zlúčení budú mať predmetné ÚEV </w:t>
      </w:r>
      <w:r w:rsidR="00267589" w:rsidRPr="004D0B8F">
        <w:rPr>
          <w:rFonts w:ascii="Times New Roman" w:hAnsi="Times New Roman" w:cs="Times New Roman"/>
          <w:color w:val="auto"/>
          <w:szCs w:val="20"/>
        </w:rPr>
        <w:t>nielen rovnaký názov, ale aj kód</w:t>
      </w:r>
      <w:r w:rsidR="002D38FC">
        <w:rPr>
          <w:rFonts w:ascii="Times New Roman" w:hAnsi="Times New Roman" w:cs="Times New Roman"/>
          <w:color w:val="auto"/>
          <w:szCs w:val="20"/>
        </w:rPr>
        <w:t xml:space="preserve">, čo je </w:t>
      </w:r>
      <w:r w:rsidR="00C01379">
        <w:rPr>
          <w:rFonts w:ascii="Times New Roman" w:hAnsi="Times New Roman" w:cs="Times New Roman"/>
          <w:color w:val="auto"/>
          <w:szCs w:val="20"/>
        </w:rPr>
        <w:t xml:space="preserve">prínosné </w:t>
      </w:r>
      <w:r w:rsidR="00821AB2" w:rsidRPr="004D0B8F">
        <w:rPr>
          <w:rFonts w:ascii="Times New Roman" w:hAnsi="Times New Roman" w:cs="Times New Roman"/>
          <w:color w:val="auto"/>
          <w:szCs w:val="20"/>
        </w:rPr>
        <w:t xml:space="preserve">v záujme </w:t>
      </w:r>
      <w:r w:rsidR="00080F4E" w:rsidRPr="004D0B8F">
        <w:rPr>
          <w:rFonts w:ascii="Times New Roman" w:hAnsi="Times New Roman" w:cs="Times New Roman"/>
          <w:color w:val="auto"/>
          <w:szCs w:val="20"/>
        </w:rPr>
        <w:t>spojenia často výmerou malých lokalít</w:t>
      </w:r>
      <w:r w:rsidR="009E1E04">
        <w:rPr>
          <w:rFonts w:ascii="Times New Roman" w:hAnsi="Times New Roman" w:cs="Times New Roman"/>
          <w:color w:val="auto"/>
          <w:szCs w:val="20"/>
        </w:rPr>
        <w:t>,</w:t>
      </w:r>
      <w:r w:rsidR="00080F4E" w:rsidRPr="004D0B8F">
        <w:rPr>
          <w:rFonts w:ascii="Times New Roman" w:hAnsi="Times New Roman" w:cs="Times New Roman"/>
          <w:color w:val="auto"/>
          <w:szCs w:val="20"/>
        </w:rPr>
        <w:t xml:space="preserve"> a</w:t>
      </w:r>
      <w:r w:rsidR="00C01379">
        <w:rPr>
          <w:rFonts w:ascii="Times New Roman" w:hAnsi="Times New Roman" w:cs="Times New Roman"/>
          <w:color w:val="auto"/>
          <w:szCs w:val="20"/>
        </w:rPr>
        <w:t>ko aj</w:t>
      </w:r>
      <w:r w:rsidR="00267589" w:rsidRPr="004D0B8F">
        <w:rPr>
          <w:rFonts w:ascii="Times New Roman" w:hAnsi="Times New Roman" w:cs="Times New Roman"/>
          <w:color w:val="auto"/>
          <w:szCs w:val="20"/>
        </w:rPr>
        <w:t xml:space="preserve"> v záujme </w:t>
      </w:r>
      <w:r w:rsidR="00CA4387" w:rsidRPr="004D0B8F">
        <w:rPr>
          <w:rFonts w:ascii="Times New Roman" w:hAnsi="Times New Roman" w:cs="Times New Roman"/>
          <w:color w:val="auto"/>
          <w:szCs w:val="20"/>
        </w:rPr>
        <w:t>zjednoduš</w:t>
      </w:r>
      <w:r w:rsidR="008B7E62" w:rsidRPr="004D0B8F">
        <w:rPr>
          <w:rFonts w:ascii="Times New Roman" w:hAnsi="Times New Roman" w:cs="Times New Roman"/>
          <w:color w:val="auto"/>
          <w:szCs w:val="20"/>
        </w:rPr>
        <w:t>e</w:t>
      </w:r>
      <w:r w:rsidR="00CA4387" w:rsidRPr="004D0B8F">
        <w:rPr>
          <w:rFonts w:ascii="Times New Roman" w:hAnsi="Times New Roman" w:cs="Times New Roman"/>
          <w:color w:val="auto"/>
          <w:szCs w:val="20"/>
        </w:rPr>
        <w:t xml:space="preserve">ného </w:t>
      </w:r>
      <w:r w:rsidR="00080F4E" w:rsidRPr="004D0B8F">
        <w:rPr>
          <w:rFonts w:ascii="Times New Roman" w:hAnsi="Times New Roman" w:cs="Times New Roman"/>
          <w:color w:val="auto"/>
          <w:szCs w:val="20"/>
        </w:rPr>
        <w:t xml:space="preserve">označenia ÚEV pre verejnosť. </w:t>
      </w:r>
      <w:r w:rsidR="00CA4387" w:rsidRPr="004D0B8F">
        <w:rPr>
          <w:rFonts w:ascii="Times New Roman" w:hAnsi="Times New Roman" w:cs="Times New Roman"/>
          <w:color w:val="auto"/>
          <w:szCs w:val="20"/>
        </w:rPr>
        <w:t>C</w:t>
      </w:r>
      <w:r w:rsidR="00080F4E" w:rsidRPr="004D0B8F">
        <w:rPr>
          <w:rFonts w:ascii="Times New Roman" w:hAnsi="Times New Roman" w:cs="Times New Roman"/>
          <w:color w:val="auto"/>
          <w:szCs w:val="20"/>
        </w:rPr>
        <w:t xml:space="preserve">elkový počet ÚEV, ktoré boli od roku 2004 schválené uzneseniami vlády Slovenskej republiky, </w:t>
      </w:r>
      <w:r w:rsidR="00CA4387" w:rsidRPr="004D0B8F">
        <w:rPr>
          <w:rFonts w:ascii="Times New Roman" w:hAnsi="Times New Roman" w:cs="Times New Roman"/>
          <w:color w:val="auto"/>
          <w:szCs w:val="20"/>
        </w:rPr>
        <w:t xml:space="preserve">sa tým </w:t>
      </w:r>
      <w:r w:rsidR="00080F4E" w:rsidRPr="004D0B8F">
        <w:rPr>
          <w:rFonts w:ascii="Times New Roman" w:hAnsi="Times New Roman" w:cs="Times New Roman"/>
          <w:color w:val="auto"/>
          <w:szCs w:val="20"/>
        </w:rPr>
        <w:t>zn</w:t>
      </w:r>
      <w:r w:rsidR="00267589" w:rsidRPr="004D0B8F">
        <w:rPr>
          <w:rFonts w:ascii="Times New Roman" w:hAnsi="Times New Roman" w:cs="Times New Roman"/>
          <w:color w:val="auto"/>
          <w:szCs w:val="20"/>
        </w:rPr>
        <w:t>i</w:t>
      </w:r>
      <w:r w:rsidR="00080F4E" w:rsidRPr="004D0B8F">
        <w:rPr>
          <w:rFonts w:ascii="Times New Roman" w:hAnsi="Times New Roman" w:cs="Times New Roman"/>
          <w:color w:val="auto"/>
          <w:szCs w:val="20"/>
        </w:rPr>
        <w:t>ž</w:t>
      </w:r>
      <w:r w:rsidR="00267589" w:rsidRPr="004D0B8F">
        <w:rPr>
          <w:rFonts w:ascii="Times New Roman" w:hAnsi="Times New Roman" w:cs="Times New Roman"/>
          <w:color w:val="auto"/>
          <w:szCs w:val="20"/>
        </w:rPr>
        <w:t>uje</w:t>
      </w:r>
      <w:r w:rsidR="00080F4E" w:rsidRPr="004D0B8F">
        <w:rPr>
          <w:rFonts w:ascii="Times New Roman" w:hAnsi="Times New Roman" w:cs="Times New Roman"/>
          <w:color w:val="auto"/>
          <w:szCs w:val="20"/>
        </w:rPr>
        <w:t xml:space="preserve"> zo 739 na 644 ÚEV</w:t>
      </w:r>
      <w:r w:rsidR="00267589" w:rsidRPr="004D0B8F">
        <w:rPr>
          <w:rFonts w:ascii="Times New Roman" w:hAnsi="Times New Roman" w:cs="Times New Roman"/>
          <w:color w:val="auto"/>
          <w:szCs w:val="20"/>
        </w:rPr>
        <w:t>.</w:t>
      </w:r>
      <w:r w:rsidR="00821AB2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166B9F" w:rsidRDefault="00CA4387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bookmarkStart w:id="0" w:name="_GoBack"/>
      <w:bookmarkEnd w:id="0"/>
      <w:r w:rsidRPr="002456AD">
        <w:rPr>
          <w:rFonts w:ascii="Times New Roman" w:hAnsi="Times New Roman" w:cs="Times New Roman"/>
          <w:color w:val="auto"/>
          <w:szCs w:val="20"/>
        </w:rPr>
        <w:t>Prehľadná m</w:t>
      </w:r>
      <w:r w:rsidR="008B7E62" w:rsidRPr="002456AD">
        <w:rPr>
          <w:rFonts w:ascii="Times New Roman" w:hAnsi="Times New Roman" w:cs="Times New Roman"/>
          <w:color w:val="auto"/>
          <w:szCs w:val="20"/>
        </w:rPr>
        <w:t>apa ÚEV</w:t>
      </w:r>
      <w:r w:rsidR="008B7E62">
        <w:rPr>
          <w:rFonts w:ascii="Times New Roman" w:hAnsi="Times New Roman" w:cs="Times New Roman"/>
          <w:color w:val="auto"/>
          <w:szCs w:val="20"/>
        </w:rPr>
        <w:t xml:space="preserve"> je </w:t>
      </w:r>
      <w:r w:rsidR="00C01379">
        <w:rPr>
          <w:rFonts w:ascii="Times New Roman" w:hAnsi="Times New Roman" w:cs="Times New Roman"/>
          <w:color w:val="auto"/>
          <w:szCs w:val="20"/>
        </w:rPr>
        <w:t xml:space="preserve">uvedená </w:t>
      </w:r>
      <w:r w:rsidR="008B7E62">
        <w:rPr>
          <w:rFonts w:ascii="Times New Roman" w:hAnsi="Times New Roman" w:cs="Times New Roman"/>
          <w:color w:val="auto"/>
          <w:szCs w:val="20"/>
        </w:rPr>
        <w:t>v texte nižšie</w:t>
      </w:r>
      <w:r w:rsidR="00AC4670">
        <w:rPr>
          <w:rFonts w:ascii="Times New Roman" w:hAnsi="Times New Roman" w:cs="Times New Roman"/>
          <w:color w:val="auto"/>
          <w:szCs w:val="20"/>
        </w:rPr>
        <w:t xml:space="preserve">. </w:t>
      </w:r>
      <w:r w:rsidR="00AC4670" w:rsidRPr="00FA21D2">
        <w:rPr>
          <w:rFonts w:ascii="Times New Roman" w:hAnsi="Times New Roman" w:cs="Times New Roman"/>
          <w:color w:val="auto"/>
          <w:szCs w:val="20"/>
        </w:rPr>
        <w:t>V</w:t>
      </w:r>
      <w:r w:rsidR="00166B9F" w:rsidRPr="00FA21D2">
        <w:rPr>
          <w:rFonts w:ascii="Times New Roman" w:hAnsi="Times New Roman" w:cs="Times New Roman"/>
          <w:color w:val="auto"/>
          <w:szCs w:val="20"/>
        </w:rPr>
        <w:t> </w:t>
      </w:r>
      <w:r w:rsidR="00AC4670" w:rsidRPr="00FA21D2">
        <w:rPr>
          <w:rFonts w:ascii="Times New Roman" w:hAnsi="Times New Roman" w:cs="Times New Roman"/>
          <w:color w:val="auto"/>
          <w:szCs w:val="20"/>
        </w:rPr>
        <w:t>tabuľk</w:t>
      </w:r>
      <w:r w:rsidR="00166B9F" w:rsidRPr="00FA21D2">
        <w:rPr>
          <w:rFonts w:ascii="Times New Roman" w:hAnsi="Times New Roman" w:cs="Times New Roman"/>
          <w:color w:val="auto"/>
          <w:szCs w:val="20"/>
        </w:rPr>
        <w:t xml:space="preserve">e č. 1 a tabuľke č. 2 </w:t>
      </w:r>
      <w:r w:rsidR="00AC4670" w:rsidRPr="00FA21D2">
        <w:rPr>
          <w:rFonts w:ascii="Times New Roman" w:hAnsi="Times New Roman" w:cs="Times New Roman"/>
          <w:color w:val="auto"/>
          <w:szCs w:val="20"/>
        </w:rPr>
        <w:t xml:space="preserve">je </w:t>
      </w:r>
      <w:r w:rsidR="00C01379" w:rsidRPr="00FA21D2">
        <w:rPr>
          <w:rFonts w:ascii="Times New Roman" w:hAnsi="Times New Roman" w:cs="Times New Roman"/>
          <w:color w:val="auto"/>
          <w:szCs w:val="20"/>
        </w:rPr>
        <w:t xml:space="preserve">uvedený </w:t>
      </w:r>
      <w:r w:rsidR="002601BA" w:rsidRPr="00FA21D2">
        <w:rPr>
          <w:rFonts w:ascii="Times New Roman" w:hAnsi="Times New Roman" w:cs="Times New Roman"/>
          <w:color w:val="auto"/>
          <w:szCs w:val="20"/>
        </w:rPr>
        <w:t>prehľad zmien stupňa ochrany</w:t>
      </w:r>
      <w:r w:rsidR="00C01379" w:rsidRPr="00FA21D2">
        <w:rPr>
          <w:rFonts w:ascii="Times New Roman" w:hAnsi="Times New Roman" w:cs="Times New Roman"/>
          <w:color w:val="auto"/>
          <w:szCs w:val="20"/>
        </w:rPr>
        <w:t>.</w:t>
      </w:r>
      <w:r w:rsidR="00AB1524" w:rsidRPr="00FA21D2">
        <w:rPr>
          <w:rFonts w:ascii="Times New Roman" w:hAnsi="Times New Roman" w:cs="Times New Roman"/>
          <w:color w:val="auto"/>
          <w:szCs w:val="20"/>
        </w:rPr>
        <w:t xml:space="preserve"> Podrobný prehľad </w:t>
      </w:r>
      <w:r w:rsidR="00641FB9" w:rsidRPr="00FA21D2">
        <w:rPr>
          <w:rFonts w:ascii="Times New Roman" w:hAnsi="Times New Roman" w:cs="Times New Roman"/>
          <w:color w:val="auto"/>
          <w:szCs w:val="20"/>
        </w:rPr>
        <w:t xml:space="preserve">zvýšení stupňa ochrany </w:t>
      </w:r>
      <w:r w:rsidR="00AB1524" w:rsidRPr="00FA21D2">
        <w:rPr>
          <w:rFonts w:ascii="Times New Roman" w:hAnsi="Times New Roman" w:cs="Times New Roman"/>
          <w:color w:val="auto"/>
          <w:szCs w:val="20"/>
        </w:rPr>
        <w:t>za jednotlivé ÚEV</w:t>
      </w:r>
      <w:r w:rsidR="00E42D7B" w:rsidRPr="00FA21D2">
        <w:rPr>
          <w:rFonts w:ascii="Times New Roman" w:hAnsi="Times New Roman" w:cs="Times New Roman"/>
          <w:color w:val="auto"/>
          <w:szCs w:val="20"/>
        </w:rPr>
        <w:t xml:space="preserve">, ako aj zoznam parciel, ktoré boli na základe prerokovaní podľa § 27 ods. 3 zákona č. 543/2002 Z. z. doplnené k existujúcim ÚEV, </w:t>
      </w:r>
      <w:r w:rsidR="00AB1524" w:rsidRPr="00FA21D2">
        <w:rPr>
          <w:rFonts w:ascii="Times New Roman" w:hAnsi="Times New Roman" w:cs="Times New Roman"/>
          <w:color w:val="auto"/>
          <w:szCs w:val="20"/>
        </w:rPr>
        <w:t>je zverejnený na webovom sídle Štátnej ochrany prírody Slovenskej republiky</w:t>
      </w:r>
      <w:r w:rsidR="009D14D3" w:rsidRPr="00FA21D2">
        <w:t xml:space="preserve"> </w:t>
      </w:r>
      <w:hyperlink r:id="rId8" w:history="1">
        <w:r w:rsidR="009D14D3" w:rsidRPr="00FA21D2">
          <w:rPr>
            <w:rStyle w:val="Hypertextovprepojenie"/>
            <w:rFonts w:ascii="Times New Roman" w:hAnsi="Times New Roman"/>
            <w:szCs w:val="20"/>
          </w:rPr>
          <w:t>https://www.sopsr.sk/natura/index1.php?p=4&amp;lang=sk&amp;sec=2</w:t>
        </w:r>
      </w:hyperlink>
      <w:r w:rsidR="009D14D3" w:rsidRPr="00FA21D2">
        <w:rPr>
          <w:rFonts w:ascii="Times New Roman" w:hAnsi="Times New Roman" w:cs="Times New Roman"/>
          <w:color w:val="auto"/>
          <w:szCs w:val="20"/>
        </w:rPr>
        <w:t xml:space="preserve">. </w:t>
      </w:r>
      <w:r w:rsidR="00AB1524" w:rsidRPr="00FA21D2">
        <w:rPr>
          <w:rFonts w:ascii="Times New Roman" w:hAnsi="Times New Roman" w:cs="Times New Roman"/>
          <w:color w:val="auto"/>
          <w:szCs w:val="20"/>
        </w:rPr>
        <w:t xml:space="preserve"> </w:t>
      </w:r>
      <w:r w:rsidR="00166B9F" w:rsidRPr="00FA21D2">
        <w:rPr>
          <w:rFonts w:ascii="Times New Roman" w:hAnsi="Times New Roman" w:cs="Times New Roman"/>
          <w:color w:val="auto"/>
          <w:szCs w:val="20"/>
        </w:rPr>
        <w:t>V tabuľke č. 3 je prehľad zlučovaných ÚEV a v tabuľke č. 4 zoznam ÚEV, ktoré zasahujú do viacerých krajov.</w:t>
      </w:r>
    </w:p>
    <w:p w:rsidR="00AC4670" w:rsidRDefault="00AC4670" w:rsidP="00D76BA7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87854" w:rsidRPr="002601BA" w:rsidRDefault="002601BA" w:rsidP="00FD051F">
      <w:pPr>
        <w:pStyle w:val="Default"/>
        <w:spacing w:before="12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Tabuľka č. 1 </w:t>
      </w:r>
      <w:r w:rsidR="000C5848">
        <w:rPr>
          <w:rFonts w:ascii="Times New Roman" w:hAnsi="Times New Roman" w:cs="Times New Roman"/>
          <w:color w:val="auto"/>
          <w:sz w:val="22"/>
          <w:szCs w:val="22"/>
        </w:rPr>
        <w:t>Prehľad</w:t>
      </w: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 zmien stupňa ochrany 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701"/>
        <w:gridCol w:w="1701"/>
      </w:tblGrid>
      <w:tr w:rsidR="002456AD" w:rsidRPr="00D3655D" w:rsidTr="000D692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FD051F">
            <w:pPr>
              <w:widowControl/>
              <w:tabs>
                <w:tab w:val="left" w:pos="285"/>
              </w:tabs>
              <w:adjustRightInd/>
              <w:ind w:left="-75" w:firstLine="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b/>
                <w:bCs/>
                <w:color w:val="000000"/>
                <w:sz w:val="22"/>
                <w:szCs w:val="22"/>
              </w:rPr>
              <w:t>mena</w:t>
            </w:r>
            <w:r w:rsidRPr="00D3655D">
              <w:rPr>
                <w:b/>
                <w:bCs/>
                <w:color w:val="000000"/>
                <w:sz w:val="22"/>
                <w:szCs w:val="22"/>
              </w:rPr>
              <w:t xml:space="preserve"> stupňa ochrany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Na 2. stupeň (ha)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Na 3. stupeň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Na 4. stupeň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Na 5. stupeň (ha)</w:t>
            </w:r>
          </w:p>
        </w:tc>
      </w:tr>
      <w:tr w:rsidR="002456AD" w:rsidRPr="00D3655D" w:rsidTr="000D692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Z 1. stupňa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526,7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42,26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60,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17,4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456AD" w:rsidRPr="00D3655D" w:rsidTr="000D692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Z 2. stupňa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91,9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452,39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260,8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56AD" w:rsidRPr="00D3655D" w:rsidTr="000D692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Z 3. stupňa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189,7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76,69</w:t>
            </w:r>
          </w:p>
        </w:tc>
      </w:tr>
      <w:tr w:rsidR="002456AD" w:rsidRPr="00D3655D" w:rsidTr="000D692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Zo 4. stupňa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7A7B79" w:rsidRDefault="002456AD" w:rsidP="0064341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215,1</w:t>
            </w:r>
            <w:r w:rsidRPr="007A7B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56AD" w:rsidRPr="00D3655D" w:rsidTr="000D692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655D">
              <w:rPr>
                <w:color w:val="000000"/>
                <w:sz w:val="22"/>
                <w:szCs w:val="22"/>
              </w:rPr>
              <w:t>Z 5. stupňa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411,63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58,02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423D77" w:rsidRDefault="002456AD" w:rsidP="000C5848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D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6AD" w:rsidRPr="00D3655D" w:rsidTr="000D6920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456AD" w:rsidRPr="00D3655D" w:rsidRDefault="002456AD" w:rsidP="002456AD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POLU</w:t>
            </w:r>
            <w:r w:rsidRPr="00D3655D">
              <w:rPr>
                <w:b/>
                <w:bCs/>
                <w:color w:val="000000"/>
                <w:sz w:val="22"/>
                <w:szCs w:val="22"/>
              </w:rPr>
              <w:t xml:space="preserve"> v stupni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629,33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0C584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547,52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57330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55D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3655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AD" w:rsidRPr="00D3655D" w:rsidRDefault="002456AD" w:rsidP="00573308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570,14</w:t>
            </w:r>
          </w:p>
        </w:tc>
      </w:tr>
    </w:tbl>
    <w:p w:rsidR="002601BA" w:rsidRDefault="002601BA" w:rsidP="002601BA">
      <w:pPr>
        <w:jc w:val="both"/>
        <w:rPr>
          <w:rFonts w:eastAsia="Calibri"/>
          <w:strike/>
        </w:rPr>
      </w:pPr>
    </w:p>
    <w:p w:rsidR="000C5848" w:rsidRPr="002601BA" w:rsidRDefault="000C5848" w:rsidP="000C5848">
      <w:pPr>
        <w:pStyle w:val="Default"/>
        <w:spacing w:before="12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Tabuľka č.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Prehľad </w:t>
      </w:r>
      <w:r w:rsidR="002D3CEA">
        <w:rPr>
          <w:rFonts w:ascii="Times New Roman" w:hAnsi="Times New Roman" w:cs="Times New Roman"/>
          <w:color w:val="auto"/>
          <w:sz w:val="22"/>
          <w:szCs w:val="22"/>
        </w:rPr>
        <w:t>zvýšení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stupňa ochrany podľa vlastníctva (štátne/neštátne) a podľa druhu pozemkov</w:t>
      </w:r>
      <w:r w:rsidR="001966BA">
        <w:rPr>
          <w:rFonts w:ascii="Times New Roman" w:hAnsi="Times New Roman" w:cs="Times New Roman"/>
          <w:color w:val="auto"/>
          <w:sz w:val="22"/>
          <w:szCs w:val="22"/>
        </w:rPr>
        <w:t xml:space="preserve"> (DRP)</w:t>
      </w:r>
    </w:p>
    <w:tbl>
      <w:tblPr>
        <w:tblW w:w="99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800"/>
        <w:gridCol w:w="745"/>
        <w:gridCol w:w="1276"/>
        <w:gridCol w:w="2834"/>
        <w:gridCol w:w="745"/>
      </w:tblGrid>
      <w:tr w:rsidR="009C614C" w:rsidRPr="002E3597" w:rsidTr="00377F27">
        <w:trPr>
          <w:trHeight w:val="28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2E3597" w:rsidRDefault="009C614C" w:rsidP="002456A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2456AD">
              <w:rPr>
                <w:b/>
                <w:bCs/>
                <w:color w:val="000000"/>
                <w:sz w:val="22"/>
                <w:szCs w:val="22"/>
              </w:rPr>
              <w:t xml:space="preserve">POLU </w:t>
            </w:r>
            <w:r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0A5AAA">
              <w:rPr>
                <w:b/>
                <w:bCs/>
                <w:color w:val="000000"/>
                <w:sz w:val="22"/>
                <w:szCs w:val="22"/>
              </w:rPr>
              <w:t xml:space="preserve"> 1. do 2. stupňa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614C" w:rsidRPr="000A5AAA" w:rsidRDefault="009C614C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0A5AAA">
              <w:rPr>
                <w:b/>
                <w:color w:val="000000"/>
                <w:sz w:val="22"/>
                <w:szCs w:val="22"/>
              </w:rPr>
              <w:t>526,73</w:t>
            </w:r>
          </w:p>
        </w:tc>
      </w:tr>
      <w:tr w:rsidR="009C614C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260,94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265,79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18,19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36,42</w:t>
            </w:r>
          </w:p>
        </w:tc>
      </w:tr>
      <w:tr w:rsidR="009C614C" w:rsidRPr="002E3597" w:rsidTr="00841113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135,62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35,52</w:t>
            </w:r>
          </w:p>
        </w:tc>
      </w:tr>
      <w:tr w:rsidR="009C614C" w:rsidRPr="002E3597" w:rsidTr="00841113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Orná pôda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Orná pôda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65,27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12,06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100,38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Vinica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Vinica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7,06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2,81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Záhrada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Záhrada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9C614C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2E3597" w:rsidRDefault="001835A3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9C614C" w:rsidRPr="000A5AAA">
              <w:rPr>
                <w:b/>
                <w:bCs/>
                <w:color w:val="000000"/>
                <w:sz w:val="22"/>
                <w:szCs w:val="22"/>
              </w:rPr>
              <w:t xml:space="preserve"> 1. do 3. stupňa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614C" w:rsidRPr="000A5AAA" w:rsidRDefault="009C614C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0A5AAA">
              <w:rPr>
                <w:b/>
                <w:color w:val="000000"/>
                <w:sz w:val="22"/>
                <w:szCs w:val="22"/>
              </w:rPr>
              <w:t>42,26</w:t>
            </w:r>
          </w:p>
        </w:tc>
      </w:tr>
      <w:tr w:rsidR="009C614C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7,49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34,77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4,77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ED6C25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27,68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4,43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1,69</w:t>
            </w:r>
          </w:p>
        </w:tc>
      </w:tr>
      <w:tr w:rsidR="009C614C" w:rsidRPr="002E3597" w:rsidTr="00377F27">
        <w:trPr>
          <w:trHeight w:val="300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0A5AAA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9C614C" w:rsidRPr="002E3597" w:rsidTr="00377F27">
        <w:trPr>
          <w:trHeight w:val="30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Záhrada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0A5AAA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9C614C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2E3597" w:rsidRDefault="001835A3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9C614C" w:rsidRPr="000A5AAA">
              <w:rPr>
                <w:b/>
                <w:bCs/>
                <w:color w:val="000000"/>
                <w:sz w:val="22"/>
                <w:szCs w:val="22"/>
              </w:rPr>
              <w:t xml:space="preserve"> 1. do 4. stupňa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614C" w:rsidRPr="000A5AAA" w:rsidRDefault="009C614C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0A5AAA">
              <w:rPr>
                <w:b/>
                <w:color w:val="000000"/>
                <w:sz w:val="22"/>
                <w:szCs w:val="22"/>
              </w:rPr>
              <w:t>60,80</w:t>
            </w:r>
          </w:p>
        </w:tc>
      </w:tr>
      <w:tr w:rsidR="009C614C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57,77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49,14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Orná pôda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8,27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9C614C" w:rsidRPr="002E3597" w:rsidTr="00377F27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C614C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2E3597" w:rsidRDefault="001835A3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9C614C" w:rsidRPr="000A5AAA">
              <w:rPr>
                <w:b/>
                <w:bCs/>
                <w:color w:val="000000"/>
                <w:sz w:val="22"/>
                <w:szCs w:val="22"/>
              </w:rPr>
              <w:t xml:space="preserve"> 1. do 5. stupňa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C614C" w:rsidRPr="00977432" w:rsidRDefault="009C614C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977432">
              <w:rPr>
                <w:b/>
                <w:color w:val="000000"/>
                <w:sz w:val="22"/>
                <w:szCs w:val="22"/>
              </w:rPr>
              <w:t>17,44</w:t>
            </w:r>
          </w:p>
        </w:tc>
      </w:tr>
      <w:tr w:rsidR="009C614C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7E66EC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16,97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9C614C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4C" w:rsidRPr="000A5AAA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14C" w:rsidRPr="002E3597" w:rsidRDefault="009C614C" w:rsidP="009D769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C614C" w:rsidRPr="002E3597" w:rsidRDefault="009C614C" w:rsidP="009D769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C" w:rsidRPr="002E3597" w:rsidRDefault="009C614C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16,27</w:t>
            </w:r>
          </w:p>
        </w:tc>
      </w:tr>
      <w:tr w:rsidR="00977432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7432" w:rsidRPr="002E3597" w:rsidRDefault="001835A3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977432" w:rsidRPr="000A5AAA">
              <w:rPr>
                <w:b/>
                <w:bCs/>
                <w:color w:val="000000"/>
                <w:sz w:val="22"/>
                <w:szCs w:val="22"/>
              </w:rPr>
              <w:t xml:space="preserve"> 2. do 3. stupňa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77432" w:rsidRPr="00977432" w:rsidRDefault="00977432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977432">
              <w:rPr>
                <w:b/>
                <w:color w:val="000000"/>
                <w:sz w:val="22"/>
                <w:szCs w:val="22"/>
              </w:rPr>
              <w:t>91,93</w:t>
            </w:r>
          </w:p>
        </w:tc>
      </w:tr>
      <w:tr w:rsidR="00977432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32" w:rsidRPr="002E3597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432" w:rsidRPr="002E3597" w:rsidRDefault="0097743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34,23</w:t>
            </w:r>
          </w:p>
        </w:tc>
      </w:tr>
      <w:tr w:rsidR="00977432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432" w:rsidRPr="002E3597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77432" w:rsidRPr="002E3597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32" w:rsidRPr="002E3597" w:rsidRDefault="0097743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77432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53,53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77432" w:rsidRPr="002E3597" w:rsidRDefault="00977432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77432" w:rsidRPr="002E3597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32" w:rsidRPr="002E3597" w:rsidRDefault="0097743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31,18</w:t>
            </w:r>
          </w:p>
        </w:tc>
      </w:tr>
      <w:tr w:rsidR="00977432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32" w:rsidRPr="000A5AAA" w:rsidRDefault="00977432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77432" w:rsidRPr="002E3597" w:rsidRDefault="00977432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77432" w:rsidRPr="002E3597" w:rsidRDefault="00977432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32" w:rsidRPr="002E3597" w:rsidRDefault="0097743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2,44</w:t>
            </w:r>
          </w:p>
        </w:tc>
      </w:tr>
      <w:tr w:rsidR="00B5720A" w:rsidRPr="002E3597" w:rsidTr="00377F27">
        <w:trPr>
          <w:trHeight w:val="300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720A" w:rsidRPr="000A5AAA" w:rsidRDefault="00B5720A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720A" w:rsidRPr="002E3597" w:rsidRDefault="00B5720A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5720A" w:rsidRPr="002E3597" w:rsidRDefault="00B5720A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Orná pôda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0A" w:rsidRPr="002E3597" w:rsidRDefault="00B5720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B5720A" w:rsidRPr="002E3597" w:rsidTr="00377F27">
        <w:trPr>
          <w:trHeight w:val="30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720A" w:rsidRPr="000A5AAA" w:rsidRDefault="00B5720A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720A" w:rsidRPr="002E3597" w:rsidRDefault="00B5720A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5720A" w:rsidRPr="002E3597" w:rsidRDefault="00B5720A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0A" w:rsidRPr="002E3597" w:rsidRDefault="00B5720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B5720A" w:rsidRPr="002E3597" w:rsidTr="00377F27">
        <w:trPr>
          <w:trHeight w:val="30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720A" w:rsidRPr="000A5AAA" w:rsidRDefault="00B5720A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A" w:rsidRPr="002E3597" w:rsidRDefault="00B5720A" w:rsidP="0097743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5720A" w:rsidRPr="002E3597" w:rsidRDefault="00B5720A" w:rsidP="0097743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0A" w:rsidRPr="002E3597" w:rsidRDefault="00B5720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21B88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1B88" w:rsidRPr="002E3597" w:rsidRDefault="001835A3" w:rsidP="00A21B8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A21B88" w:rsidRPr="000A5AAA">
              <w:rPr>
                <w:b/>
                <w:bCs/>
                <w:color w:val="000000"/>
                <w:sz w:val="22"/>
                <w:szCs w:val="22"/>
              </w:rPr>
              <w:t xml:space="preserve"> 2. do 4. stupňa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21B88" w:rsidRPr="009F373A" w:rsidRDefault="00A21B88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9F373A">
              <w:rPr>
                <w:b/>
                <w:color w:val="000000"/>
                <w:sz w:val="22"/>
                <w:szCs w:val="22"/>
              </w:rPr>
              <w:t>452,39</w:t>
            </w:r>
          </w:p>
        </w:tc>
      </w:tr>
      <w:tr w:rsidR="00A21B88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1B88" w:rsidRPr="000A5AAA" w:rsidRDefault="00A21B88" w:rsidP="00A21B88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1B88" w:rsidRPr="000A5AAA" w:rsidRDefault="00A21B88" w:rsidP="00A21B8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64,96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88" w:rsidRPr="002E3597" w:rsidRDefault="00A21B88" w:rsidP="00A21B8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B88" w:rsidRPr="002E3597" w:rsidRDefault="00A21B88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394,72</w:t>
            </w:r>
          </w:p>
        </w:tc>
      </w:tr>
      <w:tr w:rsidR="0020441D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24,64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41D" w:rsidRPr="002E3597" w:rsidRDefault="00FD5283" w:rsidP="00FD5283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441D" w:rsidRPr="002E3597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1D" w:rsidRPr="002E3597" w:rsidRDefault="0020441D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366,27</w:t>
            </w:r>
          </w:p>
        </w:tc>
      </w:tr>
      <w:tr w:rsidR="0020441D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25,46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441D" w:rsidRPr="002E3597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441D" w:rsidRPr="002E3597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1D" w:rsidRPr="002E3597" w:rsidRDefault="0020441D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4,33</w:t>
            </w:r>
          </w:p>
        </w:tc>
      </w:tr>
      <w:tr w:rsidR="0020441D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441D" w:rsidRPr="002E3597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441D" w:rsidRPr="002E3597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1D" w:rsidRPr="002E3597" w:rsidRDefault="0020441D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16,59</w:t>
            </w:r>
          </w:p>
        </w:tc>
      </w:tr>
      <w:tr w:rsidR="0020441D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D" w:rsidRPr="000A5AAA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12,21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441D" w:rsidRPr="002E3597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441D" w:rsidRPr="002E3597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1D" w:rsidRPr="002E3597" w:rsidRDefault="0020441D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0441D" w:rsidRPr="002E3597" w:rsidTr="00377F27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41D" w:rsidRPr="000A5AAA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41D" w:rsidRPr="002E3597" w:rsidRDefault="0020441D" w:rsidP="0020441D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441D" w:rsidRPr="002E3597" w:rsidRDefault="0020441D" w:rsidP="0020441D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Záhrada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1D" w:rsidRPr="002E3597" w:rsidRDefault="0020441D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054B6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54B6" w:rsidRPr="002E3597" w:rsidRDefault="001835A3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E054B6" w:rsidRPr="000A5AAA">
              <w:rPr>
                <w:b/>
                <w:bCs/>
                <w:color w:val="000000"/>
                <w:sz w:val="22"/>
                <w:szCs w:val="22"/>
              </w:rPr>
              <w:t xml:space="preserve"> 2. do 5. stupňa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54B6" w:rsidRPr="009F373A" w:rsidRDefault="00E054B6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9F373A">
              <w:rPr>
                <w:b/>
                <w:color w:val="000000"/>
                <w:sz w:val="22"/>
                <w:szCs w:val="22"/>
              </w:rPr>
              <w:t>260,82</w:t>
            </w:r>
          </w:p>
        </w:tc>
      </w:tr>
      <w:tr w:rsidR="00E054B6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60,82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4B6" w:rsidRPr="002E3597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4B6" w:rsidRPr="002E3597" w:rsidRDefault="00E054B6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200,01</w:t>
            </w:r>
          </w:p>
        </w:tc>
      </w:tr>
      <w:tr w:rsidR="00E054B6" w:rsidRPr="002E3597" w:rsidTr="00CB00E6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30,43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4B6" w:rsidRPr="002E3597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054B6" w:rsidRPr="002E3597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B6" w:rsidRPr="002E3597" w:rsidRDefault="00E054B6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199,93</w:t>
            </w:r>
          </w:p>
        </w:tc>
      </w:tr>
      <w:tr w:rsidR="00E054B6" w:rsidRPr="002E3597" w:rsidTr="00CB00E6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B6" w:rsidRPr="000A5AAA" w:rsidRDefault="00E054B6" w:rsidP="00E054B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30,39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E054B6" w:rsidRPr="002E3597" w:rsidRDefault="00E054B6" w:rsidP="00E054B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054B6" w:rsidRPr="002E3597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B6" w:rsidRPr="002E3597" w:rsidRDefault="00E054B6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054B6" w:rsidRPr="002E3597" w:rsidTr="00CB00E6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054B6" w:rsidRPr="000A5AAA" w:rsidRDefault="00E054B6" w:rsidP="00E054B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4B6" w:rsidRPr="002E3597" w:rsidRDefault="00E054B6" w:rsidP="00E054B6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054B6" w:rsidRPr="002E3597" w:rsidRDefault="00E054B6" w:rsidP="00E054B6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B6" w:rsidRPr="002E3597" w:rsidRDefault="00E054B6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9F373A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3A" w:rsidRPr="002E3597" w:rsidRDefault="001835A3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9F373A" w:rsidRPr="000A5AAA">
              <w:rPr>
                <w:b/>
                <w:bCs/>
                <w:color w:val="000000"/>
                <w:sz w:val="22"/>
                <w:szCs w:val="22"/>
              </w:rPr>
              <w:t xml:space="preserve"> 3. do 4. stupňa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F373A" w:rsidRPr="009F373A" w:rsidRDefault="009F373A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9F373A">
              <w:rPr>
                <w:b/>
                <w:color w:val="000000"/>
                <w:sz w:val="22"/>
                <w:szCs w:val="22"/>
              </w:rPr>
              <w:t>189,74</w:t>
            </w:r>
          </w:p>
        </w:tc>
      </w:tr>
      <w:tr w:rsidR="009F373A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94,47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73A" w:rsidRPr="002E3597" w:rsidRDefault="009F373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95,27</w:t>
            </w:r>
          </w:p>
        </w:tc>
      </w:tr>
      <w:tr w:rsidR="009F373A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3A" w:rsidRPr="002E3597" w:rsidRDefault="009F373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F373A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92,35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373A" w:rsidRPr="002E3597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3A" w:rsidRPr="002E3597" w:rsidRDefault="009F373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94,12</w:t>
            </w:r>
          </w:p>
        </w:tc>
      </w:tr>
      <w:tr w:rsidR="009F373A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373A" w:rsidRPr="002E3597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3A" w:rsidRPr="002E3597" w:rsidRDefault="009F373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9F373A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3A" w:rsidRPr="000A5AAA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373A" w:rsidRPr="002E3597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Trvalý trávny porast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3A" w:rsidRPr="002E3597" w:rsidRDefault="009F373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9F373A" w:rsidRPr="002E3597" w:rsidTr="00377F27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F373A" w:rsidRPr="000A5AAA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73A" w:rsidRPr="002E3597" w:rsidRDefault="009F373A" w:rsidP="009F373A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F373A" w:rsidRPr="002E3597" w:rsidRDefault="009F373A" w:rsidP="009F373A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3A" w:rsidRPr="002E3597" w:rsidRDefault="009F373A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A4998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998" w:rsidRPr="002E3597" w:rsidRDefault="001835A3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9A4998" w:rsidRPr="000A5AAA">
              <w:rPr>
                <w:b/>
                <w:bCs/>
                <w:color w:val="000000"/>
                <w:sz w:val="22"/>
                <w:szCs w:val="22"/>
              </w:rPr>
              <w:t xml:space="preserve"> 3. do 5. stupňa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4998" w:rsidRPr="00745131" w:rsidRDefault="009A4998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745131">
              <w:rPr>
                <w:b/>
                <w:color w:val="000000"/>
                <w:sz w:val="22"/>
                <w:szCs w:val="22"/>
              </w:rPr>
              <w:t>76,69</w:t>
            </w:r>
          </w:p>
        </w:tc>
      </w:tr>
      <w:tr w:rsidR="009A4998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9,38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98" w:rsidRPr="002E3597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998" w:rsidRPr="002E3597" w:rsidRDefault="009A4998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67,31</w:t>
            </w:r>
          </w:p>
        </w:tc>
      </w:tr>
      <w:tr w:rsidR="009A4998" w:rsidRPr="002E3597" w:rsidTr="00377F27">
        <w:trPr>
          <w:trHeight w:val="3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98" w:rsidRPr="002E3597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4998" w:rsidRPr="002E3597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Vodná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98" w:rsidRPr="002E3597" w:rsidRDefault="009A4998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9A4998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A4998" w:rsidRPr="002E3597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4998" w:rsidRPr="002E3597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98" w:rsidRPr="002E3597" w:rsidRDefault="009A4998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66,04</w:t>
            </w:r>
          </w:p>
        </w:tc>
      </w:tr>
      <w:tr w:rsidR="009A4998" w:rsidRPr="002E3597" w:rsidTr="00377F27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98" w:rsidRPr="000A5AAA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A4998" w:rsidRPr="002E3597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4998" w:rsidRPr="002E3597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Ostatná plocha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98" w:rsidRPr="002E3597" w:rsidRDefault="009A4998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9A4998" w:rsidRPr="002E3597" w:rsidTr="00377F27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A4998" w:rsidRPr="000A5AAA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998" w:rsidRPr="002E3597" w:rsidRDefault="009A4998" w:rsidP="009A4998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A4998" w:rsidRPr="002E3597" w:rsidRDefault="009A4998" w:rsidP="009A4998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98" w:rsidRPr="002E3597" w:rsidRDefault="009A4998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644E2" w:rsidRPr="002E3597" w:rsidTr="00377F2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44E2" w:rsidRPr="002E3597" w:rsidRDefault="001835A3" w:rsidP="009644E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z</w:t>
            </w:r>
            <w:r w:rsidR="000F7BAF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="009644E2" w:rsidRPr="000A5AAA">
              <w:rPr>
                <w:b/>
                <w:bCs/>
                <w:color w:val="000000"/>
                <w:sz w:val="22"/>
                <w:szCs w:val="22"/>
              </w:rPr>
              <w:t xml:space="preserve"> 4. do 5. stupňa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644E2" w:rsidRPr="00745131" w:rsidRDefault="009644E2" w:rsidP="004E1CF1">
            <w:pPr>
              <w:widowControl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745131">
              <w:rPr>
                <w:b/>
                <w:color w:val="000000"/>
                <w:sz w:val="22"/>
                <w:szCs w:val="22"/>
              </w:rPr>
              <w:t>215,19</w:t>
            </w:r>
          </w:p>
        </w:tc>
      </w:tr>
      <w:tr w:rsidR="009644E2" w:rsidRPr="002E3597" w:rsidTr="00377F27">
        <w:trPr>
          <w:trHeight w:val="30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44E2" w:rsidRPr="000A5AAA" w:rsidRDefault="009644E2" w:rsidP="009644E2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44E2" w:rsidRPr="000A5AAA" w:rsidRDefault="009644E2" w:rsidP="009644E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73,94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4E2" w:rsidRPr="002E3597" w:rsidRDefault="009644E2" w:rsidP="009644E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vlastníctvo (ha)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4E2" w:rsidRPr="002E3597" w:rsidRDefault="009644E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141,25</w:t>
            </w:r>
          </w:p>
        </w:tc>
      </w:tr>
      <w:tr w:rsidR="009644E2" w:rsidRPr="002E3597" w:rsidTr="00377F2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44E2" w:rsidRPr="000A5AAA" w:rsidRDefault="009644E2" w:rsidP="009644E2">
            <w:pPr>
              <w:widowControl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Štátne (DRP)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644E2" w:rsidRPr="000A5AAA" w:rsidRDefault="009644E2" w:rsidP="009644E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E2" w:rsidRPr="000A5AAA" w:rsidRDefault="009644E2" w:rsidP="009644E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73,94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4E2" w:rsidRPr="002E3597" w:rsidRDefault="009644E2" w:rsidP="009644E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b/>
                <w:bCs/>
                <w:color w:val="000000"/>
                <w:sz w:val="22"/>
                <w:szCs w:val="22"/>
              </w:rPr>
              <w:t>Neštátne (DRP)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44E2" w:rsidRPr="002E3597" w:rsidRDefault="009644E2" w:rsidP="009644E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Lesný pozemok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E2" w:rsidRPr="002E3597" w:rsidRDefault="009644E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141,11</w:t>
            </w:r>
          </w:p>
        </w:tc>
      </w:tr>
      <w:tr w:rsidR="009644E2" w:rsidRPr="002E3597" w:rsidTr="00377F27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4E2" w:rsidRPr="000A5AAA" w:rsidRDefault="009644E2" w:rsidP="009644E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4E2" w:rsidRPr="002E3597" w:rsidRDefault="009644E2" w:rsidP="009644E2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44E2" w:rsidRPr="002E3597" w:rsidRDefault="009644E2" w:rsidP="009644E2">
            <w:pPr>
              <w:widowControl/>
              <w:adjustRightInd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Zastavaná plocha a nádvorie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4E2" w:rsidRPr="002E3597" w:rsidRDefault="009644E2" w:rsidP="004E1CF1">
            <w:pPr>
              <w:widowControl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5AAA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9644E2" w:rsidRPr="002E3597" w:rsidTr="00377F27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E2" w:rsidRPr="000A5AAA" w:rsidRDefault="009644E2" w:rsidP="001966BA">
            <w:pPr>
              <w:widowControl/>
              <w:adjustRightInd/>
              <w:ind w:right="5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E2" w:rsidRPr="000A5AAA" w:rsidRDefault="009644E2" w:rsidP="009644E2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E2" w:rsidRPr="000A5AAA" w:rsidRDefault="009644E2" w:rsidP="009644E2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644E2" w:rsidRPr="002E3597" w:rsidRDefault="009644E2" w:rsidP="009644E2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644E2" w:rsidRPr="002E3597" w:rsidRDefault="009644E2" w:rsidP="009644E2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644E2" w:rsidRPr="002E3597" w:rsidRDefault="009644E2" w:rsidP="009644E2">
            <w:pPr>
              <w:widowControl/>
              <w:adjustRightInd/>
              <w:rPr>
                <w:sz w:val="22"/>
                <w:szCs w:val="22"/>
              </w:rPr>
            </w:pPr>
          </w:p>
        </w:tc>
      </w:tr>
    </w:tbl>
    <w:p w:rsidR="001966BA" w:rsidRDefault="001966BA" w:rsidP="00D76BA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01BA" w:rsidRPr="002601BA" w:rsidRDefault="002601BA" w:rsidP="00D76BA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Tabuľka č. </w:t>
      </w:r>
      <w:r w:rsidR="000F7BA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 Zoznam ÚEV, kde došlo k zlúčeniu kódov (spojen</w:t>
      </w:r>
      <w:r w:rsidR="00A15125">
        <w:rPr>
          <w:rFonts w:ascii="Times New Roman" w:hAnsi="Times New Roman" w:cs="Times New Roman"/>
          <w:color w:val="auto"/>
          <w:sz w:val="22"/>
          <w:szCs w:val="22"/>
        </w:rPr>
        <w:t>ím</w:t>
      </w:r>
      <w:r w:rsidRPr="002601BA">
        <w:rPr>
          <w:rFonts w:ascii="Times New Roman" w:hAnsi="Times New Roman" w:cs="Times New Roman"/>
          <w:color w:val="auto"/>
          <w:sz w:val="22"/>
          <w:szCs w:val="22"/>
        </w:rPr>
        <w:t xml:space="preserve"> rozširovaných ÚEV)</w:t>
      </w:r>
    </w:p>
    <w:p w:rsidR="002601BA" w:rsidRDefault="002601BA" w:rsidP="00261C7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82"/>
        <w:gridCol w:w="4536"/>
      </w:tblGrid>
      <w:tr w:rsidR="00760393" w:rsidRPr="00D924B1" w:rsidTr="00906A00">
        <w:trPr>
          <w:trHeight w:val="255"/>
          <w:tblHeader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60393" w:rsidRPr="00D924B1" w:rsidRDefault="00760393" w:rsidP="00A15125">
            <w:pPr>
              <w:rPr>
                <w:b/>
                <w:bCs/>
              </w:rPr>
            </w:pPr>
            <w:r w:rsidRPr="00D924B1">
              <w:rPr>
                <w:b/>
                <w:bCs/>
              </w:rPr>
              <w:t>Kód ÚEV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60393" w:rsidRPr="00D924B1" w:rsidRDefault="00760393" w:rsidP="00A15125">
            <w:pPr>
              <w:rPr>
                <w:b/>
                <w:bCs/>
              </w:rPr>
            </w:pPr>
            <w:r w:rsidRPr="00D924B1">
              <w:rPr>
                <w:b/>
                <w:bCs/>
              </w:rPr>
              <w:t>Názov ÚEV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60393" w:rsidRPr="00D924B1" w:rsidRDefault="00313128" w:rsidP="00E42D7B">
            <w:pPr>
              <w:rPr>
                <w:b/>
                <w:bCs/>
              </w:rPr>
            </w:pPr>
            <w:r>
              <w:rPr>
                <w:b/>
                <w:bCs/>
              </w:rPr>
              <w:t>Kódy, ktorými sa ÚEV rozširovali v r</w:t>
            </w:r>
            <w:r w:rsidR="00E42D7B">
              <w:rPr>
                <w:b/>
                <w:bCs/>
              </w:rPr>
              <w:t>oku</w:t>
            </w:r>
            <w:r>
              <w:rPr>
                <w:b/>
                <w:bCs/>
              </w:rPr>
              <w:t xml:space="preserve"> 2011, 2017 alebo 2022 a ktoré zaniknú zlúčením rozširovaných ÚEV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SKUEV0007 </w:t>
            </w:r>
          </w:p>
        </w:tc>
        <w:tc>
          <w:tcPr>
            <w:tcW w:w="29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Čičarovský</w:t>
            </w:r>
            <w:proofErr w:type="spellEnd"/>
            <w:r w:rsidRPr="00D924B1">
              <w:rPr>
                <w:color w:val="000000"/>
              </w:rPr>
              <w:t xml:space="preserve"> les 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SKUEV1007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SKUEV0013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Stráž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SKUEV1013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SKUEV0014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Lázky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SKUEV3014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SKUEV0019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Tarbucka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SKUEV2019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SKUEV0048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Dukla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SKUEV3048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SKUEV0059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Jelšie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SKUEV1059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SKUEV0064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Bratislavské luhy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313128">
            <w:r w:rsidRPr="00D924B1">
              <w:rPr>
                <w:color w:val="000000"/>
              </w:rPr>
              <w:t xml:space="preserve"> SKUEV1064</w:t>
            </w:r>
            <w:r w:rsidR="00313128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SKUEV2064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SKUEV0067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Čenkov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SKUEV2067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SKUEV0090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Dunajské luhy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SKUEV2090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SKUEV0098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Nesvadské</w:t>
            </w:r>
            <w:proofErr w:type="spellEnd"/>
            <w:r w:rsidRPr="00D924B1">
              <w:rPr>
                <w:color w:val="000000"/>
              </w:rPr>
              <w:t xml:space="preserve"> piesky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SKUEV2098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SKUEV0101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Klokočovské</w:t>
            </w:r>
            <w:proofErr w:type="spellEnd"/>
            <w:r w:rsidRPr="00D924B1">
              <w:rPr>
                <w:color w:val="000000"/>
              </w:rPr>
              <w:t xml:space="preserve"> rašeliniská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SKUEV2101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SKUEV0104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Homoľské</w:t>
            </w:r>
            <w:proofErr w:type="spellEnd"/>
            <w:r w:rsidRPr="00D924B1">
              <w:rPr>
                <w:color w:val="000000"/>
              </w:rPr>
              <w:t xml:space="preserve"> Karpaty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SKUEV3104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SKUEV0105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Spišskopodhradské</w:t>
            </w:r>
            <w:proofErr w:type="spellEnd"/>
            <w:r w:rsidRPr="00D924B1">
              <w:rPr>
                <w:color w:val="000000"/>
              </w:rPr>
              <w:t xml:space="preserve"> travertíny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A12334">
            <w:r w:rsidRPr="00D924B1">
              <w:rPr>
                <w:color w:val="000000"/>
              </w:rPr>
              <w:t xml:space="preserve"> SKUEV2105</w:t>
            </w:r>
            <w:r w:rsidR="00313128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SKUEV3105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93" w:rsidRPr="00D924B1" w:rsidRDefault="00760393" w:rsidP="006954CD">
            <w:pPr>
              <w:rPr>
                <w:color w:val="000000"/>
              </w:rPr>
            </w:pPr>
            <w:r>
              <w:rPr>
                <w:color w:val="000000"/>
              </w:rPr>
              <w:t xml:space="preserve"> SKUEV0107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93" w:rsidRPr="00D924B1" w:rsidRDefault="00760393" w:rsidP="00551AD5">
            <w:pPr>
              <w:rPr>
                <w:color w:val="000000"/>
              </w:rPr>
            </w:pPr>
            <w:proofErr w:type="spellStart"/>
            <w:r w:rsidRPr="00D924B1">
              <w:rPr>
                <w:color w:val="000000"/>
              </w:rPr>
              <w:t>Spišskopodhradské</w:t>
            </w:r>
            <w:proofErr w:type="spellEnd"/>
            <w:r w:rsidRPr="00D924B1">
              <w:rPr>
                <w:color w:val="000000"/>
              </w:rPr>
              <w:t xml:space="preserve"> stráne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pPr>
              <w:rPr>
                <w:color w:val="000000"/>
              </w:rPr>
            </w:pPr>
            <w:r>
              <w:rPr>
                <w:color w:val="000000"/>
              </w:rPr>
              <w:t xml:space="preserve"> SKUEV3107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SKUEV0112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Slovenský raj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313128">
            <w:r w:rsidRPr="00D924B1">
              <w:rPr>
                <w:color w:val="000000"/>
              </w:rPr>
              <w:t xml:space="preserve"> SKUEV2112</w:t>
            </w:r>
            <w:r w:rsidR="00313128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SKUEV3112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SKUEV0125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Gajarské</w:t>
            </w:r>
            <w:proofErr w:type="spellEnd"/>
            <w:r w:rsidRPr="00D924B1">
              <w:rPr>
                <w:color w:val="000000"/>
              </w:rPr>
              <w:t xml:space="preserve"> alúvium Moravy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SKUEV1125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SKUEV0133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Hôrky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SKUEV2133</w:t>
            </w:r>
            <w:r w:rsidR="00313128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SKUEV3133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SKUEV0149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Mackov bok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SKUEV1149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lastRenderedPageBreak/>
              <w:t xml:space="preserve"> SKUEV0152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Sliačske travertíny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SKUEV1152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SKUEV0155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Alúvium Starej Nitry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SKUEV2155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SKUEV015</w:t>
            </w:r>
            <w:r>
              <w:rPr>
                <w:color w:val="000000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Modrý</w:t>
            </w:r>
            <w:r w:rsidRPr="00D924B1">
              <w:rPr>
                <w:color w:val="000000"/>
              </w:rPr>
              <w:t xml:space="preserve"> vrch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SKUEV2158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SKUEV0165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Kútsky les</w:t>
            </w:r>
            <w:r w:rsidR="001A6640">
              <w:rPr>
                <w:color w:val="000000"/>
              </w:rPr>
              <w:t>*</w:t>
            </w:r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SKUEV2165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SKUEV0173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Kotlina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SKUEV1173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SKUEV0182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Číčovské</w:t>
            </w:r>
            <w:proofErr w:type="spellEnd"/>
            <w:r w:rsidRPr="00D924B1">
              <w:rPr>
                <w:color w:val="000000"/>
              </w:rPr>
              <w:t xml:space="preserve"> luhy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SKUEV1182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SKUEV0184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Burdov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SKUEV2184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SKUEV0197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Salatín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SKUEV1197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SKUEV0216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Sitno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SKUEV2216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SKUEV0222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Jelešňa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SKUEV2222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SKUEV0225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Muránska planina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SKUEV3225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SKUEV0227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Čiližské močiare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SKUEV1227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SKUEV0231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Brekovský</w:t>
            </w:r>
            <w:proofErr w:type="spellEnd"/>
            <w:r w:rsidRPr="00D924B1">
              <w:rPr>
                <w:color w:val="000000"/>
              </w:rPr>
              <w:t xml:space="preserve"> hradný vrch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SKUEV2231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SKUEV0240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Kľak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SKUEV2240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SKUEV0251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Zázrivské</w:t>
            </w:r>
            <w:proofErr w:type="spellEnd"/>
            <w:r w:rsidRPr="00D924B1">
              <w:rPr>
                <w:color w:val="000000"/>
              </w:rPr>
              <w:t xml:space="preserve"> lazy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SKUEV3251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SKUEV0256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Strážovské vrchy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SKUEV1256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SKUEV0267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Biele hory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SKUEV1267</w:t>
            </w:r>
            <w:r w:rsidR="00313128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SKUEV3267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SKUEV0269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Ostrovné lúčky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SKUEV1269</w:t>
            </w:r>
            <w:r w:rsidR="00313128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SKUEV2269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SKUEV0272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Vozokánsky</w:t>
            </w:r>
            <w:proofErr w:type="spellEnd"/>
            <w:r w:rsidRPr="00D924B1">
              <w:rPr>
                <w:color w:val="000000"/>
              </w:rPr>
              <w:t xml:space="preserve"> luh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SKUEV2272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SKUEV0276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Kuchynská hornatina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SKUEV1276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SKUEV0278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Brezovské Karpaty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SKUEV1278</w:t>
            </w:r>
            <w:r w:rsidR="00A15125">
              <w:rPr>
                <w:color w:val="000000"/>
              </w:rPr>
              <w:t xml:space="preserve">, </w:t>
            </w:r>
            <w:r w:rsidRPr="00D924B1">
              <w:t>SKUEV3278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SKUEV0282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Tisovský kras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SKUEV3282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SKUEV0284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Teplické stráne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SKUEV2284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SKUEV0285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Alúvium Muráňa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A15125">
            <w:r w:rsidRPr="00D924B1">
              <w:rPr>
                <w:color w:val="000000"/>
              </w:rPr>
              <w:t xml:space="preserve"> SKUEV2285</w:t>
            </w:r>
            <w:r w:rsidR="00A15125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SKUEV3285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SKUEV0287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Galmus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SKUEV3287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SKUEV0288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Kysucké Beskydy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SKUEV2288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SKUEV0293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Kľúčovské rameno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SKUEV1293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SKUEV0294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Bagovský</w:t>
            </w:r>
            <w:proofErr w:type="spellEnd"/>
            <w:r w:rsidRPr="00D924B1">
              <w:rPr>
                <w:color w:val="000000"/>
              </w:rPr>
              <w:t xml:space="preserve"> vrch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SKUEV2294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SKUEV0297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Brezinky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SKUEV1297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SKUEV0302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Ďumbierske Tatry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SKUEV1302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SKUEV0303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Alúvium Hrona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SKUEV1303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SKUEV0304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Oravská vodná nádrž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SKUEV2304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SKUEV0310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Kráľovohoľské Tatry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SKUEV1310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SKUEV0311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Kačenky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SKUEV1311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SKUEV0315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Skalické alúvium Moravy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SKUEV2315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SKUEV0316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Šranecké</w:t>
            </w:r>
            <w:proofErr w:type="spellEnd"/>
            <w:r w:rsidRPr="00D924B1">
              <w:rPr>
                <w:color w:val="000000"/>
              </w:rPr>
              <w:t xml:space="preserve"> piesky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SKUEV1316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SKUEV0318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Pod Bukovou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SKUEV2318</w:t>
            </w:r>
            <w:r w:rsidR="00A15125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SKUEV3318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SKUEV0337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Pieniny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SKUEV1337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SKUEV0341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Dolný vrch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SKUEV3341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SKUEV0342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Drieňovec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SKUEV3342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SKUEV0345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Kečovské</w:t>
            </w:r>
            <w:proofErr w:type="spellEnd"/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škrapy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SKUEV3345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SKUEV0353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Plešivská planina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SKUEV3353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lastRenderedPageBreak/>
              <w:t xml:space="preserve"> SKUEV0355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Fabiánka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SKUEV3355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SKUEV0356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Horný vrch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SKUEV3356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SKUEV0357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Cerová vrchovina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SKUEV1357</w:t>
            </w:r>
            <w:r w:rsidR="00A15125">
              <w:rPr>
                <w:color w:val="000000"/>
              </w:rPr>
              <w:t>,</w:t>
            </w:r>
            <w:r w:rsidRPr="00D924B1">
              <w:rPr>
                <w:color w:val="000000"/>
              </w:rPr>
              <w:t xml:space="preserve"> SKUEV2357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SKUEV0362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Pieskovcové chrbty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SKUEV1362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SKUEV0366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Drienčanský</w:t>
            </w:r>
            <w:proofErr w:type="spellEnd"/>
            <w:r w:rsidRPr="00D924B1">
              <w:rPr>
                <w:color w:val="000000"/>
              </w:rPr>
              <w:t xml:space="preserve"> kras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SKUEV2366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SKUEV0367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Holubyho</w:t>
            </w:r>
            <w:proofErr w:type="spellEnd"/>
            <w:r w:rsidRPr="00D924B1">
              <w:rPr>
                <w:color w:val="000000"/>
              </w:rPr>
              <w:t xml:space="preserve"> kopanice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SKUEV2367</w:t>
            </w:r>
            <w:r w:rsidR="00A15125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SKUEV3367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SKUEV0368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Brezovská dolina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SKUEV2368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SKUEV0371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Žalostiná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SKUEV3371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SKUEV0372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Krivoklátske</w:t>
            </w:r>
            <w:proofErr w:type="spellEnd"/>
            <w:r w:rsidRPr="00D924B1">
              <w:rPr>
                <w:color w:val="000000"/>
              </w:rPr>
              <w:t xml:space="preserve"> lúky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SKUEV3372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SKUEV0375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Krasín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SKUEV1375</w:t>
            </w:r>
            <w:r w:rsidR="00A15125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SKUEV3375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SKUEV0376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Vršatské bradlá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SKUEV2376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SKUEV0387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Beskyd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>
            <w:r w:rsidRPr="00D924B1">
              <w:rPr>
                <w:color w:val="000000"/>
              </w:rPr>
              <w:t xml:space="preserve"> SKUEV1387</w:t>
            </w:r>
            <w:r w:rsidR="00A15125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SKUEV3387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SKUEV0388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Vydrica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SKUEV1388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SKUEV0392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Brezovská stráň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SKUEV2392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SKUEV0393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Dunaj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A15125">
            <w:r w:rsidRPr="00D924B1">
              <w:rPr>
                <w:color w:val="000000"/>
              </w:rPr>
              <w:t xml:space="preserve"> SKUEV2393</w:t>
            </w:r>
            <w:r w:rsidR="00A15125">
              <w:rPr>
                <w:color w:val="000000"/>
              </w:rPr>
              <w:t xml:space="preserve">, </w:t>
            </w:r>
            <w:r w:rsidRPr="00D924B1">
              <w:rPr>
                <w:color w:val="000000"/>
              </w:rPr>
              <w:t>SKUEV3393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SKUEV0398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Slaná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SKUEV3398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SKUEV0728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Podpoľana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SKUEV3728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SKUEV0778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Lipníkovské</w:t>
            </w:r>
            <w:proofErr w:type="spellEnd"/>
            <w:r w:rsidRPr="00D924B1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SKUEV3778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SKUEV0814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Hubovo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SKUEV3814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SKUEV0880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</w:t>
            </w:r>
            <w:proofErr w:type="spellStart"/>
            <w:r w:rsidRPr="00D924B1">
              <w:rPr>
                <w:color w:val="000000"/>
              </w:rPr>
              <w:t>Prašická</w:t>
            </w:r>
            <w:proofErr w:type="spellEnd"/>
            <w:r w:rsidRPr="00D924B1">
              <w:rPr>
                <w:color w:val="000000"/>
              </w:rPr>
              <w:t xml:space="preserve"> dubina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SKUEV3880 </w:t>
            </w:r>
          </w:p>
        </w:tc>
      </w:tr>
      <w:tr w:rsidR="00760393" w:rsidRPr="00D924B1" w:rsidTr="00906A00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SKUEV0896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93" w:rsidRPr="00D924B1" w:rsidRDefault="00760393" w:rsidP="006954CD">
            <w:pPr>
              <w:ind w:hanging="68"/>
            </w:pPr>
            <w:r w:rsidRPr="00D924B1">
              <w:rPr>
                <w:color w:val="000000"/>
              </w:rPr>
              <w:t xml:space="preserve"> Pod Čierťažou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93" w:rsidRPr="00D924B1" w:rsidRDefault="00760393" w:rsidP="009E1E04">
            <w:r w:rsidRPr="00D924B1">
              <w:rPr>
                <w:color w:val="000000"/>
              </w:rPr>
              <w:t xml:space="preserve"> SKUEV3896 </w:t>
            </w:r>
          </w:p>
        </w:tc>
      </w:tr>
    </w:tbl>
    <w:p w:rsidR="001A6640" w:rsidRPr="001A6640" w:rsidRDefault="001A6640" w:rsidP="001A6640">
      <w:pPr>
        <w:ind w:left="142" w:hanging="142"/>
        <w:rPr>
          <w:sz w:val="22"/>
          <w:szCs w:val="22"/>
        </w:rPr>
      </w:pPr>
      <w:r w:rsidRPr="00D27FE0">
        <w:rPr>
          <w:color w:val="000000"/>
        </w:rPr>
        <w:t>* d</w:t>
      </w:r>
      <w:r w:rsidRPr="00D27FE0">
        <w:rPr>
          <w:sz w:val="22"/>
          <w:szCs w:val="22"/>
        </w:rPr>
        <w:t>o územia</w:t>
      </w:r>
      <w:r w:rsidRPr="001A6640">
        <w:rPr>
          <w:sz w:val="22"/>
          <w:szCs w:val="22"/>
        </w:rPr>
        <w:t xml:space="preserve"> SKUEV0165 Kútsky les bola prevzatá časť SKUEV0314 Morava v bezprostrednom dotyku s ÚEV Kútsky les.</w:t>
      </w:r>
    </w:p>
    <w:p w:rsidR="001A6640" w:rsidRDefault="001A6640" w:rsidP="00E51269">
      <w:pPr>
        <w:pStyle w:val="Zkladntext"/>
        <w:spacing w:before="120"/>
        <w:jc w:val="both"/>
        <w:rPr>
          <w:color w:val="000000"/>
        </w:rPr>
      </w:pPr>
    </w:p>
    <w:p w:rsidR="00906A00" w:rsidRDefault="00906A00" w:rsidP="00906A00">
      <w:pPr>
        <w:autoSpaceDE w:val="0"/>
        <w:autoSpaceDN w:val="0"/>
        <w:spacing w:line="276" w:lineRule="auto"/>
        <w:jc w:val="both"/>
      </w:pPr>
      <w:r>
        <w:t>Tab</w:t>
      </w:r>
      <w:r w:rsidR="00231FEE">
        <w:t>uľka č.</w:t>
      </w:r>
      <w:r>
        <w:t xml:space="preserve"> 4  </w:t>
      </w:r>
      <w:r w:rsidRPr="00894371">
        <w:t xml:space="preserve">Zoznam </w:t>
      </w:r>
      <w:r w:rsidR="00F022AC">
        <w:t>ÚEV</w:t>
      </w:r>
      <w:r>
        <w:t xml:space="preserve"> </w:t>
      </w:r>
      <w:r w:rsidRPr="00894371">
        <w:t xml:space="preserve">zasahujúcich </w:t>
      </w:r>
      <w:r>
        <w:t xml:space="preserve">do </w:t>
      </w:r>
      <w:r w:rsidR="008C51BD">
        <w:t>viacerých</w:t>
      </w:r>
      <w:r>
        <w:t xml:space="preserve"> krajov</w:t>
      </w:r>
    </w:p>
    <w:p w:rsidR="00906A00" w:rsidRPr="00894371" w:rsidRDefault="00906A00" w:rsidP="00906A00">
      <w:pPr>
        <w:autoSpaceDE w:val="0"/>
        <w:autoSpaceDN w:val="0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252"/>
      </w:tblGrid>
      <w:tr w:rsidR="006B23BF" w:rsidRPr="00894371" w:rsidTr="00735109">
        <w:trPr>
          <w:trHeight w:val="397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3BF" w:rsidRPr="00D924B1" w:rsidRDefault="006B23BF" w:rsidP="006B23BF">
            <w:pPr>
              <w:rPr>
                <w:b/>
                <w:bCs/>
              </w:rPr>
            </w:pPr>
            <w:r w:rsidRPr="00D924B1">
              <w:rPr>
                <w:b/>
                <w:bCs/>
              </w:rPr>
              <w:t>Kód ÚEV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3BF" w:rsidRPr="00D924B1" w:rsidRDefault="006B23BF" w:rsidP="006B23BF">
            <w:pPr>
              <w:rPr>
                <w:b/>
                <w:bCs/>
              </w:rPr>
            </w:pPr>
            <w:r w:rsidRPr="00D924B1">
              <w:rPr>
                <w:b/>
                <w:bCs/>
              </w:rPr>
              <w:t>Názov ÚEV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3BF" w:rsidRPr="00D924B1" w:rsidRDefault="00CF1D46" w:rsidP="006B23BF">
            <w:pPr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  <w:r w:rsidR="008537F4">
              <w:rPr>
                <w:b/>
                <w:bCs/>
              </w:rPr>
              <w:t>e</w:t>
            </w:r>
          </w:p>
        </w:tc>
      </w:tr>
      <w:tr w:rsidR="00906A00" w:rsidRPr="00894371" w:rsidTr="006B23BF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SKUEV0025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Vihorlat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F025D5" w:rsidP="00F025D5">
            <w:pPr>
              <w:jc w:val="both"/>
            </w:pPr>
            <w:r w:rsidRPr="00F025D5">
              <w:t>Prešovský</w:t>
            </w:r>
            <w:r>
              <w:t>,</w:t>
            </w:r>
            <w:r w:rsidRPr="00894371">
              <w:t xml:space="preserve"> </w:t>
            </w:r>
            <w:r w:rsidR="00906A00" w:rsidRPr="00894371">
              <w:t>Košický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SKUEV0090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Dunajské luhy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F025D5" w:rsidP="00906A00">
            <w:pPr>
              <w:jc w:val="both"/>
            </w:pPr>
            <w:r>
              <w:t xml:space="preserve">Trnavský, </w:t>
            </w:r>
            <w:r w:rsidR="00906A00" w:rsidRPr="00894371">
              <w:t>Bratislavský, 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Spišskopodhradské</w:t>
            </w:r>
            <w:proofErr w:type="spellEnd"/>
            <w:r w:rsidRPr="00894371">
              <w:t xml:space="preserve"> travertíny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F025D5" w:rsidP="00906A00">
            <w:pPr>
              <w:jc w:val="both"/>
            </w:pPr>
            <w:r w:rsidRPr="00F025D5">
              <w:t>Prešovský</w:t>
            </w:r>
            <w:r>
              <w:t>,</w:t>
            </w:r>
            <w:r w:rsidRPr="00894371">
              <w:t xml:space="preserve"> </w:t>
            </w:r>
            <w:r w:rsidR="00906A00" w:rsidRPr="00894371">
              <w:t>Košický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Slovenský raj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F025D5" w:rsidP="00906A00">
            <w:pPr>
              <w:jc w:val="both"/>
            </w:pPr>
            <w:r w:rsidRPr="00894371">
              <w:t>Košický</w:t>
            </w:r>
            <w:r>
              <w:t>,</w:t>
            </w:r>
            <w:r w:rsidRPr="00894371">
              <w:t xml:space="preserve"> </w:t>
            </w:r>
            <w:r w:rsidR="00906A00" w:rsidRPr="00894371">
              <w:t>Prešovský, Banskobystrický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Gajarské</w:t>
            </w:r>
            <w:proofErr w:type="spellEnd"/>
            <w:r w:rsidRPr="00894371">
              <w:t xml:space="preserve"> alúvium Moravy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BD2822" w:rsidP="00906A00">
            <w:pPr>
              <w:jc w:val="both"/>
            </w:pPr>
            <w:r w:rsidRPr="00894371">
              <w:t>Bratislavský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Hôrky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0872C1" w:rsidP="00906A00">
            <w:pPr>
              <w:jc w:val="both"/>
            </w:pPr>
            <w:r w:rsidRPr="00894371">
              <w:t>Nitriansky</w:t>
            </w:r>
            <w:r>
              <w:t>,</w:t>
            </w:r>
            <w:r w:rsidRPr="00894371">
              <w:t xml:space="preserve"> </w:t>
            </w:r>
            <w:r w:rsidR="00906A00" w:rsidRPr="00894371">
              <w:t>Trenčiansky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Kulháň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EB698B" w:rsidP="00906A00">
            <w:pPr>
              <w:jc w:val="both"/>
            </w:pPr>
            <w:r w:rsidRPr="00894371">
              <w:t>Nitriansky</w:t>
            </w:r>
            <w:r>
              <w:t>,</w:t>
            </w:r>
            <w:r w:rsidRPr="00894371">
              <w:t xml:space="preserve"> </w:t>
            </w:r>
            <w:r w:rsidR="00906A00" w:rsidRPr="00894371">
              <w:t>Trenčiansky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Belá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816A73" w:rsidP="00906A00">
            <w:pPr>
              <w:jc w:val="both"/>
            </w:pPr>
            <w:r w:rsidRPr="00894371">
              <w:t>Žilinský</w:t>
            </w:r>
            <w:r>
              <w:t>,</w:t>
            </w:r>
            <w:r w:rsidRPr="00894371">
              <w:t xml:space="preserve"> </w:t>
            </w:r>
            <w:r w:rsidR="00906A00" w:rsidRPr="00894371">
              <w:t>Prešovský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Rudava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3126DB" w:rsidP="00906A00">
            <w:pPr>
              <w:jc w:val="both"/>
            </w:pPr>
            <w:r w:rsidRPr="00894371">
              <w:t>Bratislavský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Ciglát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8547F2" w:rsidP="00906A00">
            <w:pPr>
              <w:jc w:val="both"/>
            </w:pPr>
            <w:r w:rsidRPr="00894371">
              <w:t>Trnavský</w:t>
            </w:r>
            <w:r>
              <w:t>,</w:t>
            </w:r>
            <w:r w:rsidRPr="00894371">
              <w:t xml:space="preserve"> </w:t>
            </w:r>
            <w:r w:rsidR="00906A00" w:rsidRPr="00894371">
              <w:t>Bratislavský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Kotlina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885C44" w:rsidP="00906A00">
            <w:pPr>
              <w:jc w:val="both"/>
            </w:pPr>
            <w:r w:rsidRPr="00894371">
              <w:t>Bratislavský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Číčovské</w:t>
            </w:r>
            <w:proofErr w:type="spellEnd"/>
            <w:r w:rsidRPr="00894371">
              <w:t xml:space="preserve"> luhy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410C7A" w:rsidP="00906A00">
            <w:pPr>
              <w:jc w:val="both"/>
            </w:pPr>
            <w:r w:rsidRPr="00894371">
              <w:t>Nitriansky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Zvolen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8537F4" w:rsidP="00906A00">
            <w:pPr>
              <w:jc w:val="both"/>
            </w:pPr>
            <w:r w:rsidRPr="00894371">
              <w:t>Žilinský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Stolica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E66CEE" w:rsidP="00906A00">
            <w:pPr>
              <w:jc w:val="both"/>
            </w:pPr>
            <w:r w:rsidRPr="00894371">
              <w:t>Košický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lastRenderedPageBreak/>
              <w:t>SKUEV0209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Morské oko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85521F" w:rsidP="00906A00">
            <w:pPr>
              <w:jc w:val="both"/>
            </w:pPr>
            <w:r w:rsidRPr="00894371">
              <w:t>Košický</w:t>
            </w:r>
            <w:r>
              <w:t>,</w:t>
            </w:r>
            <w:r w:rsidRPr="00894371">
              <w:t xml:space="preserve"> </w:t>
            </w:r>
            <w:r w:rsidR="00906A00" w:rsidRPr="00894371">
              <w:t>Prešovský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>
              <w:t>SKUEV0227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>
              <w:t>Čiližské močiare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735FCE" w:rsidP="00906A00">
            <w:pPr>
              <w:jc w:val="both"/>
            </w:pPr>
            <w:r w:rsidRPr="00894371">
              <w:t>Trnavský</w:t>
            </w:r>
            <w:r>
              <w:t xml:space="preserve">, </w:t>
            </w:r>
            <w:r w:rsidR="00906A00">
              <w:t>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Veľká Fatra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DD3D16" w:rsidP="00906A00">
            <w:pPr>
              <w:jc w:val="both"/>
            </w:pPr>
            <w:r w:rsidRPr="00894371">
              <w:t>Žilinský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Svrčinník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DD3D16" w:rsidP="00906A00">
            <w:pPr>
              <w:jc w:val="both"/>
            </w:pPr>
            <w:r w:rsidRPr="00894371">
              <w:t>Banskobystrický</w:t>
            </w:r>
            <w:r>
              <w:t>,</w:t>
            </w:r>
            <w:r w:rsidRPr="00894371">
              <w:t xml:space="preserve"> </w:t>
            </w:r>
            <w:r w:rsidR="00906A00" w:rsidRPr="00894371">
              <w:t>Žilinský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Strážovské vrchy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7C61E2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Žilinský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Alúvium Ipľa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ED6CD3" w:rsidP="00906A00">
            <w:pPr>
              <w:jc w:val="both"/>
            </w:pPr>
            <w:r w:rsidRPr="00894371">
              <w:t>Banskobystrický</w:t>
            </w:r>
            <w:r>
              <w:t>,</w:t>
            </w:r>
            <w:r w:rsidRPr="00894371">
              <w:t xml:space="preserve"> </w:t>
            </w:r>
            <w:r w:rsidR="00906A00" w:rsidRPr="00894371">
              <w:t>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Tlstý vrch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C83183" w:rsidP="00906A00">
            <w:pPr>
              <w:jc w:val="both"/>
            </w:pPr>
            <w:r w:rsidRPr="00894371">
              <w:t>Banskobystrický</w:t>
            </w:r>
            <w:r>
              <w:t>,</w:t>
            </w:r>
            <w:r w:rsidRPr="00894371">
              <w:t xml:space="preserve"> </w:t>
            </w:r>
            <w:r w:rsidR="00906A00" w:rsidRPr="00894371">
              <w:t>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Hodrušská</w:t>
            </w:r>
            <w:proofErr w:type="spellEnd"/>
            <w:r w:rsidRPr="00894371">
              <w:t xml:space="preserve"> hornatina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642B5A" w:rsidP="00906A00">
            <w:pPr>
              <w:jc w:val="both"/>
            </w:pPr>
            <w:r w:rsidRPr="00894371">
              <w:t>Banskobystrický</w:t>
            </w:r>
            <w:r>
              <w:t>,</w:t>
            </w:r>
            <w:r w:rsidRPr="00894371">
              <w:t xml:space="preserve"> </w:t>
            </w:r>
            <w:r w:rsidR="00906A00" w:rsidRPr="00894371">
              <w:t>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Biele hory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642B5A" w:rsidP="00906A00">
            <w:pPr>
              <w:jc w:val="both"/>
            </w:pPr>
            <w:r w:rsidRPr="00894371">
              <w:t>Bratislavský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Vtáčnik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642B5A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Brezovské Karpaty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642B5A" w:rsidP="00906A00">
            <w:pPr>
              <w:jc w:val="both"/>
            </w:pPr>
            <w:r w:rsidRPr="00894371">
              <w:t>Trnavský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Trenčiansky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Alúvium Muráňa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584F4C" w:rsidP="00906A00">
            <w:pPr>
              <w:jc w:val="both"/>
            </w:pPr>
            <w:r w:rsidRPr="00894371">
              <w:t>Banskobystrický</w:t>
            </w:r>
            <w:r>
              <w:t>,</w:t>
            </w:r>
            <w:r w:rsidRPr="00894371">
              <w:t xml:space="preserve"> </w:t>
            </w:r>
            <w:r w:rsidR="00906A00" w:rsidRPr="00894371">
              <w:t>Košický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SKUEV0290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Horný tok Hornádu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52BAC" w:rsidP="00906A00">
            <w:pPr>
              <w:jc w:val="both"/>
            </w:pPr>
            <w:r w:rsidRPr="00894371">
              <w:t>Prešovský</w:t>
            </w:r>
            <w:r>
              <w:t>,</w:t>
            </w:r>
            <w:r w:rsidRPr="00894371">
              <w:t xml:space="preserve"> </w:t>
            </w:r>
            <w:r w:rsidR="00906A00" w:rsidRPr="00894371">
              <w:t>Košický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SKUEV0302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Ďumbierske Tatry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403677" w:rsidP="00906A00">
            <w:pPr>
              <w:jc w:val="both"/>
            </w:pPr>
            <w:r w:rsidRPr="00894371">
              <w:t>Banskobystrický</w:t>
            </w:r>
            <w:r>
              <w:t>,</w:t>
            </w:r>
            <w:r w:rsidRPr="00894371">
              <w:t xml:space="preserve"> </w:t>
            </w:r>
            <w:r w:rsidR="00906A00" w:rsidRPr="00894371">
              <w:t>Žilinský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Tatry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231C80" w:rsidP="00906A00">
            <w:pPr>
              <w:jc w:val="both"/>
            </w:pPr>
            <w:r w:rsidRPr="00894371">
              <w:t>Prešovský</w:t>
            </w:r>
            <w:r>
              <w:t>,</w:t>
            </w:r>
            <w:r w:rsidRPr="00894371">
              <w:t xml:space="preserve"> </w:t>
            </w:r>
            <w:r w:rsidR="00906A00" w:rsidRPr="00894371">
              <w:t>Žilinský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Kráľovohoľské Tatry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C01AC7" w:rsidP="00906A00">
            <w:pPr>
              <w:jc w:val="both"/>
            </w:pPr>
            <w:r w:rsidRPr="00894371">
              <w:t>Žilinský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Banskobystrický, Prešovský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SKUEV0314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Morava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244628" w:rsidP="00906A00">
            <w:pPr>
              <w:jc w:val="both"/>
            </w:pPr>
            <w:r w:rsidRPr="00894371">
              <w:t>Bratislavský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>
              <w:t>SKUEV0398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>
              <w:t>Slaná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837033" w:rsidP="00906A00">
            <w:pPr>
              <w:jc w:val="both"/>
            </w:pPr>
            <w:r w:rsidRPr="00894371">
              <w:t>Banskobystrický</w:t>
            </w:r>
            <w:r>
              <w:t xml:space="preserve">, </w:t>
            </w:r>
            <w:r w:rsidR="00906A00">
              <w:t>Košický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SKUEV0564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Dubová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CA3EB8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Trnavský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SKUEV0565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Prieľačina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221281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SKUEV0642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Javornícky</w:t>
            </w:r>
            <w:proofErr w:type="spellEnd"/>
            <w:r w:rsidRPr="00894371">
              <w:t xml:space="preserve"> hrebeň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1E3719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Žilinský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SKUEV0804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Javorec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1E3719" w:rsidP="00906A00">
            <w:pPr>
              <w:jc w:val="both"/>
            </w:pPr>
            <w:r w:rsidRPr="00894371">
              <w:t>Trnavský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Trenčiansky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SKUEV0822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Malý Dunaj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5B2091" w:rsidP="00906A00">
            <w:pPr>
              <w:jc w:val="both"/>
            </w:pPr>
            <w:r w:rsidRPr="00894371">
              <w:t>Trnavský</w:t>
            </w:r>
            <w:r>
              <w:t>,</w:t>
            </w:r>
            <w:r w:rsidRPr="00894371">
              <w:t xml:space="preserve"> </w:t>
            </w:r>
            <w:r w:rsidR="00906A00" w:rsidRPr="00894371">
              <w:t>Bratislavský, Nitriansky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SKUEV0865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Rataj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274A53" w:rsidP="00906A00">
            <w:pPr>
              <w:jc w:val="both"/>
            </w:pPr>
            <w:r w:rsidRPr="00894371">
              <w:t>Nitriansky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SKUEV0901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Havran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274A53" w:rsidP="00906A00">
            <w:pPr>
              <w:jc w:val="both"/>
            </w:pPr>
            <w:r w:rsidRPr="00894371">
              <w:t>Trnavský</w:t>
            </w:r>
            <w:r>
              <w:t>,</w:t>
            </w:r>
            <w:r w:rsidRPr="00894371">
              <w:t xml:space="preserve"> </w:t>
            </w:r>
            <w:r w:rsidR="00906A00" w:rsidRPr="00894371">
              <w:t>Trenčiansky</w:t>
            </w:r>
          </w:p>
        </w:tc>
      </w:tr>
      <w:tr w:rsidR="00906A00" w:rsidRPr="00894371" w:rsidTr="00F022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SKUEV0940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Hornádske lúky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0" w:rsidRPr="00894371" w:rsidRDefault="00D13BA2" w:rsidP="00906A00">
            <w:pPr>
              <w:jc w:val="both"/>
            </w:pPr>
            <w:r w:rsidRPr="00894371">
              <w:t>Košický</w:t>
            </w:r>
            <w:r>
              <w:t>,</w:t>
            </w:r>
            <w:r w:rsidRPr="00894371">
              <w:t xml:space="preserve"> </w:t>
            </w:r>
            <w:r w:rsidR="00906A00" w:rsidRPr="00894371">
              <w:t>Prešovský</w:t>
            </w:r>
          </w:p>
        </w:tc>
      </w:tr>
      <w:tr w:rsidR="00906A00" w:rsidRPr="00894371" w:rsidTr="00F022AC">
        <w:tc>
          <w:tcPr>
            <w:tcW w:w="1701" w:type="dxa"/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SKUEV4028</w:t>
            </w:r>
          </w:p>
        </w:tc>
        <w:tc>
          <w:tcPr>
            <w:tcW w:w="3261" w:type="dxa"/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Brezová</w:t>
            </w:r>
          </w:p>
        </w:tc>
        <w:tc>
          <w:tcPr>
            <w:tcW w:w="4252" w:type="dxa"/>
            <w:shd w:val="clear" w:color="auto" w:fill="auto"/>
          </w:tcPr>
          <w:p w:rsidR="00906A00" w:rsidRPr="00894371" w:rsidRDefault="00D13BA2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Banskobystrický</w:t>
            </w:r>
          </w:p>
        </w:tc>
      </w:tr>
      <w:tr w:rsidR="00906A00" w:rsidRPr="00894371" w:rsidTr="00F022AC">
        <w:tc>
          <w:tcPr>
            <w:tcW w:w="1701" w:type="dxa"/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SKUEV4007</w:t>
            </w:r>
          </w:p>
        </w:tc>
        <w:tc>
          <w:tcPr>
            <w:tcW w:w="3261" w:type="dxa"/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Dolný tok Torysy</w:t>
            </w:r>
          </w:p>
        </w:tc>
        <w:tc>
          <w:tcPr>
            <w:tcW w:w="4252" w:type="dxa"/>
            <w:shd w:val="clear" w:color="auto" w:fill="auto"/>
          </w:tcPr>
          <w:p w:rsidR="00906A00" w:rsidRPr="00894371" w:rsidRDefault="00D13BA2" w:rsidP="00906A00">
            <w:pPr>
              <w:jc w:val="both"/>
            </w:pPr>
            <w:r w:rsidRPr="00894371">
              <w:t>Prešovský</w:t>
            </w:r>
            <w:r>
              <w:t>,</w:t>
            </w:r>
            <w:r w:rsidRPr="00894371">
              <w:t xml:space="preserve"> </w:t>
            </w:r>
            <w:r w:rsidR="00906A00" w:rsidRPr="00894371">
              <w:t>Košický</w:t>
            </w:r>
          </w:p>
        </w:tc>
      </w:tr>
      <w:tr w:rsidR="00906A00" w:rsidRPr="00894371" w:rsidTr="00F022AC">
        <w:tc>
          <w:tcPr>
            <w:tcW w:w="1701" w:type="dxa"/>
            <w:shd w:val="clear" w:color="auto" w:fill="auto"/>
          </w:tcPr>
          <w:p w:rsidR="00906A00" w:rsidRPr="00894371" w:rsidRDefault="00906A00" w:rsidP="00906A00">
            <w:pPr>
              <w:jc w:val="both"/>
            </w:pPr>
            <w:r w:rsidRPr="00894371">
              <w:t>SKUEV4041</w:t>
            </w:r>
          </w:p>
        </w:tc>
        <w:tc>
          <w:tcPr>
            <w:tcW w:w="3261" w:type="dxa"/>
            <w:shd w:val="clear" w:color="auto" w:fill="auto"/>
          </w:tcPr>
          <w:p w:rsidR="00906A00" w:rsidRPr="00894371" w:rsidRDefault="00906A00" w:rsidP="00906A00">
            <w:pPr>
              <w:jc w:val="both"/>
            </w:pPr>
            <w:proofErr w:type="spellStart"/>
            <w:r w:rsidRPr="00894371">
              <w:t>Chválov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06A00" w:rsidRPr="00894371" w:rsidRDefault="00B51E01" w:rsidP="00906A00">
            <w:pPr>
              <w:jc w:val="both"/>
            </w:pPr>
            <w:r w:rsidRPr="00894371">
              <w:t>Trenčiansky</w:t>
            </w:r>
            <w:r>
              <w:t>,</w:t>
            </w:r>
            <w:r w:rsidRPr="00894371">
              <w:t xml:space="preserve"> </w:t>
            </w:r>
            <w:r w:rsidR="00906A00" w:rsidRPr="00894371">
              <w:t>Nitriansky</w:t>
            </w:r>
          </w:p>
        </w:tc>
      </w:tr>
    </w:tbl>
    <w:p w:rsidR="00906A00" w:rsidRPr="00894371" w:rsidRDefault="00906A00" w:rsidP="00906A00">
      <w:pPr>
        <w:jc w:val="both"/>
      </w:pPr>
    </w:p>
    <w:p w:rsidR="00B37D39" w:rsidRPr="00D924B1" w:rsidRDefault="004E7BB4" w:rsidP="00D924B1">
      <w:pPr>
        <w:pStyle w:val="Zkladntext"/>
        <w:jc w:val="both"/>
        <w:rPr>
          <w:rFonts w:eastAsia="Calibri"/>
          <w:i/>
          <w:strike/>
          <w:lang w:val="sk-SK"/>
        </w:rPr>
      </w:pPr>
      <w:r w:rsidRPr="00D924B1">
        <w:rPr>
          <w:color w:val="000000"/>
          <w:lang w:val="sk-SK"/>
        </w:rPr>
        <w:t>Návrh nariadenia vlády je bez vplyvov na manželstvo, rodičovstvo</w:t>
      </w:r>
      <w:r w:rsidR="007E5293" w:rsidRPr="00D924B1">
        <w:rPr>
          <w:color w:val="000000"/>
          <w:lang w:val="sk-SK"/>
        </w:rPr>
        <w:t>,</w:t>
      </w:r>
      <w:r w:rsidRPr="00D924B1">
        <w:rPr>
          <w:color w:val="000000"/>
          <w:lang w:val="sk-SK"/>
        </w:rPr>
        <w:t xml:space="preserve"> rodinu</w:t>
      </w:r>
      <w:r w:rsidR="007E5293" w:rsidRPr="00D924B1">
        <w:rPr>
          <w:color w:val="000000"/>
          <w:lang w:val="sk-SK"/>
        </w:rPr>
        <w:t xml:space="preserve"> a deti</w:t>
      </w:r>
      <w:r w:rsidRPr="00D924B1">
        <w:rPr>
          <w:color w:val="000000"/>
          <w:lang w:val="sk-SK"/>
        </w:rPr>
        <w:t xml:space="preserve">, informatizáciu spoločnosti a služby verejnej správy pre občana. </w:t>
      </w:r>
      <w:r w:rsidR="007E5293" w:rsidRPr="00D924B1">
        <w:rPr>
          <w:color w:val="000000"/>
          <w:lang w:val="sk-SK"/>
        </w:rPr>
        <w:t>Návrh nariadenia vlády b</w:t>
      </w:r>
      <w:r w:rsidRPr="00D924B1">
        <w:rPr>
          <w:color w:val="000000"/>
          <w:lang w:val="sk-SK"/>
        </w:rPr>
        <w:t>ude mať pozitívny vplyv na životné prostredie a </w:t>
      </w:r>
      <w:r w:rsidR="002601BA" w:rsidRPr="00D924B1">
        <w:rPr>
          <w:color w:val="000000"/>
          <w:lang w:val="sk-SK"/>
        </w:rPr>
        <w:t>negatívny vplyv na rozpočet</w:t>
      </w:r>
      <w:r w:rsidR="007E5293" w:rsidRPr="00D924B1">
        <w:rPr>
          <w:color w:val="000000"/>
          <w:lang w:val="sk-SK"/>
        </w:rPr>
        <w:t xml:space="preserve"> verejnej správy</w:t>
      </w:r>
      <w:r w:rsidR="002601BA" w:rsidRPr="00D924B1">
        <w:rPr>
          <w:color w:val="000000"/>
          <w:lang w:val="sk-SK"/>
        </w:rPr>
        <w:t>.</w:t>
      </w:r>
      <w:r w:rsidR="00AF423D" w:rsidRPr="00D924B1">
        <w:rPr>
          <w:color w:val="000000"/>
          <w:lang w:val="sk-SK"/>
        </w:rPr>
        <w:t xml:space="preserve"> Predpokladá sa </w:t>
      </w:r>
      <w:r w:rsidR="00D924B1" w:rsidRPr="00D924B1">
        <w:rPr>
          <w:color w:val="000000"/>
          <w:lang w:val="sk-SK"/>
        </w:rPr>
        <w:t>pozitívny</w:t>
      </w:r>
      <w:r w:rsidR="00AF423D" w:rsidRPr="00D924B1">
        <w:rPr>
          <w:color w:val="000000"/>
          <w:lang w:val="sk-SK"/>
        </w:rPr>
        <w:t xml:space="preserve"> i negatívny vplyv na podnikateľské prostredie</w:t>
      </w:r>
      <w:r w:rsidR="007E5293" w:rsidRPr="00D924B1">
        <w:rPr>
          <w:color w:val="000000"/>
          <w:lang w:val="sk-SK"/>
        </w:rPr>
        <w:t xml:space="preserve"> a</w:t>
      </w:r>
      <w:r w:rsidR="00AF423D" w:rsidRPr="00D924B1">
        <w:rPr>
          <w:color w:val="000000"/>
          <w:lang w:val="sk-SK"/>
        </w:rPr>
        <w:t xml:space="preserve"> na sociálne prostredie, </w:t>
      </w:r>
      <w:r w:rsidR="002601BA" w:rsidRPr="00D924B1">
        <w:rPr>
          <w:color w:val="000000"/>
          <w:lang w:val="sk-SK"/>
        </w:rPr>
        <w:t xml:space="preserve"> </w:t>
      </w:r>
    </w:p>
    <w:p w:rsidR="00075A8C" w:rsidRPr="00F20F67" w:rsidRDefault="00075A8C" w:rsidP="00075A8C">
      <w:pPr>
        <w:widowControl/>
        <w:jc w:val="both"/>
        <w:rPr>
          <w:color w:val="000000"/>
        </w:rPr>
      </w:pPr>
    </w:p>
    <w:p w:rsidR="00075A8C" w:rsidRDefault="00075A8C" w:rsidP="00E51269">
      <w:pPr>
        <w:widowControl/>
        <w:jc w:val="both"/>
      </w:pPr>
      <w:r w:rsidRPr="00F20F67">
        <w:rPr>
          <w:rStyle w:val="Textzstupnhosymbolu"/>
          <w:color w:val="000000"/>
        </w:rPr>
        <w:t xml:space="preserve">Návrh nariadenia vlády je v súlade s Ústavou Slovenskej republiky, ústavnými zákonmi, nálezmi Ústavného súdu Slovenskej republiky, medzinárodnými zmluvami a inými medzinárodnými dokumentmi, ktorými je Slovenská republika viazaná, zákonmi, ostatnými všeobecne záväznými právnymi predpismi a súčasne je v súlade s </w:t>
      </w:r>
      <w:r w:rsidRPr="00D06C7E">
        <w:rPr>
          <w:rStyle w:val="Textzstupnhosymbolu"/>
          <w:color w:val="000000"/>
        </w:rPr>
        <w:t>právom Európskej únie.</w:t>
      </w:r>
      <w:r w:rsidR="00E51269" w:rsidRPr="00F20F67" w:rsidDel="00E51269">
        <w:rPr>
          <w:rStyle w:val="Textzstupnhosymbolu"/>
          <w:color w:val="000000"/>
        </w:rPr>
        <w:t xml:space="preserve"> </w:t>
      </w:r>
    </w:p>
    <w:p w:rsidR="00700392" w:rsidRDefault="00700392" w:rsidP="00E51269">
      <w:pPr>
        <w:widowControl/>
        <w:jc w:val="both"/>
        <w:rPr>
          <w:rStyle w:val="Textzstupnhosymbolu"/>
          <w:color w:val="000000"/>
        </w:rPr>
        <w:sectPr w:rsidR="00700392" w:rsidSect="00EF0F40">
          <w:footerReference w:type="default" r:id="rId9"/>
          <w:pgSz w:w="12240" w:h="15840"/>
          <w:pgMar w:top="1276" w:right="1183" w:bottom="1418" w:left="1440" w:header="708" w:footer="708" w:gutter="0"/>
          <w:cols w:space="708"/>
          <w:docGrid w:linePitch="360"/>
        </w:sectPr>
      </w:pPr>
    </w:p>
    <w:p w:rsidR="00DC7CE6" w:rsidRDefault="00DC7CE6" w:rsidP="007A3776">
      <w:pPr>
        <w:widowControl/>
        <w:adjustRightInd/>
        <w:spacing w:after="120"/>
        <w:jc w:val="both"/>
        <w:rPr>
          <w:color w:val="000000"/>
        </w:rPr>
        <w:sectPr w:rsidR="00DC7CE6" w:rsidSect="000F6E6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DC7CE6">
        <w:rPr>
          <w:noProof/>
          <w:color w:val="000000"/>
        </w:rPr>
        <w:lastRenderedPageBreak/>
        <w:drawing>
          <wp:inline distT="0" distB="0" distL="0" distR="0" wp14:anchorId="0425A01D" wp14:editId="327C3A19">
            <wp:extent cx="9144000" cy="6464756"/>
            <wp:effectExtent l="0" t="0" r="0" b="0"/>
            <wp:docPr id="1" name="Obrázok 1" descr="\\ulozisko.sopsr.sk\data\Konsolidovane_UEV\Konsolidovane_UEV_cela_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lozisko.sopsr.sk\data\Konsolidovane_UEV\Konsolidovane_UEV_cela_S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8F" w:rsidRPr="00F20F67" w:rsidRDefault="0031688F" w:rsidP="00DA7959">
      <w:pPr>
        <w:widowControl/>
        <w:jc w:val="both"/>
        <w:rPr>
          <w:color w:val="000000"/>
        </w:rPr>
      </w:pPr>
      <w:r w:rsidRPr="00F20F67">
        <w:rPr>
          <w:b/>
          <w:color w:val="000000"/>
        </w:rPr>
        <w:lastRenderedPageBreak/>
        <w:t>B. Osobitná časť</w:t>
      </w:r>
    </w:p>
    <w:p w:rsidR="000A03A7" w:rsidRDefault="000A03A7" w:rsidP="00DA7959">
      <w:pPr>
        <w:widowControl/>
        <w:jc w:val="both"/>
        <w:rPr>
          <w:b/>
          <w:color w:val="000000"/>
        </w:rPr>
      </w:pPr>
    </w:p>
    <w:p w:rsidR="00054B32" w:rsidRPr="00F20F67" w:rsidRDefault="00054B32" w:rsidP="00DA7959">
      <w:pPr>
        <w:widowControl/>
        <w:jc w:val="both"/>
        <w:rPr>
          <w:b/>
          <w:color w:val="000000"/>
        </w:rPr>
      </w:pPr>
    </w:p>
    <w:p w:rsidR="000A03A7" w:rsidRPr="00F20F67" w:rsidRDefault="00054B32" w:rsidP="00DA7959">
      <w:pPr>
        <w:widowControl/>
        <w:jc w:val="both"/>
        <w:rPr>
          <w:b/>
        </w:rPr>
      </w:pPr>
      <w:r>
        <w:rPr>
          <w:b/>
        </w:rPr>
        <w:t>K § 1</w:t>
      </w:r>
      <w:r w:rsidR="00E00069">
        <w:rPr>
          <w:b/>
        </w:rPr>
        <w:t xml:space="preserve"> </w:t>
      </w:r>
      <w:r w:rsidR="0031688F" w:rsidRPr="00F20F67">
        <w:rPr>
          <w:b/>
        </w:rPr>
        <w:t>a prílohe</w:t>
      </w:r>
      <w:r w:rsidR="006D6BC7" w:rsidRPr="00F20F67">
        <w:rPr>
          <w:b/>
        </w:rPr>
        <w:t xml:space="preserve"> </w:t>
      </w:r>
    </w:p>
    <w:p w:rsidR="000A03A7" w:rsidRPr="00F20F67" w:rsidRDefault="000A03A7" w:rsidP="00DA7959">
      <w:pPr>
        <w:widowControl/>
        <w:jc w:val="both"/>
      </w:pPr>
    </w:p>
    <w:p w:rsidR="00AC4670" w:rsidRDefault="00E47091" w:rsidP="00AC4670">
      <w:pPr>
        <w:pStyle w:val="Zkladntext"/>
        <w:spacing w:before="120"/>
        <w:jc w:val="both"/>
        <w:rPr>
          <w:lang w:val="sk-SK" w:eastAsia="sk-SK"/>
        </w:rPr>
      </w:pPr>
      <w:r w:rsidRPr="00D924B1">
        <w:rPr>
          <w:lang w:val="sk-SK"/>
        </w:rPr>
        <w:t>Podľa § 27 ods. 5 zákona č. 543/2002 Z. z. sa u</w:t>
      </w:r>
      <w:r w:rsidR="00C71237" w:rsidRPr="00D924B1">
        <w:rPr>
          <w:lang w:val="sk-SK"/>
        </w:rPr>
        <w:t>stanovuje národn</w:t>
      </w:r>
      <w:r w:rsidR="00F94AFB" w:rsidRPr="00D924B1">
        <w:rPr>
          <w:lang w:val="sk-SK"/>
        </w:rPr>
        <w:t>ý</w:t>
      </w:r>
      <w:r w:rsidR="00C71237" w:rsidRPr="00D924B1">
        <w:rPr>
          <w:lang w:val="sk-SK"/>
        </w:rPr>
        <w:t xml:space="preserve"> zoznam území </w:t>
      </w:r>
      <w:r w:rsidR="008B7E62" w:rsidRPr="00D924B1">
        <w:rPr>
          <w:lang w:val="sk-SK"/>
        </w:rPr>
        <w:t>ÚEV</w:t>
      </w:r>
      <w:r w:rsidRPr="00D924B1">
        <w:rPr>
          <w:lang w:val="sk-SK"/>
        </w:rPr>
        <w:t xml:space="preserve"> a pre každú lokalitu </w:t>
      </w:r>
      <w:r w:rsidR="00C71237" w:rsidRPr="00D924B1">
        <w:rPr>
          <w:lang w:val="sk-SK"/>
        </w:rPr>
        <w:t xml:space="preserve">názov </w:t>
      </w:r>
      <w:r w:rsidR="00793B99" w:rsidRPr="00D924B1">
        <w:rPr>
          <w:lang w:val="sk-SK"/>
        </w:rPr>
        <w:t>ÚEV</w:t>
      </w:r>
      <w:r w:rsidR="00C71237" w:rsidRPr="00D924B1">
        <w:rPr>
          <w:lang w:val="sk-SK"/>
        </w:rPr>
        <w:t xml:space="preserve">, katastrálne územie, v ktorom sa </w:t>
      </w:r>
      <w:r w:rsidR="00793B99" w:rsidRPr="00D924B1">
        <w:rPr>
          <w:lang w:val="sk-SK"/>
        </w:rPr>
        <w:t xml:space="preserve">ÚEV </w:t>
      </w:r>
      <w:r w:rsidRPr="00D924B1">
        <w:rPr>
          <w:lang w:val="sk-SK"/>
        </w:rPr>
        <w:t xml:space="preserve">nachádza, výmera </w:t>
      </w:r>
      <w:r w:rsidR="00793B99" w:rsidRPr="00D924B1">
        <w:rPr>
          <w:lang w:val="sk-SK"/>
        </w:rPr>
        <w:t>ÚEV</w:t>
      </w:r>
      <w:r w:rsidRPr="00D924B1">
        <w:rPr>
          <w:lang w:val="sk-SK"/>
        </w:rPr>
        <w:t xml:space="preserve">, mapa, stupeň územnej ochrany </w:t>
      </w:r>
      <w:r w:rsidR="00793B99" w:rsidRPr="00D924B1">
        <w:rPr>
          <w:lang w:val="sk-SK"/>
        </w:rPr>
        <w:t>ÚEV</w:t>
      </w:r>
      <w:r w:rsidRPr="00D924B1">
        <w:rPr>
          <w:lang w:val="sk-SK"/>
        </w:rPr>
        <w:t>, podrobnosti o jeho územnej ochrane a odôvodnenie jeho ochrany</w:t>
      </w:r>
      <w:r w:rsidR="002601BA" w:rsidRPr="00D924B1">
        <w:rPr>
          <w:lang w:val="sk-SK"/>
        </w:rPr>
        <w:t>. Pr</w:t>
      </w:r>
      <w:r w:rsidR="004E7BB4" w:rsidRPr="00D924B1">
        <w:rPr>
          <w:lang w:val="sk-SK"/>
        </w:rPr>
        <w:t>edmetom ochrany sú</w:t>
      </w:r>
      <w:r w:rsidR="00E00069" w:rsidRPr="00D924B1">
        <w:rPr>
          <w:lang w:val="sk-SK"/>
        </w:rPr>
        <w:t xml:space="preserve"> </w:t>
      </w:r>
      <w:r w:rsidR="00842957" w:rsidRPr="00D924B1">
        <w:rPr>
          <w:lang w:val="sk-SK"/>
        </w:rPr>
        <w:t>biotopy európskeho významu a druhy európskeho významu</w:t>
      </w:r>
      <w:r w:rsidR="00E00069" w:rsidRPr="00D924B1">
        <w:rPr>
          <w:lang w:val="sk-SK"/>
        </w:rPr>
        <w:t xml:space="preserve">, pre ktoré má Slovenská republika ako členský štát Európskej únie povinnosť vymedziť </w:t>
      </w:r>
      <w:r w:rsidR="00793B99" w:rsidRPr="00D924B1">
        <w:rPr>
          <w:lang w:val="sk-SK"/>
        </w:rPr>
        <w:t>ÚEV</w:t>
      </w:r>
      <w:r w:rsidR="00E00069" w:rsidRPr="00D924B1">
        <w:rPr>
          <w:lang w:val="sk-SK"/>
        </w:rPr>
        <w:t xml:space="preserve"> v dostatočnej miere z hľadiska veľkosti, kvality či koherencie európskej sústavy chránených území Natura 2000</w:t>
      </w:r>
      <w:r w:rsidRPr="00D924B1">
        <w:rPr>
          <w:lang w:val="sk-SK"/>
        </w:rPr>
        <w:t xml:space="preserve">. </w:t>
      </w:r>
      <w:r w:rsidR="00E00069" w:rsidRPr="00D924B1">
        <w:rPr>
          <w:lang w:val="sk-SK"/>
        </w:rPr>
        <w:t xml:space="preserve"> </w:t>
      </w:r>
      <w:r w:rsidR="00AC4670" w:rsidRPr="00D924B1">
        <w:rPr>
          <w:lang w:val="sk-SK" w:eastAsia="sk-SK"/>
        </w:rPr>
        <w:t xml:space="preserve">ÚEV sa na Slovensku vymedzujú pre </w:t>
      </w:r>
      <w:r w:rsidR="00AC4670" w:rsidRPr="00D924B1">
        <w:rPr>
          <w:lang w:val="sk-SK"/>
        </w:rPr>
        <w:t>67 b</w:t>
      </w:r>
      <w:r w:rsidR="00AC4670" w:rsidRPr="00D924B1">
        <w:rPr>
          <w:lang w:val="sk-SK" w:eastAsia="sk-SK"/>
        </w:rPr>
        <w:t>iotopov európskeho významu, 45 druhov rastlín</w:t>
      </w:r>
      <w:r w:rsidR="00AC4670" w:rsidRPr="00F20F67">
        <w:rPr>
          <w:lang w:val="sk-SK" w:eastAsia="sk-SK"/>
        </w:rPr>
        <w:t xml:space="preserve"> </w:t>
      </w:r>
      <w:r w:rsidR="00AC4670">
        <w:rPr>
          <w:lang w:val="sk-SK" w:eastAsia="sk-SK"/>
        </w:rPr>
        <w:t xml:space="preserve">európskeho významu </w:t>
      </w:r>
      <w:r w:rsidR="00AC4670" w:rsidRPr="00F20F67">
        <w:rPr>
          <w:lang w:val="sk-SK" w:eastAsia="sk-SK"/>
        </w:rPr>
        <w:t>a </w:t>
      </w:r>
      <w:r w:rsidR="00AC4670" w:rsidRPr="00D06C7E">
        <w:rPr>
          <w:lang w:val="sk-SK" w:eastAsia="sk-SK"/>
        </w:rPr>
        <w:t>89</w:t>
      </w:r>
      <w:r w:rsidR="00AC4670" w:rsidRPr="00F20F67">
        <w:rPr>
          <w:lang w:val="sk-SK" w:eastAsia="sk-SK"/>
        </w:rPr>
        <w:t xml:space="preserve"> druhov </w:t>
      </w:r>
      <w:r w:rsidR="00AC4670" w:rsidRPr="00E83EE2">
        <w:rPr>
          <w:lang w:val="sk-SK" w:eastAsia="sk-SK"/>
        </w:rPr>
        <w:t xml:space="preserve">živočíchov európskeho významu a to v rámci alpského a panónskeho </w:t>
      </w:r>
      <w:proofErr w:type="spellStart"/>
      <w:r w:rsidR="00AC4670" w:rsidRPr="00E83EE2">
        <w:rPr>
          <w:lang w:val="sk-SK" w:eastAsia="sk-SK"/>
        </w:rPr>
        <w:t>biogeografického</w:t>
      </w:r>
      <w:proofErr w:type="spellEnd"/>
      <w:r w:rsidR="00AC4670" w:rsidRPr="00E83EE2">
        <w:rPr>
          <w:lang w:val="sk-SK" w:eastAsia="sk-SK"/>
        </w:rPr>
        <w:t xml:space="preserve"> regiónu. </w:t>
      </w:r>
      <w:r w:rsidR="00040735">
        <w:rPr>
          <w:lang w:val="sk-SK" w:eastAsia="sk-SK"/>
        </w:rPr>
        <w:t>Pre úplnosť uvádzame, že typy biotopov európskeho významu uvedené v prílohe I</w:t>
      </w:r>
      <w:r w:rsidR="00641FB9">
        <w:rPr>
          <w:lang w:val="sk-SK" w:eastAsia="sk-SK"/>
        </w:rPr>
        <w:t> </w:t>
      </w:r>
      <w:r w:rsidR="00040735">
        <w:rPr>
          <w:lang w:val="sk-SK" w:eastAsia="sk-SK"/>
        </w:rPr>
        <w:t>smernice</w:t>
      </w:r>
      <w:r w:rsidR="00641FB9">
        <w:rPr>
          <w:lang w:val="sk-SK" w:eastAsia="sk-SK"/>
        </w:rPr>
        <w:t xml:space="preserve"> </w:t>
      </w:r>
      <w:r w:rsidR="00641FB9" w:rsidRPr="001E5E19">
        <w:rPr>
          <w:color w:val="000000"/>
        </w:rPr>
        <w:t>92/43/EHS</w:t>
      </w:r>
      <w:r w:rsidR="00641FB9">
        <w:rPr>
          <w:color w:val="000000"/>
        </w:rPr>
        <w:t xml:space="preserve"> v </w:t>
      </w:r>
      <w:proofErr w:type="spellStart"/>
      <w:r w:rsidR="00641FB9">
        <w:rPr>
          <w:color w:val="000000"/>
        </w:rPr>
        <w:t>platnom</w:t>
      </w:r>
      <w:proofErr w:type="spellEnd"/>
      <w:r w:rsidR="00641FB9">
        <w:rPr>
          <w:color w:val="000000"/>
        </w:rPr>
        <w:t xml:space="preserve"> </w:t>
      </w:r>
      <w:proofErr w:type="spellStart"/>
      <w:r w:rsidR="00641FB9">
        <w:rPr>
          <w:color w:val="000000"/>
        </w:rPr>
        <w:t>znení</w:t>
      </w:r>
      <w:proofErr w:type="spellEnd"/>
      <w:r w:rsidR="00641FB9">
        <w:rPr>
          <w:color w:val="000000"/>
        </w:rPr>
        <w:t xml:space="preserve"> </w:t>
      </w:r>
      <w:r w:rsidR="00040735">
        <w:rPr>
          <w:lang w:val="sk-SK" w:eastAsia="sk-SK"/>
        </w:rPr>
        <w:t xml:space="preserve">vychádzajú z klasifikácie biotopov CORINE, ktorá bola pri vzniku tejto smernice jediným klasifikačným systémom biotopov. </w:t>
      </w:r>
    </w:p>
    <w:p w:rsidR="00E47091" w:rsidRPr="00F20F67" w:rsidRDefault="00E47091" w:rsidP="00E47091">
      <w:pPr>
        <w:widowControl/>
        <w:jc w:val="both"/>
      </w:pPr>
    </w:p>
    <w:p w:rsidR="007A3776" w:rsidRDefault="00E47091" w:rsidP="0028632C">
      <w:pPr>
        <w:autoSpaceDE w:val="0"/>
        <w:autoSpaceDN w:val="0"/>
        <w:jc w:val="both"/>
      </w:pPr>
      <w:r w:rsidRPr="00F20F67">
        <w:rPr>
          <w:bCs/>
        </w:rPr>
        <w:t xml:space="preserve">Hranice </w:t>
      </w:r>
      <w:r w:rsidR="00793B99">
        <w:rPr>
          <w:bCs/>
        </w:rPr>
        <w:t xml:space="preserve">ÚEV </w:t>
      </w:r>
      <w:r w:rsidRPr="00F20F67">
        <w:rPr>
          <w:bCs/>
        </w:rPr>
        <w:t xml:space="preserve">vymedzené geometrickým určením a polohovým určením sa vyznačujú v katastri nehnuteľností. Mapy a grafické podklady, v ktorých sú zakreslené hranice, </w:t>
      </w:r>
      <w:r w:rsidRPr="00CD277A">
        <w:rPr>
          <w:bCs/>
        </w:rPr>
        <w:t xml:space="preserve">sú uložené v </w:t>
      </w:r>
      <w:r w:rsidR="00E00069">
        <w:rPr>
          <w:bCs/>
        </w:rPr>
        <w:t>š</w:t>
      </w:r>
      <w:r w:rsidRPr="00CD277A">
        <w:rPr>
          <w:bCs/>
        </w:rPr>
        <w:t>tátnom zozname</w:t>
      </w:r>
      <w:r w:rsidR="00F449EC">
        <w:rPr>
          <w:bCs/>
        </w:rPr>
        <w:t xml:space="preserve"> </w:t>
      </w:r>
      <w:r w:rsidR="00F449EC">
        <w:t>osobitne chránených častí prírody a krajiny (ďalej len „štátny zoznam“)</w:t>
      </w:r>
      <w:r w:rsidR="0028632C" w:rsidRPr="00F20F67">
        <w:t>. Štátny zoznam, ako aj výpisy z neho, sú verejnosti prístupné a sú uložené na príslušných orgánoch ochrany prírody</w:t>
      </w:r>
      <w:r w:rsidR="0080619A">
        <w:t>.</w:t>
      </w:r>
      <w:r w:rsidR="00BD3885">
        <w:t xml:space="preserve"> </w:t>
      </w:r>
    </w:p>
    <w:p w:rsidR="00E47091" w:rsidRPr="00F20F67" w:rsidRDefault="00E47091" w:rsidP="00E47091">
      <w:pPr>
        <w:widowControl/>
        <w:jc w:val="both"/>
        <w:rPr>
          <w:bCs/>
          <w:strike/>
        </w:rPr>
      </w:pPr>
    </w:p>
    <w:p w:rsidR="00E47091" w:rsidRDefault="00E47091" w:rsidP="00E47091">
      <w:pPr>
        <w:autoSpaceDE w:val="0"/>
        <w:autoSpaceDN w:val="0"/>
        <w:jc w:val="both"/>
        <w:rPr>
          <w:bCs/>
        </w:rPr>
      </w:pPr>
      <w:r w:rsidRPr="00F20F67">
        <w:rPr>
          <w:bCs/>
        </w:rPr>
        <w:t xml:space="preserve">Ciele starostlivosti o územia európskeho významu, opatrenia na ich dosiahnutie a zásady ich využívania upravuje </w:t>
      </w:r>
      <w:r w:rsidRPr="00CD277A">
        <w:rPr>
          <w:bCs/>
        </w:rPr>
        <w:t xml:space="preserve">program starostlivosti o chránené územia podľa § 54 ods. 5 zákona </w:t>
      </w:r>
      <w:r w:rsidR="008B7E62">
        <w:rPr>
          <w:bCs/>
        </w:rPr>
        <w:t xml:space="preserve">č. 543/2002 Z. z. </w:t>
      </w:r>
      <w:r w:rsidRPr="00CD277A">
        <w:rPr>
          <w:bCs/>
        </w:rPr>
        <w:t>a</w:t>
      </w:r>
      <w:r w:rsidR="00F36714">
        <w:rPr>
          <w:bCs/>
        </w:rPr>
        <w:t>l</w:t>
      </w:r>
      <w:r w:rsidRPr="00CD277A">
        <w:rPr>
          <w:bCs/>
        </w:rPr>
        <w:t>ebo zásady starostlivosti o biotopy európskeho významu a biotopy druhov európskeho významu podľa § 54 ods. 7 zákona</w:t>
      </w:r>
      <w:r w:rsidR="008B7E62">
        <w:rPr>
          <w:bCs/>
        </w:rPr>
        <w:t xml:space="preserve"> č. 543/2002 Z. z</w:t>
      </w:r>
      <w:r w:rsidRPr="00CD277A">
        <w:rPr>
          <w:bCs/>
        </w:rPr>
        <w:t>.</w:t>
      </w:r>
    </w:p>
    <w:p w:rsidR="00391A34" w:rsidRDefault="00391A34" w:rsidP="00E47091">
      <w:pPr>
        <w:autoSpaceDE w:val="0"/>
        <w:autoSpaceDN w:val="0"/>
        <w:jc w:val="both"/>
        <w:rPr>
          <w:bCs/>
        </w:rPr>
      </w:pPr>
    </w:p>
    <w:p w:rsidR="00961F70" w:rsidRPr="00FA21D2" w:rsidRDefault="00FF06CA" w:rsidP="00FA21D2">
      <w:pPr>
        <w:pStyle w:val="Normlnywebov"/>
        <w:jc w:val="both"/>
      </w:pPr>
      <w:r w:rsidRPr="00FA21D2">
        <w:t xml:space="preserve">Zákazy a obmedzenia podľa § 13 až 16 zákona </w:t>
      </w:r>
      <w:r w:rsidR="008B7E62" w:rsidRPr="00FA21D2">
        <w:rPr>
          <w:bCs/>
        </w:rPr>
        <w:t xml:space="preserve">č. 543/2002 Z. z. </w:t>
      </w:r>
      <w:r w:rsidRPr="00FA21D2">
        <w:t>platia v rámci ÚEV celoročne</w:t>
      </w:r>
      <w:r w:rsidR="00F7634E">
        <w:t xml:space="preserve"> </w:t>
      </w:r>
      <w:r w:rsidR="00F7634E" w:rsidRPr="00FA21D2">
        <w:t xml:space="preserve">a to cez  individuálne určenie stupňov ochrany v jednotlivých ÚEV. </w:t>
      </w:r>
      <w:r w:rsidR="00190A9C" w:rsidRPr="00FA21D2">
        <w:t>S</w:t>
      </w:r>
      <w:r w:rsidR="00F7634E" w:rsidRPr="00FA21D2">
        <w:t>tup</w:t>
      </w:r>
      <w:r w:rsidR="00190A9C" w:rsidRPr="00FA21D2">
        <w:t>eň</w:t>
      </w:r>
      <w:r w:rsidR="00F7634E" w:rsidRPr="00FA21D2">
        <w:t xml:space="preserve"> ochrany (druhý, tretí, štvrtý alebo piaty) v každom ÚEV </w:t>
      </w:r>
      <w:r w:rsidR="00190A9C" w:rsidRPr="00FA21D2">
        <w:t xml:space="preserve">bol priradený </w:t>
      </w:r>
      <w:r w:rsidR="00F7634E" w:rsidRPr="00FA21D2">
        <w:t>po odbornom posúden</w:t>
      </w:r>
      <w:r w:rsidR="00961F70" w:rsidRPr="00FA21D2">
        <w:t xml:space="preserve">í ekologických </w:t>
      </w:r>
      <w:r w:rsidR="00F7634E" w:rsidRPr="00FA21D2">
        <w:t xml:space="preserve">nárokov biotopov európskeho významu a druhov európskeho významu, ktoré sú predmetom ochrany v danej lokalite. </w:t>
      </w:r>
      <w:r w:rsidR="00D761DE" w:rsidRPr="00FA21D2">
        <w:t xml:space="preserve">Ekologickými nárokmi sú požiadavky biotopov a druhov, ktoré podmieňujú ich výskyt a dobrý stav. Niektoré biotopy či druhy znášajú široké rozmedzie podmienok, iné sú úzko viazané na špecifické lokality a aj pri malej zmene môžu vyhynúť. Vo všeobecnosti ide o požiadavky na vhodné tepelné, svetelné podmienky, dostatok vlahy, potravy, znečistenie pôdy, vody i ovzdušia, prítomnosť nepôvodných inváznych druhov, početnosť či premnoženie predátorov, limitujúcim faktorom je často vyrušovanie živočíchov hlavne v citlivom období rozmnožovania či zimovania. </w:t>
      </w:r>
      <w:r w:rsidR="00F7634E" w:rsidRPr="00FA21D2">
        <w:t>Podrobnosti sú v prípade potreby určené až následne v rámci opatrení starostlivosti pre jednotlivé druhy a biotopy v programoch starostlivosti o chránené územia.</w:t>
      </w:r>
    </w:p>
    <w:p w:rsidR="00190A9C" w:rsidRPr="00FA21D2" w:rsidRDefault="00190A9C" w:rsidP="00BE391C">
      <w:pPr>
        <w:pStyle w:val="Normlnywebov"/>
        <w:jc w:val="both"/>
      </w:pPr>
    </w:p>
    <w:p w:rsidR="00BD3885" w:rsidRPr="007D5525" w:rsidRDefault="00BD3885" w:rsidP="00FF06CA">
      <w:pPr>
        <w:pStyle w:val="Textkomentra"/>
        <w:ind w:firstLine="0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Príloha k nariadeniu vlády </w:t>
      </w:r>
      <w:r w:rsidR="00C94E54">
        <w:rPr>
          <w:sz w:val="24"/>
          <w:szCs w:val="24"/>
          <w:lang w:val="sk-SK"/>
        </w:rPr>
        <w:t xml:space="preserve">obsahuje 644 ÚEV, ktoré </w:t>
      </w:r>
      <w:r w:rsidR="00E22D41">
        <w:rPr>
          <w:sz w:val="24"/>
          <w:szCs w:val="24"/>
          <w:lang w:val="sk-SK"/>
        </w:rPr>
        <w:t xml:space="preserve">už </w:t>
      </w:r>
      <w:r w:rsidR="00C94E54">
        <w:rPr>
          <w:sz w:val="24"/>
          <w:szCs w:val="24"/>
          <w:lang w:val="sk-SK"/>
        </w:rPr>
        <w:t xml:space="preserve">boli </w:t>
      </w:r>
      <w:r w:rsidR="00E22D41">
        <w:rPr>
          <w:sz w:val="24"/>
          <w:szCs w:val="24"/>
          <w:lang w:val="sk-SK"/>
        </w:rPr>
        <w:t xml:space="preserve">postupne </w:t>
      </w:r>
      <w:r w:rsidR="00C94E54">
        <w:rPr>
          <w:sz w:val="24"/>
          <w:szCs w:val="24"/>
          <w:lang w:val="sk-SK"/>
        </w:rPr>
        <w:t xml:space="preserve">schválené </w:t>
      </w:r>
      <w:r w:rsidR="00E22D41">
        <w:rPr>
          <w:sz w:val="24"/>
          <w:szCs w:val="24"/>
          <w:lang w:val="sk-SK"/>
        </w:rPr>
        <w:t xml:space="preserve">štyrmi </w:t>
      </w:r>
      <w:r w:rsidR="00C94E54">
        <w:rPr>
          <w:sz w:val="24"/>
          <w:szCs w:val="24"/>
          <w:lang w:val="sk-SK"/>
        </w:rPr>
        <w:t xml:space="preserve">uzneseniami vlády Slovenskej republiky. </w:t>
      </w:r>
      <w:r w:rsidR="00E22D41">
        <w:rPr>
          <w:sz w:val="24"/>
          <w:szCs w:val="24"/>
          <w:lang w:val="sk-SK"/>
        </w:rPr>
        <w:t xml:space="preserve">Hranice všetkých ÚEV </w:t>
      </w:r>
      <w:r w:rsidR="00C94E54">
        <w:rPr>
          <w:sz w:val="24"/>
          <w:szCs w:val="24"/>
          <w:lang w:val="sk-SK"/>
        </w:rPr>
        <w:t xml:space="preserve">boli </w:t>
      </w:r>
      <w:r w:rsidR="00E22D41">
        <w:rPr>
          <w:sz w:val="24"/>
          <w:szCs w:val="24"/>
          <w:lang w:val="sk-SK"/>
        </w:rPr>
        <w:t xml:space="preserve">identifikované </w:t>
      </w:r>
      <w:r w:rsidR="00C94E54">
        <w:rPr>
          <w:sz w:val="24"/>
          <w:szCs w:val="24"/>
          <w:lang w:val="sk-SK"/>
        </w:rPr>
        <w:t>na jednotný parcelný stav (k 30. aprílu 2023 podľa evidencie registra „C“ katastra nehnuteľnosti)</w:t>
      </w:r>
      <w:r w:rsidR="00E22D41">
        <w:rPr>
          <w:sz w:val="24"/>
          <w:szCs w:val="24"/>
          <w:lang w:val="sk-SK"/>
        </w:rPr>
        <w:t xml:space="preserve"> a niektoré z nich boli spresnené </w:t>
      </w:r>
      <w:r w:rsidR="00C94E54">
        <w:rPr>
          <w:sz w:val="24"/>
          <w:szCs w:val="24"/>
          <w:lang w:val="sk-SK"/>
        </w:rPr>
        <w:t xml:space="preserve">podľa </w:t>
      </w:r>
      <w:r w:rsidR="00E22D41">
        <w:rPr>
          <w:sz w:val="24"/>
          <w:szCs w:val="24"/>
          <w:lang w:val="sk-SK"/>
        </w:rPr>
        <w:t xml:space="preserve">výsledkov </w:t>
      </w:r>
      <w:r w:rsidR="00C94E54">
        <w:rPr>
          <w:sz w:val="24"/>
          <w:szCs w:val="24"/>
          <w:lang w:val="sk-SK"/>
        </w:rPr>
        <w:t>technických rokovaní s Európskou komisiou</w:t>
      </w:r>
      <w:r w:rsidR="009E4665">
        <w:rPr>
          <w:sz w:val="24"/>
          <w:szCs w:val="24"/>
          <w:lang w:val="sk-SK"/>
        </w:rPr>
        <w:t xml:space="preserve">. Ďalšie úpravy </w:t>
      </w:r>
      <w:r w:rsidR="007D5638" w:rsidRPr="00FA21D2">
        <w:rPr>
          <w:sz w:val="24"/>
          <w:szCs w:val="24"/>
          <w:lang w:val="sk-SK"/>
        </w:rPr>
        <w:t xml:space="preserve">vymedzenia existujúcich </w:t>
      </w:r>
      <w:r w:rsidR="009E4665">
        <w:rPr>
          <w:sz w:val="24"/>
          <w:szCs w:val="24"/>
          <w:lang w:val="sk-SK"/>
        </w:rPr>
        <w:t xml:space="preserve">ÚEV vyplynuli z rokovaní </w:t>
      </w:r>
      <w:r w:rsidR="007D5638" w:rsidRPr="00FA21D2">
        <w:rPr>
          <w:sz w:val="24"/>
          <w:szCs w:val="24"/>
          <w:lang w:val="sk-SK"/>
        </w:rPr>
        <w:t>s Európskou komisiou</w:t>
      </w:r>
      <w:r w:rsidR="00A23B95">
        <w:rPr>
          <w:sz w:val="24"/>
          <w:szCs w:val="24"/>
          <w:lang w:val="sk-SK"/>
        </w:rPr>
        <w:t xml:space="preserve">, </w:t>
      </w:r>
      <w:r w:rsidR="00A23B95" w:rsidRPr="009E4665">
        <w:rPr>
          <w:sz w:val="24"/>
          <w:szCs w:val="24"/>
          <w:lang w:val="sk-SK"/>
        </w:rPr>
        <w:t>v kontexte konaní k porušeniu č. 2019/2141 a č. 2016/2091,</w:t>
      </w:r>
      <w:r w:rsidR="007D5638" w:rsidRPr="009E4665">
        <w:rPr>
          <w:sz w:val="24"/>
          <w:szCs w:val="24"/>
          <w:lang w:val="sk-SK"/>
        </w:rPr>
        <w:t xml:space="preserve"> k v</w:t>
      </w:r>
      <w:r w:rsidR="00C94E54" w:rsidRPr="009E4665">
        <w:rPr>
          <w:sz w:val="24"/>
          <w:szCs w:val="24"/>
          <w:lang w:val="sk-SK"/>
        </w:rPr>
        <w:t>edecký</w:t>
      </w:r>
      <w:r w:rsidR="007D5638" w:rsidRPr="009E4665">
        <w:rPr>
          <w:sz w:val="24"/>
          <w:szCs w:val="24"/>
          <w:lang w:val="sk-SK"/>
        </w:rPr>
        <w:t>m</w:t>
      </w:r>
      <w:r w:rsidR="00C94E54" w:rsidRPr="009E4665">
        <w:rPr>
          <w:sz w:val="24"/>
          <w:szCs w:val="24"/>
          <w:lang w:val="sk-SK"/>
        </w:rPr>
        <w:t xml:space="preserve"> omylo</w:t>
      </w:r>
      <w:r w:rsidR="007D5638" w:rsidRPr="009E4665">
        <w:rPr>
          <w:sz w:val="24"/>
          <w:szCs w:val="24"/>
          <w:lang w:val="sk-SK"/>
        </w:rPr>
        <w:t>m (došlo k vylúč</w:t>
      </w:r>
      <w:r w:rsidR="007D5638" w:rsidRPr="00FA21D2">
        <w:rPr>
          <w:sz w:val="24"/>
          <w:szCs w:val="24"/>
          <w:lang w:val="sk-SK"/>
        </w:rPr>
        <w:t xml:space="preserve">eniu niektorých častí ÚEV, kde sa nenachádzajú predmety ochrany ani iné biotopy a druhy európskeho významu a tieto časti nemajú </w:t>
      </w:r>
      <w:r w:rsidR="007D5638" w:rsidRPr="00FA21D2">
        <w:rPr>
          <w:sz w:val="24"/>
          <w:szCs w:val="24"/>
          <w:lang w:val="sk-SK"/>
        </w:rPr>
        <w:lastRenderedPageBreak/>
        <w:t xml:space="preserve">potenciál pre obnovu), ako aj z </w:t>
      </w:r>
      <w:r w:rsidR="00C94E54" w:rsidRPr="00FA21D2">
        <w:rPr>
          <w:sz w:val="24"/>
          <w:szCs w:val="24"/>
          <w:lang w:val="sk-SK"/>
        </w:rPr>
        <w:t xml:space="preserve">prerokovaní </w:t>
      </w:r>
      <w:r w:rsidR="00E22D41" w:rsidRPr="00FA21D2">
        <w:rPr>
          <w:sz w:val="24"/>
          <w:szCs w:val="24"/>
          <w:lang w:val="sk-SK"/>
        </w:rPr>
        <w:t xml:space="preserve">s dotknutými subjektmi uskutočnenými </w:t>
      </w:r>
      <w:r w:rsidR="000F6C2C" w:rsidRPr="00FA21D2">
        <w:rPr>
          <w:sz w:val="24"/>
          <w:szCs w:val="24"/>
          <w:lang w:val="sk-SK"/>
        </w:rPr>
        <w:t xml:space="preserve">v súlade s </w:t>
      </w:r>
      <w:r w:rsidR="00C94E54" w:rsidRPr="00FA21D2">
        <w:rPr>
          <w:sz w:val="24"/>
          <w:szCs w:val="24"/>
          <w:lang w:val="sk-SK"/>
        </w:rPr>
        <w:t>§ 27 ods. 3 zákona č. 543/2002 Z. z.</w:t>
      </w:r>
      <w:r w:rsidR="007D5638">
        <w:rPr>
          <w:sz w:val="24"/>
          <w:szCs w:val="24"/>
          <w:lang w:val="sk-SK"/>
        </w:rPr>
        <w:t xml:space="preserve"> </w:t>
      </w:r>
    </w:p>
    <w:p w:rsidR="00FF06CA" w:rsidRPr="00F20F67" w:rsidRDefault="00FF06CA" w:rsidP="00E47091">
      <w:pPr>
        <w:autoSpaceDE w:val="0"/>
        <w:autoSpaceDN w:val="0"/>
        <w:jc w:val="both"/>
        <w:rPr>
          <w:bCs/>
          <w:strike/>
        </w:rPr>
      </w:pPr>
    </w:p>
    <w:p w:rsidR="0009227D" w:rsidRPr="00F20F67" w:rsidRDefault="00424D59" w:rsidP="0028632C">
      <w:pPr>
        <w:jc w:val="both"/>
        <w:rPr>
          <w:b/>
          <w:color w:val="000000"/>
        </w:rPr>
      </w:pPr>
      <w:r w:rsidRPr="00F20F67">
        <w:rPr>
          <w:b/>
          <w:color w:val="000000"/>
        </w:rPr>
        <w:t xml:space="preserve">K § </w:t>
      </w:r>
      <w:r w:rsidR="00E00069">
        <w:rPr>
          <w:b/>
          <w:color w:val="000000"/>
        </w:rPr>
        <w:t>2</w:t>
      </w:r>
      <w:r w:rsidRPr="00F20F67">
        <w:rPr>
          <w:b/>
          <w:color w:val="000000"/>
        </w:rPr>
        <w:t xml:space="preserve"> </w:t>
      </w:r>
    </w:p>
    <w:p w:rsidR="00047476" w:rsidRPr="00F20F67" w:rsidRDefault="00047476" w:rsidP="00DA7959">
      <w:pPr>
        <w:widowControl/>
        <w:jc w:val="both"/>
        <w:rPr>
          <w:b/>
          <w:color w:val="000000"/>
        </w:rPr>
      </w:pPr>
    </w:p>
    <w:p w:rsidR="001D6B0E" w:rsidRDefault="001D6B0E" w:rsidP="001D6B0E">
      <w:pPr>
        <w:pStyle w:val="Textpoznmkypodiaro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D6B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Dňom účinnosti nariadenia vlády stráca platnosť </w:t>
      </w:r>
      <w:r>
        <w:rPr>
          <w:rFonts w:ascii="Times New Roman" w:eastAsia="Times New Roman" w:hAnsi="Times New Roman"/>
          <w:sz w:val="24"/>
          <w:szCs w:val="24"/>
          <w:lang w:val="sk-SK" w:eastAsia="sk-SK"/>
        </w:rPr>
        <w:t>v</w:t>
      </w:r>
      <w:r w:rsidRPr="001D6B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ýnos Ministerstva životného prostredia Slovenskej republiky č. 3/2004-5.1 zo 14. júla 2004, ktorým sa vydáva národný zoznam území európskeho významu, </w:t>
      </w:r>
      <w:r>
        <w:rPr>
          <w:rFonts w:ascii="Times New Roman" w:eastAsia="Times New Roman" w:hAnsi="Times New Roman"/>
          <w:sz w:val="24"/>
          <w:szCs w:val="24"/>
          <w:lang w:val="sk-SK" w:eastAsia="sk-SK"/>
        </w:rPr>
        <w:t>ako aj o</w:t>
      </w:r>
      <w:r w:rsidRPr="001D6B0E">
        <w:rPr>
          <w:rFonts w:ascii="Times New Roman" w:eastAsia="Times New Roman" w:hAnsi="Times New Roman"/>
          <w:sz w:val="24"/>
          <w:szCs w:val="24"/>
          <w:lang w:val="sk-SK" w:eastAsia="sk-SK"/>
        </w:rPr>
        <w:t>patrenie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a</w:t>
      </w:r>
      <w:r>
        <w:rPr>
          <w:rFonts w:ascii="Times New Roman" w:eastAsia="Times New Roman" w:hAnsi="Times New Roman"/>
          <w:sz w:val="24"/>
          <w:szCs w:val="24"/>
          <w:lang w:val="sk-SK" w:eastAsia="sk-SK"/>
        </w:rPr>
        <w:t> rovnako aj o</w:t>
      </w:r>
      <w:r w:rsidRPr="001D6B0E">
        <w:rPr>
          <w:rFonts w:ascii="Times New Roman" w:eastAsia="Times New Roman" w:hAnsi="Times New Roman"/>
          <w:sz w:val="24"/>
          <w:szCs w:val="24"/>
          <w:lang w:val="sk-SK" w:eastAsia="sk-SK"/>
        </w:rPr>
        <w:t>patrenie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1/2017.</w:t>
      </w:r>
    </w:p>
    <w:p w:rsidR="00281DD5" w:rsidRDefault="00281DD5" w:rsidP="001D6B0E">
      <w:pPr>
        <w:pStyle w:val="Textpoznmkypodiaro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281DD5" w:rsidRPr="00F20F67" w:rsidRDefault="00281DD5" w:rsidP="00281DD5">
      <w:pPr>
        <w:jc w:val="both"/>
        <w:rPr>
          <w:b/>
          <w:color w:val="000000"/>
        </w:rPr>
      </w:pPr>
      <w:r w:rsidRPr="00F20F67">
        <w:rPr>
          <w:b/>
          <w:color w:val="000000"/>
        </w:rPr>
        <w:t xml:space="preserve">K § </w:t>
      </w:r>
      <w:r>
        <w:rPr>
          <w:b/>
          <w:color w:val="000000"/>
        </w:rPr>
        <w:t>3</w:t>
      </w:r>
      <w:r w:rsidRPr="00F20F67">
        <w:rPr>
          <w:b/>
          <w:color w:val="000000"/>
        </w:rPr>
        <w:t xml:space="preserve"> </w:t>
      </w:r>
    </w:p>
    <w:p w:rsidR="00281DD5" w:rsidRDefault="00281DD5" w:rsidP="001D6B0E">
      <w:pPr>
        <w:pStyle w:val="Textpoznmkypodiaro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281DD5" w:rsidRPr="001D6B0E" w:rsidRDefault="00281DD5" w:rsidP="001D6B0E">
      <w:pPr>
        <w:pStyle w:val="Textpoznmkypodiaro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D6B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Dátum účinnosti návrhu nariadenia vlády je vzhľadom na predpokladanú dĺžku legislatívneho procesu navrhnutý na </w:t>
      </w:r>
      <w:r w:rsidR="00E51269" w:rsidRPr="00BF5B14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1. </w:t>
      </w:r>
      <w:r w:rsidRPr="00BF5B14">
        <w:rPr>
          <w:rFonts w:ascii="Times New Roman" w:eastAsia="Times New Roman" w:hAnsi="Times New Roman"/>
          <w:sz w:val="24"/>
          <w:szCs w:val="24"/>
          <w:lang w:val="sk-SK" w:eastAsia="sk-SK"/>
        </w:rPr>
        <w:t>j</w:t>
      </w:r>
      <w:r w:rsidR="008B7E62" w:rsidRPr="00BF5B14">
        <w:rPr>
          <w:rFonts w:ascii="Times New Roman" w:eastAsia="Times New Roman" w:hAnsi="Times New Roman"/>
          <w:sz w:val="24"/>
          <w:szCs w:val="24"/>
          <w:lang w:val="sk-SK" w:eastAsia="sk-SK"/>
        </w:rPr>
        <w:t>anuár</w:t>
      </w:r>
      <w:r w:rsidRPr="00BF5B14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202</w:t>
      </w:r>
      <w:r w:rsidR="008B7E62" w:rsidRPr="00BF5B14">
        <w:rPr>
          <w:rFonts w:ascii="Times New Roman" w:eastAsia="Times New Roman" w:hAnsi="Times New Roman"/>
          <w:sz w:val="24"/>
          <w:szCs w:val="24"/>
          <w:lang w:val="sk-SK" w:eastAsia="sk-SK"/>
        </w:rPr>
        <w:t>4</w:t>
      </w:r>
      <w:r w:rsidRPr="00BF5B14">
        <w:rPr>
          <w:rFonts w:ascii="Times New Roman" w:eastAsia="Times New Roman" w:hAnsi="Times New Roman"/>
          <w:sz w:val="24"/>
          <w:szCs w:val="24"/>
          <w:lang w:val="sk-SK" w:eastAsia="sk-SK"/>
        </w:rPr>
        <w:t>.</w:t>
      </w:r>
      <w:r w:rsidRPr="001D6B0E">
        <w:rPr>
          <w:rFonts w:ascii="Times New Roman" w:eastAsia="Times New Roman" w:hAnsi="Times New Roman"/>
          <w:sz w:val="24"/>
          <w:szCs w:val="24"/>
          <w:lang w:val="sk-SK" w:eastAsia="sk-SK"/>
        </w:rPr>
        <w:t> </w:t>
      </w:r>
    </w:p>
    <w:p w:rsidR="000A03A7" w:rsidRPr="00F20F67" w:rsidRDefault="001D6B0E" w:rsidP="003F76B9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 </w:t>
      </w:r>
    </w:p>
    <w:sectPr w:rsidR="000A03A7" w:rsidRPr="00F20F67" w:rsidSect="0050411F">
      <w:pgSz w:w="12240" w:h="15840"/>
      <w:pgMar w:top="1276" w:right="1183" w:bottom="127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1FBB" w16cex:dateUtc="2023-09-20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67350" w16cid:durableId="28B51FBB"/>
  <w16cid:commentId w16cid:paraId="73639A3F" w16cid:durableId="28B51F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BD" w:rsidRDefault="00D44EBD" w:rsidP="0031688F">
      <w:r>
        <w:separator/>
      </w:r>
    </w:p>
  </w:endnote>
  <w:endnote w:type="continuationSeparator" w:id="0">
    <w:p w:rsidR="00D44EBD" w:rsidRDefault="00D44EBD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4172"/>
      <w:docPartObj>
        <w:docPartGallery w:val="Page Numbers (Bottom of Page)"/>
        <w:docPartUnique/>
      </w:docPartObj>
    </w:sdtPr>
    <w:sdtEndPr/>
    <w:sdtContent>
      <w:p w:rsidR="0066120A" w:rsidRDefault="006612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80">
          <w:rPr>
            <w:noProof/>
          </w:rPr>
          <w:t>3</w:t>
        </w:r>
        <w:r>
          <w:fldChar w:fldCharType="end"/>
        </w:r>
      </w:p>
    </w:sdtContent>
  </w:sdt>
  <w:p w:rsidR="0066120A" w:rsidRDefault="006612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BD" w:rsidRDefault="00D44EBD" w:rsidP="0031688F">
      <w:r>
        <w:separator/>
      </w:r>
    </w:p>
  </w:footnote>
  <w:footnote w:type="continuationSeparator" w:id="0">
    <w:p w:rsidR="00D44EBD" w:rsidRDefault="00D44EBD" w:rsidP="0031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790"/>
    <w:multiLevelType w:val="hybridMultilevel"/>
    <w:tmpl w:val="709C6BC8"/>
    <w:lvl w:ilvl="0" w:tplc="5E38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DC66612"/>
    <w:multiLevelType w:val="hybridMultilevel"/>
    <w:tmpl w:val="522CE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71C2703B"/>
    <w:multiLevelType w:val="hybridMultilevel"/>
    <w:tmpl w:val="E2A0C3B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4677"/>
    <w:rsid w:val="0000562C"/>
    <w:rsid w:val="000170AC"/>
    <w:rsid w:val="000217D5"/>
    <w:rsid w:val="00025B7C"/>
    <w:rsid w:val="000262DC"/>
    <w:rsid w:val="00031AEE"/>
    <w:rsid w:val="0003212C"/>
    <w:rsid w:val="000330E9"/>
    <w:rsid w:val="00036299"/>
    <w:rsid w:val="000369D1"/>
    <w:rsid w:val="00036E3E"/>
    <w:rsid w:val="00040735"/>
    <w:rsid w:val="00043B71"/>
    <w:rsid w:val="00044028"/>
    <w:rsid w:val="00047476"/>
    <w:rsid w:val="00051867"/>
    <w:rsid w:val="00053037"/>
    <w:rsid w:val="00053246"/>
    <w:rsid w:val="00054B32"/>
    <w:rsid w:val="00055524"/>
    <w:rsid w:val="00056CDB"/>
    <w:rsid w:val="00065503"/>
    <w:rsid w:val="00071A10"/>
    <w:rsid w:val="000729BF"/>
    <w:rsid w:val="00074612"/>
    <w:rsid w:val="000754AA"/>
    <w:rsid w:val="00075A8C"/>
    <w:rsid w:val="00077A45"/>
    <w:rsid w:val="00080C9C"/>
    <w:rsid w:val="00080F4E"/>
    <w:rsid w:val="00081670"/>
    <w:rsid w:val="00083B01"/>
    <w:rsid w:val="00084DCD"/>
    <w:rsid w:val="000872C1"/>
    <w:rsid w:val="000905A6"/>
    <w:rsid w:val="0009227D"/>
    <w:rsid w:val="000A03A7"/>
    <w:rsid w:val="000A14C0"/>
    <w:rsid w:val="000A3848"/>
    <w:rsid w:val="000A64C1"/>
    <w:rsid w:val="000A778D"/>
    <w:rsid w:val="000B123C"/>
    <w:rsid w:val="000B30D5"/>
    <w:rsid w:val="000B47E4"/>
    <w:rsid w:val="000C0389"/>
    <w:rsid w:val="000C5848"/>
    <w:rsid w:val="000D1FB4"/>
    <w:rsid w:val="000D617E"/>
    <w:rsid w:val="000D645E"/>
    <w:rsid w:val="000D6920"/>
    <w:rsid w:val="000E4EA2"/>
    <w:rsid w:val="000F126F"/>
    <w:rsid w:val="000F4026"/>
    <w:rsid w:val="000F416E"/>
    <w:rsid w:val="000F41C1"/>
    <w:rsid w:val="000F50B8"/>
    <w:rsid w:val="000F6C2C"/>
    <w:rsid w:val="000F6E62"/>
    <w:rsid w:val="000F7BAF"/>
    <w:rsid w:val="00104374"/>
    <w:rsid w:val="00115499"/>
    <w:rsid w:val="0011777D"/>
    <w:rsid w:val="00121DE5"/>
    <w:rsid w:val="00124465"/>
    <w:rsid w:val="00130361"/>
    <w:rsid w:val="001336FC"/>
    <w:rsid w:val="00136614"/>
    <w:rsid w:val="00140A95"/>
    <w:rsid w:val="001421BD"/>
    <w:rsid w:val="00143124"/>
    <w:rsid w:val="001451E6"/>
    <w:rsid w:val="00147976"/>
    <w:rsid w:val="00147E17"/>
    <w:rsid w:val="00156477"/>
    <w:rsid w:val="00156568"/>
    <w:rsid w:val="0015703A"/>
    <w:rsid w:val="0015754B"/>
    <w:rsid w:val="001601AB"/>
    <w:rsid w:val="001651D0"/>
    <w:rsid w:val="00166B9F"/>
    <w:rsid w:val="001675B4"/>
    <w:rsid w:val="00172A19"/>
    <w:rsid w:val="00172B5A"/>
    <w:rsid w:val="00173AA4"/>
    <w:rsid w:val="0017782F"/>
    <w:rsid w:val="001835A3"/>
    <w:rsid w:val="00184B4C"/>
    <w:rsid w:val="00186651"/>
    <w:rsid w:val="00190A9C"/>
    <w:rsid w:val="0019242E"/>
    <w:rsid w:val="00192AF7"/>
    <w:rsid w:val="001966BA"/>
    <w:rsid w:val="001A4D76"/>
    <w:rsid w:val="001A4EBA"/>
    <w:rsid w:val="001A6640"/>
    <w:rsid w:val="001A6CCA"/>
    <w:rsid w:val="001A7B91"/>
    <w:rsid w:val="001B1DA8"/>
    <w:rsid w:val="001B27D6"/>
    <w:rsid w:val="001B3157"/>
    <w:rsid w:val="001B7A03"/>
    <w:rsid w:val="001B7DF1"/>
    <w:rsid w:val="001C27F0"/>
    <w:rsid w:val="001C35B6"/>
    <w:rsid w:val="001D3C9A"/>
    <w:rsid w:val="001D6908"/>
    <w:rsid w:val="001D6B0E"/>
    <w:rsid w:val="001D794B"/>
    <w:rsid w:val="001E3719"/>
    <w:rsid w:val="001E4B2E"/>
    <w:rsid w:val="001E5E19"/>
    <w:rsid w:val="001E7188"/>
    <w:rsid w:val="001E79FF"/>
    <w:rsid w:val="001F384B"/>
    <w:rsid w:val="001F70CA"/>
    <w:rsid w:val="0020441D"/>
    <w:rsid w:val="002053D8"/>
    <w:rsid w:val="00205887"/>
    <w:rsid w:val="00207A8C"/>
    <w:rsid w:val="00213C4E"/>
    <w:rsid w:val="00220092"/>
    <w:rsid w:val="00221281"/>
    <w:rsid w:val="00221852"/>
    <w:rsid w:val="002279B8"/>
    <w:rsid w:val="00231C80"/>
    <w:rsid w:val="00231FEE"/>
    <w:rsid w:val="00234792"/>
    <w:rsid w:val="00237A67"/>
    <w:rsid w:val="00242A3A"/>
    <w:rsid w:val="00244628"/>
    <w:rsid w:val="002456AD"/>
    <w:rsid w:val="002461C1"/>
    <w:rsid w:val="002464E0"/>
    <w:rsid w:val="002564C8"/>
    <w:rsid w:val="002568B1"/>
    <w:rsid w:val="0025733C"/>
    <w:rsid w:val="002600B4"/>
    <w:rsid w:val="002601BA"/>
    <w:rsid w:val="0026151E"/>
    <w:rsid w:val="00261C78"/>
    <w:rsid w:val="00262A10"/>
    <w:rsid w:val="00265EBA"/>
    <w:rsid w:val="00267589"/>
    <w:rsid w:val="002720EF"/>
    <w:rsid w:val="00274A53"/>
    <w:rsid w:val="002760D3"/>
    <w:rsid w:val="00276461"/>
    <w:rsid w:val="0028007B"/>
    <w:rsid w:val="00281DD5"/>
    <w:rsid w:val="00283346"/>
    <w:rsid w:val="00283739"/>
    <w:rsid w:val="0028471B"/>
    <w:rsid w:val="00284BB9"/>
    <w:rsid w:val="0028632C"/>
    <w:rsid w:val="00286D07"/>
    <w:rsid w:val="002923E7"/>
    <w:rsid w:val="002A7FA3"/>
    <w:rsid w:val="002B5A3A"/>
    <w:rsid w:val="002B5E3C"/>
    <w:rsid w:val="002C6A42"/>
    <w:rsid w:val="002C77AD"/>
    <w:rsid w:val="002C7D59"/>
    <w:rsid w:val="002D38FC"/>
    <w:rsid w:val="002D3CEA"/>
    <w:rsid w:val="002D475D"/>
    <w:rsid w:val="002D4FF9"/>
    <w:rsid w:val="002D61FB"/>
    <w:rsid w:val="002D6C21"/>
    <w:rsid w:val="002E3597"/>
    <w:rsid w:val="002F077E"/>
    <w:rsid w:val="003059F7"/>
    <w:rsid w:val="00305CB8"/>
    <w:rsid w:val="00310366"/>
    <w:rsid w:val="00310772"/>
    <w:rsid w:val="0031256A"/>
    <w:rsid w:val="003126DB"/>
    <w:rsid w:val="00313128"/>
    <w:rsid w:val="00316178"/>
    <w:rsid w:val="0031688F"/>
    <w:rsid w:val="0031709F"/>
    <w:rsid w:val="003208F9"/>
    <w:rsid w:val="00320FB9"/>
    <w:rsid w:val="00325B87"/>
    <w:rsid w:val="00326417"/>
    <w:rsid w:val="00331EB6"/>
    <w:rsid w:val="003352E6"/>
    <w:rsid w:val="0033552E"/>
    <w:rsid w:val="003368D7"/>
    <w:rsid w:val="003615FC"/>
    <w:rsid w:val="00361D9A"/>
    <w:rsid w:val="00364583"/>
    <w:rsid w:val="00371480"/>
    <w:rsid w:val="00377F27"/>
    <w:rsid w:val="00391271"/>
    <w:rsid w:val="00391A34"/>
    <w:rsid w:val="00393609"/>
    <w:rsid w:val="00394D70"/>
    <w:rsid w:val="003A0847"/>
    <w:rsid w:val="003A21B7"/>
    <w:rsid w:val="003A5E96"/>
    <w:rsid w:val="003B001E"/>
    <w:rsid w:val="003B57A8"/>
    <w:rsid w:val="003B6AF9"/>
    <w:rsid w:val="003C021B"/>
    <w:rsid w:val="003C6BB1"/>
    <w:rsid w:val="003D1E42"/>
    <w:rsid w:val="003D34E3"/>
    <w:rsid w:val="003E4511"/>
    <w:rsid w:val="003E5937"/>
    <w:rsid w:val="003F2A44"/>
    <w:rsid w:val="003F4C5B"/>
    <w:rsid w:val="003F6A5F"/>
    <w:rsid w:val="003F6B2D"/>
    <w:rsid w:val="003F6B6B"/>
    <w:rsid w:val="003F716E"/>
    <w:rsid w:val="003F76B9"/>
    <w:rsid w:val="0040003E"/>
    <w:rsid w:val="0040003F"/>
    <w:rsid w:val="00403677"/>
    <w:rsid w:val="004060D3"/>
    <w:rsid w:val="004103D8"/>
    <w:rsid w:val="00410C7A"/>
    <w:rsid w:val="00410E47"/>
    <w:rsid w:val="00413D8E"/>
    <w:rsid w:val="00416594"/>
    <w:rsid w:val="00423D77"/>
    <w:rsid w:val="004243FD"/>
    <w:rsid w:val="00424D59"/>
    <w:rsid w:val="00425C5A"/>
    <w:rsid w:val="00427160"/>
    <w:rsid w:val="0042783B"/>
    <w:rsid w:val="00430D2B"/>
    <w:rsid w:val="00431EC2"/>
    <w:rsid w:val="004320A0"/>
    <w:rsid w:val="00436FD6"/>
    <w:rsid w:val="00445352"/>
    <w:rsid w:val="004504C5"/>
    <w:rsid w:val="004530C8"/>
    <w:rsid w:val="0045313B"/>
    <w:rsid w:val="004614DF"/>
    <w:rsid w:val="004616F1"/>
    <w:rsid w:val="004640E8"/>
    <w:rsid w:val="004667A4"/>
    <w:rsid w:val="0046797C"/>
    <w:rsid w:val="00470E3B"/>
    <w:rsid w:val="00480B3A"/>
    <w:rsid w:val="00481851"/>
    <w:rsid w:val="00481AA3"/>
    <w:rsid w:val="00481ED6"/>
    <w:rsid w:val="00484145"/>
    <w:rsid w:val="00487EE6"/>
    <w:rsid w:val="0049076C"/>
    <w:rsid w:val="00492750"/>
    <w:rsid w:val="004927B7"/>
    <w:rsid w:val="0049419E"/>
    <w:rsid w:val="004967D8"/>
    <w:rsid w:val="004968B8"/>
    <w:rsid w:val="004A0768"/>
    <w:rsid w:val="004A15E9"/>
    <w:rsid w:val="004A3561"/>
    <w:rsid w:val="004A6EA7"/>
    <w:rsid w:val="004A7BD9"/>
    <w:rsid w:val="004B25ED"/>
    <w:rsid w:val="004C5BC0"/>
    <w:rsid w:val="004C6A1F"/>
    <w:rsid w:val="004D0B8F"/>
    <w:rsid w:val="004D1905"/>
    <w:rsid w:val="004D24A8"/>
    <w:rsid w:val="004E1CF1"/>
    <w:rsid w:val="004E4EBF"/>
    <w:rsid w:val="004E7BB4"/>
    <w:rsid w:val="004F1D9D"/>
    <w:rsid w:val="00501519"/>
    <w:rsid w:val="005029FF"/>
    <w:rsid w:val="00503FEC"/>
    <w:rsid w:val="0050411F"/>
    <w:rsid w:val="0051479D"/>
    <w:rsid w:val="0051676E"/>
    <w:rsid w:val="00516CBB"/>
    <w:rsid w:val="00524174"/>
    <w:rsid w:val="00524B8B"/>
    <w:rsid w:val="005305C0"/>
    <w:rsid w:val="005312D2"/>
    <w:rsid w:val="00534F22"/>
    <w:rsid w:val="00536FC4"/>
    <w:rsid w:val="00537E0D"/>
    <w:rsid w:val="00551AD5"/>
    <w:rsid w:val="0055381A"/>
    <w:rsid w:val="00556493"/>
    <w:rsid w:val="005567EC"/>
    <w:rsid w:val="00560AB9"/>
    <w:rsid w:val="00561792"/>
    <w:rsid w:val="005625F8"/>
    <w:rsid w:val="00564D92"/>
    <w:rsid w:val="00566ACB"/>
    <w:rsid w:val="00571AA0"/>
    <w:rsid w:val="00573308"/>
    <w:rsid w:val="005745B8"/>
    <w:rsid w:val="005750C3"/>
    <w:rsid w:val="00582EFA"/>
    <w:rsid w:val="00584F4C"/>
    <w:rsid w:val="00585EA3"/>
    <w:rsid w:val="00587854"/>
    <w:rsid w:val="005932AE"/>
    <w:rsid w:val="00593C1B"/>
    <w:rsid w:val="005A7259"/>
    <w:rsid w:val="005B2091"/>
    <w:rsid w:val="005B7DBF"/>
    <w:rsid w:val="005C027C"/>
    <w:rsid w:val="005C12A3"/>
    <w:rsid w:val="005C5095"/>
    <w:rsid w:val="005C5938"/>
    <w:rsid w:val="005C7B5D"/>
    <w:rsid w:val="005D16E1"/>
    <w:rsid w:val="005D5F06"/>
    <w:rsid w:val="005D61E3"/>
    <w:rsid w:val="005D7641"/>
    <w:rsid w:val="005E137D"/>
    <w:rsid w:val="005E380D"/>
    <w:rsid w:val="005E6AD9"/>
    <w:rsid w:val="005E7F12"/>
    <w:rsid w:val="005F2C05"/>
    <w:rsid w:val="005F4055"/>
    <w:rsid w:val="005F45C1"/>
    <w:rsid w:val="005F7372"/>
    <w:rsid w:val="00603517"/>
    <w:rsid w:val="006150E8"/>
    <w:rsid w:val="006154BF"/>
    <w:rsid w:val="006222F5"/>
    <w:rsid w:val="00622B48"/>
    <w:rsid w:val="00624D58"/>
    <w:rsid w:val="00625067"/>
    <w:rsid w:val="00627244"/>
    <w:rsid w:val="00632C9A"/>
    <w:rsid w:val="00633F37"/>
    <w:rsid w:val="0064196F"/>
    <w:rsid w:val="00641FB9"/>
    <w:rsid w:val="00642B5A"/>
    <w:rsid w:val="00643419"/>
    <w:rsid w:val="006469CE"/>
    <w:rsid w:val="00652ED9"/>
    <w:rsid w:val="0065496A"/>
    <w:rsid w:val="00655010"/>
    <w:rsid w:val="00656356"/>
    <w:rsid w:val="0065785E"/>
    <w:rsid w:val="00660EF6"/>
    <w:rsid w:val="0066120A"/>
    <w:rsid w:val="0066649D"/>
    <w:rsid w:val="00672E23"/>
    <w:rsid w:val="006733AC"/>
    <w:rsid w:val="00674140"/>
    <w:rsid w:val="006761A2"/>
    <w:rsid w:val="00690A95"/>
    <w:rsid w:val="006954CD"/>
    <w:rsid w:val="00695DE0"/>
    <w:rsid w:val="006979FE"/>
    <w:rsid w:val="006A596F"/>
    <w:rsid w:val="006A5D2E"/>
    <w:rsid w:val="006B21BE"/>
    <w:rsid w:val="006B23BF"/>
    <w:rsid w:val="006B3CBC"/>
    <w:rsid w:val="006B5282"/>
    <w:rsid w:val="006B61B5"/>
    <w:rsid w:val="006C0B4E"/>
    <w:rsid w:val="006C73F1"/>
    <w:rsid w:val="006C7A85"/>
    <w:rsid w:val="006D0C84"/>
    <w:rsid w:val="006D6BC7"/>
    <w:rsid w:val="006D70EF"/>
    <w:rsid w:val="006E3295"/>
    <w:rsid w:val="006E73D8"/>
    <w:rsid w:val="006F25CC"/>
    <w:rsid w:val="006F7984"/>
    <w:rsid w:val="006F7C61"/>
    <w:rsid w:val="00700392"/>
    <w:rsid w:val="00703793"/>
    <w:rsid w:val="00706449"/>
    <w:rsid w:val="00706903"/>
    <w:rsid w:val="00706CED"/>
    <w:rsid w:val="00707126"/>
    <w:rsid w:val="007103B8"/>
    <w:rsid w:val="007108B4"/>
    <w:rsid w:val="007158F5"/>
    <w:rsid w:val="00716577"/>
    <w:rsid w:val="007214B4"/>
    <w:rsid w:val="007220F2"/>
    <w:rsid w:val="00722D9E"/>
    <w:rsid w:val="00725548"/>
    <w:rsid w:val="00726370"/>
    <w:rsid w:val="00732892"/>
    <w:rsid w:val="00735109"/>
    <w:rsid w:val="00735FCE"/>
    <w:rsid w:val="00744B33"/>
    <w:rsid w:val="00745131"/>
    <w:rsid w:val="00747055"/>
    <w:rsid w:val="00750FED"/>
    <w:rsid w:val="00760393"/>
    <w:rsid w:val="0076203C"/>
    <w:rsid w:val="00762830"/>
    <w:rsid w:val="007636F5"/>
    <w:rsid w:val="007654BC"/>
    <w:rsid w:val="0077042D"/>
    <w:rsid w:val="0077047E"/>
    <w:rsid w:val="007707E1"/>
    <w:rsid w:val="00770D00"/>
    <w:rsid w:val="00773B81"/>
    <w:rsid w:val="0077525E"/>
    <w:rsid w:val="00776821"/>
    <w:rsid w:val="00782FD7"/>
    <w:rsid w:val="007830F0"/>
    <w:rsid w:val="00784CBE"/>
    <w:rsid w:val="007853DF"/>
    <w:rsid w:val="007853ED"/>
    <w:rsid w:val="00790464"/>
    <w:rsid w:val="00793B99"/>
    <w:rsid w:val="00795506"/>
    <w:rsid w:val="0079636A"/>
    <w:rsid w:val="007975EF"/>
    <w:rsid w:val="007A129E"/>
    <w:rsid w:val="007A1A1B"/>
    <w:rsid w:val="007A3776"/>
    <w:rsid w:val="007A45D7"/>
    <w:rsid w:val="007A7314"/>
    <w:rsid w:val="007A7580"/>
    <w:rsid w:val="007A7983"/>
    <w:rsid w:val="007A7B79"/>
    <w:rsid w:val="007B4E0E"/>
    <w:rsid w:val="007B6920"/>
    <w:rsid w:val="007C132D"/>
    <w:rsid w:val="007C3347"/>
    <w:rsid w:val="007C61E2"/>
    <w:rsid w:val="007D5638"/>
    <w:rsid w:val="007D64A5"/>
    <w:rsid w:val="007E258E"/>
    <w:rsid w:val="007E5293"/>
    <w:rsid w:val="007E66EC"/>
    <w:rsid w:val="007F0FFF"/>
    <w:rsid w:val="007F4119"/>
    <w:rsid w:val="007F67CF"/>
    <w:rsid w:val="008033A0"/>
    <w:rsid w:val="0080363A"/>
    <w:rsid w:val="0080619A"/>
    <w:rsid w:val="008109E6"/>
    <w:rsid w:val="00812B69"/>
    <w:rsid w:val="00812D0F"/>
    <w:rsid w:val="00816A73"/>
    <w:rsid w:val="008170CD"/>
    <w:rsid w:val="00817645"/>
    <w:rsid w:val="00821AB2"/>
    <w:rsid w:val="00821B2B"/>
    <w:rsid w:val="00821F7D"/>
    <w:rsid w:val="0083051F"/>
    <w:rsid w:val="008322E8"/>
    <w:rsid w:val="00837033"/>
    <w:rsid w:val="008402AD"/>
    <w:rsid w:val="00841113"/>
    <w:rsid w:val="00842957"/>
    <w:rsid w:val="008537F4"/>
    <w:rsid w:val="00853DB6"/>
    <w:rsid w:val="008547F2"/>
    <w:rsid w:val="0085521F"/>
    <w:rsid w:val="008578CD"/>
    <w:rsid w:val="0086300D"/>
    <w:rsid w:val="00864C57"/>
    <w:rsid w:val="00872F3B"/>
    <w:rsid w:val="00873608"/>
    <w:rsid w:val="00877169"/>
    <w:rsid w:val="008801C5"/>
    <w:rsid w:val="00885C44"/>
    <w:rsid w:val="00890E55"/>
    <w:rsid w:val="0089128F"/>
    <w:rsid w:val="008A03F3"/>
    <w:rsid w:val="008A3172"/>
    <w:rsid w:val="008A38FC"/>
    <w:rsid w:val="008A7BE3"/>
    <w:rsid w:val="008B0214"/>
    <w:rsid w:val="008B1DB8"/>
    <w:rsid w:val="008B25A6"/>
    <w:rsid w:val="008B3BDF"/>
    <w:rsid w:val="008B490E"/>
    <w:rsid w:val="008B5070"/>
    <w:rsid w:val="008B61AB"/>
    <w:rsid w:val="008B7E62"/>
    <w:rsid w:val="008C0409"/>
    <w:rsid w:val="008C1571"/>
    <w:rsid w:val="008C51BD"/>
    <w:rsid w:val="008C6A65"/>
    <w:rsid w:val="008C6AA5"/>
    <w:rsid w:val="008C73C3"/>
    <w:rsid w:val="008C7AEA"/>
    <w:rsid w:val="008D01AA"/>
    <w:rsid w:val="008E1C01"/>
    <w:rsid w:val="008E278C"/>
    <w:rsid w:val="008E2E12"/>
    <w:rsid w:val="008F41CF"/>
    <w:rsid w:val="008F5231"/>
    <w:rsid w:val="009046F7"/>
    <w:rsid w:val="00904824"/>
    <w:rsid w:val="00906A00"/>
    <w:rsid w:val="009112D5"/>
    <w:rsid w:val="009132BC"/>
    <w:rsid w:val="00913997"/>
    <w:rsid w:val="00914BF7"/>
    <w:rsid w:val="009213D9"/>
    <w:rsid w:val="009267A0"/>
    <w:rsid w:val="009320A4"/>
    <w:rsid w:val="00933BA3"/>
    <w:rsid w:val="00933C9B"/>
    <w:rsid w:val="0094434D"/>
    <w:rsid w:val="00947BC9"/>
    <w:rsid w:val="0095266E"/>
    <w:rsid w:val="00952BAC"/>
    <w:rsid w:val="00952C52"/>
    <w:rsid w:val="00955AD5"/>
    <w:rsid w:val="00955BC6"/>
    <w:rsid w:val="00961F70"/>
    <w:rsid w:val="009644E2"/>
    <w:rsid w:val="00973672"/>
    <w:rsid w:val="0097406D"/>
    <w:rsid w:val="00975FB2"/>
    <w:rsid w:val="00976F01"/>
    <w:rsid w:val="00977432"/>
    <w:rsid w:val="00977F90"/>
    <w:rsid w:val="00986199"/>
    <w:rsid w:val="00996A0A"/>
    <w:rsid w:val="009A4998"/>
    <w:rsid w:val="009A7671"/>
    <w:rsid w:val="009B7613"/>
    <w:rsid w:val="009B76B7"/>
    <w:rsid w:val="009C055B"/>
    <w:rsid w:val="009C31BF"/>
    <w:rsid w:val="009C3597"/>
    <w:rsid w:val="009C614C"/>
    <w:rsid w:val="009D0F07"/>
    <w:rsid w:val="009D14D3"/>
    <w:rsid w:val="009D384D"/>
    <w:rsid w:val="009D3E8C"/>
    <w:rsid w:val="009D4076"/>
    <w:rsid w:val="009D6740"/>
    <w:rsid w:val="009D74FC"/>
    <w:rsid w:val="009D7696"/>
    <w:rsid w:val="009E1E04"/>
    <w:rsid w:val="009E2E36"/>
    <w:rsid w:val="009E4665"/>
    <w:rsid w:val="009E6C52"/>
    <w:rsid w:val="009F0639"/>
    <w:rsid w:val="009F361E"/>
    <w:rsid w:val="009F373A"/>
    <w:rsid w:val="009F443E"/>
    <w:rsid w:val="009F7299"/>
    <w:rsid w:val="00A0279E"/>
    <w:rsid w:val="00A02837"/>
    <w:rsid w:val="00A03FCC"/>
    <w:rsid w:val="00A04757"/>
    <w:rsid w:val="00A12334"/>
    <w:rsid w:val="00A14B6B"/>
    <w:rsid w:val="00A15125"/>
    <w:rsid w:val="00A20F44"/>
    <w:rsid w:val="00A2192C"/>
    <w:rsid w:val="00A21B88"/>
    <w:rsid w:val="00A21E25"/>
    <w:rsid w:val="00A23B95"/>
    <w:rsid w:val="00A245C8"/>
    <w:rsid w:val="00A24D54"/>
    <w:rsid w:val="00A30224"/>
    <w:rsid w:val="00A352EE"/>
    <w:rsid w:val="00A36071"/>
    <w:rsid w:val="00A41409"/>
    <w:rsid w:val="00A41DCA"/>
    <w:rsid w:val="00A432E4"/>
    <w:rsid w:val="00A456AD"/>
    <w:rsid w:val="00A46582"/>
    <w:rsid w:val="00A47BE2"/>
    <w:rsid w:val="00A5410D"/>
    <w:rsid w:val="00A578B1"/>
    <w:rsid w:val="00A64D2D"/>
    <w:rsid w:val="00A65BD4"/>
    <w:rsid w:val="00A66A9E"/>
    <w:rsid w:val="00A76469"/>
    <w:rsid w:val="00A764DD"/>
    <w:rsid w:val="00A81915"/>
    <w:rsid w:val="00A8701B"/>
    <w:rsid w:val="00A90341"/>
    <w:rsid w:val="00A96E97"/>
    <w:rsid w:val="00A97FB0"/>
    <w:rsid w:val="00AA271D"/>
    <w:rsid w:val="00AA56FF"/>
    <w:rsid w:val="00AA6B23"/>
    <w:rsid w:val="00AB1524"/>
    <w:rsid w:val="00AB291F"/>
    <w:rsid w:val="00AB3788"/>
    <w:rsid w:val="00AB5A01"/>
    <w:rsid w:val="00AC1E3D"/>
    <w:rsid w:val="00AC404D"/>
    <w:rsid w:val="00AC4670"/>
    <w:rsid w:val="00AC6E27"/>
    <w:rsid w:val="00AD7CDA"/>
    <w:rsid w:val="00AE0C93"/>
    <w:rsid w:val="00AE289A"/>
    <w:rsid w:val="00AE329E"/>
    <w:rsid w:val="00AF423D"/>
    <w:rsid w:val="00B045F0"/>
    <w:rsid w:val="00B04757"/>
    <w:rsid w:val="00B07186"/>
    <w:rsid w:val="00B07867"/>
    <w:rsid w:val="00B12ADA"/>
    <w:rsid w:val="00B17053"/>
    <w:rsid w:val="00B2415D"/>
    <w:rsid w:val="00B31392"/>
    <w:rsid w:val="00B37D39"/>
    <w:rsid w:val="00B4310E"/>
    <w:rsid w:val="00B46886"/>
    <w:rsid w:val="00B50BA2"/>
    <w:rsid w:val="00B51E01"/>
    <w:rsid w:val="00B5720A"/>
    <w:rsid w:val="00B61868"/>
    <w:rsid w:val="00B646B6"/>
    <w:rsid w:val="00B723AE"/>
    <w:rsid w:val="00B761BF"/>
    <w:rsid w:val="00B77474"/>
    <w:rsid w:val="00B8093F"/>
    <w:rsid w:val="00B872A6"/>
    <w:rsid w:val="00B91EDE"/>
    <w:rsid w:val="00B95C2A"/>
    <w:rsid w:val="00BA0ED1"/>
    <w:rsid w:val="00BA3900"/>
    <w:rsid w:val="00BA50ED"/>
    <w:rsid w:val="00BA53E1"/>
    <w:rsid w:val="00BA6072"/>
    <w:rsid w:val="00BA764A"/>
    <w:rsid w:val="00BB3BE3"/>
    <w:rsid w:val="00BB4F46"/>
    <w:rsid w:val="00BC213E"/>
    <w:rsid w:val="00BC3B23"/>
    <w:rsid w:val="00BD0E71"/>
    <w:rsid w:val="00BD2822"/>
    <w:rsid w:val="00BD3885"/>
    <w:rsid w:val="00BD59BC"/>
    <w:rsid w:val="00BD6607"/>
    <w:rsid w:val="00BE0564"/>
    <w:rsid w:val="00BE391C"/>
    <w:rsid w:val="00BE4E69"/>
    <w:rsid w:val="00BF0C38"/>
    <w:rsid w:val="00BF5B14"/>
    <w:rsid w:val="00BF6151"/>
    <w:rsid w:val="00C011F1"/>
    <w:rsid w:val="00C01379"/>
    <w:rsid w:val="00C01AC7"/>
    <w:rsid w:val="00C0489E"/>
    <w:rsid w:val="00C04972"/>
    <w:rsid w:val="00C05F90"/>
    <w:rsid w:val="00C065EB"/>
    <w:rsid w:val="00C0772C"/>
    <w:rsid w:val="00C07DCC"/>
    <w:rsid w:val="00C14B69"/>
    <w:rsid w:val="00C315AC"/>
    <w:rsid w:val="00C350CC"/>
    <w:rsid w:val="00C3769C"/>
    <w:rsid w:val="00C41266"/>
    <w:rsid w:val="00C44D04"/>
    <w:rsid w:val="00C458FB"/>
    <w:rsid w:val="00C5607C"/>
    <w:rsid w:val="00C6542A"/>
    <w:rsid w:val="00C65B7A"/>
    <w:rsid w:val="00C71237"/>
    <w:rsid w:val="00C71AF7"/>
    <w:rsid w:val="00C83183"/>
    <w:rsid w:val="00C839A0"/>
    <w:rsid w:val="00C86650"/>
    <w:rsid w:val="00C86CBE"/>
    <w:rsid w:val="00C87DBE"/>
    <w:rsid w:val="00C92BC3"/>
    <w:rsid w:val="00C945EC"/>
    <w:rsid w:val="00C94E54"/>
    <w:rsid w:val="00CA01D8"/>
    <w:rsid w:val="00CA2228"/>
    <w:rsid w:val="00CA3DBA"/>
    <w:rsid w:val="00CA3EB8"/>
    <w:rsid w:val="00CA4387"/>
    <w:rsid w:val="00CB00E6"/>
    <w:rsid w:val="00CB0743"/>
    <w:rsid w:val="00CB2995"/>
    <w:rsid w:val="00CB6FAF"/>
    <w:rsid w:val="00CB7715"/>
    <w:rsid w:val="00CC07F1"/>
    <w:rsid w:val="00CC27B0"/>
    <w:rsid w:val="00CD277A"/>
    <w:rsid w:val="00CD6CB3"/>
    <w:rsid w:val="00CE14DF"/>
    <w:rsid w:val="00CE34A5"/>
    <w:rsid w:val="00CE3C7E"/>
    <w:rsid w:val="00CE4362"/>
    <w:rsid w:val="00CE66A0"/>
    <w:rsid w:val="00CF1D46"/>
    <w:rsid w:val="00CF25B1"/>
    <w:rsid w:val="00D0487E"/>
    <w:rsid w:val="00D06C7E"/>
    <w:rsid w:val="00D07C4A"/>
    <w:rsid w:val="00D13BA2"/>
    <w:rsid w:val="00D23847"/>
    <w:rsid w:val="00D27231"/>
    <w:rsid w:val="00D27FE0"/>
    <w:rsid w:val="00D33B61"/>
    <w:rsid w:val="00D33ED2"/>
    <w:rsid w:val="00D3655D"/>
    <w:rsid w:val="00D44A58"/>
    <w:rsid w:val="00D44EBD"/>
    <w:rsid w:val="00D45527"/>
    <w:rsid w:val="00D502B6"/>
    <w:rsid w:val="00D52D1B"/>
    <w:rsid w:val="00D54B06"/>
    <w:rsid w:val="00D577D9"/>
    <w:rsid w:val="00D654D2"/>
    <w:rsid w:val="00D67E57"/>
    <w:rsid w:val="00D761DE"/>
    <w:rsid w:val="00D76BA7"/>
    <w:rsid w:val="00D8643C"/>
    <w:rsid w:val="00D86FC3"/>
    <w:rsid w:val="00D924B1"/>
    <w:rsid w:val="00D957CA"/>
    <w:rsid w:val="00DA5034"/>
    <w:rsid w:val="00DA7959"/>
    <w:rsid w:val="00DB5588"/>
    <w:rsid w:val="00DB6AD8"/>
    <w:rsid w:val="00DC1250"/>
    <w:rsid w:val="00DC2601"/>
    <w:rsid w:val="00DC7CE6"/>
    <w:rsid w:val="00DD246B"/>
    <w:rsid w:val="00DD36D1"/>
    <w:rsid w:val="00DD3CC0"/>
    <w:rsid w:val="00DD3D16"/>
    <w:rsid w:val="00DD5270"/>
    <w:rsid w:val="00DD5E44"/>
    <w:rsid w:val="00DD64E7"/>
    <w:rsid w:val="00DE0C9B"/>
    <w:rsid w:val="00DE0ED3"/>
    <w:rsid w:val="00DE13DA"/>
    <w:rsid w:val="00DE2529"/>
    <w:rsid w:val="00DE3FFE"/>
    <w:rsid w:val="00DE6E52"/>
    <w:rsid w:val="00DF0D00"/>
    <w:rsid w:val="00DF6944"/>
    <w:rsid w:val="00E00069"/>
    <w:rsid w:val="00E00D48"/>
    <w:rsid w:val="00E054B6"/>
    <w:rsid w:val="00E07143"/>
    <w:rsid w:val="00E07B81"/>
    <w:rsid w:val="00E119F2"/>
    <w:rsid w:val="00E11A2A"/>
    <w:rsid w:val="00E170E7"/>
    <w:rsid w:val="00E22D41"/>
    <w:rsid w:val="00E30489"/>
    <w:rsid w:val="00E32261"/>
    <w:rsid w:val="00E32C21"/>
    <w:rsid w:val="00E33975"/>
    <w:rsid w:val="00E33CE9"/>
    <w:rsid w:val="00E42D7B"/>
    <w:rsid w:val="00E43F4C"/>
    <w:rsid w:val="00E45D69"/>
    <w:rsid w:val="00E45FFD"/>
    <w:rsid w:val="00E47091"/>
    <w:rsid w:val="00E471DD"/>
    <w:rsid w:val="00E505C9"/>
    <w:rsid w:val="00E51269"/>
    <w:rsid w:val="00E52305"/>
    <w:rsid w:val="00E53504"/>
    <w:rsid w:val="00E5568B"/>
    <w:rsid w:val="00E66CEE"/>
    <w:rsid w:val="00E66D45"/>
    <w:rsid w:val="00E71C4C"/>
    <w:rsid w:val="00E77352"/>
    <w:rsid w:val="00E81914"/>
    <w:rsid w:val="00E83EE2"/>
    <w:rsid w:val="00E84046"/>
    <w:rsid w:val="00E9328D"/>
    <w:rsid w:val="00E946E8"/>
    <w:rsid w:val="00E9606D"/>
    <w:rsid w:val="00E96127"/>
    <w:rsid w:val="00E96128"/>
    <w:rsid w:val="00E97305"/>
    <w:rsid w:val="00EA02FC"/>
    <w:rsid w:val="00EA4D6E"/>
    <w:rsid w:val="00EA5142"/>
    <w:rsid w:val="00EA7B91"/>
    <w:rsid w:val="00EB2DBE"/>
    <w:rsid w:val="00EB4275"/>
    <w:rsid w:val="00EB4BD2"/>
    <w:rsid w:val="00EB54AF"/>
    <w:rsid w:val="00EB698B"/>
    <w:rsid w:val="00EB767B"/>
    <w:rsid w:val="00EB7C96"/>
    <w:rsid w:val="00EC0A3F"/>
    <w:rsid w:val="00EC7D70"/>
    <w:rsid w:val="00ED04E1"/>
    <w:rsid w:val="00ED4076"/>
    <w:rsid w:val="00ED614A"/>
    <w:rsid w:val="00ED6C25"/>
    <w:rsid w:val="00ED6CD3"/>
    <w:rsid w:val="00EE009F"/>
    <w:rsid w:val="00EF0F40"/>
    <w:rsid w:val="00F00338"/>
    <w:rsid w:val="00F020D4"/>
    <w:rsid w:val="00F022AC"/>
    <w:rsid w:val="00F025D5"/>
    <w:rsid w:val="00F03D4D"/>
    <w:rsid w:val="00F07E67"/>
    <w:rsid w:val="00F11E4D"/>
    <w:rsid w:val="00F13220"/>
    <w:rsid w:val="00F1492A"/>
    <w:rsid w:val="00F15C44"/>
    <w:rsid w:val="00F20F67"/>
    <w:rsid w:val="00F262C4"/>
    <w:rsid w:val="00F27943"/>
    <w:rsid w:val="00F32F76"/>
    <w:rsid w:val="00F34453"/>
    <w:rsid w:val="00F34C20"/>
    <w:rsid w:val="00F36714"/>
    <w:rsid w:val="00F409A1"/>
    <w:rsid w:val="00F4157C"/>
    <w:rsid w:val="00F41A27"/>
    <w:rsid w:val="00F449EC"/>
    <w:rsid w:val="00F516A9"/>
    <w:rsid w:val="00F522CB"/>
    <w:rsid w:val="00F54070"/>
    <w:rsid w:val="00F61B72"/>
    <w:rsid w:val="00F627DB"/>
    <w:rsid w:val="00F645D6"/>
    <w:rsid w:val="00F64F69"/>
    <w:rsid w:val="00F66853"/>
    <w:rsid w:val="00F66D81"/>
    <w:rsid w:val="00F704F9"/>
    <w:rsid w:val="00F70A84"/>
    <w:rsid w:val="00F73109"/>
    <w:rsid w:val="00F73325"/>
    <w:rsid w:val="00F7634E"/>
    <w:rsid w:val="00F767A2"/>
    <w:rsid w:val="00F76AD4"/>
    <w:rsid w:val="00F861F9"/>
    <w:rsid w:val="00F94220"/>
    <w:rsid w:val="00F94AFB"/>
    <w:rsid w:val="00F95FC6"/>
    <w:rsid w:val="00FA065D"/>
    <w:rsid w:val="00FA16C4"/>
    <w:rsid w:val="00FA21D2"/>
    <w:rsid w:val="00FA48F3"/>
    <w:rsid w:val="00FA6C1B"/>
    <w:rsid w:val="00FA782E"/>
    <w:rsid w:val="00FB0528"/>
    <w:rsid w:val="00FB2494"/>
    <w:rsid w:val="00FB391E"/>
    <w:rsid w:val="00FC1F10"/>
    <w:rsid w:val="00FC2FAF"/>
    <w:rsid w:val="00FC35FD"/>
    <w:rsid w:val="00FD051F"/>
    <w:rsid w:val="00FD0567"/>
    <w:rsid w:val="00FD5283"/>
    <w:rsid w:val="00FD58A4"/>
    <w:rsid w:val="00FD74F9"/>
    <w:rsid w:val="00FE40C6"/>
    <w:rsid w:val="00FE665E"/>
    <w:rsid w:val="00FE6AF4"/>
    <w:rsid w:val="00FF06CA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F4FD2"/>
  <w15:chartTrackingRefBased/>
  <w15:docId w15:val="{16A24840-2D68-4D01-8CB9-A37D31A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Plain Text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56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paragraph" w:customStyle="1" w:styleId="l2">
    <w:name w:val="l2"/>
    <w:basedOn w:val="Normlny"/>
    <w:rsid w:val="00AC1E3D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aliases w:val="Char,Char3"/>
    <w:basedOn w:val="Normlny"/>
    <w:link w:val="ObyajntextChar"/>
    <w:rsid w:val="007830F0"/>
    <w:pPr>
      <w:widowControl/>
      <w:adjustRightInd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,Char3 Char"/>
    <w:link w:val="Obyajntext"/>
    <w:rsid w:val="007830F0"/>
    <w:rPr>
      <w:rFonts w:ascii="Courier New" w:hAnsi="Courier New" w:cs="Courier New"/>
      <w:lang w:eastAsia="cs-CZ"/>
    </w:rPr>
  </w:style>
  <w:style w:type="character" w:styleId="PouitHypertextovPrepojenie">
    <w:name w:val="FollowedHyperlink"/>
    <w:uiPriority w:val="99"/>
    <w:rsid w:val="0033552E"/>
    <w:rPr>
      <w:color w:val="954F72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24D59"/>
    <w:pPr>
      <w:widowControl/>
      <w:adjustRightInd/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424D59"/>
    <w:rPr>
      <w:rFonts w:eastAsia="Calibri" w:cs="Times New Roman"/>
      <w:lang w:val="x-none" w:eastAsia="en-US"/>
    </w:rPr>
  </w:style>
  <w:style w:type="character" w:styleId="Odkaznapoznmkupodiarou">
    <w:name w:val="footnote reference"/>
    <w:uiPriority w:val="99"/>
    <w:rsid w:val="006C73F1"/>
    <w:rPr>
      <w:rFonts w:cs="Times New Roman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locked/>
    <w:rsid w:val="00C71237"/>
    <w:pPr>
      <w:widowControl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6761A2"/>
    <w:pPr>
      <w:widowControl/>
      <w:adjustRightInd/>
    </w:pPr>
    <w:rPr>
      <w:szCs w:val="20"/>
      <w:lang w:val="cs-CZ" w:eastAsia="cs-CZ"/>
    </w:rPr>
  </w:style>
  <w:style w:type="character" w:customStyle="1" w:styleId="ZkladntextChar">
    <w:name w:val="Základný text Char"/>
    <w:link w:val="Zkladntext"/>
    <w:rsid w:val="006761A2"/>
    <w:rPr>
      <w:rFonts w:ascii="Times New Roman" w:hAnsi="Times New Roman" w:cs="Times New Roman"/>
      <w:sz w:val="24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37D39"/>
    <w:rPr>
      <w:rFonts w:eastAsia="Calibri" w:cs="Times New Roman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FB24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sr.sk/natura/index1.php?p=4&amp;lang=sk&amp;sec=2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B1BB-CCF5-4A94-9412-D1C113BB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5</cp:revision>
  <cp:lastPrinted>2023-10-05T13:42:00Z</cp:lastPrinted>
  <dcterms:created xsi:type="dcterms:W3CDTF">2023-10-05T13:21:00Z</dcterms:created>
  <dcterms:modified xsi:type="dcterms:W3CDTF">2023-10-05T13:56:00Z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národnú prírodnú rezerváciu Plavno bol oznámený Okresným úradom Banská Bystrica dotknutým subjektom v zmysle § 50 zákona č. 543/2002 Z. z. o ochrane prírody a krajiny v znení neskorších predpisov. Mestská čas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národná prírodná rezervácia Plavno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národná prírodná rezervácia Plavno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LP/2021/282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národná prírodná rezervácia Plavno (ďalej len „návrh n</vt:lpwstr>
  </property>
  <property fmtid="{D5CDD505-2E9C-101B-9397-08002B2CF9AE}" pid="150" name="FSC#SKEDITIONSLOVLEX@103.510:vytvorenedna">
    <vt:lpwstr>27. 5. 2021</vt:lpwstr>
  </property>
  <property fmtid="{D5CDD505-2E9C-101B-9397-08002B2CF9AE}" pid="151" name="FSC#COOSYSTEM@1.1:Container">
    <vt:lpwstr>COO.2145.1000.3.4388188</vt:lpwstr>
  </property>
  <property fmtid="{D5CDD505-2E9C-101B-9397-08002B2CF9AE}" pid="152" name="FSC#FSCFOLIO@1.1001:docpropproject">
    <vt:lpwstr/>
  </property>
</Properties>
</file>