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33" w:rsidRPr="00386018" w:rsidRDefault="00A13433" w:rsidP="001D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A13433" w:rsidRPr="00386018" w:rsidRDefault="00A13433" w:rsidP="001D0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A13433" w:rsidRPr="00386018" w:rsidRDefault="00A13433" w:rsidP="001D031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A13433" w:rsidRPr="00386018" w:rsidRDefault="00A13433" w:rsidP="001D03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386018" w:rsidRPr="0038601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86018" w:rsidRPr="0045356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13433" w:rsidRPr="00453562" w:rsidRDefault="00A13433" w:rsidP="00453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13433" w:rsidRPr="00453562" w:rsidRDefault="00A13433" w:rsidP="00453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13433" w:rsidRPr="00453562" w:rsidRDefault="00A13433" w:rsidP="00453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13433" w:rsidRPr="00453562" w:rsidRDefault="00A13433" w:rsidP="00453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386018" w:rsidRPr="0045356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02361B" w:rsidP="0097577D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12 860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780ECE" w:rsidP="00CE25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780ECE" w:rsidP="00CE25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780ECE" w:rsidP="00CE25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13433" w:rsidRPr="00453562" w:rsidRDefault="00A13433" w:rsidP="00975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35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6018" w:rsidRPr="00453562" w:rsidTr="000B3121">
        <w:trPr>
          <w:trHeight w:val="298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3433" w:rsidRPr="00453562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3433" w:rsidRPr="00453562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62 955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3433" w:rsidRPr="00453562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13433" w:rsidRPr="00453562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45356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MV SR / 0D6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FE06E0"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38601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5118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D51180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1436" w:rsidRPr="00386018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1436" w:rsidRPr="003A14DC" w:rsidRDefault="00C23BAE" w:rsidP="00C23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93218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1436" w:rsidRPr="003A14DC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D1436" w:rsidRPr="003A14DC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3A14DC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3A14DC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1436" w:rsidRPr="003A14DC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lang w:eastAsia="sk-SK"/>
              </w:rPr>
            </w:pPr>
          </w:p>
        </w:tc>
      </w:tr>
      <w:tr w:rsidR="009D1436" w:rsidRPr="00386018" w:rsidTr="00191A7A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    MV SR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:rsidR="009D1436" w:rsidRPr="009D1436" w:rsidRDefault="0093218A" w:rsidP="0093218A">
            <w:pPr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62 955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1436" w:rsidRPr="00386018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9D1436" w:rsidRPr="00386018" w:rsidRDefault="009D1436" w:rsidP="009D1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A13433" w:rsidRPr="00386018" w:rsidRDefault="00A13433" w:rsidP="00D511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A13433" w:rsidRPr="00386018" w:rsidRDefault="00A13433" w:rsidP="001D03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6B2EB3" w:rsidRPr="00386018" w:rsidRDefault="006B2EB3" w:rsidP="001D03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A14DC" w:rsidRPr="00453562" w:rsidRDefault="003A14DC" w:rsidP="00693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Nariadením vlády, ktorý</w:t>
      </w:r>
      <w:r w:rsidR="003836B2">
        <w:rPr>
          <w:rFonts w:ascii="Times New Roman" w:hAnsi="Times New Roman"/>
          <w:b/>
          <w:bCs/>
          <w:sz w:val="24"/>
          <w:szCs w:val="24"/>
          <w:lang w:eastAsia="sk-SK"/>
        </w:rPr>
        <w:t>m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sa ustanovuje národný zoznam území európskeho významu</w:t>
      </w:r>
      <w:r w:rsidR="00C579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(ÚEV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) </w:t>
      </w:r>
      <w:r w:rsidRPr="0045356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dôjde k vplyvom na štátny rozpočet vo </w:t>
      </w:r>
      <w:r w:rsidRPr="00A67935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výške</w:t>
      </w:r>
      <w:r w:rsidR="00C579EC" w:rsidRPr="00A67935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E670B8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62 955</w:t>
      </w:r>
      <w:r w:rsidR="00FE06E0" w:rsidRPr="00A67935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453562">
        <w:rPr>
          <w:rFonts w:ascii="Times New Roman" w:hAnsi="Times New Roman"/>
          <w:b/>
          <w:bCs/>
          <w:sz w:val="24"/>
          <w:szCs w:val="24"/>
          <w:lang w:eastAsia="sk-SK"/>
        </w:rPr>
        <w:t>EUR</w:t>
      </w:r>
      <w:r w:rsidR="00C579EC" w:rsidRPr="00453562">
        <w:rPr>
          <w:rFonts w:ascii="Times New Roman" w:hAnsi="Times New Roman"/>
          <w:b/>
          <w:bCs/>
          <w:sz w:val="24"/>
          <w:szCs w:val="24"/>
          <w:lang w:eastAsia="sk-SK"/>
        </w:rPr>
        <w:t>/rok</w:t>
      </w:r>
      <w:r w:rsidRPr="00453562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3A14DC" w:rsidRPr="0004764B" w:rsidRDefault="003A14DC" w:rsidP="00693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3218A" w:rsidRDefault="003A14DC" w:rsidP="00932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53562">
        <w:rPr>
          <w:rFonts w:ascii="Times New Roman" w:hAnsi="Times New Roman"/>
          <w:bCs/>
          <w:sz w:val="24"/>
          <w:szCs w:val="24"/>
          <w:lang w:eastAsia="sk-SK"/>
        </w:rPr>
        <w:t>Ide o</w:t>
      </w:r>
      <w:r w:rsidR="003F73B6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3F73B6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odhadované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finančné prostriedky určené na náhradu za obmedzenie bežného obhospodarovania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na pozemkoch, kde po prerokovaniach v mesiacoch december 2022 – j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="00BC0ABC">
        <w:rPr>
          <w:rFonts w:ascii="Times New Roman" w:hAnsi="Times New Roman"/>
          <w:bCs/>
          <w:sz w:val="24"/>
          <w:szCs w:val="24"/>
          <w:lang w:eastAsia="sk-SK"/>
        </w:rPr>
        <w:t>l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 2023 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 xml:space="preserve">bolo navrhnuté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 zvýšeni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 na 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>4.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resp.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5. stupeň ochrany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, v rámci ktorého platí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§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>15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>, resp. §</w:t>
      </w:r>
      <w:r w:rsidR="0098325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16 zákona </w:t>
      </w:r>
      <w:r w:rsidR="00E351D3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č. 543/2002 Z. z. o ochrane prírody a krajiny v znení neskorších predpisov </w:t>
      </w:r>
      <w:r w:rsidR="008C0747" w:rsidRPr="00453562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="00E351D3" w:rsidRPr="00453562">
        <w:rPr>
          <w:rFonts w:ascii="Times New Roman" w:hAnsi="Times New Roman"/>
          <w:bCs/>
          <w:sz w:val="24"/>
          <w:szCs w:val="24"/>
          <w:lang w:eastAsia="sk-SK"/>
        </w:rPr>
        <w:t>ďalej len „zákon č. 543/2002 Z. z.“)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. Táto zmena </w:t>
      </w:r>
      <w:r w:rsidR="00625D30">
        <w:rPr>
          <w:rFonts w:ascii="Times New Roman" w:hAnsi="Times New Roman"/>
          <w:bCs/>
          <w:sz w:val="24"/>
          <w:szCs w:val="24"/>
          <w:lang w:eastAsia="sk-SK"/>
        </w:rPr>
        <w:t xml:space="preserve">(po odpočítaní zníženia 4. a 5. stupňa ochrany)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sa týka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výmery </w:t>
      </w:r>
      <w:r w:rsidR="009358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vyše </w:t>
      </w:r>
      <w:r w:rsidR="00625D30">
        <w:rPr>
          <w:rFonts w:ascii="Times New Roman" w:hAnsi="Times New Roman"/>
          <w:b/>
          <w:bCs/>
          <w:sz w:val="24"/>
          <w:szCs w:val="24"/>
          <w:lang w:eastAsia="sk-SK"/>
        </w:rPr>
        <w:t>629</w:t>
      </w:r>
      <w:r w:rsidR="002F3FC0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863D7A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ha, z toho </w:t>
      </w:r>
      <w:r w:rsidR="00E53980">
        <w:rPr>
          <w:rFonts w:ascii="Times New Roman" w:hAnsi="Times New Roman"/>
          <w:b/>
          <w:bCs/>
          <w:sz w:val="24"/>
          <w:szCs w:val="24"/>
          <w:lang w:eastAsia="sk-SK"/>
        </w:rPr>
        <w:t>sa v celkovej bilancii</w:t>
      </w:r>
      <w:r w:rsidR="00B54AC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863D7A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5. stupeň </w:t>
      </w:r>
      <w:r w:rsidR="00E53980">
        <w:rPr>
          <w:rFonts w:ascii="Times New Roman" w:hAnsi="Times New Roman"/>
          <w:b/>
          <w:bCs/>
          <w:sz w:val="24"/>
          <w:szCs w:val="24"/>
          <w:lang w:eastAsia="sk-SK"/>
        </w:rPr>
        <w:t>znižuje (do 2. a 3. stupňa) o 59 ha a</w:t>
      </w:r>
      <w:r w:rsidR="00863D7A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4. stupeň ochrany </w:t>
      </w:r>
      <w:r w:rsidR="00E53980">
        <w:rPr>
          <w:rFonts w:ascii="Times New Roman" w:hAnsi="Times New Roman"/>
          <w:b/>
          <w:bCs/>
          <w:sz w:val="24"/>
          <w:szCs w:val="24"/>
          <w:lang w:eastAsia="sk-SK"/>
        </w:rPr>
        <w:t>zvyšuje o 688</w:t>
      </w:r>
      <w:r w:rsidR="00152708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863D7A" w:rsidRPr="00BC0ABC">
        <w:rPr>
          <w:rFonts w:ascii="Times New Roman" w:hAnsi="Times New Roman"/>
          <w:b/>
          <w:bCs/>
          <w:sz w:val="24"/>
          <w:szCs w:val="24"/>
          <w:lang w:eastAsia="sk-SK"/>
        </w:rPr>
        <w:t>ha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9D143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 xml:space="preserve">V prípade, že dôjde k vzniku obmedzenia bežného obhospodarovania, majú dotknuté subjekty </w:t>
      </w:r>
      <w:r w:rsidR="00ED3C31" w:rsidRPr="00453562">
        <w:rPr>
          <w:rFonts w:ascii="Times New Roman" w:hAnsi="Times New Roman"/>
          <w:bCs/>
          <w:sz w:val="24"/>
          <w:szCs w:val="24"/>
          <w:lang w:eastAsia="sk-SK"/>
        </w:rPr>
        <w:t>nárok na náhradu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 xml:space="preserve">, čo </w:t>
      </w:r>
      <w:r w:rsidR="00ED3C31" w:rsidRPr="00453562">
        <w:rPr>
          <w:rFonts w:ascii="Times New Roman" w:hAnsi="Times New Roman"/>
          <w:bCs/>
          <w:sz w:val="24"/>
          <w:szCs w:val="24"/>
          <w:lang w:eastAsia="sk-SK"/>
        </w:rPr>
        <w:t>b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 xml:space="preserve">y </w:t>
      </w:r>
      <w:r w:rsidR="00ED3C31" w:rsidRPr="00453562">
        <w:rPr>
          <w:rFonts w:ascii="Times New Roman" w:hAnsi="Times New Roman"/>
          <w:bCs/>
          <w:sz w:val="24"/>
          <w:szCs w:val="24"/>
          <w:lang w:eastAsia="sk-SK"/>
        </w:rPr>
        <w:t>znamena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>lo</w:t>
      </w:r>
      <w:r w:rsidR="00ED3C31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 zvýšenie nárokov na štátny rozpočet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>. P</w:t>
      </w:r>
      <w:r w:rsidR="00ED3C31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redpokladanou formou je finančná </w:t>
      </w:r>
      <w:r w:rsidR="00863D7A" w:rsidRPr="00453562">
        <w:rPr>
          <w:rFonts w:ascii="Times New Roman" w:hAnsi="Times New Roman"/>
          <w:bCs/>
          <w:sz w:val="24"/>
          <w:szCs w:val="24"/>
          <w:lang w:eastAsia="sk-SK"/>
        </w:rPr>
        <w:t>náhrada za obmedzenie bežného obhospodarovania podľa § 61e zákona č. 543/</w:t>
      </w:r>
      <w:r w:rsidR="00863D7A">
        <w:rPr>
          <w:rFonts w:ascii="Times New Roman" w:hAnsi="Times New Roman"/>
          <w:bCs/>
          <w:sz w:val="24"/>
          <w:szCs w:val="24"/>
          <w:lang w:eastAsia="sk-SK"/>
        </w:rPr>
        <w:t>2002 Z. z.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 xml:space="preserve"> (financovaná z kapitoly Ministerstva vnútra Slovenskej republiky</w:t>
      </w:r>
      <w:r w:rsidR="00983250">
        <w:rPr>
          <w:rFonts w:ascii="Times New Roman" w:hAnsi="Times New Roman"/>
          <w:bCs/>
          <w:sz w:val="24"/>
          <w:szCs w:val="24"/>
          <w:lang w:eastAsia="sk-SK"/>
        </w:rPr>
        <w:t xml:space="preserve"> – MV SR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 xml:space="preserve">). </w:t>
      </w:r>
      <w:r w:rsidR="008F1B12" w:rsidRPr="008F1B12">
        <w:rPr>
          <w:rFonts w:ascii="Times New Roman" w:hAnsi="Times New Roman"/>
          <w:bCs/>
          <w:sz w:val="24"/>
          <w:szCs w:val="24"/>
          <w:lang w:eastAsia="sk-SK"/>
        </w:rPr>
        <w:t xml:space="preserve">Finančné prostriedky budú zabezpečené v rámci </w:t>
      </w:r>
      <w:r w:rsidR="0093218A">
        <w:rPr>
          <w:rFonts w:ascii="Times New Roman" w:hAnsi="Times New Roman"/>
          <w:bCs/>
          <w:sz w:val="24"/>
          <w:szCs w:val="24"/>
          <w:lang w:eastAsia="sk-SK"/>
        </w:rPr>
        <w:t xml:space="preserve">schválených limitov rozpočtu kapitoly MV SR </w:t>
      </w:r>
      <w:r w:rsidR="008F1B12" w:rsidRPr="008F1B12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="0093218A">
        <w:rPr>
          <w:rFonts w:ascii="Times New Roman" w:hAnsi="Times New Roman"/>
          <w:bCs/>
          <w:sz w:val="24"/>
          <w:szCs w:val="24"/>
          <w:lang w:eastAsia="sk-SK"/>
        </w:rPr>
        <w:t xml:space="preserve">príslušné </w:t>
      </w:r>
      <w:r w:rsidR="008F1B12" w:rsidRPr="008F1B12">
        <w:rPr>
          <w:rFonts w:ascii="Times New Roman" w:hAnsi="Times New Roman"/>
          <w:bCs/>
          <w:sz w:val="24"/>
          <w:szCs w:val="24"/>
          <w:lang w:eastAsia="sk-SK"/>
        </w:rPr>
        <w:t>roky.</w:t>
      </w:r>
    </w:p>
    <w:p w:rsidR="00F315BD" w:rsidRDefault="00ED3C31" w:rsidP="00F736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Alternatívou je zmluvná starostlivosť podľa 61d zákona č. 543/2002 Z. z. (hradená z rozpočtu Ministerstva životného prostredia Slovenskej republiky</w:t>
      </w:r>
      <w:r w:rsidR="00BC0ABC">
        <w:rPr>
          <w:rFonts w:ascii="Times New Roman" w:hAnsi="Times New Roman"/>
          <w:bCs/>
          <w:sz w:val="24"/>
          <w:szCs w:val="24"/>
          <w:lang w:eastAsia="sk-SK"/>
        </w:rPr>
        <w:t xml:space="preserve"> – MŽP SR</w:t>
      </w:r>
      <w:r>
        <w:rPr>
          <w:rFonts w:ascii="Times New Roman" w:hAnsi="Times New Roman"/>
          <w:bCs/>
          <w:sz w:val="24"/>
          <w:szCs w:val="24"/>
          <w:lang w:eastAsia="sk-SK"/>
        </w:rPr>
        <w:t>), resp. uplatnenie nároku v rámci opatrení Strategického plánu spoločnej poľnohospodárskej politiky (pôsobnosť Ministerstva pôdohospodárstva a rozvoja vidieka Slovenskej republiky).</w:t>
      </w:r>
    </w:p>
    <w:p w:rsidR="00D438C2" w:rsidRDefault="00D438C2" w:rsidP="00863D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94B30" w:rsidRPr="00F315BD" w:rsidRDefault="00A23CFD" w:rsidP="00F736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L</w:t>
      </w:r>
      <w:r w:rsidR="00454386" w:rsidRPr="00194813">
        <w:rPr>
          <w:rFonts w:ascii="Times New Roman" w:hAnsi="Times New Roman"/>
          <w:bCs/>
          <w:sz w:val="24"/>
          <w:szCs w:val="24"/>
          <w:lang w:eastAsia="sk-SK"/>
        </w:rPr>
        <w:t>esn</w:t>
      </w:r>
      <w:r>
        <w:rPr>
          <w:rFonts w:ascii="Times New Roman" w:hAnsi="Times New Roman"/>
          <w:bCs/>
          <w:sz w:val="24"/>
          <w:szCs w:val="24"/>
          <w:lang w:eastAsia="sk-SK"/>
        </w:rPr>
        <w:t>é</w:t>
      </w:r>
      <w:r w:rsidR="00454386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 po</w:t>
      </w:r>
      <w:r>
        <w:rPr>
          <w:rFonts w:ascii="Times New Roman" w:hAnsi="Times New Roman"/>
          <w:bCs/>
          <w:sz w:val="24"/>
          <w:szCs w:val="24"/>
          <w:lang w:eastAsia="sk-SK"/>
        </w:rPr>
        <w:t>rasty na po</w:t>
      </w:r>
      <w:r w:rsidR="00454386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zemkoch v 5. stupni </w:t>
      </w:r>
      <w:r w:rsidR="005B28E0">
        <w:rPr>
          <w:rFonts w:ascii="Times New Roman" w:hAnsi="Times New Roman"/>
          <w:bCs/>
          <w:sz w:val="24"/>
          <w:szCs w:val="24"/>
          <w:lang w:eastAsia="sk-SK"/>
        </w:rPr>
        <w:t>ochrany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ktoré sú v kategórii hospodárske lesy, by mali byť </w:t>
      </w:r>
      <w:r w:rsidR="00454386" w:rsidRPr="00194813">
        <w:rPr>
          <w:rFonts w:ascii="Times New Roman" w:hAnsi="Times New Roman"/>
          <w:bCs/>
          <w:sz w:val="24"/>
          <w:szCs w:val="24"/>
          <w:lang w:eastAsia="sk-SK"/>
        </w:rPr>
        <w:t>prekategorizova</w:t>
      </w:r>
      <w:r>
        <w:rPr>
          <w:rFonts w:ascii="Times New Roman" w:hAnsi="Times New Roman"/>
          <w:bCs/>
          <w:sz w:val="24"/>
          <w:szCs w:val="24"/>
          <w:lang w:eastAsia="sk-SK"/>
        </w:rPr>
        <w:t>né</w:t>
      </w:r>
      <w:r w:rsidR="00454386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 na lesy 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sobitného určenia. Takéto lesné </w:t>
      </w:r>
      <w:r w:rsidR="00A13433" w:rsidRPr="00194813">
        <w:rPr>
          <w:rFonts w:ascii="Times New Roman" w:hAnsi="Times New Roman"/>
          <w:bCs/>
          <w:sz w:val="24"/>
          <w:szCs w:val="24"/>
          <w:lang w:eastAsia="sk-SK"/>
        </w:rPr>
        <w:t>pozemk</w:t>
      </w:r>
      <w:r>
        <w:rPr>
          <w:rFonts w:ascii="Times New Roman" w:hAnsi="Times New Roman"/>
          <w:bCs/>
          <w:sz w:val="24"/>
          <w:szCs w:val="24"/>
          <w:lang w:eastAsia="sk-SK"/>
        </w:rPr>
        <w:t>y</w:t>
      </w:r>
      <w:r w:rsidR="00A13433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už nebudú predmetom </w:t>
      </w:r>
      <w:r w:rsidR="00A13433" w:rsidRPr="00194813">
        <w:rPr>
          <w:rFonts w:ascii="Times New Roman" w:hAnsi="Times New Roman"/>
          <w:bCs/>
          <w:sz w:val="24"/>
          <w:szCs w:val="24"/>
          <w:lang w:eastAsia="sk-SK"/>
        </w:rPr>
        <w:t>dan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podľa § 6 ods. 1 písm. d) </w:t>
      </w:r>
      <w:r w:rsidR="00A13433" w:rsidRPr="00194813">
        <w:rPr>
          <w:rFonts w:ascii="Times New Roman" w:hAnsi="Times New Roman"/>
          <w:bCs/>
          <w:sz w:val="24"/>
          <w:szCs w:val="24"/>
          <w:lang w:eastAsia="sk-SK"/>
        </w:rPr>
        <w:t>zákona č. 582/2004 Z. z. o miestnych daniach a miestnom poplatku za komunálne odpady a drobné stavebné odpady v znení neskorších predpisov</w:t>
      </w:r>
      <w:r w:rsidR="009A530C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A23CF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dôsledku čoho by došlo k úbytku príjmov dotknutých obcí</w:t>
      </w:r>
      <w:r w:rsidR="00A13433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E560E6">
        <w:rPr>
          <w:rFonts w:ascii="Times New Roman" w:hAnsi="Times New Roman"/>
          <w:bCs/>
          <w:sz w:val="24"/>
          <w:szCs w:val="24"/>
          <w:lang w:eastAsia="sk-SK"/>
        </w:rPr>
        <w:t>T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ento </w:t>
      </w:r>
      <w:r w:rsidR="004F6B59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úbytok príjmov na daniach pre obce </w:t>
      </w:r>
      <w:r w:rsidR="00E560E6">
        <w:rPr>
          <w:rFonts w:ascii="Times New Roman" w:hAnsi="Times New Roman"/>
          <w:bCs/>
          <w:sz w:val="24"/>
          <w:szCs w:val="24"/>
          <w:lang w:eastAsia="sk-SK"/>
        </w:rPr>
        <w:t>dosahuje priemernú hodnotu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560E6">
        <w:rPr>
          <w:rFonts w:ascii="Times New Roman" w:hAnsi="Times New Roman"/>
          <w:bCs/>
          <w:sz w:val="24"/>
          <w:szCs w:val="24"/>
          <w:lang w:eastAsia="sk-SK"/>
        </w:rPr>
        <w:t>pre 1 obec 24,50 EUR/rok</w:t>
      </w:r>
      <w:r w:rsidR="004F6B59" w:rsidRPr="00194813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C23BAE" w:rsidRPr="00EC5693">
        <w:rPr>
          <w:rFonts w:ascii="Times New Roman" w:hAnsi="Times New Roman"/>
          <w:bCs/>
          <w:sz w:val="24"/>
          <w:szCs w:val="24"/>
          <w:lang w:eastAsia="sk-SK"/>
        </w:rPr>
        <w:t>Odha</w:t>
      </w:r>
      <w:r w:rsidR="00C23BAE">
        <w:rPr>
          <w:rFonts w:ascii="Times New Roman" w:hAnsi="Times New Roman"/>
          <w:bCs/>
          <w:sz w:val="24"/>
          <w:szCs w:val="24"/>
          <w:lang w:eastAsia="sk-SK"/>
        </w:rPr>
        <w:t xml:space="preserve">dovaná suma je maximálne </w:t>
      </w:r>
      <w:r w:rsidR="00E560E6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98325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560E6">
        <w:rPr>
          <w:rFonts w:ascii="Times New Roman" w:hAnsi="Times New Roman"/>
          <w:bCs/>
          <w:sz w:val="24"/>
          <w:szCs w:val="24"/>
          <w:lang w:eastAsia="sk-SK"/>
        </w:rPr>
        <w:t>739,50</w:t>
      </w:r>
      <w:r w:rsidR="00C23BAE">
        <w:rPr>
          <w:rFonts w:ascii="Times New Roman" w:hAnsi="Times New Roman"/>
          <w:bCs/>
          <w:sz w:val="24"/>
          <w:szCs w:val="24"/>
          <w:lang w:eastAsia="sk-SK"/>
        </w:rPr>
        <w:t xml:space="preserve"> EUR/rok za všetky parcely, ktoré boli po prerokovaní doplnené do národného zoznamu ÚEV. Nakoľko nie je možné určiť, v akom rozsahu dôjde </w:t>
      </w:r>
      <w:r w:rsidR="00DE1A5E">
        <w:rPr>
          <w:rFonts w:ascii="Times New Roman" w:hAnsi="Times New Roman"/>
          <w:bCs/>
          <w:sz w:val="24"/>
          <w:szCs w:val="24"/>
          <w:lang w:eastAsia="sk-SK"/>
        </w:rPr>
        <w:t xml:space="preserve">v nasledujúcich štyroch rokoch </w:t>
      </w:r>
      <w:r w:rsidR="00C23BAE">
        <w:rPr>
          <w:rFonts w:ascii="Times New Roman" w:hAnsi="Times New Roman"/>
          <w:bCs/>
          <w:sz w:val="24"/>
          <w:szCs w:val="24"/>
          <w:lang w:eastAsia="sk-SK"/>
        </w:rPr>
        <w:t>ku zmene kategórie hospodárskych lesov na jednotlivých parcelách, táto suma bola vyčíslená, ale nebola zahrnutá do tabuľky č. 1.</w:t>
      </w:r>
      <w:r w:rsidR="00F736C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736C1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V odôvodnených prípadoch </w:t>
      </w:r>
      <w:r w:rsidR="008333C4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požiada </w:t>
      </w:r>
      <w:r w:rsidR="00F736C1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organizácia ochrany prírody o  </w:t>
      </w:r>
      <w:r w:rsidR="00DE1A5E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vyhlásenie lesov </w:t>
      </w:r>
      <w:r w:rsidR="00F736C1" w:rsidRPr="00F315BD">
        <w:rPr>
          <w:rFonts w:ascii="Times New Roman" w:hAnsi="Times New Roman"/>
          <w:bCs/>
          <w:sz w:val="24"/>
          <w:szCs w:val="24"/>
          <w:lang w:eastAsia="sk-SK"/>
        </w:rPr>
        <w:t>osobitného určenia aj na lesných pozemkoch v nižš</w:t>
      </w:r>
      <w:r w:rsidR="00DE1A5E" w:rsidRPr="00F315BD">
        <w:rPr>
          <w:rFonts w:ascii="Times New Roman" w:hAnsi="Times New Roman"/>
          <w:bCs/>
          <w:sz w:val="24"/>
          <w:szCs w:val="24"/>
          <w:lang w:eastAsia="sk-SK"/>
        </w:rPr>
        <w:t>ích</w:t>
      </w:r>
      <w:r w:rsidR="00F736C1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 stup</w:t>
      </w:r>
      <w:r w:rsidR="00DE1A5E" w:rsidRPr="00F315BD">
        <w:rPr>
          <w:rFonts w:ascii="Times New Roman" w:hAnsi="Times New Roman"/>
          <w:bCs/>
          <w:sz w:val="24"/>
          <w:szCs w:val="24"/>
          <w:lang w:eastAsia="sk-SK"/>
        </w:rPr>
        <w:t>ňoch</w:t>
      </w:r>
      <w:r w:rsidR="00F736C1" w:rsidRPr="00F315BD">
        <w:rPr>
          <w:rFonts w:ascii="Times New Roman" w:hAnsi="Times New Roman"/>
          <w:bCs/>
          <w:sz w:val="24"/>
          <w:szCs w:val="24"/>
          <w:lang w:eastAsia="sk-SK"/>
        </w:rPr>
        <w:t xml:space="preserve"> ochrany.</w:t>
      </w:r>
    </w:p>
    <w:p w:rsidR="00A23CFD" w:rsidRPr="00386018" w:rsidRDefault="00A23CFD" w:rsidP="00F736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Default="00A13433" w:rsidP="001D03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09095D" w:rsidRDefault="007163BA" w:rsidP="001D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Predkladaný návrh nariadenia vlády, ktorým sa ustanovuje 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>národn</w:t>
      </w:r>
      <w:r>
        <w:rPr>
          <w:rFonts w:ascii="Times New Roman" w:hAnsi="Times New Roman"/>
          <w:bCs/>
          <w:sz w:val="24"/>
          <w:szCs w:val="24"/>
          <w:lang w:eastAsia="sk-SK"/>
        </w:rPr>
        <w:t>ý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 xml:space="preserve"> zoznam 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>ÚEV</w:t>
      </w:r>
      <w:r w:rsidR="00983250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9D14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 xml:space="preserve">obsahuje výlučne len existujúce a už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vládou </w:t>
      </w:r>
      <w:r w:rsidR="00ED3C31">
        <w:rPr>
          <w:rFonts w:ascii="Times New Roman" w:hAnsi="Times New Roman"/>
          <w:bCs/>
          <w:sz w:val="24"/>
          <w:szCs w:val="24"/>
          <w:lang w:eastAsia="sk-SK"/>
        </w:rPr>
        <w:t>schválené lokality.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 Jeho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schválením bude 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odstrán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ený 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nedostat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>o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k vytýkan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>ý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 Európskou komisiou v odôvodnenom stanovisku ku konaniu k porušeniu č. 2019/2141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 xml:space="preserve"> vo vzťahu k označovaniu ÚEV za osobitne chránené územia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, ako aj nejednotn</w:t>
      </w:r>
      <w:r>
        <w:rPr>
          <w:rFonts w:ascii="Times New Roman" w:hAnsi="Times New Roman"/>
          <w:bCs/>
          <w:sz w:val="24"/>
          <w:szCs w:val="24"/>
          <w:lang w:eastAsia="sk-SK"/>
        </w:rPr>
        <w:t>á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>právn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 xml:space="preserve"> úprav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všeobecne záväzných právnych predpisov, ktorým</w:t>
      </w:r>
      <w:r w:rsidR="00BC0ABC">
        <w:rPr>
          <w:rFonts w:ascii="Times New Roman" w:hAnsi="Times New Roman"/>
          <w:bCs/>
          <w:sz w:val="24"/>
          <w:szCs w:val="24"/>
          <w:lang w:eastAsia="sk-SK"/>
        </w:rPr>
        <w:t xml:space="preserve"> boli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 xml:space="preserve">národný zoznam a jeho dve aktualizácie 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vydané. Obsah návrhu nariadenia vlády je určený v § 27 </w:t>
      </w:r>
      <w:r w:rsidR="00635055">
        <w:rPr>
          <w:rFonts w:ascii="Times New Roman" w:hAnsi="Times New Roman"/>
          <w:bCs/>
          <w:sz w:val="24"/>
          <w:szCs w:val="24"/>
          <w:lang w:eastAsia="sk-SK"/>
        </w:rPr>
        <w:t xml:space="preserve">ods. 5 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>zákona č. 543/2002 Z. z. a náležitosti mapových zobrazení</w:t>
      </w:r>
      <w:r w:rsidR="00815B0B">
        <w:rPr>
          <w:rFonts w:ascii="Times New Roman" w:hAnsi="Times New Roman"/>
          <w:bCs/>
          <w:sz w:val="24"/>
          <w:szCs w:val="24"/>
          <w:lang w:eastAsia="sk-SK"/>
        </w:rPr>
        <w:t>, ako aj niektoré úpravy technického charakteru,</w:t>
      </w:r>
      <w:r w:rsidR="0009095D">
        <w:rPr>
          <w:rFonts w:ascii="Times New Roman" w:hAnsi="Times New Roman"/>
          <w:bCs/>
          <w:sz w:val="24"/>
          <w:szCs w:val="24"/>
          <w:lang w:eastAsia="sk-SK"/>
        </w:rPr>
        <w:t xml:space="preserve"> boli predmetom rokovaní s Európskou komisiou.</w:t>
      </w:r>
    </w:p>
    <w:p w:rsidR="0009095D" w:rsidRDefault="0009095D" w:rsidP="001D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52708" w:rsidRDefault="0009095D" w:rsidP="001D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V rámci príprav</w:t>
      </w:r>
      <w:r w:rsidR="005B28E0">
        <w:rPr>
          <w:rFonts w:ascii="Times New Roman" w:hAnsi="Times New Roman"/>
          <w:bCs/>
          <w:sz w:val="24"/>
          <w:szCs w:val="24"/>
          <w:lang w:eastAsia="sk-SK"/>
        </w:rPr>
        <w:t>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legislatívneho materiálu vykonala Štátna ochrana prírody Slovenskej republiky </w:t>
      </w:r>
      <w:r w:rsidR="00A42C48"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(ŠOP SR) 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aktualizáciu na jednotný parcelný stav a vzhľadom na vysoký počet parciel (11</w:t>
      </w:r>
      <w:r w:rsidR="00152708" w:rsidRPr="00453562">
        <w:rPr>
          <w:rFonts w:ascii="Times New Roman" w:hAnsi="Times New Roman"/>
          <w:bCs/>
          <w:sz w:val="24"/>
          <w:szCs w:val="24"/>
          <w:lang w:eastAsia="sk-SK"/>
        </w:rPr>
        <w:t>5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152708" w:rsidRPr="00453562">
        <w:rPr>
          <w:rFonts w:ascii="Times New Roman" w:hAnsi="Times New Roman"/>
          <w:bCs/>
          <w:sz w:val="24"/>
          <w:szCs w:val="24"/>
          <w:lang w:eastAsia="sk-SK"/>
        </w:rPr>
        <w:t>377</w:t>
      </w:r>
      <w:r w:rsidRPr="00453562">
        <w:rPr>
          <w:rFonts w:ascii="Times New Roman" w:hAnsi="Times New Roman"/>
          <w:bCs/>
          <w:sz w:val="24"/>
          <w:szCs w:val="24"/>
          <w:lang w:eastAsia="sk-SK"/>
        </w:rPr>
        <w:t xml:space="preserve"> parciel len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podľa evidencie registra C katastra nehnuteľností, rovnako bola vykonaná identifikácia aj podľa registra E)</w:t>
      </w:r>
      <w:r w:rsidR="00AC6C53">
        <w:rPr>
          <w:rFonts w:ascii="Times New Roman" w:hAnsi="Times New Roman"/>
          <w:bCs/>
          <w:sz w:val="24"/>
          <w:szCs w:val="24"/>
          <w:lang w:eastAsia="sk-SK"/>
        </w:rPr>
        <w:t xml:space="preserve"> bol tento proces administratívne veľmi náročný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 prípade niektorých lokalít </w:t>
      </w:r>
      <w:r w:rsidR="00AC6C53">
        <w:rPr>
          <w:rFonts w:ascii="Times New Roman" w:hAnsi="Times New Roman"/>
          <w:bCs/>
          <w:sz w:val="24"/>
          <w:szCs w:val="24"/>
          <w:lang w:eastAsia="sk-SK"/>
        </w:rPr>
        <w:t xml:space="preserve">ŠOP SR </w:t>
      </w:r>
      <w:r>
        <w:rPr>
          <w:rFonts w:ascii="Times New Roman" w:hAnsi="Times New Roman"/>
          <w:bCs/>
          <w:sz w:val="24"/>
          <w:szCs w:val="24"/>
          <w:lang w:eastAsia="sk-SK"/>
        </w:rPr>
        <w:t>identifikovala potrebu spresnenia či úpravy hraníc. Tieto rozdiely, rovnako ako návrhy na zvýšenie súčasného stupňa ochrany, boli predmetom osobitných rokovaní podľa § 27 ods. 3 zákona č. 543/2002 Z. z., ktoré zvolávalo M</w:t>
      </w:r>
      <w:r w:rsidR="00BC0ABC">
        <w:rPr>
          <w:rFonts w:ascii="Times New Roman" w:hAnsi="Times New Roman"/>
          <w:bCs/>
          <w:sz w:val="24"/>
          <w:szCs w:val="24"/>
          <w:lang w:eastAsia="sk-SK"/>
        </w:rPr>
        <w:t>ŽP SR</w:t>
      </w:r>
      <w:r w:rsidR="00A42C48">
        <w:rPr>
          <w:rFonts w:ascii="Times New Roman" w:hAnsi="Times New Roman"/>
          <w:bCs/>
          <w:sz w:val="24"/>
          <w:szCs w:val="24"/>
          <w:lang w:eastAsia="sk-SK"/>
        </w:rPr>
        <w:t xml:space="preserve"> v súčinnosti s okresnými úradmi 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v sídle kraja </w:t>
      </w:r>
      <w:r w:rsidR="00A42C48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 s </w:t>
      </w:r>
      <w:r w:rsidR="00A42C48">
        <w:rPr>
          <w:rFonts w:ascii="Times New Roman" w:hAnsi="Times New Roman"/>
          <w:bCs/>
          <w:sz w:val="24"/>
          <w:szCs w:val="24"/>
          <w:lang w:eastAsia="sk-SK"/>
        </w:rPr>
        <w:t>odbornými organizáciami ochrany prírody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 (ŠOP SR, správy národných parkov)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A90973">
        <w:rPr>
          <w:rFonts w:ascii="Times New Roman" w:hAnsi="Times New Roman"/>
          <w:bCs/>
          <w:sz w:val="24"/>
          <w:szCs w:val="24"/>
          <w:lang w:eastAsia="sk-SK"/>
        </w:rPr>
        <w:t>N</w:t>
      </w:r>
      <w:r w:rsidR="0004764B">
        <w:rPr>
          <w:rFonts w:ascii="Times New Roman" w:hAnsi="Times New Roman"/>
          <w:bCs/>
          <w:sz w:val="24"/>
          <w:szCs w:val="24"/>
          <w:lang w:eastAsia="sk-SK"/>
        </w:rPr>
        <w:t>árodn</w:t>
      </w:r>
      <w:r w:rsidR="00A90973">
        <w:rPr>
          <w:rFonts w:ascii="Times New Roman" w:hAnsi="Times New Roman"/>
          <w:bCs/>
          <w:sz w:val="24"/>
          <w:szCs w:val="24"/>
          <w:lang w:eastAsia="sk-SK"/>
        </w:rPr>
        <w:t>ý</w:t>
      </w:r>
      <w:r w:rsidR="0004764B">
        <w:rPr>
          <w:rFonts w:ascii="Times New Roman" w:hAnsi="Times New Roman"/>
          <w:bCs/>
          <w:sz w:val="24"/>
          <w:szCs w:val="24"/>
          <w:lang w:eastAsia="sk-SK"/>
        </w:rPr>
        <w:t xml:space="preserve"> zoznam ÚEV </w:t>
      </w:r>
      <w:r w:rsidR="00453562">
        <w:rPr>
          <w:rFonts w:ascii="Times New Roman" w:hAnsi="Times New Roman"/>
          <w:bCs/>
          <w:sz w:val="24"/>
          <w:szCs w:val="24"/>
          <w:lang w:eastAsia="sk-SK"/>
        </w:rPr>
        <w:t xml:space="preserve">bol </w:t>
      </w:r>
      <w:r>
        <w:rPr>
          <w:rFonts w:ascii="Times New Roman" w:hAnsi="Times New Roman"/>
          <w:bCs/>
          <w:sz w:val="24"/>
          <w:szCs w:val="24"/>
          <w:lang w:eastAsia="sk-SK"/>
        </w:rPr>
        <w:t>pripraven</w:t>
      </w:r>
      <w:r w:rsidR="00A90973">
        <w:rPr>
          <w:rFonts w:ascii="Times New Roman" w:hAnsi="Times New Roman"/>
          <w:bCs/>
          <w:sz w:val="24"/>
          <w:szCs w:val="24"/>
          <w:lang w:eastAsia="sk-SK"/>
        </w:rPr>
        <w:t>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 analýze výsledkov prerokovaní.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Zvýšenie stupňa ochrany </w:t>
      </w:r>
      <w:r w:rsidR="00453562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 niektorých parcelách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bolo navrhnuté </w:t>
      </w:r>
      <w:r w:rsidR="00152708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úspešne prerokované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 prípade </w:t>
      </w:r>
      <w:r w:rsidR="006A7159">
        <w:rPr>
          <w:rFonts w:ascii="Times New Roman" w:hAnsi="Times New Roman"/>
          <w:b/>
          <w:bCs/>
          <w:sz w:val="24"/>
          <w:szCs w:val="24"/>
          <w:lang w:eastAsia="sk-SK"/>
        </w:rPr>
        <w:t>74</w:t>
      </w:r>
      <w:r w:rsidR="006A7159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>lokalít</w:t>
      </w:r>
      <w:r w:rsidR="009D1436"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(na </w:t>
      </w:r>
      <w:r w:rsidR="00152708" w:rsidRPr="0015671D">
        <w:rPr>
          <w:rFonts w:ascii="Times New Roman" w:hAnsi="Times New Roman"/>
          <w:b/>
          <w:bCs/>
          <w:sz w:val="24"/>
          <w:szCs w:val="24"/>
          <w:lang w:eastAsia="sk-SK"/>
        </w:rPr>
        <w:t>výmer</w:t>
      </w:r>
      <w:r w:rsidR="009D1436" w:rsidRPr="0015671D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="00152708" w:rsidRPr="0015671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1</w:t>
      </w:r>
      <w:r w:rsidR="0004764B" w:rsidRPr="0015671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424EC" w:rsidRPr="0015671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934 </w:t>
      </w:r>
      <w:r w:rsidR="00152708" w:rsidRPr="0015671D">
        <w:rPr>
          <w:rFonts w:ascii="Times New Roman" w:hAnsi="Times New Roman"/>
          <w:b/>
          <w:bCs/>
          <w:sz w:val="24"/>
          <w:szCs w:val="24"/>
          <w:lang w:eastAsia="sk-SK"/>
        </w:rPr>
        <w:t>ha</w:t>
      </w:r>
      <w:r w:rsidR="009D1436" w:rsidRPr="0015671D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152708" w:rsidRPr="0015671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C6DBA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F73B6" w:rsidRPr="0015671D">
        <w:rPr>
          <w:rFonts w:ascii="Times New Roman" w:hAnsi="Times New Roman"/>
          <w:bCs/>
          <w:sz w:val="24"/>
          <w:szCs w:val="24"/>
          <w:lang w:eastAsia="sk-SK"/>
        </w:rPr>
        <w:t>Naopak, v</w:t>
      </w:r>
      <w:r w:rsidR="009D1436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764B" w:rsidRPr="0015671D">
        <w:rPr>
          <w:rFonts w:ascii="Times New Roman" w:hAnsi="Times New Roman"/>
          <w:bCs/>
          <w:sz w:val="24"/>
          <w:szCs w:val="24"/>
          <w:lang w:eastAsia="sk-SK"/>
        </w:rPr>
        <w:t>niektorých prípadoch došlo k zníženiu stupňa ochrany, celková bilancia je uvedená vo všeobecnej časti dôvodovej správy.</w:t>
      </w:r>
      <w:r w:rsidR="009D1436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764B" w:rsidRPr="0015671D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9D1436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 dôvodu korekcií hraníc </w:t>
      </w:r>
      <w:r w:rsidR="003F73B6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došlo aj k vylúčenie častí ÚEV </w:t>
      </w:r>
      <w:r w:rsidR="009D1436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(na výmere </w:t>
      </w:r>
      <w:r w:rsidR="004C6DBA" w:rsidRPr="0015671D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04764B" w:rsidRPr="001567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C6DBA" w:rsidRPr="0015671D">
        <w:rPr>
          <w:rFonts w:ascii="Times New Roman" w:hAnsi="Times New Roman"/>
          <w:bCs/>
          <w:sz w:val="24"/>
          <w:szCs w:val="24"/>
          <w:lang w:eastAsia="sk-SK"/>
        </w:rPr>
        <w:t>776</w:t>
      </w:r>
      <w:r w:rsidR="004C6DBA" w:rsidRPr="00BC0ABC">
        <w:rPr>
          <w:rFonts w:ascii="Times New Roman" w:hAnsi="Times New Roman"/>
          <w:bCs/>
          <w:sz w:val="24"/>
          <w:szCs w:val="24"/>
          <w:lang w:eastAsia="sk-SK"/>
        </w:rPr>
        <w:t xml:space="preserve"> ha</w:t>
      </w:r>
      <w:r w:rsidR="009D1436" w:rsidRPr="00BC0ABC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2C48" w:rsidRPr="00A42C48" w:rsidRDefault="00A42C48" w:rsidP="001D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42C48" w:rsidRDefault="00A42C48" w:rsidP="00250C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64B">
        <w:rPr>
          <w:rFonts w:ascii="Times New Roman" w:hAnsi="Times New Roman"/>
          <w:sz w:val="24"/>
          <w:szCs w:val="24"/>
        </w:rPr>
        <w:t>Na parcelách, kde dochádza k zvýšeniu stupňa ochrany na 4. a 5.</w:t>
      </w:r>
      <w:r w:rsidR="005B28E0" w:rsidRPr="0004764B">
        <w:rPr>
          <w:rFonts w:ascii="Times New Roman" w:hAnsi="Times New Roman"/>
          <w:sz w:val="24"/>
          <w:szCs w:val="24"/>
        </w:rPr>
        <w:t xml:space="preserve"> stupeň ochrany,</w:t>
      </w:r>
      <w:r w:rsidRPr="0004764B">
        <w:rPr>
          <w:rFonts w:ascii="Times New Roman" w:hAnsi="Times New Roman"/>
          <w:sz w:val="24"/>
          <w:szCs w:val="24"/>
        </w:rPr>
        <w:t xml:space="preserve"> sa predpokladá </w:t>
      </w:r>
      <w:r w:rsidR="003F73B6">
        <w:rPr>
          <w:rFonts w:ascii="Times New Roman" w:hAnsi="Times New Roman"/>
          <w:sz w:val="24"/>
          <w:szCs w:val="24"/>
        </w:rPr>
        <w:t xml:space="preserve">obmedzenie bežného obhospodarovania a následné </w:t>
      </w:r>
      <w:r w:rsidRPr="0004764B">
        <w:rPr>
          <w:rFonts w:ascii="Times New Roman" w:hAnsi="Times New Roman"/>
          <w:sz w:val="24"/>
          <w:szCs w:val="24"/>
        </w:rPr>
        <w:t xml:space="preserve">uplatnenie finančnej náhrady za </w:t>
      </w:r>
      <w:r w:rsidR="000C119C">
        <w:rPr>
          <w:rFonts w:ascii="Times New Roman" w:hAnsi="Times New Roman"/>
          <w:sz w:val="24"/>
          <w:szCs w:val="24"/>
        </w:rPr>
        <w:t xml:space="preserve">toto </w:t>
      </w:r>
      <w:r w:rsidRPr="0004764B">
        <w:rPr>
          <w:rFonts w:ascii="Times New Roman" w:hAnsi="Times New Roman"/>
          <w:sz w:val="24"/>
          <w:szCs w:val="24"/>
        </w:rPr>
        <w:t>obmedzenie</w:t>
      </w:r>
      <w:r w:rsidR="003F73B6">
        <w:rPr>
          <w:rFonts w:ascii="Times New Roman" w:hAnsi="Times New Roman"/>
          <w:sz w:val="24"/>
          <w:szCs w:val="24"/>
        </w:rPr>
        <w:t>, pričom pre odhad finančných prostriedkov do tabuľky č. 1 bola použitá paušálna suma 100 EUR/ha/rok.</w:t>
      </w:r>
    </w:p>
    <w:p w:rsidR="00AB450A" w:rsidRDefault="00A13433" w:rsidP="00BC0AB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F4F">
        <w:rPr>
          <w:rFonts w:ascii="Times New Roman" w:hAnsi="Times New Roman"/>
          <w:bCs/>
          <w:sz w:val="24"/>
          <w:szCs w:val="24"/>
        </w:rPr>
        <w:t>V </w:t>
      </w:r>
      <w:r w:rsidRPr="009946FB">
        <w:rPr>
          <w:rFonts w:ascii="Times New Roman" w:hAnsi="Times New Roman"/>
          <w:bCs/>
          <w:sz w:val="24"/>
          <w:szCs w:val="24"/>
        </w:rPr>
        <w:t xml:space="preserve">analýze </w:t>
      </w:r>
      <w:r w:rsidRPr="009946FB">
        <w:rPr>
          <w:rFonts w:ascii="Times New Roman" w:hAnsi="Times New Roman"/>
          <w:sz w:val="24"/>
          <w:szCs w:val="24"/>
        </w:rPr>
        <w:t>nie je</w:t>
      </w:r>
      <w:r w:rsidRPr="009946FB">
        <w:rPr>
          <w:rFonts w:ascii="Times New Roman" w:hAnsi="Times New Roman"/>
          <w:bCs/>
          <w:sz w:val="24"/>
          <w:szCs w:val="24"/>
        </w:rPr>
        <w:t xml:space="preserve"> zahrnutá </w:t>
      </w:r>
      <w:r w:rsidRPr="0015671D">
        <w:rPr>
          <w:rFonts w:ascii="Times New Roman" w:hAnsi="Times New Roman"/>
          <w:bCs/>
          <w:sz w:val="24"/>
          <w:szCs w:val="24"/>
        </w:rPr>
        <w:t>podpora z</w:t>
      </w:r>
      <w:r w:rsidR="00AB450A" w:rsidRPr="0015671D">
        <w:rPr>
          <w:rFonts w:ascii="Times New Roman" w:hAnsi="Times New Roman"/>
          <w:bCs/>
          <w:sz w:val="24"/>
          <w:szCs w:val="24"/>
        </w:rPr>
        <w:t xml:space="preserve"> prostriedkov </w:t>
      </w:r>
      <w:r w:rsidR="005B28E0" w:rsidRPr="0015671D">
        <w:rPr>
          <w:rFonts w:ascii="Times New Roman" w:hAnsi="Times New Roman"/>
          <w:bCs/>
          <w:sz w:val="24"/>
          <w:szCs w:val="24"/>
        </w:rPr>
        <w:t>EÚ</w:t>
      </w:r>
      <w:r w:rsidR="00AB450A" w:rsidRPr="0015671D">
        <w:rPr>
          <w:rFonts w:ascii="Times New Roman" w:hAnsi="Times New Roman"/>
          <w:bCs/>
          <w:sz w:val="24"/>
          <w:szCs w:val="24"/>
        </w:rPr>
        <w:t xml:space="preserve">, akými sú finančný nástroj LIFE, či program Slovensko 2023 – 2027 a predovšetkým </w:t>
      </w:r>
      <w:r w:rsidR="00FF7067" w:rsidRPr="0015671D">
        <w:rPr>
          <w:rFonts w:ascii="Times New Roman" w:hAnsi="Times New Roman"/>
          <w:bCs/>
          <w:sz w:val="24"/>
          <w:szCs w:val="24"/>
        </w:rPr>
        <w:t>s</w:t>
      </w:r>
      <w:r w:rsidRPr="0015671D">
        <w:rPr>
          <w:rFonts w:ascii="Times New Roman" w:hAnsi="Times New Roman"/>
          <w:bCs/>
          <w:sz w:val="24"/>
          <w:szCs w:val="24"/>
        </w:rPr>
        <w:t>poločn</w:t>
      </w:r>
      <w:r w:rsidR="00AB450A" w:rsidRPr="0015671D">
        <w:rPr>
          <w:rFonts w:ascii="Times New Roman" w:hAnsi="Times New Roman"/>
          <w:bCs/>
          <w:sz w:val="24"/>
          <w:szCs w:val="24"/>
        </w:rPr>
        <w:t>á</w:t>
      </w:r>
      <w:r w:rsidRPr="0015671D">
        <w:rPr>
          <w:rFonts w:ascii="Times New Roman" w:hAnsi="Times New Roman"/>
          <w:bCs/>
          <w:sz w:val="24"/>
          <w:szCs w:val="24"/>
        </w:rPr>
        <w:t xml:space="preserve"> poľnohospodársk</w:t>
      </w:r>
      <w:r w:rsidR="00AB450A" w:rsidRPr="0015671D">
        <w:rPr>
          <w:rFonts w:ascii="Times New Roman" w:hAnsi="Times New Roman"/>
          <w:bCs/>
          <w:sz w:val="24"/>
          <w:szCs w:val="24"/>
        </w:rPr>
        <w:t>a</w:t>
      </w:r>
      <w:r w:rsidRPr="0015671D">
        <w:rPr>
          <w:rFonts w:ascii="Times New Roman" w:hAnsi="Times New Roman"/>
          <w:bCs/>
          <w:sz w:val="24"/>
          <w:szCs w:val="24"/>
        </w:rPr>
        <w:t xml:space="preserve"> politik</w:t>
      </w:r>
      <w:r w:rsidR="00AB450A" w:rsidRPr="0015671D">
        <w:rPr>
          <w:rFonts w:ascii="Times New Roman" w:hAnsi="Times New Roman"/>
          <w:bCs/>
          <w:sz w:val="24"/>
          <w:szCs w:val="24"/>
        </w:rPr>
        <w:t>a</w:t>
      </w:r>
      <w:r w:rsidR="00C96F4F" w:rsidRPr="0015671D">
        <w:rPr>
          <w:rFonts w:ascii="Times New Roman" w:hAnsi="Times New Roman"/>
          <w:bCs/>
          <w:sz w:val="24"/>
          <w:szCs w:val="24"/>
        </w:rPr>
        <w:t xml:space="preserve">. Tu je potrebné uviesť, že </w:t>
      </w:r>
      <w:r w:rsidR="00635055" w:rsidRPr="0015671D">
        <w:rPr>
          <w:rFonts w:ascii="Times New Roman" w:hAnsi="Times New Roman"/>
          <w:bCs/>
          <w:sz w:val="24"/>
          <w:szCs w:val="24"/>
        </w:rPr>
        <w:t>Ú</w:t>
      </w:r>
      <w:r w:rsidR="00A20C93" w:rsidRPr="0015671D">
        <w:rPr>
          <w:rFonts w:ascii="Times New Roman" w:hAnsi="Times New Roman"/>
          <w:bCs/>
          <w:sz w:val="24"/>
          <w:szCs w:val="24"/>
        </w:rPr>
        <w:t xml:space="preserve">EV sa </w:t>
      </w:r>
      <w:r w:rsidR="00635055" w:rsidRPr="0015671D">
        <w:rPr>
          <w:rFonts w:ascii="Times New Roman" w:hAnsi="Times New Roman"/>
          <w:bCs/>
          <w:sz w:val="24"/>
          <w:szCs w:val="24"/>
        </w:rPr>
        <w:t xml:space="preserve">celkovo </w:t>
      </w:r>
      <w:r w:rsidR="00A20C93" w:rsidRPr="0015671D">
        <w:rPr>
          <w:rFonts w:ascii="Times New Roman" w:hAnsi="Times New Roman"/>
          <w:bCs/>
          <w:sz w:val="24"/>
          <w:szCs w:val="24"/>
        </w:rPr>
        <w:t xml:space="preserve">na značnej výmere </w:t>
      </w:r>
      <w:r w:rsidR="00635055" w:rsidRPr="0015671D">
        <w:rPr>
          <w:rFonts w:ascii="Times New Roman" w:hAnsi="Times New Roman"/>
          <w:bCs/>
          <w:sz w:val="24"/>
          <w:szCs w:val="24"/>
        </w:rPr>
        <w:t xml:space="preserve">(v prípade prerokúvaných zmien na výmere 210 ha) </w:t>
      </w:r>
      <w:r w:rsidR="00A20C93" w:rsidRPr="0015671D">
        <w:rPr>
          <w:rFonts w:ascii="Times New Roman" w:hAnsi="Times New Roman"/>
          <w:b/>
          <w:bCs/>
          <w:sz w:val="24"/>
          <w:szCs w:val="24"/>
        </w:rPr>
        <w:t>prekrývajú s</w:t>
      </w:r>
      <w:r w:rsidR="00191A7A" w:rsidRPr="0015671D">
        <w:rPr>
          <w:rFonts w:ascii="Times New Roman" w:hAnsi="Times New Roman"/>
          <w:b/>
          <w:bCs/>
          <w:sz w:val="24"/>
          <w:szCs w:val="24"/>
        </w:rPr>
        <w:t xml:space="preserve"> pozemkami v registri pôdy </w:t>
      </w:r>
      <w:r w:rsidR="00A20C93" w:rsidRPr="0015671D">
        <w:rPr>
          <w:rFonts w:ascii="Times New Roman" w:hAnsi="Times New Roman"/>
          <w:b/>
          <w:bCs/>
          <w:sz w:val="24"/>
          <w:szCs w:val="24"/>
        </w:rPr>
        <w:t>LPIS</w:t>
      </w:r>
      <w:r w:rsidR="00A20C93" w:rsidRPr="0015671D">
        <w:rPr>
          <w:rFonts w:ascii="Times New Roman" w:hAnsi="Times New Roman"/>
          <w:bCs/>
          <w:sz w:val="24"/>
          <w:szCs w:val="24"/>
        </w:rPr>
        <w:t xml:space="preserve"> </w:t>
      </w:r>
      <w:r w:rsidR="00191A7A" w:rsidRPr="0015671D">
        <w:rPr>
          <w:rFonts w:ascii="Times New Roman" w:hAnsi="Times New Roman"/>
          <w:bCs/>
          <w:sz w:val="24"/>
          <w:szCs w:val="24"/>
        </w:rPr>
        <w:t xml:space="preserve"> (Land Parcel Identification System) </w:t>
      </w:r>
      <w:r w:rsidR="00A20C93" w:rsidRPr="0015671D">
        <w:rPr>
          <w:rFonts w:ascii="Times New Roman" w:hAnsi="Times New Roman"/>
          <w:bCs/>
          <w:sz w:val="24"/>
          <w:szCs w:val="24"/>
        </w:rPr>
        <w:t xml:space="preserve">a po splnení ďalších podmienok sú oprávnené na podporu Strategického plánu </w:t>
      </w:r>
      <w:r w:rsidR="00C96F4F" w:rsidRPr="0015671D">
        <w:rPr>
          <w:rFonts w:ascii="Times New Roman" w:hAnsi="Times New Roman"/>
          <w:bCs/>
          <w:sz w:val="24"/>
          <w:szCs w:val="24"/>
        </w:rPr>
        <w:t xml:space="preserve">spoločnej poľnohospodárskej politiky </w:t>
      </w:r>
      <w:r w:rsidR="000C2535" w:rsidRPr="0015671D">
        <w:rPr>
          <w:rFonts w:ascii="Times New Roman" w:hAnsi="Times New Roman"/>
          <w:bCs/>
          <w:sz w:val="24"/>
          <w:szCs w:val="24"/>
        </w:rPr>
        <w:t>2023 –</w:t>
      </w:r>
      <w:r w:rsidR="000C2535">
        <w:rPr>
          <w:rFonts w:ascii="Times New Roman" w:hAnsi="Times New Roman"/>
          <w:bCs/>
          <w:sz w:val="24"/>
          <w:szCs w:val="24"/>
        </w:rPr>
        <w:t xml:space="preserve"> 2027 </w:t>
      </w:r>
      <w:r w:rsidR="00A20C93">
        <w:rPr>
          <w:rFonts w:ascii="Times New Roman" w:hAnsi="Times New Roman"/>
          <w:bCs/>
          <w:sz w:val="24"/>
          <w:szCs w:val="24"/>
        </w:rPr>
        <w:t>(na poľnohospodárskej pôde)</w:t>
      </w:r>
      <w:r w:rsidR="00214C05">
        <w:rPr>
          <w:rFonts w:ascii="Times New Roman" w:hAnsi="Times New Roman"/>
          <w:bCs/>
          <w:sz w:val="24"/>
          <w:szCs w:val="24"/>
        </w:rPr>
        <w:t>.</w:t>
      </w:r>
      <w:r w:rsidR="00A20C93">
        <w:rPr>
          <w:rFonts w:ascii="Times New Roman" w:hAnsi="Times New Roman"/>
          <w:bCs/>
          <w:sz w:val="24"/>
          <w:szCs w:val="24"/>
        </w:rPr>
        <w:t xml:space="preserve"> V uvedenom plán</w:t>
      </w:r>
      <w:r w:rsidR="00C579EC">
        <w:rPr>
          <w:rFonts w:ascii="Times New Roman" w:hAnsi="Times New Roman"/>
          <w:bCs/>
          <w:sz w:val="24"/>
          <w:szCs w:val="24"/>
        </w:rPr>
        <w:t>e</w:t>
      </w:r>
      <w:r w:rsidR="00A20C93">
        <w:rPr>
          <w:rFonts w:ascii="Times New Roman" w:hAnsi="Times New Roman"/>
          <w:bCs/>
          <w:sz w:val="24"/>
          <w:szCs w:val="24"/>
        </w:rPr>
        <w:t xml:space="preserve"> </w:t>
      </w:r>
      <w:r w:rsidR="00C96F4F">
        <w:rPr>
          <w:rFonts w:ascii="Times New Roman" w:hAnsi="Times New Roman"/>
          <w:bCs/>
          <w:sz w:val="24"/>
          <w:szCs w:val="24"/>
        </w:rPr>
        <w:t xml:space="preserve">ostali zachované </w:t>
      </w:r>
      <w:r w:rsidR="00A20C93">
        <w:rPr>
          <w:rFonts w:ascii="Times New Roman" w:hAnsi="Times New Roman"/>
          <w:bCs/>
          <w:sz w:val="24"/>
          <w:szCs w:val="24"/>
        </w:rPr>
        <w:t xml:space="preserve">predchádzajúce </w:t>
      </w:r>
      <w:r w:rsidR="00C96F4F">
        <w:rPr>
          <w:rFonts w:ascii="Times New Roman" w:hAnsi="Times New Roman"/>
          <w:bCs/>
          <w:sz w:val="24"/>
          <w:szCs w:val="24"/>
        </w:rPr>
        <w:t>opatrenia „platby Natura 2000 na poľnohospodárskej pôde</w:t>
      </w:r>
      <w:r w:rsidR="00234029">
        <w:rPr>
          <w:rFonts w:ascii="Times New Roman" w:hAnsi="Times New Roman"/>
          <w:bCs/>
          <w:sz w:val="24"/>
          <w:szCs w:val="24"/>
        </w:rPr>
        <w:t>“</w:t>
      </w:r>
      <w:r w:rsidR="00C96F4F">
        <w:rPr>
          <w:rFonts w:ascii="Times New Roman" w:hAnsi="Times New Roman"/>
          <w:bCs/>
          <w:sz w:val="24"/>
          <w:szCs w:val="24"/>
        </w:rPr>
        <w:t xml:space="preserve"> </w:t>
      </w:r>
      <w:r w:rsidR="007E25FD">
        <w:rPr>
          <w:rFonts w:ascii="Times New Roman" w:hAnsi="Times New Roman"/>
          <w:bCs/>
          <w:sz w:val="24"/>
          <w:szCs w:val="24"/>
        </w:rPr>
        <w:t xml:space="preserve">(zvýšené náklady a znížené výnosy </w:t>
      </w:r>
      <w:r w:rsidR="007E25FD" w:rsidRPr="007E25FD">
        <w:rPr>
          <w:rFonts w:ascii="Times New Roman" w:hAnsi="Times New Roman"/>
          <w:bCs/>
          <w:sz w:val="24"/>
          <w:szCs w:val="24"/>
        </w:rPr>
        <w:t>obhospodarovateľom</w:t>
      </w:r>
      <w:r w:rsidR="007E25FD">
        <w:rPr>
          <w:rFonts w:ascii="Times New Roman" w:hAnsi="Times New Roman"/>
          <w:bCs/>
          <w:sz w:val="24"/>
          <w:szCs w:val="24"/>
        </w:rPr>
        <w:t xml:space="preserve"> </w:t>
      </w:r>
      <w:r w:rsidR="007E25FD" w:rsidRPr="007E25FD">
        <w:rPr>
          <w:rFonts w:ascii="Times New Roman" w:hAnsi="Times New Roman"/>
          <w:bCs/>
          <w:sz w:val="24"/>
          <w:szCs w:val="24"/>
        </w:rPr>
        <w:t xml:space="preserve">trvalých trávnych porastov </w:t>
      </w:r>
      <w:r w:rsidR="007E25FD">
        <w:rPr>
          <w:rFonts w:ascii="Times New Roman" w:hAnsi="Times New Roman"/>
          <w:bCs/>
          <w:sz w:val="24"/>
          <w:szCs w:val="24"/>
        </w:rPr>
        <w:t>-</w:t>
      </w:r>
      <w:r w:rsidR="00C579EC">
        <w:rPr>
          <w:rFonts w:ascii="Times New Roman" w:hAnsi="Times New Roman"/>
          <w:bCs/>
          <w:sz w:val="24"/>
          <w:szCs w:val="24"/>
        </w:rPr>
        <w:t xml:space="preserve"> </w:t>
      </w:r>
      <w:r w:rsidR="007E25FD" w:rsidRPr="007E25FD">
        <w:rPr>
          <w:rFonts w:ascii="Times New Roman" w:hAnsi="Times New Roman"/>
          <w:bCs/>
          <w:sz w:val="24"/>
          <w:szCs w:val="24"/>
        </w:rPr>
        <w:t xml:space="preserve">TTP na územiach Natura 2000 </w:t>
      </w:r>
      <w:r w:rsidR="007E25FD">
        <w:rPr>
          <w:rFonts w:ascii="Times New Roman" w:hAnsi="Times New Roman"/>
          <w:bCs/>
          <w:sz w:val="24"/>
          <w:szCs w:val="24"/>
        </w:rPr>
        <w:t xml:space="preserve">v rámci </w:t>
      </w:r>
      <w:r w:rsidR="007E25FD" w:rsidRPr="007E25FD">
        <w:rPr>
          <w:rFonts w:ascii="Times New Roman" w:hAnsi="Times New Roman"/>
          <w:bCs/>
          <w:sz w:val="24"/>
          <w:szCs w:val="24"/>
        </w:rPr>
        <w:t>4. a 5. stupňa</w:t>
      </w:r>
      <w:r w:rsidR="007E25FD">
        <w:rPr>
          <w:rFonts w:ascii="Times New Roman" w:hAnsi="Times New Roman"/>
          <w:bCs/>
          <w:sz w:val="24"/>
          <w:szCs w:val="24"/>
        </w:rPr>
        <w:t xml:space="preserve"> </w:t>
      </w:r>
      <w:r w:rsidR="007E25FD" w:rsidRPr="007E25FD">
        <w:rPr>
          <w:rFonts w:ascii="Times New Roman" w:hAnsi="Times New Roman"/>
          <w:bCs/>
          <w:sz w:val="24"/>
          <w:szCs w:val="24"/>
        </w:rPr>
        <w:t>ochrany</w:t>
      </w:r>
      <w:r w:rsidR="007E25FD">
        <w:rPr>
          <w:rFonts w:ascii="Times New Roman" w:hAnsi="Times New Roman"/>
          <w:bCs/>
          <w:sz w:val="24"/>
          <w:szCs w:val="24"/>
        </w:rPr>
        <w:t xml:space="preserve">; opatrenia, 84 EUR/ha/rok); </w:t>
      </w:r>
      <w:r w:rsidR="00234029">
        <w:rPr>
          <w:rFonts w:ascii="Times New Roman" w:hAnsi="Times New Roman"/>
          <w:bCs/>
          <w:sz w:val="24"/>
          <w:szCs w:val="24"/>
        </w:rPr>
        <w:t>„platby Natura 2000 na lesných pozemkoch“ (</w:t>
      </w:r>
      <w:r w:rsidR="00234029" w:rsidRPr="00234029">
        <w:rPr>
          <w:rFonts w:ascii="Times New Roman" w:hAnsi="Times New Roman"/>
          <w:bCs/>
          <w:sz w:val="24"/>
          <w:szCs w:val="24"/>
        </w:rPr>
        <w:t>zvýšené náklady a znížené výnosy obhospodarovateľom</w:t>
      </w:r>
      <w:r w:rsidR="00234029">
        <w:rPr>
          <w:rFonts w:ascii="Times New Roman" w:hAnsi="Times New Roman"/>
          <w:bCs/>
          <w:sz w:val="24"/>
          <w:szCs w:val="24"/>
        </w:rPr>
        <w:t xml:space="preserve"> </w:t>
      </w:r>
      <w:r w:rsidR="00234029" w:rsidRPr="00234029">
        <w:rPr>
          <w:rFonts w:ascii="Times New Roman" w:hAnsi="Times New Roman"/>
          <w:bCs/>
          <w:sz w:val="24"/>
          <w:szCs w:val="24"/>
        </w:rPr>
        <w:t xml:space="preserve">lesných pozemkov na územiach Natura 2000 </w:t>
      </w:r>
      <w:r w:rsidR="00234029">
        <w:rPr>
          <w:rFonts w:ascii="Times New Roman" w:hAnsi="Times New Roman"/>
          <w:bCs/>
          <w:sz w:val="24"/>
          <w:szCs w:val="24"/>
        </w:rPr>
        <w:t xml:space="preserve">v </w:t>
      </w:r>
      <w:r w:rsidR="00234029" w:rsidRPr="00234029">
        <w:rPr>
          <w:rFonts w:ascii="Times New Roman" w:hAnsi="Times New Roman"/>
          <w:bCs/>
          <w:sz w:val="24"/>
          <w:szCs w:val="24"/>
        </w:rPr>
        <w:t>5. stup</w:t>
      </w:r>
      <w:r w:rsidR="00234029">
        <w:rPr>
          <w:rFonts w:ascii="Times New Roman" w:hAnsi="Times New Roman"/>
          <w:bCs/>
          <w:sz w:val="24"/>
          <w:szCs w:val="24"/>
        </w:rPr>
        <w:t>ni o</w:t>
      </w:r>
      <w:r w:rsidR="00234029" w:rsidRPr="00234029">
        <w:rPr>
          <w:rFonts w:ascii="Times New Roman" w:hAnsi="Times New Roman"/>
          <w:bCs/>
          <w:sz w:val="24"/>
          <w:szCs w:val="24"/>
        </w:rPr>
        <w:t>chrany</w:t>
      </w:r>
      <w:r w:rsidR="00234029">
        <w:rPr>
          <w:rFonts w:ascii="Times New Roman" w:hAnsi="Times New Roman"/>
          <w:bCs/>
          <w:sz w:val="24"/>
          <w:szCs w:val="24"/>
        </w:rPr>
        <w:t>; 4</w:t>
      </w:r>
      <w:r w:rsidR="00E65A42">
        <w:rPr>
          <w:rFonts w:ascii="Times New Roman" w:hAnsi="Times New Roman"/>
          <w:bCs/>
          <w:sz w:val="24"/>
          <w:szCs w:val="24"/>
        </w:rPr>
        <w:t>3</w:t>
      </w:r>
      <w:r w:rsidR="00234029">
        <w:rPr>
          <w:rFonts w:ascii="Times New Roman" w:hAnsi="Times New Roman"/>
          <w:bCs/>
          <w:sz w:val="24"/>
          <w:szCs w:val="24"/>
        </w:rPr>
        <w:t xml:space="preserve">,20 EUR/ha/rok); </w:t>
      </w:r>
      <w:r w:rsidR="00A20C93">
        <w:rPr>
          <w:rFonts w:ascii="Times New Roman" w:hAnsi="Times New Roman"/>
          <w:bCs/>
          <w:sz w:val="24"/>
          <w:szCs w:val="24"/>
        </w:rPr>
        <w:t>„</w:t>
      </w:r>
      <w:r w:rsidR="00234029">
        <w:rPr>
          <w:rFonts w:ascii="Times New Roman" w:hAnsi="Times New Roman"/>
          <w:bCs/>
          <w:sz w:val="24"/>
          <w:szCs w:val="24"/>
        </w:rPr>
        <w:t>l</w:t>
      </w:r>
      <w:r w:rsidR="00234029" w:rsidRPr="00234029">
        <w:rPr>
          <w:rFonts w:ascii="Times New Roman" w:hAnsi="Times New Roman"/>
          <w:bCs/>
          <w:sz w:val="24"/>
          <w:szCs w:val="24"/>
        </w:rPr>
        <w:t>esnícko-environmentálne a klimatické služby (LEKS)</w:t>
      </w:r>
      <w:r w:rsidR="00A20C93">
        <w:rPr>
          <w:rFonts w:ascii="Times New Roman" w:hAnsi="Times New Roman"/>
          <w:bCs/>
          <w:sz w:val="24"/>
          <w:szCs w:val="24"/>
        </w:rPr>
        <w:t>“</w:t>
      </w:r>
      <w:r w:rsidR="00234029">
        <w:rPr>
          <w:rFonts w:ascii="Times New Roman" w:hAnsi="Times New Roman"/>
          <w:bCs/>
          <w:sz w:val="24"/>
          <w:szCs w:val="24"/>
        </w:rPr>
        <w:t xml:space="preserve"> (</w:t>
      </w:r>
      <w:r w:rsidR="00234029" w:rsidRPr="00234029">
        <w:rPr>
          <w:rFonts w:ascii="Times New Roman" w:hAnsi="Times New Roman"/>
          <w:bCs/>
          <w:sz w:val="24"/>
          <w:szCs w:val="24"/>
        </w:rPr>
        <w:t>poskytnutie podpory súkromným a verejným obhospodarovateľom lesov alebo združeniam</w:t>
      </w:r>
      <w:r w:rsidR="00234029">
        <w:rPr>
          <w:rFonts w:ascii="Times New Roman" w:hAnsi="Times New Roman"/>
          <w:bCs/>
          <w:sz w:val="24"/>
          <w:szCs w:val="24"/>
        </w:rPr>
        <w:t xml:space="preserve"> </w:t>
      </w:r>
      <w:r w:rsidR="00234029" w:rsidRPr="00234029">
        <w:rPr>
          <w:rFonts w:ascii="Times New Roman" w:hAnsi="Times New Roman"/>
          <w:bCs/>
          <w:sz w:val="24"/>
          <w:szCs w:val="24"/>
        </w:rPr>
        <w:t>súkromných alebo verejných obhospodarovateľov lesa za vykonávanie lesnícko-environmentálnych a</w:t>
      </w:r>
      <w:r w:rsidR="00234029">
        <w:rPr>
          <w:rFonts w:ascii="Times New Roman" w:hAnsi="Times New Roman"/>
          <w:bCs/>
          <w:sz w:val="24"/>
          <w:szCs w:val="24"/>
        </w:rPr>
        <w:t> </w:t>
      </w:r>
      <w:r w:rsidR="00234029" w:rsidRPr="00234029">
        <w:rPr>
          <w:rFonts w:ascii="Times New Roman" w:hAnsi="Times New Roman"/>
          <w:bCs/>
          <w:sz w:val="24"/>
          <w:szCs w:val="24"/>
        </w:rPr>
        <w:t>klim</w:t>
      </w:r>
      <w:r w:rsidR="00234029">
        <w:rPr>
          <w:rFonts w:ascii="Times New Roman" w:hAnsi="Times New Roman"/>
          <w:bCs/>
          <w:sz w:val="24"/>
          <w:szCs w:val="24"/>
        </w:rPr>
        <w:t>atických záväzkov, medzi ktoré patria aj LE</w:t>
      </w:r>
      <w:r w:rsidR="00A20C93">
        <w:rPr>
          <w:rFonts w:ascii="Times New Roman" w:hAnsi="Times New Roman"/>
          <w:bCs/>
          <w:sz w:val="24"/>
          <w:szCs w:val="24"/>
        </w:rPr>
        <w:t>K</w:t>
      </w:r>
      <w:r w:rsidR="00234029">
        <w:rPr>
          <w:rFonts w:ascii="Times New Roman" w:hAnsi="Times New Roman"/>
          <w:bCs/>
          <w:sz w:val="24"/>
          <w:szCs w:val="24"/>
        </w:rPr>
        <w:t>S v ÚEV; platba 1</w:t>
      </w:r>
      <w:r w:rsidR="00E65A42">
        <w:rPr>
          <w:rFonts w:ascii="Times New Roman" w:hAnsi="Times New Roman"/>
          <w:bCs/>
          <w:sz w:val="24"/>
          <w:szCs w:val="24"/>
        </w:rPr>
        <w:t>1</w:t>
      </w:r>
      <w:r w:rsidR="00234029">
        <w:rPr>
          <w:rFonts w:ascii="Times New Roman" w:hAnsi="Times New Roman"/>
          <w:bCs/>
          <w:sz w:val="24"/>
          <w:szCs w:val="24"/>
        </w:rPr>
        <w:t>1,44 EUR/ha/rok)</w:t>
      </w:r>
      <w:r w:rsidR="00A20C93">
        <w:rPr>
          <w:rFonts w:ascii="Times New Roman" w:hAnsi="Times New Roman"/>
          <w:bCs/>
          <w:sz w:val="24"/>
          <w:szCs w:val="24"/>
        </w:rPr>
        <w:t>, ako aj „</w:t>
      </w:r>
      <w:r w:rsidR="00B85318">
        <w:rPr>
          <w:rFonts w:ascii="Times New Roman" w:hAnsi="Times New Roman"/>
          <w:bCs/>
          <w:sz w:val="24"/>
          <w:szCs w:val="24"/>
        </w:rPr>
        <w:t>o</w:t>
      </w:r>
      <w:r w:rsidR="00234029" w:rsidRPr="00234029">
        <w:rPr>
          <w:rFonts w:ascii="Times New Roman" w:hAnsi="Times New Roman"/>
          <w:bCs/>
          <w:sz w:val="24"/>
          <w:szCs w:val="24"/>
        </w:rPr>
        <w:t>chrana a zachovanie biodiverzity (</w:t>
      </w:r>
      <w:r w:rsidR="00A20C93">
        <w:rPr>
          <w:rFonts w:ascii="Times New Roman" w:hAnsi="Times New Roman"/>
          <w:bCs/>
          <w:sz w:val="24"/>
          <w:szCs w:val="24"/>
        </w:rPr>
        <w:t xml:space="preserve">medzi ktoré patrí aj </w:t>
      </w:r>
      <w:r w:rsidR="00234029" w:rsidRPr="00234029">
        <w:rPr>
          <w:rFonts w:ascii="Times New Roman" w:hAnsi="Times New Roman"/>
          <w:bCs/>
          <w:sz w:val="24"/>
          <w:szCs w:val="24"/>
        </w:rPr>
        <w:t>mozaikové kosenie v</w:t>
      </w:r>
      <w:r w:rsidR="00234029">
        <w:rPr>
          <w:rFonts w:ascii="Times New Roman" w:hAnsi="Times New Roman"/>
          <w:bCs/>
          <w:sz w:val="24"/>
          <w:szCs w:val="24"/>
        </w:rPr>
        <w:t> ÚEV v 2. a 3. stupni ochrany; platba 62 EUR/ha/rok)</w:t>
      </w:r>
      <w:r w:rsidR="00B85318">
        <w:rPr>
          <w:rFonts w:ascii="Times New Roman" w:hAnsi="Times New Roman"/>
          <w:bCs/>
          <w:sz w:val="24"/>
          <w:szCs w:val="24"/>
        </w:rPr>
        <w:t>. Posledné uvedené opat</w:t>
      </w:r>
      <w:r w:rsidR="00A20C93">
        <w:rPr>
          <w:rFonts w:ascii="Times New Roman" w:hAnsi="Times New Roman"/>
          <w:bCs/>
          <w:sz w:val="24"/>
          <w:szCs w:val="24"/>
        </w:rPr>
        <w:t>renie je novým</w:t>
      </w:r>
      <w:r w:rsidR="005B28E0">
        <w:rPr>
          <w:rFonts w:ascii="Times New Roman" w:hAnsi="Times New Roman"/>
          <w:bCs/>
          <w:sz w:val="24"/>
          <w:szCs w:val="24"/>
        </w:rPr>
        <w:t xml:space="preserve"> opatrením</w:t>
      </w:r>
      <w:r w:rsidR="00A20C93">
        <w:rPr>
          <w:rFonts w:ascii="Times New Roman" w:hAnsi="Times New Roman"/>
          <w:bCs/>
          <w:sz w:val="24"/>
          <w:szCs w:val="24"/>
        </w:rPr>
        <w:t>, v programoch rozvoja vidieka v doterajších programových obdobiach nebolo</w:t>
      </w:r>
      <w:r w:rsidR="005B28E0">
        <w:rPr>
          <w:rFonts w:ascii="Times New Roman" w:hAnsi="Times New Roman"/>
          <w:bCs/>
          <w:sz w:val="24"/>
          <w:szCs w:val="24"/>
        </w:rPr>
        <w:t xml:space="preserve"> zaradené</w:t>
      </w:r>
      <w:r w:rsidR="00A20C93">
        <w:rPr>
          <w:rFonts w:ascii="Times New Roman" w:hAnsi="Times New Roman"/>
          <w:bCs/>
          <w:sz w:val="24"/>
          <w:szCs w:val="24"/>
        </w:rPr>
        <w:t xml:space="preserve"> a je opatrením </w:t>
      </w:r>
      <w:r w:rsidR="005B28E0">
        <w:rPr>
          <w:rFonts w:ascii="Times New Roman" w:hAnsi="Times New Roman"/>
          <w:bCs/>
          <w:sz w:val="24"/>
          <w:szCs w:val="24"/>
        </w:rPr>
        <w:t xml:space="preserve">významným </w:t>
      </w:r>
      <w:r w:rsidR="00AB450A">
        <w:rPr>
          <w:rFonts w:ascii="Times New Roman" w:hAnsi="Times New Roman"/>
          <w:bCs/>
          <w:sz w:val="24"/>
          <w:szCs w:val="24"/>
        </w:rPr>
        <w:t>pre ochranu predovšetkým vzácnych druhov hmyzu.</w:t>
      </w:r>
      <w:r w:rsidR="000C2ED9" w:rsidRPr="000C2ED9">
        <w:rPr>
          <w:color w:val="000000"/>
        </w:rPr>
        <w:t xml:space="preserve"> </w:t>
      </w:r>
      <w:r w:rsidR="00AB450A">
        <w:rPr>
          <w:rFonts w:ascii="Times New Roman" w:hAnsi="Times New Roman"/>
          <w:bCs/>
          <w:sz w:val="24"/>
          <w:szCs w:val="24"/>
        </w:rPr>
        <w:t xml:space="preserve">Možné zdroje podpory z finančných prostriedkov EÚ </w:t>
      </w:r>
      <w:r w:rsidR="009946FB">
        <w:rPr>
          <w:rFonts w:ascii="Times New Roman" w:hAnsi="Times New Roman"/>
          <w:bCs/>
          <w:sz w:val="24"/>
          <w:szCs w:val="24"/>
        </w:rPr>
        <w:t xml:space="preserve">sú </w:t>
      </w:r>
      <w:r w:rsidR="00AB450A">
        <w:rPr>
          <w:rFonts w:ascii="Times New Roman" w:hAnsi="Times New Roman"/>
          <w:bCs/>
          <w:sz w:val="24"/>
          <w:szCs w:val="24"/>
        </w:rPr>
        <w:t>alternatívou podpory zo štátneho rozpočtu.</w:t>
      </w:r>
      <w:r w:rsidR="000C2ED9">
        <w:rPr>
          <w:rFonts w:ascii="Times New Roman" w:hAnsi="Times New Roman"/>
          <w:bCs/>
          <w:sz w:val="24"/>
          <w:szCs w:val="24"/>
        </w:rPr>
        <w:t xml:space="preserve"> </w:t>
      </w:r>
    </w:p>
    <w:p w:rsidR="00C23BAE" w:rsidRDefault="00C23BAE" w:rsidP="00BC0AB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693">
        <w:rPr>
          <w:rFonts w:ascii="Times New Roman" w:hAnsi="Times New Roman"/>
          <w:bCs/>
          <w:sz w:val="24"/>
          <w:szCs w:val="24"/>
        </w:rPr>
        <w:t xml:space="preserve">Odhad výšky </w:t>
      </w:r>
      <w:r w:rsidR="00E86B02" w:rsidRPr="00CD28E1">
        <w:rPr>
          <w:rFonts w:ascii="Times New Roman" w:hAnsi="Times New Roman"/>
          <w:b/>
          <w:bCs/>
          <w:sz w:val="24"/>
          <w:szCs w:val="24"/>
        </w:rPr>
        <w:t>maximálneho predpokladaného úbytku príjmov obcí v prípade prekategorizovania hospodárskych lesov na lesy osobitného určenia</w:t>
      </w:r>
      <w:r w:rsidR="00DA40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bol vyčíslený nasledovne: Celková výmera parciel, ktoré boli po prerokovaniach zaradené do návrhu nariadenia vlády k už existujúcim ÚEV, je </w:t>
      </w:r>
      <w:r w:rsidR="00625D30">
        <w:rPr>
          <w:rFonts w:ascii="Times New Roman" w:hAnsi="Times New Roman"/>
          <w:bCs/>
          <w:sz w:val="24"/>
          <w:szCs w:val="24"/>
        </w:rPr>
        <w:t>1</w:t>
      </w:r>
      <w:r w:rsidR="00983250">
        <w:rPr>
          <w:rFonts w:ascii="Times New Roman" w:hAnsi="Times New Roman"/>
          <w:bCs/>
          <w:sz w:val="24"/>
          <w:szCs w:val="24"/>
        </w:rPr>
        <w:t xml:space="preserve"> </w:t>
      </w:r>
      <w:r w:rsidR="00625D30">
        <w:rPr>
          <w:rFonts w:ascii="Times New Roman" w:hAnsi="Times New Roman"/>
          <w:bCs/>
          <w:sz w:val="24"/>
          <w:szCs w:val="24"/>
        </w:rPr>
        <w:t xml:space="preserve">248 </w:t>
      </w:r>
      <w:r>
        <w:rPr>
          <w:rFonts w:ascii="Times New Roman" w:hAnsi="Times New Roman"/>
          <w:bCs/>
          <w:sz w:val="24"/>
          <w:szCs w:val="24"/>
        </w:rPr>
        <w:t>ha. Z</w:t>
      </w:r>
      <w:r w:rsidR="00757948">
        <w:rPr>
          <w:rFonts w:ascii="Times New Roman" w:hAnsi="Times New Roman"/>
          <w:bCs/>
          <w:sz w:val="24"/>
          <w:szCs w:val="24"/>
        </w:rPr>
        <w:t> tejto výmer</w:t>
      </w:r>
      <w:r w:rsidR="00625D30">
        <w:rPr>
          <w:rFonts w:ascii="Times New Roman" w:hAnsi="Times New Roman"/>
          <w:bCs/>
          <w:sz w:val="24"/>
          <w:szCs w:val="24"/>
        </w:rPr>
        <w:t>y</w:t>
      </w:r>
      <w:r w:rsidR="00757948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>481 ha nachádza na lesných pozemkoch. Z nich je cca 5</w:t>
      </w:r>
      <w:r w:rsidR="00625D3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% už v existujúcich chránených územiach, ktoré sa s ÚEV prekrývajú (vypočítané podľa 642 ha, kde sa stupeň ochrany zvyšuje z 1. stupňa na vyšší). Výsledná výmera je preto </w:t>
      </w:r>
      <w:r w:rsidR="00E86B02" w:rsidRPr="00CD28E1">
        <w:rPr>
          <w:rFonts w:ascii="Times New Roman" w:hAnsi="Times New Roman"/>
          <w:b/>
          <w:bCs/>
          <w:sz w:val="24"/>
          <w:szCs w:val="24"/>
        </w:rPr>
        <w:t>245 ha lesných pozemkov a priemerný odhadovaný úbytok je 7,1 EUR/ha/rok</w:t>
      </w:r>
      <w:r>
        <w:rPr>
          <w:rFonts w:ascii="Times New Roman" w:hAnsi="Times New Roman"/>
          <w:bCs/>
          <w:sz w:val="24"/>
          <w:szCs w:val="24"/>
        </w:rPr>
        <w:t>. Určenie presného roku, kedy dôjde k prípadnej zmene kategórie lesa, nie je známe.</w:t>
      </w:r>
      <w:r w:rsidR="00703860">
        <w:rPr>
          <w:rFonts w:ascii="Times New Roman" w:hAnsi="Times New Roman"/>
          <w:bCs/>
          <w:sz w:val="24"/>
          <w:szCs w:val="24"/>
        </w:rPr>
        <w:t xml:space="preserve"> Ide o parcely v </w:t>
      </w:r>
      <w:r w:rsidR="0015671D">
        <w:rPr>
          <w:rFonts w:ascii="Times New Roman" w:hAnsi="Times New Roman"/>
          <w:bCs/>
          <w:sz w:val="24"/>
          <w:szCs w:val="24"/>
        </w:rPr>
        <w:t>41</w:t>
      </w:r>
      <w:r w:rsidR="00703860">
        <w:rPr>
          <w:rFonts w:ascii="Times New Roman" w:hAnsi="Times New Roman"/>
          <w:bCs/>
          <w:sz w:val="24"/>
          <w:szCs w:val="24"/>
        </w:rPr>
        <w:t xml:space="preserve"> lokalitách, ktoré zasahujú do 71 katastrálnych území.</w:t>
      </w:r>
      <w:r w:rsidR="00DA40FA">
        <w:rPr>
          <w:rFonts w:ascii="Times New Roman" w:hAnsi="Times New Roman"/>
          <w:bCs/>
          <w:sz w:val="24"/>
          <w:szCs w:val="24"/>
        </w:rPr>
        <w:t xml:space="preserve"> </w:t>
      </w:r>
      <w:r w:rsidR="00E86B02" w:rsidRPr="00CD28E1">
        <w:rPr>
          <w:rFonts w:ascii="Times New Roman" w:hAnsi="Times New Roman"/>
          <w:b/>
          <w:bCs/>
          <w:sz w:val="24"/>
          <w:szCs w:val="24"/>
        </w:rPr>
        <w:t>Priemerný úbytok na dani z nehnuteľnosti na 1 obec</w:t>
      </w:r>
      <w:r w:rsidR="00DA40FA">
        <w:rPr>
          <w:rFonts w:ascii="Times New Roman" w:hAnsi="Times New Roman"/>
          <w:bCs/>
          <w:sz w:val="24"/>
          <w:szCs w:val="24"/>
        </w:rPr>
        <w:t xml:space="preserve"> predstavuje sumu (1740 </w:t>
      </w:r>
      <w:r w:rsidR="004637B8">
        <w:rPr>
          <w:rFonts w:ascii="Times New Roman" w:hAnsi="Times New Roman"/>
          <w:bCs/>
          <w:sz w:val="24"/>
          <w:szCs w:val="24"/>
        </w:rPr>
        <w:t xml:space="preserve">: </w:t>
      </w:r>
      <w:r w:rsidR="00DA40FA">
        <w:rPr>
          <w:rFonts w:ascii="Times New Roman" w:hAnsi="Times New Roman"/>
          <w:bCs/>
          <w:sz w:val="24"/>
          <w:szCs w:val="24"/>
        </w:rPr>
        <w:t xml:space="preserve">71) </w:t>
      </w:r>
      <w:bookmarkStart w:id="1" w:name="_GoBack"/>
      <w:r w:rsidR="00E86B02" w:rsidRPr="00CD28E1">
        <w:rPr>
          <w:rFonts w:ascii="Times New Roman" w:hAnsi="Times New Roman"/>
          <w:b/>
          <w:bCs/>
          <w:sz w:val="24"/>
          <w:szCs w:val="24"/>
        </w:rPr>
        <w:t>24,50 EUR/rok.</w:t>
      </w:r>
      <w:bookmarkEnd w:id="1"/>
    </w:p>
    <w:p w:rsidR="004A233F" w:rsidRDefault="004A233F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  <w:sectPr w:rsidR="004A233F" w:rsidSect="00655F3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38601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38601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8601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8601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8601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38601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Pr="00386018" w:rsidRDefault="00A13433" w:rsidP="001D0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A13433" w:rsidRPr="00386018" w:rsidRDefault="00A13433" w:rsidP="001D03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86018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386018" w:rsidRPr="0038601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386018" w:rsidRPr="00386018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386018" w:rsidRPr="00386018">
        <w:trPr>
          <w:trHeight w:val="70"/>
        </w:trPr>
        <w:tc>
          <w:tcPr>
            <w:tcW w:w="4530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86018" w:rsidRPr="00386018">
        <w:trPr>
          <w:trHeight w:val="70"/>
        </w:trPr>
        <w:tc>
          <w:tcPr>
            <w:tcW w:w="4530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86018" w:rsidRPr="00386018">
        <w:trPr>
          <w:trHeight w:val="70"/>
        </w:trPr>
        <w:tc>
          <w:tcPr>
            <w:tcW w:w="4530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86018">
              <w:rPr>
                <w:rFonts w:ascii="Times New Roman" w:hAnsi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A13433" w:rsidRPr="00386018" w:rsidRDefault="00A13433" w:rsidP="009757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A13433" w:rsidRPr="00386018" w:rsidRDefault="00A13433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C0ABC" w:rsidRPr="00386018" w:rsidRDefault="00BC0ABC" w:rsidP="001D031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13433" w:rsidRDefault="00A13433" w:rsidP="001D03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635055" w:rsidRDefault="00635055" w:rsidP="00AB45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B450A" w:rsidRPr="00AB450A" w:rsidRDefault="00AB450A" w:rsidP="00AB45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Odhad náhrady za obmedzenie bežného obhospodarovania bol určený rámcovo, nakoľko ide o lokality v rôznych častiach </w:t>
      </w:r>
      <w:r w:rsidR="005B28E0" w:rsidRPr="00BC0ABC">
        <w:rPr>
          <w:rFonts w:ascii="Times New Roman" w:hAnsi="Times New Roman"/>
          <w:b/>
          <w:bCs/>
          <w:sz w:val="24"/>
          <w:szCs w:val="24"/>
          <w:lang w:eastAsia="sk-SK"/>
        </w:rPr>
        <w:t>Slovenskej republiky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Ročná suma bola </w:t>
      </w:r>
      <w:r w:rsidR="00F424E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približne </w:t>
      </w:r>
      <w:r w:rsidRPr="00BC0ABC">
        <w:rPr>
          <w:rFonts w:ascii="Times New Roman" w:hAnsi="Times New Roman"/>
          <w:b/>
          <w:bCs/>
          <w:sz w:val="24"/>
          <w:szCs w:val="24"/>
          <w:lang w:eastAsia="sk-SK"/>
        </w:rPr>
        <w:t>100 EUR/ha.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</w:t>
      </w:r>
      <w:r w:rsidRPr="00AB450A">
        <w:rPr>
          <w:rFonts w:ascii="Times New Roman" w:hAnsi="Times New Roman"/>
          <w:bCs/>
          <w:sz w:val="24"/>
          <w:szCs w:val="24"/>
          <w:lang w:eastAsia="sk-SK"/>
        </w:rPr>
        <w:t xml:space="preserve">odrobnosti o spôsobe výpočtu finančnej náhrady upravuje nariadenie vlády Slovenskej republiky č. 7/2014 Z. z. o podrobnostiach o obsahu žiadosti o vyplatenie finančnej náhrady, spôsobe výpočtu finančnej náhrady a spôsobe určenia výšky nájomného a výšky odplaty za zmluvnú starostlivosť pri náhradách za obmedzenie bežného obhospodarovania pozemku.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Výška finančnej náhrady je určená znaleckým posudkom. </w:t>
      </w:r>
      <w:r w:rsidRPr="00AB450A">
        <w:rPr>
          <w:rFonts w:ascii="Times New Roman" w:hAnsi="Times New Roman"/>
          <w:bCs/>
          <w:sz w:val="24"/>
          <w:szCs w:val="24"/>
          <w:lang w:eastAsia="sk-SK"/>
        </w:rPr>
        <w:t>Všetky prípadné vplyvy na rozpočet verejnej správy, ktoré budú závisieť od uplatnenia si náhrad za obmedzenie bežného obhospodarovania, budú pokryté v rámci kapitoly Ministerstva vnútra Slovenskej republiky na príslušný rozpočtový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rok.</w:t>
      </w:r>
    </w:p>
    <w:p w:rsidR="00A13433" w:rsidRDefault="00A13433" w:rsidP="001D03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D0C9F" w:rsidRDefault="00AD0C9F" w:rsidP="001D03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Nárok na náhradu za obmedzenie bežného obhospodarovania vznikne na pozemkoch  na celkovej výmere 629,55 ha. Ide o výmeru, na ktorej na základe prerokovaní došlo k zvýšeniu do 4. alebo 5. stupňa ochrany z 1.,2</w:t>
      </w:r>
      <w:r w:rsidR="003A78B9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alebo 3. stupňa ochrany (1 057,88 ha), od ktorej bola odčítaná výmera, na ktorej dôjde zníženiu zo 4. alebo 5. stupňa ochrany na 2. alebo 3. stupeň (428,33 ha).</w:t>
      </w:r>
    </w:p>
    <w:p w:rsidR="00FE28F7" w:rsidRDefault="00FE28F7" w:rsidP="001D031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  <w:sectPr w:rsidR="00FE28F7" w:rsidSect="00FE28F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433" w:rsidRPr="00386018" w:rsidRDefault="00A13433" w:rsidP="001D031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A13433" w:rsidRPr="00386018" w:rsidRDefault="00A13433" w:rsidP="001D0317">
      <w:pPr>
        <w:framePr w:hSpace="141" w:wrap="around" w:hAnchor="margin" w:xAlign="center" w:y="533"/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38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2"/>
        <w:gridCol w:w="1080"/>
        <w:gridCol w:w="1455"/>
        <w:gridCol w:w="1455"/>
        <w:gridCol w:w="1310"/>
        <w:gridCol w:w="1985"/>
      </w:tblGrid>
      <w:tr w:rsidR="00386018" w:rsidRPr="00386018" w:rsidTr="000B3121">
        <w:trPr>
          <w:cantSplit/>
          <w:trHeight w:val="255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13433" w:rsidRPr="00386018" w:rsidRDefault="00A13433" w:rsidP="00975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386018" w:rsidRPr="00386018" w:rsidTr="000B3121">
        <w:trPr>
          <w:cantSplit/>
          <w:trHeight w:val="255"/>
        </w:trPr>
        <w:tc>
          <w:tcPr>
            <w:tcW w:w="6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Daňové príjmy (100)</w:t>
            </w:r>
            <w:r w:rsidRPr="00386018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38601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Nedaňové príjmy (200)</w:t>
            </w:r>
            <w:r w:rsidRPr="00386018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0B31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Granty a transfery (300)</w:t>
            </w:r>
            <w:r w:rsidRPr="00386018">
              <w:rPr>
                <w:rFonts w:ascii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C2F" w:rsidRPr="00386018" w:rsidRDefault="00667C2F" w:rsidP="00667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386018" w:rsidRPr="00386018" w:rsidTr="000B3121">
        <w:trPr>
          <w:trHeight w:val="255"/>
        </w:trPr>
        <w:tc>
          <w:tcPr>
            <w:tcW w:w="6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38601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38601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38601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7C2F" w:rsidRPr="00386018" w:rsidRDefault="00667C2F" w:rsidP="0038601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7C2F" w:rsidRPr="00386018" w:rsidRDefault="00667C2F" w:rsidP="00667C2F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13433" w:rsidRPr="00386018" w:rsidRDefault="00A13433" w:rsidP="001D03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8601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A13433" w:rsidRPr="00386018" w:rsidRDefault="00A13433" w:rsidP="001D03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86018">
        <w:rPr>
          <w:rFonts w:ascii="Times New Roman" w:hAnsi="Times New Roman"/>
          <w:b/>
          <w:bCs/>
          <w:sz w:val="20"/>
          <w:szCs w:val="20"/>
          <w:lang w:eastAsia="sk-SK"/>
        </w:rPr>
        <w:t>Poznámka:</w:t>
      </w:r>
      <w:r w:rsidR="000B3121" w:rsidRPr="00386018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Pr="00386018">
        <w:rPr>
          <w:rFonts w:ascii="Times New Roman" w:hAnsi="Times New Roman"/>
          <w:bCs/>
          <w:sz w:val="20"/>
          <w:szCs w:val="20"/>
          <w:lang w:eastAsia="sk-SK"/>
        </w:rPr>
        <w:t>Ak sa vplyv týka viacerých subjektov verejnej správy, vypĺňa sa samostatná tabuľka za každý subjekt.</w:t>
      </w:r>
    </w:p>
    <w:p w:rsidR="00A13433" w:rsidRPr="00386018" w:rsidRDefault="00667C2F" w:rsidP="001D031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Cs/>
          <w:sz w:val="24"/>
          <w:szCs w:val="24"/>
          <w:lang w:eastAsia="sk-SK"/>
        </w:rPr>
        <w:t>T</w:t>
      </w:r>
      <w:r w:rsidR="00A13433" w:rsidRPr="00386018">
        <w:rPr>
          <w:rFonts w:ascii="Times New Roman" w:hAnsi="Times New Roman"/>
          <w:bCs/>
          <w:sz w:val="24"/>
          <w:szCs w:val="24"/>
          <w:lang w:eastAsia="sk-SK"/>
        </w:rPr>
        <w:t xml:space="preserve">abuľka č. 4 </w:t>
      </w:r>
    </w:p>
    <w:p w:rsidR="00A13433" w:rsidRPr="00386018" w:rsidRDefault="00A13433" w:rsidP="001D03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1475" w:tblpY="2"/>
        <w:tblW w:w="138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540"/>
        <w:gridCol w:w="1540"/>
        <w:gridCol w:w="1540"/>
        <w:gridCol w:w="1540"/>
        <w:gridCol w:w="1507"/>
      </w:tblGrid>
      <w:tr w:rsidR="00386018" w:rsidRPr="00386018" w:rsidTr="002437D2">
        <w:trPr>
          <w:cantSplit/>
          <w:trHeight w:val="255"/>
        </w:trPr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3433" w:rsidRPr="00386018" w:rsidRDefault="00A13433" w:rsidP="0024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MV SR 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24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13433" w:rsidRPr="00386018" w:rsidRDefault="00A13433" w:rsidP="0024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386018" w:rsidRPr="00386018" w:rsidTr="002437D2">
        <w:trPr>
          <w:cantSplit/>
          <w:trHeight w:val="255"/>
        </w:trPr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433" w:rsidRPr="00386018" w:rsidRDefault="00A13433" w:rsidP="002437D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433" w:rsidRPr="00386018" w:rsidRDefault="00A13433" w:rsidP="00047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202</w:t>
            </w:r>
            <w:r w:rsidR="0004764B">
              <w:rPr>
                <w:rFonts w:ascii="Times New Roman" w:hAnsi="Times New Roman"/>
                <w:b/>
                <w:bCs/>
                <w:lang w:eastAsia="sk-SK"/>
              </w:rPr>
              <w:t>7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33" w:rsidRPr="00386018" w:rsidRDefault="00A13433" w:rsidP="002437D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</w:tr>
      <w:tr w:rsidR="007163BA" w:rsidRPr="00386018" w:rsidTr="00BC0ABC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3BA" w:rsidRPr="00386018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3BA" w:rsidRPr="00386018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3BA" w:rsidRPr="00386018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3BA" w:rsidRPr="00386018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7163BA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7163BA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7163BA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Tovary a služby (630)</w:t>
            </w:r>
            <w:r w:rsidRPr="00386018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7163BA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Bežné transfery (640)</w:t>
            </w:r>
            <w:r w:rsidRPr="00386018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3BA" w:rsidRPr="00386018" w:rsidRDefault="007163BA" w:rsidP="007163B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BA" w:rsidRPr="00386018" w:rsidRDefault="007163BA" w:rsidP="007163B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C5AC8" w:rsidRPr="00386018" w:rsidTr="00386018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Z toho:</w:t>
            </w:r>
          </w:p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Transfery jednotlivcom a neziskovým právnickým osobám (642)</w:t>
            </w:r>
          </w:p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(642 029) – na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AF279F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AF279F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AF279F" w:rsidRDefault="0093218A" w:rsidP="0093218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AF279F" w:rsidRDefault="00AD0C9F" w:rsidP="00AD0C9F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62 955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DC5AC8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Splácanie úrokov a ostatné platby súvisiace s </w:t>
            </w:r>
            <w:r w:rsidRPr="00386018">
              <w:rPr>
                <w:rFonts w:ascii="Times New Roman" w:hAnsi="Times New Roman"/>
              </w:rPr>
              <w:t xml:space="preserve"> </w:t>
            </w:r>
            <w:r w:rsidRPr="00386018">
              <w:rPr>
                <w:rFonts w:ascii="Times New Roman" w:hAnsi="Times New Roman"/>
                <w:lang w:eastAsia="sk-SK"/>
              </w:rPr>
              <w:t>úverom, pôžičkou, návratnou finančnou výpomocou a finančným prenájmom (650)</w:t>
            </w:r>
            <w:r w:rsidRPr="00386018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DC5AC8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C5AC8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Obstarávanie kapitálových aktív (710)</w:t>
            </w:r>
            <w:r w:rsidRPr="00386018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C5AC8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 xml:space="preserve">  Kapitálové transfery (720)</w:t>
            </w:r>
            <w:r w:rsidRPr="00386018">
              <w:rPr>
                <w:rFonts w:ascii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C5AC8" w:rsidRPr="00386018" w:rsidTr="002437D2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C5AC8" w:rsidRPr="00386018" w:rsidRDefault="00DC5AC8" w:rsidP="00DC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DC5AC8" w:rsidRPr="00386018" w:rsidTr="00BC0ABC">
        <w:trPr>
          <w:trHeight w:val="25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86018">
              <w:rPr>
                <w:rFonts w:ascii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5AC8" w:rsidRPr="003F73B6" w:rsidRDefault="00AD0C9F" w:rsidP="00AD0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5AC8" w:rsidRPr="003F73B6" w:rsidRDefault="00AD0C9F" w:rsidP="00AD0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5AC8" w:rsidRPr="003F73B6" w:rsidRDefault="00AD0C9F" w:rsidP="00AD0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C5AC8" w:rsidRPr="003F73B6" w:rsidRDefault="00AD0C9F" w:rsidP="00AD0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cyan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62 955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C5AC8" w:rsidRPr="00386018" w:rsidRDefault="00DC5AC8" w:rsidP="00DC5AC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86018">
              <w:rPr>
                <w:rFonts w:ascii="Times New Roman" w:hAnsi="Times New Roman"/>
                <w:lang w:eastAsia="sk-SK"/>
              </w:rPr>
              <w:t> </w:t>
            </w:r>
          </w:p>
        </w:tc>
      </w:tr>
    </w:tbl>
    <w:p w:rsidR="00A13433" w:rsidRPr="00BC4BE3" w:rsidRDefault="00A13433" w:rsidP="00BC4BE3">
      <w:pPr>
        <w:tabs>
          <w:tab w:val="num" w:pos="1080"/>
        </w:tabs>
        <w:spacing w:after="0" w:line="240" w:lineRule="auto"/>
        <w:ind w:left="-900" w:firstLine="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86018">
        <w:rPr>
          <w:rFonts w:ascii="Times New Roman" w:hAnsi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sectPr w:rsidR="00A13433" w:rsidRPr="00BC4BE3" w:rsidSect="00FE28F7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E" w:rsidRDefault="00FB486E">
      <w:pPr>
        <w:spacing w:after="0" w:line="240" w:lineRule="auto"/>
      </w:pPr>
      <w:r>
        <w:separator/>
      </w:r>
    </w:p>
  </w:endnote>
  <w:endnote w:type="continuationSeparator" w:id="0">
    <w:p w:rsidR="00FB486E" w:rsidRDefault="00FB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B2" w:rsidRDefault="00E86B02">
    <w:pPr>
      <w:pStyle w:val="Pta"/>
      <w:jc w:val="right"/>
    </w:pPr>
    <w:r>
      <w:rPr>
        <w:noProof/>
      </w:rPr>
      <w:fldChar w:fldCharType="begin"/>
    </w:r>
    <w:r w:rsidR="003836B2">
      <w:rPr>
        <w:noProof/>
      </w:rPr>
      <w:instrText>PAGE   \* MERGEFORMAT</w:instrText>
    </w:r>
    <w:r>
      <w:rPr>
        <w:noProof/>
      </w:rPr>
      <w:fldChar w:fldCharType="separate"/>
    </w:r>
    <w:r w:rsidR="00CD28E1">
      <w:rPr>
        <w:noProof/>
      </w:rPr>
      <w:t>3</w:t>
    </w:r>
    <w:r>
      <w:rPr>
        <w:noProof/>
      </w:rPr>
      <w:fldChar w:fldCharType="end"/>
    </w:r>
  </w:p>
  <w:p w:rsidR="003836B2" w:rsidRDefault="003836B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F7" w:rsidRDefault="00E86B02">
    <w:pPr>
      <w:pStyle w:val="Pta"/>
      <w:jc w:val="right"/>
    </w:pPr>
    <w:r>
      <w:rPr>
        <w:noProof/>
      </w:rPr>
      <w:fldChar w:fldCharType="begin"/>
    </w:r>
    <w:r w:rsidR="00FE28F7">
      <w:rPr>
        <w:noProof/>
      </w:rPr>
      <w:instrText>PAGE   \* MERGEFORMAT</w:instrText>
    </w:r>
    <w:r>
      <w:rPr>
        <w:noProof/>
      </w:rPr>
      <w:fldChar w:fldCharType="separate"/>
    </w:r>
    <w:r w:rsidR="00CD28E1">
      <w:rPr>
        <w:noProof/>
      </w:rPr>
      <w:t>5</w:t>
    </w:r>
    <w:r>
      <w:rPr>
        <w:noProof/>
      </w:rPr>
      <w:fldChar w:fldCharType="end"/>
    </w:r>
  </w:p>
  <w:p w:rsidR="00FE28F7" w:rsidRDefault="00FE28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E" w:rsidRDefault="00FB486E">
      <w:pPr>
        <w:spacing w:after="0" w:line="240" w:lineRule="auto"/>
      </w:pPr>
      <w:r>
        <w:separator/>
      </w:r>
    </w:p>
  </w:footnote>
  <w:footnote w:type="continuationSeparator" w:id="0">
    <w:p w:rsidR="00FB486E" w:rsidRDefault="00FB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B2" w:rsidRPr="0024067A" w:rsidRDefault="00FE28F7" w:rsidP="00FE28F7">
    <w:pPr>
      <w:pStyle w:val="Hlavika"/>
      <w:tabs>
        <w:tab w:val="left" w:pos="5625"/>
        <w:tab w:val="right" w:pos="1400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3836B2" w:rsidRPr="0024067A">
      <w:rPr>
        <w:sz w:val="24"/>
        <w:szCs w:val="24"/>
      </w:rPr>
      <w:t>Príloha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F7" w:rsidRPr="0024067A" w:rsidRDefault="00FE28F7" w:rsidP="00FE28F7">
    <w:pPr>
      <w:pStyle w:val="Hlavika"/>
      <w:tabs>
        <w:tab w:val="left" w:pos="5625"/>
        <w:tab w:val="right" w:pos="14004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4067A"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99"/>
    <w:multiLevelType w:val="hybridMultilevel"/>
    <w:tmpl w:val="90D26018"/>
    <w:lvl w:ilvl="0" w:tplc="DC1A80D2">
      <w:start w:val="1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463"/>
    <w:multiLevelType w:val="hybridMultilevel"/>
    <w:tmpl w:val="9F1C8C2C"/>
    <w:lvl w:ilvl="0" w:tplc="D7C4F1EC">
      <w:start w:val="6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83E76"/>
    <w:multiLevelType w:val="hybridMultilevel"/>
    <w:tmpl w:val="D41016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17"/>
    <w:rsid w:val="0002361B"/>
    <w:rsid w:val="0004511F"/>
    <w:rsid w:val="0004764B"/>
    <w:rsid w:val="00047B97"/>
    <w:rsid w:val="00050269"/>
    <w:rsid w:val="00052807"/>
    <w:rsid w:val="000531EB"/>
    <w:rsid w:val="00067542"/>
    <w:rsid w:val="000679DF"/>
    <w:rsid w:val="000746D9"/>
    <w:rsid w:val="000859B2"/>
    <w:rsid w:val="0009095D"/>
    <w:rsid w:val="000A15AE"/>
    <w:rsid w:val="000B3121"/>
    <w:rsid w:val="000C119C"/>
    <w:rsid w:val="000C2195"/>
    <w:rsid w:val="000C2535"/>
    <w:rsid w:val="000C2ED9"/>
    <w:rsid w:val="000C44A8"/>
    <w:rsid w:val="0010221A"/>
    <w:rsid w:val="00102B02"/>
    <w:rsid w:val="00136A03"/>
    <w:rsid w:val="00152143"/>
    <w:rsid w:val="00152708"/>
    <w:rsid w:val="00153E91"/>
    <w:rsid w:val="0015671D"/>
    <w:rsid w:val="001672B8"/>
    <w:rsid w:val="00171055"/>
    <w:rsid w:val="00171D12"/>
    <w:rsid w:val="00183BE5"/>
    <w:rsid w:val="00191A7A"/>
    <w:rsid w:val="0019340F"/>
    <w:rsid w:val="00194813"/>
    <w:rsid w:val="001A7A23"/>
    <w:rsid w:val="001B0C16"/>
    <w:rsid w:val="001B3256"/>
    <w:rsid w:val="001B4630"/>
    <w:rsid w:val="001C0C9B"/>
    <w:rsid w:val="001D0317"/>
    <w:rsid w:val="001E4CE5"/>
    <w:rsid w:val="001F5D8D"/>
    <w:rsid w:val="001F7812"/>
    <w:rsid w:val="00204CF2"/>
    <w:rsid w:val="00214C05"/>
    <w:rsid w:val="0021764D"/>
    <w:rsid w:val="00217A95"/>
    <w:rsid w:val="002204BE"/>
    <w:rsid w:val="002219B9"/>
    <w:rsid w:val="00225CC5"/>
    <w:rsid w:val="00230C4A"/>
    <w:rsid w:val="00234029"/>
    <w:rsid w:val="0024067A"/>
    <w:rsid w:val="002437D2"/>
    <w:rsid w:val="002443FD"/>
    <w:rsid w:val="00250CE7"/>
    <w:rsid w:val="0025784E"/>
    <w:rsid w:val="00272D82"/>
    <w:rsid w:val="00290A03"/>
    <w:rsid w:val="002A5B44"/>
    <w:rsid w:val="002B760A"/>
    <w:rsid w:val="002D1A2A"/>
    <w:rsid w:val="002E2E3E"/>
    <w:rsid w:val="002E3FD2"/>
    <w:rsid w:val="002E4D35"/>
    <w:rsid w:val="002F3FC0"/>
    <w:rsid w:val="002F60E8"/>
    <w:rsid w:val="003005C1"/>
    <w:rsid w:val="0030741F"/>
    <w:rsid w:val="003161C9"/>
    <w:rsid w:val="00322477"/>
    <w:rsid w:val="003304BC"/>
    <w:rsid w:val="0033581C"/>
    <w:rsid w:val="00371DA4"/>
    <w:rsid w:val="003836B2"/>
    <w:rsid w:val="00386018"/>
    <w:rsid w:val="003A14DC"/>
    <w:rsid w:val="003A78B9"/>
    <w:rsid w:val="003B1910"/>
    <w:rsid w:val="003E121C"/>
    <w:rsid w:val="003F0A3C"/>
    <w:rsid w:val="003F5587"/>
    <w:rsid w:val="003F73B6"/>
    <w:rsid w:val="00411FF4"/>
    <w:rsid w:val="0043031A"/>
    <w:rsid w:val="00453562"/>
    <w:rsid w:val="00454386"/>
    <w:rsid w:val="004637B8"/>
    <w:rsid w:val="00463B28"/>
    <w:rsid w:val="00491FC8"/>
    <w:rsid w:val="004944D6"/>
    <w:rsid w:val="004A233F"/>
    <w:rsid w:val="004A36D2"/>
    <w:rsid w:val="004B2D57"/>
    <w:rsid w:val="004C5CA0"/>
    <w:rsid w:val="004C6DBA"/>
    <w:rsid w:val="004D0205"/>
    <w:rsid w:val="004D1E25"/>
    <w:rsid w:val="004E322C"/>
    <w:rsid w:val="004F1600"/>
    <w:rsid w:val="004F1BE5"/>
    <w:rsid w:val="004F253E"/>
    <w:rsid w:val="004F39DD"/>
    <w:rsid w:val="004F4127"/>
    <w:rsid w:val="004F6B59"/>
    <w:rsid w:val="00522956"/>
    <w:rsid w:val="005258A1"/>
    <w:rsid w:val="00543111"/>
    <w:rsid w:val="005451EF"/>
    <w:rsid w:val="00551F5D"/>
    <w:rsid w:val="00556DDE"/>
    <w:rsid w:val="00567B93"/>
    <w:rsid w:val="0058468B"/>
    <w:rsid w:val="0059402B"/>
    <w:rsid w:val="005B28E0"/>
    <w:rsid w:val="005B64A7"/>
    <w:rsid w:val="005B6BDF"/>
    <w:rsid w:val="005D1707"/>
    <w:rsid w:val="005D1B41"/>
    <w:rsid w:val="005F2EBE"/>
    <w:rsid w:val="005F6285"/>
    <w:rsid w:val="005F6B9A"/>
    <w:rsid w:val="00606187"/>
    <w:rsid w:val="00621DCB"/>
    <w:rsid w:val="00625D30"/>
    <w:rsid w:val="006325B3"/>
    <w:rsid w:val="00635055"/>
    <w:rsid w:val="0063759F"/>
    <w:rsid w:val="006421CC"/>
    <w:rsid w:val="00643250"/>
    <w:rsid w:val="006437FD"/>
    <w:rsid w:val="00647759"/>
    <w:rsid w:val="00655F31"/>
    <w:rsid w:val="006673FE"/>
    <w:rsid w:val="00667C2F"/>
    <w:rsid w:val="0067676D"/>
    <w:rsid w:val="006936B3"/>
    <w:rsid w:val="006A17D5"/>
    <w:rsid w:val="006A458B"/>
    <w:rsid w:val="006A7159"/>
    <w:rsid w:val="006B2EB3"/>
    <w:rsid w:val="006B643B"/>
    <w:rsid w:val="006C3B49"/>
    <w:rsid w:val="006C52C5"/>
    <w:rsid w:val="006D2124"/>
    <w:rsid w:val="006D2415"/>
    <w:rsid w:val="006E1920"/>
    <w:rsid w:val="006E2C51"/>
    <w:rsid w:val="006E2E35"/>
    <w:rsid w:val="006F6A7E"/>
    <w:rsid w:val="0070052E"/>
    <w:rsid w:val="00703860"/>
    <w:rsid w:val="0070476F"/>
    <w:rsid w:val="0071077C"/>
    <w:rsid w:val="007163BA"/>
    <w:rsid w:val="00717BED"/>
    <w:rsid w:val="00720BB0"/>
    <w:rsid w:val="0073640E"/>
    <w:rsid w:val="007406B6"/>
    <w:rsid w:val="00744139"/>
    <w:rsid w:val="00745BE3"/>
    <w:rsid w:val="00751AB1"/>
    <w:rsid w:val="007536CB"/>
    <w:rsid w:val="007542F6"/>
    <w:rsid w:val="00757948"/>
    <w:rsid w:val="00763FB1"/>
    <w:rsid w:val="00765226"/>
    <w:rsid w:val="00780ECE"/>
    <w:rsid w:val="0078790E"/>
    <w:rsid w:val="007B233D"/>
    <w:rsid w:val="007B6207"/>
    <w:rsid w:val="007C16AB"/>
    <w:rsid w:val="007C2CAB"/>
    <w:rsid w:val="007E25FD"/>
    <w:rsid w:val="007E6304"/>
    <w:rsid w:val="007F0D8C"/>
    <w:rsid w:val="007F6852"/>
    <w:rsid w:val="00812832"/>
    <w:rsid w:val="00815B0B"/>
    <w:rsid w:val="008333C4"/>
    <w:rsid w:val="00856359"/>
    <w:rsid w:val="00863D7A"/>
    <w:rsid w:val="00876C78"/>
    <w:rsid w:val="00894165"/>
    <w:rsid w:val="00897DB7"/>
    <w:rsid w:val="008C0747"/>
    <w:rsid w:val="008D3058"/>
    <w:rsid w:val="008F1B12"/>
    <w:rsid w:val="008F1B42"/>
    <w:rsid w:val="008F6F14"/>
    <w:rsid w:val="00901504"/>
    <w:rsid w:val="009127DA"/>
    <w:rsid w:val="009305EE"/>
    <w:rsid w:val="0093218A"/>
    <w:rsid w:val="00932F33"/>
    <w:rsid w:val="00935873"/>
    <w:rsid w:val="0096679C"/>
    <w:rsid w:val="0097577D"/>
    <w:rsid w:val="00981FCB"/>
    <w:rsid w:val="00983250"/>
    <w:rsid w:val="00984414"/>
    <w:rsid w:val="009946FB"/>
    <w:rsid w:val="009A530C"/>
    <w:rsid w:val="009B45B6"/>
    <w:rsid w:val="009C17FB"/>
    <w:rsid w:val="009D1436"/>
    <w:rsid w:val="009D40B9"/>
    <w:rsid w:val="009D665D"/>
    <w:rsid w:val="009D6923"/>
    <w:rsid w:val="009D7B04"/>
    <w:rsid w:val="009E3459"/>
    <w:rsid w:val="009F5EAF"/>
    <w:rsid w:val="00A13433"/>
    <w:rsid w:val="00A16229"/>
    <w:rsid w:val="00A20C93"/>
    <w:rsid w:val="00A23A1F"/>
    <w:rsid w:val="00A23CFD"/>
    <w:rsid w:val="00A33EBA"/>
    <w:rsid w:val="00A37CCE"/>
    <w:rsid w:val="00A42299"/>
    <w:rsid w:val="00A42C48"/>
    <w:rsid w:val="00A633B2"/>
    <w:rsid w:val="00A669B4"/>
    <w:rsid w:val="00A67935"/>
    <w:rsid w:val="00A75E54"/>
    <w:rsid w:val="00A87EAD"/>
    <w:rsid w:val="00A90973"/>
    <w:rsid w:val="00A970BC"/>
    <w:rsid w:val="00AA19C4"/>
    <w:rsid w:val="00AA5A44"/>
    <w:rsid w:val="00AB1E04"/>
    <w:rsid w:val="00AB450A"/>
    <w:rsid w:val="00AC0110"/>
    <w:rsid w:val="00AC0604"/>
    <w:rsid w:val="00AC6C53"/>
    <w:rsid w:val="00AC7060"/>
    <w:rsid w:val="00AC7FF4"/>
    <w:rsid w:val="00AD0C9F"/>
    <w:rsid w:val="00AD4435"/>
    <w:rsid w:val="00AE0E38"/>
    <w:rsid w:val="00AF279F"/>
    <w:rsid w:val="00AF2DB4"/>
    <w:rsid w:val="00B1106A"/>
    <w:rsid w:val="00B12AA0"/>
    <w:rsid w:val="00B20089"/>
    <w:rsid w:val="00B4292A"/>
    <w:rsid w:val="00B540FB"/>
    <w:rsid w:val="00B54AC8"/>
    <w:rsid w:val="00B56429"/>
    <w:rsid w:val="00B60830"/>
    <w:rsid w:val="00B81FD3"/>
    <w:rsid w:val="00B83AF7"/>
    <w:rsid w:val="00B85318"/>
    <w:rsid w:val="00BA286A"/>
    <w:rsid w:val="00BA3E43"/>
    <w:rsid w:val="00BB2A37"/>
    <w:rsid w:val="00BB4679"/>
    <w:rsid w:val="00BC00DD"/>
    <w:rsid w:val="00BC0ABC"/>
    <w:rsid w:val="00BC4BE3"/>
    <w:rsid w:val="00BF6CFA"/>
    <w:rsid w:val="00C23BAE"/>
    <w:rsid w:val="00C351DD"/>
    <w:rsid w:val="00C46E7D"/>
    <w:rsid w:val="00C478F0"/>
    <w:rsid w:val="00C579EC"/>
    <w:rsid w:val="00C777C2"/>
    <w:rsid w:val="00C77C75"/>
    <w:rsid w:val="00C8385A"/>
    <w:rsid w:val="00C83FAC"/>
    <w:rsid w:val="00C87C40"/>
    <w:rsid w:val="00C94B30"/>
    <w:rsid w:val="00C96F4F"/>
    <w:rsid w:val="00CA40C2"/>
    <w:rsid w:val="00CB1F1C"/>
    <w:rsid w:val="00CD28E1"/>
    <w:rsid w:val="00CD4F5D"/>
    <w:rsid w:val="00CE25B0"/>
    <w:rsid w:val="00CE2BDF"/>
    <w:rsid w:val="00D06407"/>
    <w:rsid w:val="00D2230D"/>
    <w:rsid w:val="00D301ED"/>
    <w:rsid w:val="00D32C77"/>
    <w:rsid w:val="00D32EF1"/>
    <w:rsid w:val="00D36841"/>
    <w:rsid w:val="00D438C2"/>
    <w:rsid w:val="00D47C57"/>
    <w:rsid w:val="00D51180"/>
    <w:rsid w:val="00D61295"/>
    <w:rsid w:val="00D61D6B"/>
    <w:rsid w:val="00D72DDC"/>
    <w:rsid w:val="00D81135"/>
    <w:rsid w:val="00D9638B"/>
    <w:rsid w:val="00DA40FA"/>
    <w:rsid w:val="00DB7078"/>
    <w:rsid w:val="00DC5AC8"/>
    <w:rsid w:val="00DD0591"/>
    <w:rsid w:val="00DD0A71"/>
    <w:rsid w:val="00DD2791"/>
    <w:rsid w:val="00DD51D1"/>
    <w:rsid w:val="00DE1A5E"/>
    <w:rsid w:val="00E249E5"/>
    <w:rsid w:val="00E351D3"/>
    <w:rsid w:val="00E53980"/>
    <w:rsid w:val="00E560E6"/>
    <w:rsid w:val="00E65A42"/>
    <w:rsid w:val="00E670B8"/>
    <w:rsid w:val="00E722C7"/>
    <w:rsid w:val="00E77E08"/>
    <w:rsid w:val="00E86B02"/>
    <w:rsid w:val="00E907BB"/>
    <w:rsid w:val="00E9193B"/>
    <w:rsid w:val="00EB0E00"/>
    <w:rsid w:val="00EB59C8"/>
    <w:rsid w:val="00EC0130"/>
    <w:rsid w:val="00EC5693"/>
    <w:rsid w:val="00ED3C31"/>
    <w:rsid w:val="00ED7373"/>
    <w:rsid w:val="00EE0012"/>
    <w:rsid w:val="00EE0E79"/>
    <w:rsid w:val="00EF7067"/>
    <w:rsid w:val="00EF783A"/>
    <w:rsid w:val="00F012C6"/>
    <w:rsid w:val="00F053BC"/>
    <w:rsid w:val="00F12B39"/>
    <w:rsid w:val="00F22141"/>
    <w:rsid w:val="00F22D0F"/>
    <w:rsid w:val="00F27BB3"/>
    <w:rsid w:val="00F315BD"/>
    <w:rsid w:val="00F34E26"/>
    <w:rsid w:val="00F424EC"/>
    <w:rsid w:val="00F736C1"/>
    <w:rsid w:val="00FA37F7"/>
    <w:rsid w:val="00FB486E"/>
    <w:rsid w:val="00FB4ECF"/>
    <w:rsid w:val="00FC1B79"/>
    <w:rsid w:val="00FD40B1"/>
    <w:rsid w:val="00FE06E0"/>
    <w:rsid w:val="00FE28F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1AD40C-32B2-4896-85CF-0A3CB85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317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D0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qFormat/>
    <w:locked/>
    <w:rsid w:val="001D0317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D0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D0317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1D0317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1D031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3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317"/>
    <w:rPr>
      <w:rFonts w:ascii="Calibri" w:eastAsia="Times New Roman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D0317"/>
    <w:pPr>
      <w:ind w:left="7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D03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D0317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221A"/>
    <w:rPr>
      <w:rFonts w:ascii="Segoe UI" w:hAnsi="Segoe UI" w:cs="Segoe UI"/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17B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17BED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1">
    <w:name w:val="Footnote Text Char1"/>
    <w:basedOn w:val="Predvolenpsmoodseku"/>
    <w:uiPriority w:val="99"/>
    <w:semiHidden/>
    <w:rsid w:val="00695694"/>
    <w:rPr>
      <w:sz w:val="20"/>
      <w:szCs w:val="20"/>
      <w:lang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17BED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717BED"/>
    <w:rPr>
      <w:rFonts w:cs="Times New Roman"/>
      <w:color w:val="0563C1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717BED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F012C6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012C6"/>
    <w:rPr>
      <w:rFonts w:ascii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70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B1910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4F253E"/>
    <w:pPr>
      <w:spacing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table" w:styleId="Mriekatabuky">
    <w:name w:val="Table Grid"/>
    <w:basedOn w:val="Normlnatabuka"/>
    <w:uiPriority w:val="59"/>
    <w:locked/>
    <w:rsid w:val="004F253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7E25FD"/>
  </w:style>
  <w:style w:type="character" w:customStyle="1" w:styleId="highlight">
    <w:name w:val="highlight"/>
    <w:basedOn w:val="Predvolenpsmoodseku"/>
    <w:rsid w:val="0023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7781-C358-4FA3-AB24-4100A9C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Analýza vplyvov na rozpočet verejnej správy,</vt:lpstr>
    </vt:vector>
  </TitlesOfParts>
  <Company>SOPSR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vplyvov na rozpočet verejnej správy,</dc:title>
  <dc:creator>Ľudmila Činovská</dc:creator>
  <cp:lastModifiedBy>Lojková Silvia</cp:lastModifiedBy>
  <cp:revision>2</cp:revision>
  <cp:lastPrinted>2023-09-25T19:27:00Z</cp:lastPrinted>
  <dcterms:created xsi:type="dcterms:W3CDTF">2023-10-05T10:03:00Z</dcterms:created>
  <dcterms:modified xsi:type="dcterms:W3CDTF">2023-10-05T10:03:00Z</dcterms:modified>
</cp:coreProperties>
</file>