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631D8443" w:rsidR="00054C41" w:rsidRPr="00FA764A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64A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D64B8A" w:rsidRPr="00FA7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B8A" w:rsidRPr="00FA764A">
        <w:rPr>
          <w:rFonts w:ascii="Times New Roman" w:eastAsia="Calibri" w:hAnsi="Times New Roman" w:cs="Times New Roman"/>
          <w:sz w:val="24"/>
          <w:szCs w:val="24"/>
        </w:rPr>
        <w:t>Návrh zákona, ktorým sa mení a dopĺňa zákon č. 89/2016 o výrobe, označovaní a predaji tabakových výrobkov a súvisiacich výrobkov a o zmene a doplnení niektorých zákonov v znení neskorších predpisov</w:t>
      </w:r>
    </w:p>
    <w:p w14:paraId="77F96BF6" w14:textId="6E2A2254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64A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D64B8A" w:rsidRPr="00FA7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B8A" w:rsidRPr="00FA764A">
        <w:rPr>
          <w:rFonts w:ascii="Times New Roman" w:eastAsia="Calibri" w:hAnsi="Times New Roman" w:cs="Times New Roman"/>
          <w:sz w:val="24"/>
          <w:szCs w:val="24"/>
        </w:rPr>
        <w:t>Ministerstvo zdravotníctva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footerReference w:type="default" r:id="rId10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 poplatky, ktorých cieľom je znižovať negatívne externality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4E637A75" w14:textId="41878E88" w:rsidR="005D6746" w:rsidRPr="00D24F3D" w:rsidRDefault="00792820" w:rsidP="0079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 xml:space="preserve">Konzultácie prebiehali v dňoch 24.7. – 26.7.2023. Dňa 24.7.2023 prebehlo rokovanie s podnikateľskými subjektami, na ktorom boli tieto subjekty požiadané o súčinnosť pri poskytnutí údajov o objemoch predaja tabakových výrobkov, na ktoré sa doterajšie regulácie nevzťahovali. Informácie o údajoch boli ÚVZ SR doručené e-mailom dňa 26.7.2023. Oslovenými subjektami boli zástupcovia </w:t>
      </w:r>
      <w:r w:rsidRPr="00D24F3D">
        <w:rPr>
          <w:rFonts w:ascii="Times New Roman" w:hAnsi="Times New Roman" w:cs="Times New Roman"/>
          <w:sz w:val="24"/>
          <w:szCs w:val="24"/>
        </w:rPr>
        <w:t xml:space="preserve">Republikovej únie zamestnávateľov </w:t>
      </w:r>
      <w:r w:rsidR="005D6746" w:rsidRPr="00D24F3D">
        <w:rPr>
          <w:rFonts w:ascii="Times New Roman" w:hAnsi="Times New Roman" w:cs="Times New Roman"/>
          <w:sz w:val="24"/>
          <w:szCs w:val="24"/>
        </w:rPr>
        <w:t>(Philip Morris Slovakia s.r.o. a British American Tobacco). Hlavným bodom stretnutia bolo vyžiadanie údajov týkajúcich sa objemov predaja zahrievaných  tabakových výrobkov.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mikro,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66C369DC" w:rsidR="00054C41" w:rsidRPr="00D24F3D" w:rsidRDefault="0009080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24F3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24F3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DE2808" w:rsidRPr="00D24F3D">
                <w:rPr>
                  <w:rFonts w:ascii="Segoe UI Symbol" w:eastAsia="MS Gothic" w:hAnsi="Segoe UI Symbol" w:cs="Segoe UI Symbol"/>
                  <w:lang w:eastAsia="sk-SK"/>
                </w:rPr>
                <w:t>☒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25753B64" w:rsidR="00054C41" w:rsidRDefault="008E069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F3D">
        <w:rPr>
          <w:rFonts w:ascii="Times New Roman" w:eastAsia="Calibri" w:hAnsi="Times New Roman" w:cs="Times New Roman"/>
          <w:i/>
          <w:sz w:val="24"/>
          <w:szCs w:val="24"/>
        </w:rPr>
        <w:t>Implementáciou tohto opatrenia sa znižuje konkurencieschopnosť podnikateľského prostredia, nakoľko sa zužuje možnosť podnikania.</w:t>
      </w:r>
    </w:p>
    <w:p w14:paraId="0DC8543D" w14:textId="77777777" w:rsidR="008E069B" w:rsidRPr="00D8247C" w:rsidRDefault="008E069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1A272292" w:rsidR="00054C41" w:rsidRPr="00D24F3D" w:rsidRDefault="00090807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  <w:highlight w:val="yellow"/>
          </w:rPr>
          <w:id w:val="-1545903528"/>
        </w:sdtPr>
        <w:sdtEndPr>
          <w:rPr>
            <w:highlight w:val="none"/>
          </w:rPr>
        </w:sdtEndPr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id w:val="825715010"/>
            </w:sdtPr>
            <w:sdtEndPr>
              <w:rPr>
                <w:highlight w:val="none"/>
              </w:rPr>
            </w:sdtEndPr>
            <w:sdtContent>
              <w:r w:rsidR="00054C41" w:rsidRPr="00D24F3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D24F3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DE2808" w:rsidRPr="00D24F3D">
                <w:rPr>
                  <w:rFonts w:ascii="Segoe UI Symbol" w:eastAsia="MS Gothic" w:hAnsi="Segoe UI Symbol" w:cs="Segoe UI Symbol"/>
                  <w:lang w:eastAsia="sk-SK"/>
                </w:rPr>
                <w:t>☒</w:t>
              </w:r>
            </w:sdtContent>
          </w:sdt>
        </w:sdtContent>
      </w:sdt>
      <w:r w:rsidR="00054C41" w:rsidRPr="00D24F3D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174BCB5C" w14:textId="05648AA2" w:rsidR="008E069B" w:rsidRPr="00D24F3D" w:rsidRDefault="008E069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F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Implementáciou tohto opatrenia sa znižuje produktivita, nakoľko sa zavádza opatrenie, ktoré zvyšuje záťaž na podnikateľské subjekty.</w:t>
      </w:r>
    </w:p>
    <w:p w14:paraId="47ABE7B5" w14:textId="77777777" w:rsidR="00054C41" w:rsidRPr="00D24F3D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E15D07" w14:textId="77777777" w:rsidR="0042317B" w:rsidRPr="00D24F3D" w:rsidRDefault="00054C41" w:rsidP="004231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F3D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319055A0" w14:textId="77777777" w:rsidR="0042317B" w:rsidRPr="00D24F3D" w:rsidRDefault="0042317B" w:rsidP="004231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0F6C0" w14:textId="4E35488A" w:rsidR="0042317B" w:rsidRPr="00D24F3D" w:rsidRDefault="0042317B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 xml:space="preserve">Materiál má negatívny vplyv na podnikateľské prostredie. Zákazom predaja zahrievaných tabakových výrobkov, ktoré </w:t>
      </w:r>
      <w:r w:rsidR="00C36A40" w:rsidRPr="00D24F3D">
        <w:rPr>
          <w:rFonts w:ascii="Times New Roman" w:eastAsia="Calibri" w:hAnsi="Times New Roman" w:cs="Times New Roman"/>
          <w:sz w:val="24"/>
          <w:szCs w:val="24"/>
        </w:rPr>
        <w:t>obsahujú charakteristickú arómu</w:t>
      </w:r>
      <w:r w:rsidRPr="00D24F3D">
        <w:rPr>
          <w:rFonts w:ascii="Times New Roman" w:eastAsia="Calibri" w:hAnsi="Times New Roman" w:cs="Times New Roman"/>
          <w:sz w:val="24"/>
          <w:szCs w:val="24"/>
        </w:rPr>
        <w:t xml:space="preserve"> vznikne negatívny vplyv na podnikateľské prostredie.</w:t>
      </w:r>
    </w:p>
    <w:p w14:paraId="55FE3242" w14:textId="5F7A2AE6" w:rsidR="0042317B" w:rsidRPr="00D24F3D" w:rsidRDefault="0042317B" w:rsidP="004231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 xml:space="preserve">Negatívny vplyv vzniká: </w:t>
      </w:r>
    </w:p>
    <w:p w14:paraId="13DAF11C" w14:textId="77777777" w:rsidR="0042317B" w:rsidRPr="00D24F3D" w:rsidRDefault="0042317B" w:rsidP="004231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>Poklesom predaja kde až 70% sa nepretransformuje na iné produkty, čo zasiahne celý výrobný a predajný reťazec.</w:t>
      </w:r>
    </w:p>
    <w:p w14:paraId="51607E8F" w14:textId="526C4B33" w:rsidR="0042317B" w:rsidRPr="00D24F3D" w:rsidRDefault="00090807" w:rsidP="00423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2317B" w:rsidRPr="00D24F3D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https://www.aktuality.sk/clanok/QFYN0HB/zakaz-ovocnych-prichuti-moze-znizit-pouzivanie-e-cigariet-tinedzermi/</w:t>
        </w:r>
      </w:hyperlink>
      <w:r w:rsidR="0042317B" w:rsidRPr="00D24F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C8E3D4" w14:textId="1DE29716" w:rsidR="0042317B" w:rsidRPr="00D24F3D" w:rsidRDefault="0042317B" w:rsidP="00423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>Taktiež negatívny vplyv vznikne v nutnosti zvýšených nákladov na udržanie si 30% daného trhu, ktorý bude potrebné pretransformovať na alternatívne produkty.</w:t>
      </w:r>
    </w:p>
    <w:p w14:paraId="19D8F916" w14:textId="77777777" w:rsidR="0042317B" w:rsidRPr="00D24F3D" w:rsidRDefault="0042317B" w:rsidP="00423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>Vzniknú náklady, ako nové tvorby portfólií, náklady na zmeny vo výrobe, predaji, školení zamestnancov, nových marketingových aktivitách.</w:t>
      </w:r>
    </w:p>
    <w:p w14:paraId="13DB7FFE" w14:textId="33D875E5" w:rsidR="0042317B" w:rsidRDefault="0042317B" w:rsidP="00423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3D">
        <w:rPr>
          <w:rFonts w:ascii="Times New Roman" w:eastAsia="Calibri" w:hAnsi="Times New Roman" w:cs="Times New Roman"/>
          <w:sz w:val="24"/>
          <w:szCs w:val="24"/>
        </w:rPr>
        <w:t>Taktiež nemožno opomenúť negatívny vplyv, ktorý vznikne pri likvidácií nepredaných zásob, výrobných a predajných zariadení.</w:t>
      </w:r>
    </w:p>
    <w:p w14:paraId="4BB5DC50" w14:textId="54C07F84" w:rsidR="00FB4A7F" w:rsidRDefault="00FB4A7F" w:rsidP="00423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Kvantifikácie odhadovaných nákladov neboli robené, a to na základe konzultácií s Ministerstvom hospodárstva SR, kde sa odkonzultovali dané vplyvy a odhady.</w:t>
      </w:r>
    </w:p>
    <w:sectPr w:rsidR="00F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45B5" w14:textId="77777777" w:rsidR="00090807" w:rsidRDefault="00090807" w:rsidP="00054C41">
      <w:pPr>
        <w:spacing w:after="0" w:line="240" w:lineRule="auto"/>
      </w:pPr>
      <w:r>
        <w:separator/>
      </w:r>
    </w:p>
  </w:endnote>
  <w:endnote w:type="continuationSeparator" w:id="0">
    <w:p w14:paraId="7EA79B38" w14:textId="77777777" w:rsidR="00090807" w:rsidRDefault="00090807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3640116B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C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FD94" w14:textId="77777777" w:rsidR="00090807" w:rsidRDefault="00090807" w:rsidP="00054C41">
      <w:pPr>
        <w:spacing w:after="0" w:line="240" w:lineRule="auto"/>
      </w:pPr>
      <w:r>
        <w:separator/>
      </w:r>
    </w:p>
  </w:footnote>
  <w:footnote w:type="continuationSeparator" w:id="0">
    <w:p w14:paraId="556F39CC" w14:textId="77777777" w:rsidR="00090807" w:rsidRDefault="00090807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62DC0"/>
    <w:rsid w:val="00090807"/>
    <w:rsid w:val="000C5E9A"/>
    <w:rsid w:val="00142154"/>
    <w:rsid w:val="00195FAF"/>
    <w:rsid w:val="001B4C03"/>
    <w:rsid w:val="001D1083"/>
    <w:rsid w:val="001D3FA0"/>
    <w:rsid w:val="001E53CB"/>
    <w:rsid w:val="00225A83"/>
    <w:rsid w:val="0024411D"/>
    <w:rsid w:val="00270EA5"/>
    <w:rsid w:val="00327671"/>
    <w:rsid w:val="00332C30"/>
    <w:rsid w:val="00340CFD"/>
    <w:rsid w:val="0038255E"/>
    <w:rsid w:val="00391648"/>
    <w:rsid w:val="0039304E"/>
    <w:rsid w:val="003E58B8"/>
    <w:rsid w:val="003F06D7"/>
    <w:rsid w:val="0042317B"/>
    <w:rsid w:val="00445638"/>
    <w:rsid w:val="00446432"/>
    <w:rsid w:val="004D20CB"/>
    <w:rsid w:val="005D6746"/>
    <w:rsid w:val="007259CB"/>
    <w:rsid w:val="0077106D"/>
    <w:rsid w:val="00792820"/>
    <w:rsid w:val="007B40FB"/>
    <w:rsid w:val="007E24B2"/>
    <w:rsid w:val="007F325A"/>
    <w:rsid w:val="008401CB"/>
    <w:rsid w:val="00856CEC"/>
    <w:rsid w:val="008634E9"/>
    <w:rsid w:val="008801B5"/>
    <w:rsid w:val="008B333A"/>
    <w:rsid w:val="008B4AA1"/>
    <w:rsid w:val="008C1C71"/>
    <w:rsid w:val="008E069B"/>
    <w:rsid w:val="00923C0C"/>
    <w:rsid w:val="009A4D56"/>
    <w:rsid w:val="009E09F7"/>
    <w:rsid w:val="00A000DA"/>
    <w:rsid w:val="00A123BA"/>
    <w:rsid w:val="00A1736E"/>
    <w:rsid w:val="00A928A8"/>
    <w:rsid w:val="00B66E33"/>
    <w:rsid w:val="00BD0EF7"/>
    <w:rsid w:val="00C21399"/>
    <w:rsid w:val="00C36A40"/>
    <w:rsid w:val="00C560C4"/>
    <w:rsid w:val="00C6748F"/>
    <w:rsid w:val="00C84881"/>
    <w:rsid w:val="00C855C6"/>
    <w:rsid w:val="00D005F2"/>
    <w:rsid w:val="00D24F3D"/>
    <w:rsid w:val="00D631FA"/>
    <w:rsid w:val="00D64B8A"/>
    <w:rsid w:val="00D82356"/>
    <w:rsid w:val="00D84EEE"/>
    <w:rsid w:val="00D90A61"/>
    <w:rsid w:val="00DE2808"/>
    <w:rsid w:val="00DF02CE"/>
    <w:rsid w:val="00E030DA"/>
    <w:rsid w:val="00E843D2"/>
    <w:rsid w:val="00E97703"/>
    <w:rsid w:val="00EB2BEC"/>
    <w:rsid w:val="00EC0704"/>
    <w:rsid w:val="00ED6B5D"/>
    <w:rsid w:val="00EE4C99"/>
    <w:rsid w:val="00F40554"/>
    <w:rsid w:val="00F74FC9"/>
    <w:rsid w:val="00FA764A"/>
    <w:rsid w:val="00FB4A7F"/>
    <w:rsid w:val="00FD4F2A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317B"/>
    <w:rPr>
      <w:color w:val="0563C1" w:themeColor="hyperlink"/>
      <w:u w:val="single"/>
    </w:rPr>
  </w:style>
  <w:style w:type="paragraph" w:customStyle="1" w:styleId="atext">
    <w:name w:val="a_text"/>
    <w:basedOn w:val="Normlny"/>
    <w:link w:val="atextChar"/>
    <w:qFormat/>
    <w:rsid w:val="0079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textChar">
    <w:name w:val="a_text Char"/>
    <w:link w:val="atext"/>
    <w:rsid w:val="0079282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tuality.sk/clanok/QFYN0HB/zakaz-ovocnych-prichuti-moze-znizit-pouzivanie-e-cigariet-tinedzermi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984EE8-2A7F-490C-B5BE-0082B91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Kisová Gabriela</cp:lastModifiedBy>
  <cp:revision>2</cp:revision>
  <dcterms:created xsi:type="dcterms:W3CDTF">2023-09-22T11:02:00Z</dcterms:created>
  <dcterms:modified xsi:type="dcterms:W3CDTF">2023-09-22T11:02:00Z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