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B25BC" w:rsidRDefault="005B25BC">
      <w:pPr>
        <w:jc w:val="center"/>
        <w:divId w:val="966549316"/>
        <w:rPr>
          <w:rFonts w:ascii="Times" w:hAnsi="Times" w:cs="Times"/>
          <w:sz w:val="25"/>
          <w:szCs w:val="25"/>
        </w:rPr>
      </w:pPr>
      <w:r>
        <w:rPr>
          <w:rFonts w:ascii="Times" w:hAnsi="Times" w:cs="Times"/>
          <w:sz w:val="25"/>
          <w:szCs w:val="25"/>
        </w:rPr>
        <w:t>Nariadenie vlády Slovenskej republiky, ktorým sa ustanovujú hodnota investície a koncesie a základné náležitosti štúdie uskutočniteľnosti investície a štúdie uskutočniteľnosti koncesie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B25BC" w:rsidP="005B25BC">
            <w:pPr>
              <w:spacing w:after="0" w:line="240" w:lineRule="auto"/>
              <w:rPr>
                <w:rFonts w:ascii="Times New Roman" w:hAnsi="Times New Roman" w:cs="Calibri"/>
                <w:sz w:val="20"/>
                <w:szCs w:val="20"/>
              </w:rPr>
            </w:pPr>
            <w:r>
              <w:rPr>
                <w:rFonts w:ascii="Times" w:hAnsi="Times" w:cs="Times"/>
                <w:sz w:val="25"/>
                <w:szCs w:val="25"/>
              </w:rPr>
              <w:t>18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B25BC" w:rsidP="005B25BC">
            <w:pPr>
              <w:spacing w:after="0" w:line="240" w:lineRule="auto"/>
              <w:rPr>
                <w:rFonts w:ascii="Times New Roman" w:hAnsi="Times New Roman" w:cs="Calibri"/>
                <w:sz w:val="20"/>
                <w:szCs w:val="20"/>
              </w:rPr>
            </w:pPr>
            <w:r>
              <w:rPr>
                <w:rFonts w:ascii="Times" w:hAnsi="Times" w:cs="Times"/>
                <w:sz w:val="25"/>
                <w:szCs w:val="25"/>
              </w:rPr>
              <w:t>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B25BC" w:rsidP="005B25BC">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B25BC" w:rsidP="005B25BC">
            <w:pPr>
              <w:spacing w:after="0" w:line="240" w:lineRule="auto"/>
              <w:rPr>
                <w:rFonts w:ascii="Times New Roman" w:hAnsi="Times New Roman" w:cs="Calibri"/>
                <w:sz w:val="20"/>
                <w:szCs w:val="20"/>
              </w:rPr>
            </w:pPr>
            <w:r>
              <w:rPr>
                <w:rFonts w:ascii="Times" w:hAnsi="Times" w:cs="Times"/>
                <w:sz w:val="25"/>
                <w:szCs w:val="25"/>
              </w:rPr>
              <w:t>9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B25BC" w:rsidP="005B25B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B25BC" w:rsidRDefault="005B25B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B25BC">
        <w:trPr>
          <w:divId w:val="174301897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Vôbec nezaslali</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x</w:t>
            </w:r>
          </w:p>
        </w:tc>
      </w:tr>
      <w:tr w:rsidR="005B25BC">
        <w:trPr>
          <w:divId w:val="1743018974"/>
          <w:jc w:val="center"/>
        </w:trPr>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18 (11o,7z)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25BC" w:rsidRDefault="005B25B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B25BC" w:rsidRDefault="005B25B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8281"/>
        <w:gridCol w:w="446"/>
        <w:gridCol w:w="523"/>
        <w:gridCol w:w="1818"/>
      </w:tblGrid>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Spôsob vyhodnotenia</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 1 ods. 1</w:t>
            </w:r>
            <w:r>
              <w:rPr>
                <w:rFonts w:ascii="Times" w:hAnsi="Times" w:cs="Times"/>
                <w:sz w:val="25"/>
                <w:szCs w:val="25"/>
              </w:rPr>
              <w:br/>
              <w:t>Navrhujeme ponechať pôvodnú formuláciu v znení: „Štúdia uskutočniteľnosti investície sa vypracuje, ak hodnota investície sa rovná alebo je vyššia ako 40 000 000 eur.“. Odôvodnenie: Súčasný stav Štúdiu uskutočniteľnosti investície alebo koncesie musia inštitúcie vo verejnej správe vypracovať, pokiaľ je jej predpokladaná hodnota vyššia ako 40 miliónov eur vrátane dane z pridanej hodnoty. Limit na vypracovanie štúdie uskutočniteľnosti pri investíciách v informatizácii je podľa schváleného materiálu 10 miliónov eur. Súčasne platné limity sú záväzné v zmysle Nariadenia vlády Slovenskej republiky zo dňa 17. 04. 2019, kde sa štúdia uskutočniteľnosti vypracováva pri rozsiahlych projektoch (diaľnice, veľké priemyselné parky, atď.) zohľadňujúc všetky aspekty vstupujúce do rozhodovacieho procesu. Štúdia uskutočniteľnosti je štandardne využívaná v predinvestičnej etape realizácie projektu. Cieľom jej spracovania je posúdiť projektový investičný zámer zo všetkých možných hľadísk (predovšetkým z technického, ekonomického a environmentálneho), identifikovať potenciálne alternatívy riešenia projektu, zhodnotiť ich uskutočniteľnosť a vytvoriť tak kvalifikovaný podklad pre rozhodovanie o výbere najoptimálnejšej alternatívy riešenia projektu. Znížením súčasne platného limitu zo 40 miliónov eur na 10 miliónov eur kedy je potrebné vypracovať štúdiu príde k ďalšiemu byrokratickému zaťaženiu štátnych inštitúcii. Ako príklad uvádzame práve opačný trend v legislatíve, a to zvyšovanie limitov pre plánovacie a rozhodovacie procesy v prípravnej a projektovej fáze investičnej výstavby. V zákone č. 254/1998 Z. z. o verejných prácach v znení neskorších predpisov došlo od 01. 09. 2019 k navyšovaniu limitov pri vypracovaní stavebného zámeru (pôvodný limit 1 327 756 eur, nový limit 5 000 000 eur) a štátnej expertízy (pôvodný limit 6 638 783 eur, nový limit 20 000 000 eur). Taktiež treba zohľadniť aj rast cien stavebných komodít, prác a vysokú mieru inflácie za posledné roky. Na základe vyššie uvedeného by bolo vhodné neznižovať súčasne platné limity, resp. ich minimálne zachovať. Poslaním verejných inštitúcii je prijímať praktické rozhodnutia o verejných zdrojoch, politikách aj reguláciách štátu a nezvyšovať už dosť vysoké byrokratické zaťaženie.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Po zohľadnení pripomienok navrhujeme zvýšiť hranicu povinného hodnotenia investícií na 10 mil. eur. 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zjednotiť názov návrhu nariadenia vlády vo vlastnom materiáli a názov používaný v sprievodných dokumentoch vzhľadom na používanie slova „ustanovuje“ a „ustanovujú“.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Dôvodovej správe – Osobitnej časti k § 1 ods.1 až 3 odporúčame vypustiť slová „hodnotenia investícií na 3 mil. eur a“ vzhľadom na to, že predmetom § 1 ods. 1 až 3 návrhu nariadenia vlády je iba určenie hranice povinného vypracovania štúdie uskutočniteľnosti a nie určenie hranice povinného hodnotenia investícií na 3 mil.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Úpravou hranice je pripomienka neaktuálna.</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o zosúladenie návrhu nariadenia vlády LP/2023/155 a Návrhu aktualizácie Metodiky prípravy a hodnotenia investičných projektov (ďalej len „návrh metodiky“) LP/2023/156. Túto pripomienku považujeme za zásadnú. Odôvodnenie: Návrh nariadenia vlády v § 2 ustanovuje obsahové náležitosti štúdie uskutočniteľnosti investície a štúdie uskutočniteľnosti koncesie a zároveň návrh metodiky v bode 16 v návrhu tabuľky č. 8 uvádza „primeraný rozsah štúdie uskutočniteľnosti“. Uvedené žiadame zosúladiť, keďže návrh nariadenia vlády nehovorí o možných výnimkách z uplatňovania niektorých prvkov a obsahových náležitostí štúdie, avšak návrh metodiky áno. Zároveň je v návrhu metodiky nejasne definované, čo konkrétne musí, respektíve môže štúdia obsahovať, keďže Tabuľka č. 8 určuje „primeraný“ rozsah štúdie uskutočniteľnosti, avšak definícia primeranosti nie je explicitne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 xml:space="preserve">V kapitole 4, nad tabuľkou 8 boli pridané/upravené 2 odstavce zohľadňujúce pripomienky MD: "Štúdiu uskutočniteľnosti Investor vypracuje podľa schválených nariadení a?metodík primerane veľkosti a?typu projektu. Nariadenie špecifikuje základné časti štúdie uskutočniteľnosti, avšak voľba obsahu jednotlivých častí štúdie a?nástrojov na?hodnotenie investície je závislá od typu a?veľkosti projektu a?množstva relevantných alternatív riešenia. Napríklad pri rekonštrukcii budovy v?havarijnom stave nie je potrebné vypracovanie analýzy prínosov a nákladov (CBA), ale postačuje popis stavu, zdôvodnenie výberu daného rozsahu a?overiteľný odhad nákladov. Na druhú stranu, pri návrhu nového informačného systému by malo byť súčasťou štúdie jasné zdôvodnenie dopytu, riešenia a?návratnosti investície, podporené analýzou nákladov a?prínosov (CBA). " "Tabuľka 8 uvádza princípy a?príklady ako je možné konkrétne časti štúdie upraviť aby mala štúdia vzhľadom na projekt primeraný rozsah. Vzory upravených štúdií uskutočniteľnosti pre menšie projekty v?rôznych sektoroch sú zverejnené na webovom sídle MF SR16. Rezorty môžu v sektorových metodikách v spolupráci s MF SR bližšie špecifikovať obsah a rozsah jednotlivých kapitol štúdie z Tabuľky 8. V prípade pochybností pri výbere obsahu a nástrojov štúdie, alebo postupu jej vypracovania, odporúčame obrátiť sa na rezortné analytické útvary alebo priamo na MF SR na konzultáciu. " </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ponechať hodnotu investície a koncesie pri ktorej je povinnosť vypracovania štúdie uskutočniteľnosti vo výške určenej nariadením vlády Slovenskej republiky č. 174/2019 Z. z. o podmienkach vypracovania štúdie uskutočniteľnosti investície a štúdie uskutočniteľnosti koncesie. Túto pripomienku považujeme za zásadnú. Odôvodnenie: S navrhovanou úpravou limitov na hodnotenie všetkých projektov podľa § 19a zákona č. 523/2004 Z. z. o rozpočtových pravidlách verejnej správy a o zmene a doplnení niektorých zákonov zo 40 mil. € na 10 mil. € zásadne nesúhlasíme. Ministerstvo dopravy Slovenskej republiky ako Riadiaci orgán pre Operačný program Integrovaná infraštruktúra a Sprostredkovateľský orgán pre Program Slovensko, vykonávateľ pre Plán obnovy a odolnosti Slovenskej republiky a národný kontaktný bod pre dopravnú časť CEF predpokladá nezanedbateľné zdržanie a administratívu spojenú so zníženou hranicou zo 40 mil. € na 10 mil. €. Prijímateľom vzniknú nové náklady, ktoré budú musieť vynaložiť na tvorbu štúdie uskutočniteľnosti a na prípravu a hodnotenie investičných projektov, ktoré budú v rozmedzí zníženej hranice 10 mil. € až 40 mil. €. Uvedená skutočnosť bude mať vplyv aj na plynulú implementáciu projektov, keďže verejné obstarávanie, samotná tvorba štúdie uskutočniteľnosti a následné hodnotenie spôsobí významné zdržanie na pripravovaných projektoch.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 xml:space="preserve">Po zohľadnení pripomienok navrhujeme zvýšiť hranicu povinného hodnotenia investícií až na 10 mil. eur. 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 </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súlade s Jednotnou metodikou na posudzovanie vybraných vplyvov odporúčame vypracovať aktuálnu verziu Doložky vybraných vplyvov, ktorú je nutné vyplniť vo všetkých povinných častiach. Aktuálna verzia je dostupná na: https://www.mhsr.sk/uploads/files/qqhdtNNW.docx?csrt=4893159915069139498.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Žiadame ponechať súčasnú hranicu 40 mil. eur na vypracovanie štúdie uskutočniteľnosti pre investície, pri ktorých je nezvratne daný záväzok štátu realizovať projekt. Napríklad tak, že v § 1 ods. 1 návrhu sa na koniec doplní veta, ktorá znie: „Ak ide o verejné investičné projekty, pri ktorých je nezvratne daný záväzok štátu realizovať projekt, štúdia uskutočniteľnosti investície sa vypracuje, ak hodnota investície sa rovná alebo je vyššia ako 40 000 000 eur.“. Odôvodnenie: Predložený návrh obsahuje výrazné zníženie hranice investícií, v prípade ktorých je nevyhnutné vypracovať štúdiu uskutočniteľnosti zo 40 mil. eur na hranicu 10 mil. eur, a to pre všetky oblasti investícií a koncesií. Odôvodňuje sa to aj dosiahnutím vyšších úspor. Avšak, vo všeobecnej časti dôvodovej správy (graf 1) sa uvádza, že úspory v prípade hodnotených projektov v roku 2022 intervale medzi 10 mil. eur a 40 mil. eur boli cca 72 mil. eur, čo predstavuje zhruba 14 % z úspor projektov nad 40 mil. eur. Zníženie hranice je tiež odôvodňované lepším využitím kapacít ministerstva financií. V návrhu na zmenu Metodiky prípravy a hodnotenia investičných projektov, ktorý je súbežne v MPK (LP/2023/156) sa vyslovene uvádza, že cieľom je okrem iného zrýchliť prípravu investičných projektov. Ani návrh nariadenia ani návrh na zmenu metodiky však neurýchľuje proces, neskracuje dobu, dokedy je Ministerstvo financií SR povinné zverejniť hodnotenie štúdií uskutočniteľnosti alebo ich aktualizáciu. To upravuje § 19a zákona č. 523/2004 Z. z. o rozpočtových pravidlách verejnej správy. Vzhľadom na celkovú dĺžku povoľovacích procesov v SR žiadame ponechať pôvodnú hranicu 40 mil. eur v prípade investícií, pri ktorých je nezvratne daný záväzok štátu realizovať projekt s cieľom zúžiť okruh situácií, pri ktorých by mohlo hroziť porušenie povinnosti alebo záväzku viažuceho sa na dodržiavanie termínov.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Proces má byť jednotný a?bez zbytočných výnimiek. Zmena zazmluvnené projekty nespomalí, pretože upravená Metodika jasne zjednodušuje a?znižuje rozsah štúdie pre niektoré typy projektov. Úprava 30-dňovej lehoty na hodnotenie je ukotvené v?zákone, ktorý MF SR neotvára a?nie je možná. Po zohľadnení pripomienok navrhujeme zvýšiť hranicu povinného hodnotenia investícií na 10 mil. eur. 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 Podľa dohody z rozporového konania MF SR zrealizuje hodnotenie štúdie uskutočniteľnosti do 10 dní, ak pôjde o ekonomické hodnotenie verejných investičných projektov - priemyselných parkov, pri ktorých je nezvratne daný záväzok štátu realizovať projekt. MF SR tiež v spolupráci s MH SR pripraví postup a nastaví systém ekonomického hodnotenia investičných projektov priemyselných parkov. Systém hodnotenia bude odrážať špecifiká prípravy takýchto typov projektov. Ak to bude pre efektívny systém účelné, MF SR a MH SR pripravia návrh zmeny platných predpisov alebo metodiky.</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 1 ods. 1 žiadame zvýšiť hodnotu, pri ktorej je povinnosť vypracovať štúdiu uskutočniteľnosti, na 40 mil. eur. ODÔVODNENIE: Aktuálne nastavené limity pri hodnotení investícií zo strany MF SR predlžujú proces schvaľovania EŠIF projektov, ako aj proces uzatvárania zmlúv o NFP, čo má vplyv na čerpanie finančných prostriedkov EŠIF. Je potrebné brať do úvahy aj infláciu, ktorá má dopad na zvyšovanie cien, a tým aj celkovú hodnotu investície/projektu. Celý proces posudzovania investícií je potrebné zjednodušiť a ponechať povinnosť hodnotenia ÚHP iba raz – pri schvaľovaní štúdie uskutočniteľnosti, pričom pri EŠIF projektoch musí byť štúdia predložená na hodnotenie MF SR pred zaslaním žiadosti o poskytnutie NFP.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 xml:space="preserve">Po zohľadnení pripomienok navrhujeme zvýšiť hranicu povinného hodnotenia investícií na 10 mil. eur. 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 </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V bode B. 1. žiadame slová „3 mil. eur s DPH“ nahradiť slovami „5 mil. eur s DPH“. ODÔVODNENIE: Aktuálne nastavené limity pri hodnotení investícií zo strany MF SR predlžujú proces schvaľovania EŠIF projektov, ako aj proces uzatvárania zmlúv o NFP, čo má vplyv na čerpanie finančných prostriedkov EŠIF. Je potrebné brať do úvahy aj infláciu, ktorá má dopad na zvyšovanie cien, a tým aj celkovú hodnotu investície/projektu. Celý proces posudzovania investícií je potrebné zjednodušiť a ponechať povinnosť hodnotenia ÚHP iba raz – pri schvaľovaní štúdie uskutočniteľnosti, pričom pri EŠIF projektoch musí byť štúdia predložená na hodnotenie MF SR pred zaslaním žiadosti o poskytnutie NFP.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Pripomienka je nad rámec navrhovaných zmien, ale po diskusiách MF SR navrhuje zvýšiť hranicu povinného hodnotenia projektov na 10 mil. eur, čo značne zníži kapitolám zbytočnú administratívu.</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1. Názov nariadenia odporúčame upraviť napríklad takto: "Nariadenie vlády Slovenskej republiky, ktorým sa ustanovuje hodnota investície a koncesie pre účely vypracovania štúdie uskutočniteľnosti a základné náležitosti štúdie uskutočniteľnosti investície a štúdie uskutočniteľnosti koncesie". Odôvodnenie: Súčasný názov je zavádzajúci, keďže návrh nariadenia neustanovuje hodnotu investície, resp. koncesie ako takej, ale iba hranicu, od ktorej musí byť pre danú investíciu, resp. koncesiu spracúvaná štúdia uskutočniteľnosti. 2. V súvislosti so znížením hranice investície a koncesie, pri ktorej je povinnosťou vypracovať štúdiu uskutočniteľnosti, na 10 000 000 eur, upozorňujeme, že ide o výrazné zníženie v súčasnosti definovanej hranice (40 000 000 eur) bez podrobnejšieho zdôvodnenia a nie je to v súlade s ústrednou myšlienkou zameriavania sa na väčšie projekty a strategické určovanie investičných priorít pre väčšiu efektivitu celého procesu riadenia verejných investícií. V konečnom dôsledku to síce môže priniesť viac alternatív riešenia investície, resp. koncesie, no zároveň to so sebou prinesie aj väčšiu administratívnu a finančnú náročnosť projektu. Z tohto dôvodu odporúčame prehodnotiť navrhované hranice spojené s povinnosťou vypracovania štúdie uskutočniteľnosti. 3. V poznámke pod čiarou k odkazu 1 odporúčame na konci doplniť bodku. Odôvodnenie: Legislatívnotechnická pripomienka. 4. V osobitnej časti dôvodovej správy odporúčame upraviť odôvodnenie uvedené k § 1 ods. 1 až 3. Odôvodnenie: Odôvodnenie nezodpovedá obsahu § 1 ods. 1 až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 xml:space="preserve">Po zohľadnení pripomienok navrhujeme zvýšiť hranicu povinného hodnotenia investícií na 10 mil. eur. 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 </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 1 ods. 1 a 2</w:t>
            </w:r>
            <w:r>
              <w:rPr>
                <w:rFonts w:ascii="Times" w:hAnsi="Times" w:cs="Times"/>
                <w:sz w:val="25"/>
                <w:szCs w:val="25"/>
              </w:rPr>
              <w:br/>
              <w:t>V § 1 ods. 1 a 2 žiadame slovo „10 000 000“ nahradiť slovom „40 000 000“. Odôvodnenie: V § 1 „Hodnota investície a koncesie“ žiadame ponechať hodnotu 40 mil. eur, vzhľadom na to, že Ministerstvo obrany SR má investičné akcie a projekty nad 10 mil. eur, ktorých by sa zmena tejto hranice dotkla. Ministerstvo obrany SR realizuje investičné projekty, ktorými sú zabezpečované predovšetkým špecifické rekonštrukcie a modernizácie vojenských objektov a ich realizácia je vykonávaná spravidla v uzatvorených areáloch jednotlivých kasární, čo neumožňuje určiť rôzne alternatívy realizácie a tým stráca opodstatnenosť realizácia štúdie uskutočniteľnosti. Investičnou výstavbou v rezorte ministerstva obrany je zabezpečovaná moderná a hospodárna infraštruktúra zabezpečujúca potreby obrany Slovenskej republiky na základe požiadaviek a špecifikácie ozbrojených síl SR. Zníženie hodnoty na 10 mil. eur by predstavovalo neprimeranú záťaž na rezort ministerstva obrany spojenú s vypracovaním štúdií uskutočniteľnosti. Všetky investície a projekty investičného charakteru s celkovými výdavkami nad 1 mil. eur s DPH rezort obrany už dnes v súlade s uznesením vlády SR č. 649/2020 realizuje až po hodnotení Ministerstvom financií SR. Zníženie hodnoty, od ktorej sa povinne zverejňuje štúdia uskutočniteľnosti projektov podľa § 19a zákona č. 523/2004 Z. z. o rozpočtových pravidlách verejnej správy a o zmene a doplnení niektorých zákonov v znení neskorších predpisov by pre dotknuté projekty Ministerstva obrany SR znamenalo predĺženie obdobia, v ktorom prebieha ekonomické hodnotenie a teda predĺženie obdobia od zadania požiadavky po dodanie výsledku dotknutých projektov. Zamýšľaný prínos zníženia hranice pre prípravu štúdie uskutočniteľnosti neprevyšuje zvýšenú administratívnu, organizačnú a personálnu záťaž, ktorá s ním bude v rezorte ministerstva obrany spojená. Vzhľadom na uvedené, je spracovanie štúdie uskutočniteľnosti v požadovanom rozsahu (napr. opis plánovaného investičného projektu, vysvetlenie potreby jeho realizácie, možné alternatívne riešenia problému, identifikácia užšieho okruhu relevantných alternatív, vyhodnotenie spoločensko-ekonomickej návratnosti atď.) v rezorte ministerstva obrany irelevantné, nakoľko prioritou rezortu je zabezpečenie obranyschopnosti Slovenskej republiky.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 Proces má byť jednotný, bez zbytočných výnimiek. Zrušiť aktualizácie hodnotenia je možné len zmenou zákona a to nie je predmetom navrhovanej zmeny.</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Predloženú doložku vybraných vplyvov je potrebné vypracovať podľa v súčasnosti platnej Jednotnej metodiky na posudzovanie vybraných vplyvov s účinnosťou od 31. decembra 2022, ktorej súčasťou je aj aktuálne platný formulár doložky vybraných vplyvov. Odôvodnenie: Predkladateľ použil neaktuálny formulár pri vypracovaní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je potrebné uviesť povinné informácie v bode 8. Preskúmanie účelnosti. Odôvodnenie: Povinnosť uviesť uvedené informácie vyplýva z Jednotnej metodiky na posudzovanie vybraných vplyvov z časti II. Obsahové požiadavky doložky.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použiť platné znenie Doložky vybraných vplyvov, ktoré je účinné od 31.12.2022.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deviatom bode Doložky vybraných vplyvov s názvom Vybrané vplyvy materiálu odporúčame nevyznačovať vplyv na MSP, ak predkladateľ označil, že materiál nemá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vypracovať doložku vybraných vplyvov podľa súčasne platnej Jednotnej metodiky na posudzovanie vybraných vplyvov s účinnosťou od 31. decembra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 1 ods. 1</w:t>
            </w:r>
            <w:r>
              <w:rPr>
                <w:rFonts w:ascii="Times" w:hAnsi="Times" w:cs="Times"/>
                <w:sz w:val="25"/>
                <w:szCs w:val="25"/>
              </w:rPr>
              <w:br/>
              <w:t>V § 1 ods. 1 žiadame nahradiť slová „10 000 000 eur“ slovami „40 000 000 eur“. Túto pripomienku považujeme za zásadnú. Odôvodnenie: Žiadame ponechať hodnotu investície, tak ako je uvedené v súčasnosti účinnom nariadení vlády Slovenskej republiky č. 174/2019 Z. z. o podmienkach vypracovania štúdie uskutočniteľnosti investície a štúdie uskutočniteľnosti koncesie, a to 40 000 000 eur. Navrhovaná zmena hodnoty investície pre potreby vypracovania štúdie uskutočniteľnosti investície bude mať za následok väčšiu časovú záťaž pre orgány štátnej správy ako investorov pri procese prípravy investícií. Príprava štúdie uskutočniteľnosti investície so všetkými jej povinnými náležitosťami k investičným projektom je časovo náročnejší proces, ako príprava projektu na hodnotenie Útvaru hodnoty za peniaze podľa C.5 a C. 6 uznesenia vlády č. 649/2022. Znížením hodnoty investície pre potrebu vypracovania štúdie uskutočniteľnosti investície na 10 000 000 eur stúpne počet investícií, pri ktorých bude potrebné vypracovať predmetnú štúdiu o 117% viac ako v roku 2022 a o 194% viac ako v roku 2021. Predpokladaný podiel úspor, ktorý ÚHP identifikoval, bol pri týchto investíciách len vo výške 14% v roku 2022 a 46% v roku 2021. Ministerstvo vnútra Slovenskej má v súčasnosti zaradených približne 11 projektov, ktorých hodnota investície je nad 40 000 000 eur, ale zároveň má až okolo 40 projektov, ktorých hodnota investície je nad 10 000 000 eur. V zmysle navrhovanej zmeny hodnoty investície dôjde zo strany Ministerstva vnútra Slovenskej republiky k spomaleniu realizácie investícií, predĺži sa proces nákupu a samotným predĺžením doby realizácie investície môže dôjsť k jej predraženiu z dôvodu vývoja trhových cien komodít. Okrem vyššie uvedeného vzhľadom na dôsledok navrhovanej zmeny, teda časovú a administratívnu náročnosť vypracovania tejto štúdie , sa zvýši potreba zamestnať odborných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 xml:space="preserve">Pripomienka bola v rámci rozporového konania vysporiadaná zapracovaním návrhov od MV SR do Metodiky. Návrh zjednodušuje proces pre investície pod 10 mil. eur a zameriava sa na väčšie projekty, pri ktorých je možnosť vyššej úspory. Zvýšením hranice sa kapitolám uvoľnia administratívne kapacity na prípravu prioritných projektov. Zameranie sa na prípravu, harmonogram a reálnosť realizácie veľkých projektov pomôže predísť rizikám spojených s ich následnou implementáciou. Navrhovaná zmena prinesie investorom väčšiu flexibilitu a?úsporu času pri menších projektoch. Pri väčších projektoch je zároveň spravidla možné stanovené ciele dosiahnuť rôznymi alternatívami, čo zvyšuje opodstatnenosť štúdie uskutočniteľnosti. Paralelne so zmenou hraníc prebehla aj aktualizácia Metodiky, v ktorej sa stanovujú výnimky a zjednodušenia pri tvorbe štúdie uskutočniteľnosti v závislosti od typu investičného projektu. Týmto sa predíde zbytočnej administratívnej záťaži po zmene hranice povinnej štúdie z pôvodných 40 mil. eur na 10 mil. eur. </w:t>
            </w:r>
          </w:p>
        </w:tc>
      </w:tr>
      <w:tr w:rsidR="005B25BC">
        <w:trPr>
          <w:divId w:val="1217745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b/>
                <w:bCs/>
                <w:sz w:val="25"/>
                <w:szCs w:val="25"/>
              </w:rPr>
              <w:t>K sprievodnej dokumentácii:</w:t>
            </w:r>
            <w:r>
              <w:rPr>
                <w:rFonts w:ascii="Times" w:hAnsi="Times" w:cs="Times"/>
                <w:sz w:val="25"/>
                <w:szCs w:val="25"/>
              </w:rPr>
              <w:br/>
              <w:t>V predkladacej správe žiadame uviesť informáciu, či návrh nariadenia má byť predmetom vnútrokomunitárneho pripomienkového konania, alebo či sa vnútrokomunitárne pripomienkové konanie uskutočnilo.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25BC" w:rsidRDefault="005B25BC">
            <w:pPr>
              <w:rPr>
                <w:rFonts w:ascii="Times" w:hAnsi="Times" w:cs="Times"/>
                <w:sz w:val="25"/>
                <w:szCs w:val="25"/>
              </w:rPr>
            </w:pPr>
            <w:r>
              <w:rPr>
                <w:rFonts w:ascii="Times" w:hAnsi="Times" w:cs="Times"/>
                <w:sz w:val="25"/>
                <w:szCs w:val="25"/>
              </w:rPr>
              <w:t>Materiál bol upravený.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25B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309">
      <w:bodyDiv w:val="1"/>
      <w:marLeft w:val="0"/>
      <w:marRight w:val="0"/>
      <w:marTop w:val="0"/>
      <w:marBottom w:val="0"/>
      <w:divBdr>
        <w:top w:val="none" w:sz="0" w:space="0" w:color="auto"/>
        <w:left w:val="none" w:sz="0" w:space="0" w:color="auto"/>
        <w:bottom w:val="none" w:sz="0" w:space="0" w:color="auto"/>
        <w:right w:val="none" w:sz="0" w:space="0" w:color="auto"/>
      </w:divBdr>
    </w:div>
    <w:div w:id="238634584">
      <w:bodyDiv w:val="1"/>
      <w:marLeft w:val="0"/>
      <w:marRight w:val="0"/>
      <w:marTop w:val="0"/>
      <w:marBottom w:val="0"/>
      <w:divBdr>
        <w:top w:val="none" w:sz="0" w:space="0" w:color="auto"/>
        <w:left w:val="none" w:sz="0" w:space="0" w:color="auto"/>
        <w:bottom w:val="none" w:sz="0" w:space="0" w:color="auto"/>
        <w:right w:val="none" w:sz="0" w:space="0" w:color="auto"/>
      </w:divBdr>
    </w:div>
    <w:div w:id="603459054">
      <w:bodyDiv w:val="1"/>
      <w:marLeft w:val="0"/>
      <w:marRight w:val="0"/>
      <w:marTop w:val="0"/>
      <w:marBottom w:val="0"/>
      <w:divBdr>
        <w:top w:val="none" w:sz="0" w:space="0" w:color="auto"/>
        <w:left w:val="none" w:sz="0" w:space="0" w:color="auto"/>
        <w:bottom w:val="none" w:sz="0" w:space="0" w:color="auto"/>
        <w:right w:val="none" w:sz="0" w:space="0" w:color="auto"/>
      </w:divBdr>
    </w:div>
    <w:div w:id="936642610">
      <w:bodyDiv w:val="1"/>
      <w:marLeft w:val="0"/>
      <w:marRight w:val="0"/>
      <w:marTop w:val="0"/>
      <w:marBottom w:val="0"/>
      <w:divBdr>
        <w:top w:val="none" w:sz="0" w:space="0" w:color="auto"/>
        <w:left w:val="none" w:sz="0" w:space="0" w:color="auto"/>
        <w:bottom w:val="none" w:sz="0" w:space="0" w:color="auto"/>
        <w:right w:val="none" w:sz="0" w:space="0" w:color="auto"/>
      </w:divBdr>
    </w:div>
    <w:div w:id="966549316">
      <w:bodyDiv w:val="1"/>
      <w:marLeft w:val="0"/>
      <w:marRight w:val="0"/>
      <w:marTop w:val="0"/>
      <w:marBottom w:val="0"/>
      <w:divBdr>
        <w:top w:val="none" w:sz="0" w:space="0" w:color="auto"/>
        <w:left w:val="none" w:sz="0" w:space="0" w:color="auto"/>
        <w:bottom w:val="none" w:sz="0" w:space="0" w:color="auto"/>
        <w:right w:val="none" w:sz="0" w:space="0" w:color="auto"/>
      </w:divBdr>
    </w:div>
    <w:div w:id="1217745238">
      <w:bodyDiv w:val="1"/>
      <w:marLeft w:val="0"/>
      <w:marRight w:val="0"/>
      <w:marTop w:val="0"/>
      <w:marBottom w:val="0"/>
      <w:divBdr>
        <w:top w:val="none" w:sz="0" w:space="0" w:color="auto"/>
        <w:left w:val="none" w:sz="0" w:space="0" w:color="auto"/>
        <w:bottom w:val="none" w:sz="0" w:space="0" w:color="auto"/>
        <w:right w:val="none" w:sz="0" w:space="0" w:color="auto"/>
      </w:divBdr>
    </w:div>
    <w:div w:id="1637880500">
      <w:bodyDiv w:val="1"/>
      <w:marLeft w:val="0"/>
      <w:marRight w:val="0"/>
      <w:marTop w:val="0"/>
      <w:marBottom w:val="0"/>
      <w:divBdr>
        <w:top w:val="none" w:sz="0" w:space="0" w:color="auto"/>
        <w:left w:val="none" w:sz="0" w:space="0" w:color="auto"/>
        <w:bottom w:val="none" w:sz="0" w:space="0" w:color="auto"/>
        <w:right w:val="none" w:sz="0" w:space="0" w:color="auto"/>
      </w:divBdr>
    </w:div>
    <w:div w:id="17430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23 7:36:55"/>
    <f:field ref="objchangedby" par="" text="Administrator, System"/>
    <f:field ref="objmodifiedat" par="" text="10.8.2023 7:37: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4606</Words>
  <Characters>26256</Characters>
  <Application>Microsoft Office Word</Application>
  <DocSecurity>4</DocSecurity>
  <Lines>218</Lines>
  <Paragraphs>61</Paragraphs>
  <ScaleCrop>false</ScaleCrop>
  <Company/>
  <LinksUpToDate>false</LinksUpToDate>
  <CharactersWithSpaces>30801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2023-08-10T05:37:00Z</dcterms:created>
  <dcterms:modified xsi:type="dcterms:W3CDTF">2023-08-10T05:37:00Z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Ing. Peter Hronček</vt:lpwstr>
  </property>
  <property name="FSC#SKEDITIONSLOVLEX@103.510:zodppredkladatel" pid="11" fmtid="{D5CDD505-2E9C-101B-9397-08002B2CF9AE}">
    <vt:lpwstr>Ing. Eduard Heger</vt:lpwstr>
  </property>
  <property name="FSC#SKEDITIONSLOVLEX@103.510:dalsipredkladatel" pid="12" fmtid="{D5CDD505-2E9C-101B-9397-08002B2CF9AE}">
    <vt:lpwstr/>
  </property>
  <property name="FSC#SKEDITIONSLOVLEX@103.510:nazovpredpis" pid="13" fmtid="{D5CDD505-2E9C-101B-9397-08002B2CF9AE}">
    <vt:lpwstr>, ktorým sa ustanovujú hodnota investície a koncesie a základné náležitosti štúdie uskutočniteľnosti investície a štúdie uskutočniteľnosti koncesie</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Nariadenie vlády  Slovenskej republiky, ktorým sa ustanovujú hodnota investície a koncesie a základné náležitosti štúdie uskutočniteľnosti investície a štúdie uskutočniteľnosti koncesie</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MF/008635/2023-29714</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LP/2023/155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Vplyv na rozpočet verejnej správy sa nepredpokladá vzhľadom na skutočnosť, že predkladaný materiál nezavádza nové povinnosti nad rámec existujúcej legislatívy a iných platných záväzných dokumentov.</vt:lpwstr>
  </property>
  <property name="FSC#SKEDITIONSLOVLEX@103.510:AttrStrListDocPropAltRiesenia" pid="65" fmtid="{D5CDD505-2E9C-101B-9397-08002B2CF9AE}">
    <vt:lpwstr>Alternatívnym riešením je zachovanie súčasného stavu, bez úpravy hraníc. Naďalej sa budú hodnotiť aj menšie projekty, ktoré neprinášajú veľkú potenciálnu úsporu a kapacity alokované na hodnotenie týchto projektov nebude možné využiť na strategické úlohy s vyššou pridanou hodnotou.</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ministri_x000d__x000a_predsedovia ostatných ústredných orgánov štátnej správy_x000d__x000a_správcovia ďalších kapitol štátneho rozpočtu</vt:lpwstr>
  </property>
  <property name="FSC#SKEDITIONSLOVLEX@103.510:AttrStrListDocPropUznesenieNaVedomie" pid="136" fmtid="{D5CDD505-2E9C-101B-9397-08002B2CF9AE}">
    <vt:lpwstr/>
  </property>
  <property name="FSC#SKEDITIONSLOVLEX@103.510:funkciaPred" pid="137" fmtid="{D5CDD505-2E9C-101B-9397-08002B2CF9AE}">
    <vt:lpwstr>generálny štátny radca</vt:lpwstr>
  </property>
  <property name="FSC#SKEDITIONSLOVLEX@103.510:funkciaPredAkuzativ" pid="138" fmtid="{D5CDD505-2E9C-101B-9397-08002B2CF9AE}">
    <vt:lpwstr>generálneho štátneho radcu</vt:lpwstr>
  </property>
  <property name="FSC#SKEDITIONSLOVLEX@103.510:funkciaPredDativ" pid="139" fmtid="{D5CDD505-2E9C-101B-9397-08002B2CF9AE}">
    <vt:lpwstr>generálnemu štátnemu radcovi</vt:lpwstr>
  </property>
  <property name="FSC#SKEDITIONSLOVLEX@103.510:funkciaZodpPred" pid="140" fmtid="{D5CDD505-2E9C-101B-9397-08002B2CF9AE}">
    <vt:lpwstr>predseda vlády</vt:lpwstr>
  </property>
  <property name="FSC#SKEDITIONSLOVLEX@103.510:funkciaZodpPredAkuzativ" pid="141" fmtid="{D5CDD505-2E9C-101B-9397-08002B2CF9AE}">
    <vt:lpwstr>predsedu vlády</vt:lpwstr>
  </property>
  <property name="FSC#SKEDITIONSLOVLEX@103.510:funkciaZodpPredDativ" pid="142" fmtid="{D5CDD505-2E9C-101B-9397-08002B2CF9AE}">
    <vt:lpwstr>predsedovi vlády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Eduard Heger_x000d__x000a_predseda vlády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nariadenia vlády Slovenskej republiky, ktorým sa ustanovujú hodnota investície a&amp;nbsp;koncesie a základné náležitosti štúdie uskutočniteľnosti investície a štúdie uskutočniteľnosti koncesie predkladá na&amp;nbsp;rokovanie vlády Slovenskej republiky predseda vlády poverený riadením Ministerstva financií SR ako iniciatívny materiál.&lt;/p&gt;&lt;p&gt;Cieľom ministerstva financií, ktorý si osvojila aj vláda v programovom vyhlásení, je realizovať projekty iba s vysokou spoločenskou návratnosťou a zlepšiť ich plánovanie a&amp;nbsp;prípravu. &lt;strong&gt;Navrhovaný materiál reaguje na súčasnú prax prípravy a hodnotenia investícií a koncesií a navrhuje upraviť limit ekonomického hodnotenia investičných projektov Ministerstvom financií SR zo súčasného 1, resp. 40 mil. eur na hranicu 3, resp. 10 mil. eur.&lt;/strong&gt;&lt;/p&gt;&lt;p&gt;Navrhovaná zmena prinesie investorom väčšiu flexibilitu a&amp;nbsp;úsporu času pri menších projektoch. Pri väčších projektoch je spravidla možné stanovené ciele dosiahnuť rôznymi alternatívami, čo zvyšuje opodstatnenosť štúdie uskutočniteľnosti. Súčasne príprava väčších investícií je časovo náročnejšia a zmena poskytuje priestor na hlbšiu analýzu a&amp;nbsp;jej vyhodnotenie.&lt;/p&gt;&lt;p&gt;Ministerstvo financií SR venuje väčšinu kapacít malým projektom, ktoré však prinášajú minimum hodnoty. V&amp;nbsp;roku 2022 tvorili projekty do 3 mil. eur 43 % z&amp;nbsp;celkového počtu hodnotených projektov, ale priniesli menej ako 3 % identifikovaných úspor. Väčšie projekty sú hodnotené aj vo fáze prípravy, a preto je kvôli možným zmenám technického riešenia alebo zvolenej alternatívy potenciál úspor násobne väčší. Malé hodnotenia pred verejným obstarávaním sa väčšinou obmedzujú len na porovnávanie jednotkových cien a súlad so&amp;nbsp;stratégiou.&lt;/p&gt;&lt;p&gt;Súčasne s&amp;nbsp;navrhovanou zmenou prebieha aktualizácia Metodiky prípravy a hodnotenia investičných projektov schválená uznesením vlády SR č. 181/2022, ktorá je paralelne v&amp;nbsp;pripomienkovom procese. V&amp;nbsp;Metodike je popísaný rozsah štúdie pre rôzne veľkosti a&amp;nbsp;typy investičných projektov s&amp;nbsp;cieľom sprehľadniť, zrýchliť a skvalitniť prípravu investičných projektov. Cieľom aktualizácie je zmena podkapitoly 4.2.1 a&amp;nbsp;nevyhnutné úpravy spojené so&amp;nbsp;zmenou hraníc hodnotenia a&amp;nbsp;prípravy štúdie.&lt;/p&gt;&lt;p&gt;Väčšia efektivita celého procesu riadenia verejných investícií sa dosiahne zameraním sa na&amp;nbsp;väčšie projekty a&amp;nbsp;strategické určovanie investičných priorít. Preto sa navrhuje&lt;/p&gt;&lt;ul&gt;_x0009_&lt;li&gt;zmeniť v úlohách C.5 a&amp;nbsp;C.6 uznesenia vlády č. 649/2020 hranicu povinného hodnotenia investícií z 1&amp;nbsp;mil. eur, na novú hranicu 3 mil. eur,&lt;/li&gt;_x0009_&lt;li&gt;v nariadení vlády nastaviť jednotnú hranicu 10 mil. eur na hodnotenie všetkých projektov podľa §19a zákona č.&amp;nbsp;523/2004 Z. z. o&amp;nbsp;rozpočtových pravidlách verejnej správy.&lt;/li&gt;&lt;/ul&gt;&lt;p&gt;Návrh nebude mať vplyv na rozpočet verejnej správy, sociálny vplyv, vplyv na podnikateľské prostredie, životné prostredie, informatizáciu spoločnosti, služby verejnej správy pre občana a&amp;nbsp;manželstvo, rodičovstvo a rodinu.&lt;/p&gt;</vt:lpwstr>
  </property>
  <property name="FSC#COOSYSTEM@1.1:Container" pid="149" fmtid="{D5CDD505-2E9C-101B-9397-08002B2CF9AE}">
    <vt:lpwstr>COO.2145.1000.3.5787050</vt:lpwstr>
  </property>
  <property name="FSC#FSCFOLIO@1.1001:docpropproject"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10. 8. 2023</vt:lpwstr>
  </property>
</Properties>
</file>