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49" w:rsidRDefault="007E3949" w:rsidP="007E394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Doložka vybraných vplyvov</w:t>
      </w:r>
    </w:p>
    <w:p w:rsidR="00C11CAE" w:rsidRDefault="00C11CAE" w:rsidP="00C11CAE">
      <w:pPr>
        <w:spacing w:after="0" w:line="240" w:lineRule="auto"/>
        <w:jc w:val="center"/>
        <w:rPr>
          <w:rFonts w:ascii="Times New Roman" w:eastAsia="Times New Roman" w:hAnsi="Times New Roman"/>
          <w:sz w:val="24"/>
          <w:szCs w:val="24"/>
        </w:rPr>
      </w:pPr>
      <w:r w:rsidRPr="003770CB">
        <w:rPr>
          <w:rFonts w:ascii="Times New Roman" w:eastAsia="Times New Roman" w:hAnsi="Times New Roman"/>
          <w:sz w:val="24"/>
          <w:szCs w:val="24"/>
        </w:rPr>
        <w:t>(znenie účinné od 31.12.2022)</w:t>
      </w:r>
    </w:p>
    <w:tbl>
      <w:tblPr>
        <w:tblStyle w:val="Mriekatabuky1"/>
        <w:tblW w:w="9180" w:type="dxa"/>
        <w:tblInd w:w="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7E3949" w:rsidTr="00C11CAE">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Základné údaje</w:t>
            </w:r>
          </w:p>
        </w:tc>
      </w:tr>
      <w:tr w:rsidR="007E3949" w:rsidTr="00C11CAE">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ind w:left="142"/>
              <w:contextualSpacing/>
              <w:rPr>
                <w:rFonts w:ascii="Times New Roman" w:eastAsia="Calibri" w:hAnsi="Times New Roman"/>
                <w:b/>
              </w:rPr>
            </w:pPr>
            <w:r>
              <w:rPr>
                <w:rFonts w:ascii="Times New Roman" w:eastAsia="Calibri" w:hAnsi="Times New Roman"/>
                <w:b/>
              </w:rPr>
              <w:t>Názov materiálu</w:t>
            </w:r>
          </w:p>
        </w:tc>
      </w:tr>
      <w:tr w:rsidR="007E3949" w:rsidTr="00C11CAE">
        <w:tc>
          <w:tcPr>
            <w:tcW w:w="9180" w:type="dxa"/>
            <w:gridSpan w:val="11"/>
            <w:tcBorders>
              <w:top w:val="single" w:sz="4" w:space="0" w:color="FFFFFF"/>
              <w:left w:val="single" w:sz="4" w:space="0" w:color="auto"/>
              <w:bottom w:val="single" w:sz="4" w:space="0" w:color="auto"/>
              <w:right w:val="single" w:sz="4" w:space="0" w:color="auto"/>
            </w:tcBorders>
          </w:tcPr>
          <w:p w:rsidR="007E3949" w:rsidRDefault="007E3949">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cstheme="minorBidi"/>
                <w:bCs/>
                <w:iCs/>
                <w:sz w:val="20"/>
                <w:szCs w:val="20"/>
              </w:rPr>
              <w:t xml:space="preserve">Návrh nariadenia vlády Slovenskej republiky z </w:t>
            </w:r>
            <w:r w:rsidR="00B42A77">
              <w:rPr>
                <w:rFonts w:ascii="Times New Roman" w:eastAsia="Times New Roman" w:hAnsi="Times New Roman" w:cstheme="minorBidi"/>
                <w:bCs/>
                <w:iCs/>
                <w:sz w:val="20"/>
                <w:szCs w:val="20"/>
              </w:rPr>
              <w:t xml:space="preserve">... </w:t>
            </w:r>
            <w:r>
              <w:rPr>
                <w:rFonts w:ascii="Times New Roman" w:eastAsia="Times New Roman" w:hAnsi="Times New Roman" w:cstheme="minorBidi"/>
                <w:bCs/>
                <w:iCs/>
                <w:sz w:val="20"/>
                <w:szCs w:val="20"/>
              </w:rPr>
              <w:t xml:space="preserve">2023, ktorým sa mení a dopĺňa nariadenie vlády Slovenskej republiky č. 640/2008 Z. z. </w:t>
            </w:r>
            <w:r>
              <w:rPr>
                <w:rFonts w:ascii="Times New Roman" w:hAnsi="Times New Roman" w:cstheme="minorBidi"/>
                <w:bCs/>
                <w:sz w:val="20"/>
                <w:szCs w:val="20"/>
              </w:rPr>
              <w:t>o verejnej minimálnej sieti poskytovateľov zdravotnej starostlivosti v znení neskorších predpisov</w:t>
            </w:r>
            <w:r w:rsidR="00C12442">
              <w:rPr>
                <w:rFonts w:ascii="Times New Roman" w:hAnsi="Times New Roman" w:cstheme="minorBidi"/>
                <w:bCs/>
                <w:sz w:val="20"/>
                <w:szCs w:val="20"/>
              </w:rPr>
              <w:t>.</w:t>
            </w:r>
          </w:p>
          <w:p w:rsidR="007E3949" w:rsidRDefault="007E3949">
            <w:pPr>
              <w:spacing w:after="0" w:line="240" w:lineRule="auto"/>
              <w:rPr>
                <w:rFonts w:ascii="Times New Roman" w:eastAsia="Times New Roman" w:hAnsi="Times New Roman"/>
                <w:sz w:val="20"/>
                <w:szCs w:val="20"/>
              </w:rPr>
            </w:pPr>
          </w:p>
        </w:tc>
      </w:tr>
      <w:tr w:rsidR="007E3949" w:rsidTr="00C11CAE">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ind w:left="142"/>
              <w:contextualSpacing/>
              <w:rPr>
                <w:rFonts w:ascii="Times New Roman" w:eastAsia="Calibri" w:hAnsi="Times New Roman"/>
                <w:b/>
              </w:rPr>
            </w:pPr>
            <w:r>
              <w:rPr>
                <w:rFonts w:ascii="Times New Roman" w:eastAsia="Calibri" w:hAnsi="Times New Roman"/>
                <w:b/>
              </w:rPr>
              <w:t>Predkladateľ (a spolupredkladateľ)</w:t>
            </w:r>
          </w:p>
        </w:tc>
      </w:tr>
      <w:tr w:rsidR="007E3949" w:rsidTr="00C11CAE">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cstheme="minorBidi"/>
                <w:sz w:val="20"/>
                <w:szCs w:val="20"/>
              </w:rPr>
              <w:t>Ministerstvo zdravotníctva Slovenskej republiky</w:t>
            </w:r>
          </w:p>
          <w:p w:rsidR="007E3949" w:rsidRDefault="007E3949">
            <w:pPr>
              <w:spacing w:after="0" w:line="240" w:lineRule="auto"/>
              <w:rPr>
                <w:rFonts w:ascii="Times New Roman" w:eastAsia="Times New Roman" w:hAnsi="Times New Roman"/>
                <w:sz w:val="20"/>
                <w:szCs w:val="20"/>
              </w:rPr>
            </w:pPr>
          </w:p>
        </w:tc>
      </w:tr>
      <w:tr w:rsidR="007E3949" w:rsidTr="00C11CAE">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7E3949" w:rsidRDefault="007E3949">
            <w:pPr>
              <w:ind w:left="142"/>
              <w:contextualSpacing/>
              <w:rPr>
                <w:rFonts w:ascii="Times New Roman" w:eastAsia="Calibri" w:hAnsi="Times New Roman"/>
                <w:b/>
              </w:rPr>
            </w:pPr>
            <w:r>
              <w:rPr>
                <w:rFonts w:ascii="Times New Roman" w:eastAsia="Calibri" w:hAnsi="Times New Roman"/>
                <w:b/>
              </w:rPr>
              <w:t>Charakter predkladaného materiálu</w:t>
            </w:r>
          </w:p>
        </w:tc>
        <w:sdt>
          <w:sdtPr>
            <w:rPr>
              <w:rFonts w:ascii="Times New Roman" w:eastAsia="Times New Roman" w:hAnsi="Times New Roman" w:cstheme="minorBidi"/>
              <w:sz w:val="20"/>
              <w:szCs w:val="20"/>
              <w:lang w:eastAsia="en-US"/>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Materiál nelegislatívnej povahy</w:t>
            </w:r>
          </w:p>
        </w:tc>
      </w:tr>
      <w:tr w:rsidR="007E3949" w:rsidTr="00C11CAE">
        <w:tc>
          <w:tcPr>
            <w:tcW w:w="4212" w:type="dxa"/>
            <w:gridSpan w:val="2"/>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line="240" w:lineRule="auto"/>
              <w:rPr>
                <w:rFonts w:ascii="Times New Roman" w:eastAsia="Calibri" w:hAnsi="Times New Roman"/>
                <w:b/>
                <w:lang w:eastAsia="en-US"/>
              </w:rPr>
            </w:pPr>
          </w:p>
        </w:tc>
        <w:sdt>
          <w:sdtPr>
            <w:rPr>
              <w:rFonts w:ascii="Times New Roman" w:eastAsia="Times New Roman" w:hAnsi="Times New Roman" w:cstheme="minorBidi"/>
              <w:sz w:val="20"/>
              <w:szCs w:val="20"/>
              <w:lang w:eastAsia="en-US"/>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rsidR="007E3949" w:rsidRDefault="007E3949">
            <w:pPr>
              <w:spacing w:after="0" w:line="240" w:lineRule="auto"/>
              <w:ind w:left="175" w:hanging="175"/>
              <w:rPr>
                <w:rFonts w:ascii="Times New Roman" w:eastAsia="Times New Roman" w:hAnsi="Times New Roman"/>
                <w:sz w:val="20"/>
                <w:szCs w:val="20"/>
              </w:rPr>
            </w:pPr>
            <w:r>
              <w:rPr>
                <w:rFonts w:ascii="Times New Roman" w:eastAsia="Times New Roman" w:hAnsi="Times New Roman"/>
                <w:sz w:val="20"/>
                <w:szCs w:val="20"/>
              </w:rPr>
              <w:t>Materiál legislatívnej povahy</w:t>
            </w:r>
          </w:p>
        </w:tc>
      </w:tr>
      <w:tr w:rsidR="007E3949" w:rsidTr="00C11CAE">
        <w:tc>
          <w:tcPr>
            <w:tcW w:w="4212" w:type="dxa"/>
            <w:gridSpan w:val="2"/>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line="240" w:lineRule="auto"/>
              <w:rPr>
                <w:rFonts w:ascii="Times New Roman" w:eastAsia="Calibri" w:hAnsi="Times New Roman"/>
                <w:b/>
                <w:lang w:eastAsia="en-US"/>
              </w:rPr>
            </w:pPr>
          </w:p>
        </w:tc>
        <w:sdt>
          <w:sdtPr>
            <w:rPr>
              <w:rFonts w:ascii="Times New Roman" w:eastAsia="Times New Roman" w:hAnsi="Times New Roman" w:cstheme="minorBidi"/>
              <w:sz w:val="20"/>
              <w:szCs w:val="20"/>
              <w:lang w:eastAsia="en-US"/>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Transpozícia práva EÚ</w:t>
            </w:r>
          </w:p>
        </w:tc>
      </w:tr>
      <w:tr w:rsidR="007E3949" w:rsidTr="00C11CAE">
        <w:tc>
          <w:tcPr>
            <w:tcW w:w="9180" w:type="dxa"/>
            <w:gridSpan w:val="11"/>
            <w:tcBorders>
              <w:top w:val="single" w:sz="4" w:space="0" w:color="auto"/>
              <w:left w:val="single" w:sz="4" w:space="0" w:color="auto"/>
              <w:bottom w:val="single" w:sz="4" w:space="0" w:color="FFFFFF"/>
              <w:right w:val="single" w:sz="4" w:space="0" w:color="auto"/>
            </w:tcBorders>
            <w:shd w:val="clear" w:color="auto" w:fill="FFFFFF"/>
          </w:tcPr>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V prípade transpozície uveďte zoznam transponovaných predpisov:</w:t>
            </w:r>
          </w:p>
          <w:p w:rsidR="007E3949" w:rsidRDefault="007E3949">
            <w:pPr>
              <w:spacing w:after="0" w:line="240" w:lineRule="auto"/>
              <w:rPr>
                <w:rFonts w:ascii="Times New Roman" w:eastAsia="Times New Roman" w:hAnsi="Times New Roman"/>
                <w:sz w:val="20"/>
                <w:szCs w:val="20"/>
              </w:rPr>
            </w:pPr>
          </w:p>
        </w:tc>
      </w:tr>
      <w:tr w:rsidR="007E3949" w:rsidTr="00C11CAE">
        <w:tc>
          <w:tcPr>
            <w:tcW w:w="5949" w:type="dxa"/>
            <w:gridSpan w:val="6"/>
            <w:tcBorders>
              <w:top w:val="single" w:sz="4" w:space="0" w:color="000000"/>
              <w:left w:val="single" w:sz="4" w:space="0" w:color="auto"/>
              <w:bottom w:val="single" w:sz="4" w:space="0" w:color="FFFFFF"/>
              <w:right w:val="single" w:sz="4" w:space="0" w:color="auto"/>
            </w:tcBorders>
            <w:shd w:val="clear" w:color="auto" w:fill="E2E2E2"/>
            <w:hideMark/>
          </w:tcPr>
          <w:p w:rsidR="007E3949" w:rsidRDefault="007E3949">
            <w:pPr>
              <w:ind w:left="142"/>
              <w:contextualSpacing/>
              <w:rPr>
                <w:rFonts w:ascii="Times New Roman" w:eastAsia="Calibri" w:hAnsi="Times New Roman"/>
                <w:b/>
              </w:rPr>
            </w:pPr>
            <w:r>
              <w:rPr>
                <w:rFonts w:ascii="Times New Roman" w:eastAsia="Calibri"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hideMark/>
          </w:tcPr>
          <w:p w:rsidR="007E3949" w:rsidRDefault="00ED6890" w:rsidP="00ED6890">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23.01-1.2.</w:t>
            </w:r>
            <w:r w:rsidR="007E3949">
              <w:rPr>
                <w:rFonts w:ascii="Times New Roman" w:eastAsia="Times New Roman" w:hAnsi="Times New Roman"/>
                <w:i/>
                <w:sz w:val="20"/>
                <w:szCs w:val="20"/>
              </w:rPr>
              <w:t>2023</w:t>
            </w:r>
          </w:p>
        </w:tc>
      </w:tr>
      <w:tr w:rsidR="007E3949" w:rsidTr="00C11CAE">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ind w:left="142"/>
              <w:contextualSpacing/>
              <w:rPr>
                <w:rFonts w:ascii="Times New Roman" w:eastAsia="Calibri" w:hAnsi="Times New Roman"/>
                <w:b/>
              </w:rPr>
            </w:pPr>
            <w:r>
              <w:rPr>
                <w:rFonts w:ascii="Times New Roman" w:eastAsia="Calibri"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január/február 2023</w:t>
            </w:r>
          </w:p>
        </w:tc>
      </w:tr>
      <w:tr w:rsidR="007E3949" w:rsidTr="00C11CAE">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spacing w:after="0"/>
              <w:ind w:left="142"/>
              <w:contextualSpacing/>
              <w:rPr>
                <w:rFonts w:ascii="Calibri" w:eastAsia="Calibri" w:hAnsi="Calibri"/>
                <w:b/>
              </w:rPr>
            </w:pPr>
            <w:r>
              <w:rPr>
                <w:rFonts w:ascii="Times New Roman" w:eastAsia="Calibri" w:hAnsi="Times New Roman"/>
                <w:b/>
              </w:rPr>
              <w:t>Predpokladaný termín začiatku a ukončenia ZP**</w:t>
            </w:r>
            <w:r>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7E3949" w:rsidRDefault="007E3949">
            <w:pPr>
              <w:spacing w:after="0" w:line="240" w:lineRule="auto"/>
              <w:rPr>
                <w:rFonts w:ascii="Times New Roman" w:eastAsia="Times New Roman" w:hAnsi="Times New Roman"/>
                <w:i/>
                <w:sz w:val="20"/>
                <w:szCs w:val="20"/>
              </w:rPr>
            </w:pPr>
          </w:p>
        </w:tc>
      </w:tr>
      <w:tr w:rsidR="007E3949" w:rsidTr="00C11CAE">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ind w:left="142"/>
              <w:contextualSpacing/>
              <w:jc w:val="both"/>
              <w:rPr>
                <w:rFonts w:ascii="Times New Roman" w:eastAsia="Calibri" w:hAnsi="Times New Roman"/>
                <w:b/>
              </w:rPr>
            </w:pPr>
            <w:r>
              <w:rPr>
                <w:rFonts w:ascii="Times New Roman" w:eastAsia="Calibri"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február/marec 2023</w:t>
            </w:r>
          </w:p>
        </w:tc>
      </w:tr>
      <w:tr w:rsidR="007E3949" w:rsidTr="00C11CAE">
        <w:tc>
          <w:tcPr>
            <w:tcW w:w="9180" w:type="dxa"/>
            <w:gridSpan w:val="11"/>
            <w:tcBorders>
              <w:top w:val="single" w:sz="4" w:space="0" w:color="auto"/>
              <w:left w:val="nil"/>
              <w:bottom w:val="single" w:sz="4" w:space="0" w:color="auto"/>
              <w:right w:val="nil"/>
            </w:tcBorders>
            <w:shd w:val="clear" w:color="auto" w:fill="FFFFFF"/>
          </w:tcPr>
          <w:p w:rsidR="007E3949" w:rsidRDefault="007E3949">
            <w:pPr>
              <w:spacing w:after="0" w:line="240" w:lineRule="auto"/>
              <w:rPr>
                <w:rFonts w:ascii="Times New Roman" w:eastAsia="Times New Roman" w:hAnsi="Times New Roman"/>
                <w:sz w:val="20"/>
                <w:szCs w:val="20"/>
              </w:rPr>
            </w:pPr>
          </w:p>
        </w:tc>
      </w:tr>
      <w:tr w:rsidR="007E3949" w:rsidTr="00C11CAE">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Definovanie problému</w:t>
            </w:r>
          </w:p>
        </w:tc>
      </w:tr>
      <w:tr w:rsidR="007E3949" w:rsidTr="00C11CAE">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B0174" w:rsidRDefault="00FB0174" w:rsidP="00FB0174">
            <w:pPr>
              <w:spacing w:after="0" w:line="240" w:lineRule="auto"/>
              <w:jc w:val="both"/>
              <w:rPr>
                <w:rFonts w:ascii="Times New Roman" w:hAnsi="Times New Roman"/>
                <w:sz w:val="20"/>
                <w:szCs w:val="20"/>
              </w:rPr>
            </w:pPr>
            <w:r>
              <w:rPr>
                <w:rFonts w:ascii="Times New Roman" w:hAnsi="Times New Roman"/>
                <w:sz w:val="20"/>
                <w:szCs w:val="20"/>
              </w:rPr>
              <w:t>Návrh</w:t>
            </w:r>
            <w:r w:rsidRPr="00493102">
              <w:rPr>
                <w:rFonts w:ascii="Times New Roman" w:hAnsi="Times New Roman"/>
                <w:sz w:val="20"/>
                <w:szCs w:val="20"/>
              </w:rPr>
              <w:t xml:space="preserve"> nariadenia</w:t>
            </w:r>
            <w:r>
              <w:rPr>
                <w:rFonts w:ascii="Times New Roman" w:hAnsi="Times New Roman"/>
                <w:sz w:val="20"/>
                <w:szCs w:val="20"/>
              </w:rPr>
              <w:t xml:space="preserve"> bol vypracovaný</w:t>
            </w:r>
            <w:r w:rsidRPr="00493102">
              <w:rPr>
                <w:rFonts w:ascii="Times New Roman" w:hAnsi="Times New Roman"/>
                <w:sz w:val="20"/>
                <w:szCs w:val="20"/>
              </w:rPr>
              <w:t xml:space="preserve"> v nadväznosti na zmenu zákona č. 576/2004 Z. z. v znení zákona č. 267/2002 Z. z., ktorý je súča</w:t>
            </w:r>
            <w:r>
              <w:rPr>
                <w:rFonts w:ascii="Times New Roman" w:hAnsi="Times New Roman"/>
                <w:sz w:val="20"/>
                <w:szCs w:val="20"/>
              </w:rPr>
              <w:t>sťou Plánu obnovy a odolnosti Slovenskej republiky</w:t>
            </w:r>
            <w:r w:rsidRPr="00493102">
              <w:rPr>
                <w:rFonts w:ascii="Times New Roman" w:hAnsi="Times New Roman"/>
                <w:sz w:val="20"/>
                <w:szCs w:val="20"/>
              </w:rPr>
              <w:t xml:space="preserve"> (komponent 13), ako aj z dôvodu potreby implementácie</w:t>
            </w:r>
            <w:r w:rsidRPr="00493102">
              <w:rPr>
                <w:rFonts w:ascii="Times New Roman" w:eastAsia="Times New Roman" w:hAnsi="Times New Roman"/>
                <w:sz w:val="20"/>
                <w:szCs w:val="20"/>
              </w:rPr>
              <w:t xml:space="preserve"> Národného projektu posilnenia dlhodobej zdravotnej starostlivosti (</w:t>
            </w:r>
            <w:r w:rsidRPr="00493102">
              <w:rPr>
                <w:rFonts w:ascii="Times New Roman" w:hAnsi="Times New Roman"/>
                <w:bCs/>
                <w:sz w:val="20"/>
                <w:szCs w:val="20"/>
              </w:rPr>
              <w:t xml:space="preserve">Kód ITMS2014: </w:t>
            </w:r>
            <w:r w:rsidRPr="00493102">
              <w:rPr>
                <w:rFonts w:ascii="Times New Roman" w:hAnsi="Times New Roman"/>
                <w:sz w:val="20"/>
                <w:szCs w:val="20"/>
              </w:rPr>
              <w:t xml:space="preserve">312081CBS8). Predmetom je úprava verejnej minimálnej siete pre poskytovateľov </w:t>
            </w:r>
            <w:r w:rsidRPr="00E003E1">
              <w:rPr>
                <w:rFonts w:ascii="Times New Roman" w:hAnsi="Times New Roman"/>
                <w:sz w:val="20"/>
                <w:szCs w:val="20"/>
              </w:rPr>
              <w:t>špecializovanej paliatívnej starostlivosti – hospic, mobilný hospic a ambulancie paliatívnej medicíny, ako aj ur</w:t>
            </w:r>
            <w:r w:rsidRPr="00493102">
              <w:rPr>
                <w:rFonts w:ascii="Times New Roman" w:hAnsi="Times New Roman"/>
                <w:sz w:val="20"/>
                <w:szCs w:val="20"/>
              </w:rPr>
              <w:t>čenie minimálneho počtu lôžok pre paliatívnu medicínu.</w:t>
            </w:r>
          </w:p>
          <w:p w:rsidR="00FB0174" w:rsidRPr="00E003E1" w:rsidRDefault="00FB0174" w:rsidP="00FB0174">
            <w:pPr>
              <w:spacing w:after="0" w:line="240" w:lineRule="auto"/>
              <w:jc w:val="both"/>
              <w:rPr>
                <w:rFonts w:ascii="Times New Roman" w:hAnsi="Times New Roman"/>
                <w:sz w:val="20"/>
                <w:szCs w:val="20"/>
              </w:rPr>
            </w:pPr>
          </w:p>
          <w:tbl>
            <w:tblPr>
              <w:tblW w:w="4857" w:type="pct"/>
              <w:tblLayout w:type="fixed"/>
              <w:tblCellMar>
                <w:left w:w="70" w:type="dxa"/>
                <w:right w:w="70" w:type="dxa"/>
              </w:tblCellMar>
              <w:tblLook w:val="04A0" w:firstRow="1" w:lastRow="0" w:firstColumn="1" w:lastColumn="0" w:noHBand="0" w:noVBand="1"/>
            </w:tblPr>
            <w:tblGrid>
              <w:gridCol w:w="1800"/>
              <w:gridCol w:w="767"/>
              <w:gridCol w:w="767"/>
              <w:gridCol w:w="767"/>
              <w:gridCol w:w="767"/>
              <w:gridCol w:w="767"/>
              <w:gridCol w:w="767"/>
              <w:gridCol w:w="767"/>
              <w:gridCol w:w="767"/>
              <w:gridCol w:w="762"/>
            </w:tblGrid>
            <w:tr w:rsidR="00FB0174" w:rsidRPr="00532CDD" w:rsidTr="008622B2">
              <w:trPr>
                <w:trHeight w:val="270"/>
              </w:trPr>
              <w:tc>
                <w:tcPr>
                  <w:tcW w:w="1034" w:type="pct"/>
                  <w:vMerge w:val="restart"/>
                  <w:tcBorders>
                    <w:top w:val="single" w:sz="4" w:space="0" w:color="auto"/>
                    <w:left w:val="single" w:sz="4" w:space="0" w:color="auto"/>
                    <w:bottom w:val="single" w:sz="4" w:space="0" w:color="000000"/>
                    <w:right w:val="single" w:sz="4" w:space="0" w:color="auto"/>
                  </w:tcBorders>
                  <w:shd w:val="clear" w:color="000000" w:fill="C9E7FF"/>
                  <w:vAlign w:val="center"/>
                  <w:hideMark/>
                </w:tcPr>
                <w:p w:rsidR="00FB0174" w:rsidRPr="00B53A63" w:rsidRDefault="00FB0174" w:rsidP="00FB0174">
                  <w:pPr>
                    <w:spacing w:after="0" w:line="240" w:lineRule="auto"/>
                    <w:jc w:val="center"/>
                    <w:rPr>
                      <w:rFonts w:ascii="Times New Roman" w:eastAsia="Times New Roman" w:hAnsi="Times New Roman"/>
                      <w:sz w:val="20"/>
                      <w:szCs w:val="20"/>
                    </w:rPr>
                  </w:pPr>
                  <w:r w:rsidRPr="00B53A63">
                    <w:rPr>
                      <w:rFonts w:ascii="Times New Roman" w:eastAsia="Times New Roman" w:hAnsi="Times New Roman"/>
                      <w:sz w:val="20"/>
                      <w:szCs w:val="20"/>
                    </w:rPr>
                    <w:t>Odborné zameranie útvaru</w:t>
                  </w:r>
                </w:p>
              </w:tc>
              <w:tc>
                <w:tcPr>
                  <w:tcW w:w="3966" w:type="pct"/>
                  <w:gridSpan w:val="9"/>
                  <w:tcBorders>
                    <w:top w:val="single" w:sz="4" w:space="0" w:color="auto"/>
                    <w:left w:val="nil"/>
                    <w:bottom w:val="single" w:sz="4" w:space="0" w:color="auto"/>
                    <w:right w:val="single" w:sz="4" w:space="0" w:color="000000"/>
                  </w:tcBorders>
                  <w:shd w:val="clear" w:color="000000" w:fill="C9E7FF"/>
                  <w:vAlign w:val="center"/>
                  <w:hideMark/>
                </w:tcPr>
                <w:p w:rsidR="00FB0174" w:rsidRPr="00B53A63" w:rsidRDefault="00FB0174" w:rsidP="00FB0174">
                  <w:pPr>
                    <w:spacing w:after="0" w:line="240" w:lineRule="auto"/>
                    <w:jc w:val="center"/>
                    <w:rPr>
                      <w:rFonts w:ascii="Times New Roman" w:eastAsia="Times New Roman" w:hAnsi="Times New Roman"/>
                      <w:sz w:val="20"/>
                      <w:szCs w:val="20"/>
                    </w:rPr>
                  </w:pPr>
                  <w:r w:rsidRPr="00B53A63">
                    <w:rPr>
                      <w:rFonts w:ascii="Times New Roman" w:eastAsia="Times New Roman" w:hAnsi="Times New Roman"/>
                      <w:sz w:val="20"/>
                      <w:szCs w:val="20"/>
                    </w:rPr>
                    <w:t>Počet postelí</w:t>
                  </w:r>
                </w:p>
              </w:tc>
            </w:tr>
            <w:tr w:rsidR="00FB0174" w:rsidRPr="00532CDD" w:rsidTr="008622B2">
              <w:trPr>
                <w:trHeight w:val="270"/>
              </w:trPr>
              <w:tc>
                <w:tcPr>
                  <w:tcW w:w="1034" w:type="pct"/>
                  <w:vMerge/>
                  <w:tcBorders>
                    <w:top w:val="single" w:sz="4" w:space="0" w:color="auto"/>
                    <w:left w:val="single" w:sz="4" w:space="0" w:color="auto"/>
                    <w:bottom w:val="single" w:sz="4" w:space="0" w:color="000000"/>
                    <w:right w:val="single" w:sz="4" w:space="0" w:color="auto"/>
                  </w:tcBorders>
                  <w:vAlign w:val="center"/>
                  <w:hideMark/>
                </w:tcPr>
                <w:p w:rsidR="00FB0174" w:rsidRPr="00B53A63" w:rsidRDefault="00FB0174" w:rsidP="00FB0174">
                  <w:pPr>
                    <w:spacing w:after="0" w:line="240" w:lineRule="auto"/>
                    <w:rPr>
                      <w:rFonts w:ascii="Times New Roman" w:eastAsia="Times New Roman" w:hAnsi="Times New Roman"/>
                      <w:sz w:val="20"/>
                      <w:szCs w:val="20"/>
                    </w:rPr>
                  </w:pPr>
                </w:p>
              </w:tc>
              <w:tc>
                <w:tcPr>
                  <w:tcW w:w="441" w:type="pct"/>
                  <w:tcBorders>
                    <w:top w:val="nil"/>
                    <w:left w:val="nil"/>
                    <w:bottom w:val="nil"/>
                    <w:right w:val="single" w:sz="4" w:space="0" w:color="auto"/>
                  </w:tcBorders>
                  <w:shd w:val="clear" w:color="000000" w:fill="C9E7FF"/>
                  <w:noWrap/>
                  <w:vAlign w:val="center"/>
                  <w:hideMark/>
                </w:tcPr>
                <w:p w:rsidR="00FB0174" w:rsidRPr="00B53A63" w:rsidRDefault="00FB0174" w:rsidP="00FB0174">
                  <w:pPr>
                    <w:spacing w:after="0" w:line="240" w:lineRule="auto"/>
                    <w:jc w:val="center"/>
                    <w:rPr>
                      <w:rFonts w:ascii="Times New Roman" w:eastAsia="Times New Roman" w:hAnsi="Times New Roman"/>
                      <w:sz w:val="20"/>
                      <w:szCs w:val="20"/>
                    </w:rPr>
                  </w:pPr>
                  <w:r w:rsidRPr="00B53A63">
                    <w:rPr>
                      <w:rFonts w:ascii="Times New Roman" w:eastAsia="Times New Roman" w:hAnsi="Times New Roman"/>
                      <w:sz w:val="20"/>
                      <w:szCs w:val="20"/>
                    </w:rPr>
                    <w:t>2013</w:t>
                  </w:r>
                </w:p>
              </w:tc>
              <w:tc>
                <w:tcPr>
                  <w:tcW w:w="441" w:type="pct"/>
                  <w:tcBorders>
                    <w:top w:val="nil"/>
                    <w:left w:val="nil"/>
                    <w:bottom w:val="nil"/>
                    <w:right w:val="nil"/>
                  </w:tcBorders>
                  <w:shd w:val="clear" w:color="000000" w:fill="C9E7FF"/>
                  <w:noWrap/>
                  <w:vAlign w:val="center"/>
                  <w:hideMark/>
                </w:tcPr>
                <w:p w:rsidR="00FB0174" w:rsidRPr="00B53A63" w:rsidRDefault="00FB0174" w:rsidP="00FB0174">
                  <w:pPr>
                    <w:spacing w:after="0" w:line="240" w:lineRule="auto"/>
                    <w:jc w:val="center"/>
                    <w:rPr>
                      <w:rFonts w:ascii="Times New Roman" w:eastAsia="Times New Roman" w:hAnsi="Times New Roman"/>
                      <w:sz w:val="20"/>
                      <w:szCs w:val="20"/>
                    </w:rPr>
                  </w:pPr>
                  <w:r w:rsidRPr="00B53A63">
                    <w:rPr>
                      <w:rFonts w:ascii="Times New Roman" w:eastAsia="Times New Roman" w:hAnsi="Times New Roman"/>
                      <w:sz w:val="20"/>
                      <w:szCs w:val="20"/>
                    </w:rPr>
                    <w:t>2014</w:t>
                  </w:r>
                </w:p>
              </w:tc>
              <w:tc>
                <w:tcPr>
                  <w:tcW w:w="441" w:type="pct"/>
                  <w:tcBorders>
                    <w:top w:val="nil"/>
                    <w:left w:val="single" w:sz="4" w:space="0" w:color="auto"/>
                    <w:bottom w:val="single" w:sz="4" w:space="0" w:color="auto"/>
                    <w:right w:val="single" w:sz="4" w:space="0" w:color="auto"/>
                  </w:tcBorders>
                  <w:shd w:val="clear" w:color="000000" w:fill="C9E7FF"/>
                  <w:noWrap/>
                  <w:vAlign w:val="center"/>
                  <w:hideMark/>
                </w:tcPr>
                <w:p w:rsidR="00FB0174" w:rsidRPr="00B53A63" w:rsidRDefault="00FB0174" w:rsidP="00FB0174">
                  <w:pPr>
                    <w:spacing w:after="0" w:line="240" w:lineRule="auto"/>
                    <w:jc w:val="center"/>
                    <w:rPr>
                      <w:rFonts w:ascii="Times New Roman" w:eastAsia="Times New Roman" w:hAnsi="Times New Roman"/>
                      <w:sz w:val="20"/>
                      <w:szCs w:val="20"/>
                    </w:rPr>
                  </w:pPr>
                  <w:r w:rsidRPr="00B53A63">
                    <w:rPr>
                      <w:rFonts w:ascii="Times New Roman" w:eastAsia="Times New Roman" w:hAnsi="Times New Roman"/>
                      <w:sz w:val="20"/>
                      <w:szCs w:val="20"/>
                    </w:rPr>
                    <w:t>2015</w:t>
                  </w:r>
                </w:p>
              </w:tc>
              <w:tc>
                <w:tcPr>
                  <w:tcW w:w="441" w:type="pct"/>
                  <w:tcBorders>
                    <w:top w:val="nil"/>
                    <w:left w:val="nil"/>
                    <w:bottom w:val="single" w:sz="4" w:space="0" w:color="auto"/>
                    <w:right w:val="single" w:sz="4" w:space="0" w:color="auto"/>
                  </w:tcBorders>
                  <w:shd w:val="clear" w:color="000000" w:fill="C9E7FF"/>
                  <w:vAlign w:val="center"/>
                  <w:hideMark/>
                </w:tcPr>
                <w:p w:rsidR="00FB0174" w:rsidRPr="00B53A63" w:rsidRDefault="00FB0174" w:rsidP="00FB0174">
                  <w:pPr>
                    <w:spacing w:after="0" w:line="240" w:lineRule="auto"/>
                    <w:jc w:val="center"/>
                    <w:rPr>
                      <w:rFonts w:ascii="Times New Roman" w:eastAsia="Times New Roman" w:hAnsi="Times New Roman"/>
                      <w:sz w:val="20"/>
                      <w:szCs w:val="20"/>
                    </w:rPr>
                  </w:pPr>
                  <w:r w:rsidRPr="00B53A63">
                    <w:rPr>
                      <w:rFonts w:ascii="Times New Roman" w:eastAsia="Times New Roman" w:hAnsi="Times New Roman"/>
                      <w:sz w:val="20"/>
                      <w:szCs w:val="20"/>
                    </w:rPr>
                    <w:t>2016</w:t>
                  </w:r>
                </w:p>
              </w:tc>
              <w:tc>
                <w:tcPr>
                  <w:tcW w:w="441" w:type="pct"/>
                  <w:tcBorders>
                    <w:top w:val="nil"/>
                    <w:left w:val="nil"/>
                    <w:bottom w:val="single" w:sz="4" w:space="0" w:color="auto"/>
                    <w:right w:val="single" w:sz="4" w:space="0" w:color="auto"/>
                  </w:tcBorders>
                  <w:shd w:val="clear" w:color="000000" w:fill="C9E7FF"/>
                  <w:vAlign w:val="center"/>
                  <w:hideMark/>
                </w:tcPr>
                <w:p w:rsidR="00FB0174" w:rsidRPr="00B53A63" w:rsidRDefault="00FB0174" w:rsidP="00FB0174">
                  <w:pPr>
                    <w:spacing w:after="0" w:line="240" w:lineRule="auto"/>
                    <w:jc w:val="center"/>
                    <w:rPr>
                      <w:rFonts w:ascii="Times New Roman" w:eastAsia="Times New Roman" w:hAnsi="Times New Roman"/>
                      <w:sz w:val="20"/>
                      <w:szCs w:val="20"/>
                    </w:rPr>
                  </w:pPr>
                  <w:r w:rsidRPr="00B53A63">
                    <w:rPr>
                      <w:rFonts w:ascii="Times New Roman" w:eastAsia="Times New Roman" w:hAnsi="Times New Roman"/>
                      <w:sz w:val="20"/>
                      <w:szCs w:val="20"/>
                    </w:rPr>
                    <w:t>2017</w:t>
                  </w:r>
                </w:p>
              </w:tc>
              <w:tc>
                <w:tcPr>
                  <w:tcW w:w="441" w:type="pct"/>
                  <w:tcBorders>
                    <w:top w:val="nil"/>
                    <w:left w:val="nil"/>
                    <w:bottom w:val="single" w:sz="4" w:space="0" w:color="auto"/>
                    <w:right w:val="single" w:sz="4" w:space="0" w:color="auto"/>
                  </w:tcBorders>
                  <w:shd w:val="clear" w:color="000000" w:fill="C9E7FF"/>
                  <w:vAlign w:val="center"/>
                  <w:hideMark/>
                </w:tcPr>
                <w:p w:rsidR="00FB0174" w:rsidRPr="00B53A63" w:rsidRDefault="00FB0174" w:rsidP="00FB0174">
                  <w:pPr>
                    <w:spacing w:after="0" w:line="240" w:lineRule="auto"/>
                    <w:jc w:val="center"/>
                    <w:rPr>
                      <w:rFonts w:ascii="Times New Roman" w:eastAsia="Times New Roman" w:hAnsi="Times New Roman"/>
                      <w:sz w:val="20"/>
                      <w:szCs w:val="20"/>
                    </w:rPr>
                  </w:pPr>
                  <w:r w:rsidRPr="00B53A63">
                    <w:rPr>
                      <w:rFonts w:ascii="Times New Roman" w:eastAsia="Times New Roman" w:hAnsi="Times New Roman"/>
                      <w:sz w:val="20"/>
                      <w:szCs w:val="20"/>
                    </w:rPr>
                    <w:t>2018</w:t>
                  </w:r>
                </w:p>
              </w:tc>
              <w:tc>
                <w:tcPr>
                  <w:tcW w:w="441" w:type="pct"/>
                  <w:tcBorders>
                    <w:top w:val="nil"/>
                    <w:left w:val="nil"/>
                    <w:bottom w:val="single" w:sz="4" w:space="0" w:color="auto"/>
                    <w:right w:val="single" w:sz="4" w:space="0" w:color="auto"/>
                  </w:tcBorders>
                  <w:shd w:val="clear" w:color="000000" w:fill="C9E7FF"/>
                  <w:vAlign w:val="center"/>
                  <w:hideMark/>
                </w:tcPr>
                <w:p w:rsidR="00FB0174" w:rsidRPr="00B53A63" w:rsidRDefault="00FB0174" w:rsidP="00FB0174">
                  <w:pPr>
                    <w:spacing w:after="0" w:line="240" w:lineRule="auto"/>
                    <w:jc w:val="center"/>
                    <w:rPr>
                      <w:rFonts w:ascii="Times New Roman" w:eastAsia="Times New Roman" w:hAnsi="Times New Roman"/>
                      <w:sz w:val="20"/>
                      <w:szCs w:val="20"/>
                    </w:rPr>
                  </w:pPr>
                  <w:r w:rsidRPr="00B53A63">
                    <w:rPr>
                      <w:rFonts w:ascii="Times New Roman" w:eastAsia="Times New Roman" w:hAnsi="Times New Roman"/>
                      <w:sz w:val="20"/>
                      <w:szCs w:val="20"/>
                    </w:rPr>
                    <w:t>2019</w:t>
                  </w:r>
                </w:p>
              </w:tc>
              <w:tc>
                <w:tcPr>
                  <w:tcW w:w="441" w:type="pct"/>
                  <w:tcBorders>
                    <w:top w:val="nil"/>
                    <w:left w:val="nil"/>
                    <w:bottom w:val="single" w:sz="4" w:space="0" w:color="auto"/>
                    <w:right w:val="single" w:sz="4" w:space="0" w:color="auto"/>
                  </w:tcBorders>
                  <w:shd w:val="clear" w:color="000000" w:fill="C9E7FF"/>
                  <w:vAlign w:val="center"/>
                  <w:hideMark/>
                </w:tcPr>
                <w:p w:rsidR="00FB0174" w:rsidRPr="00B53A63" w:rsidRDefault="00FB0174" w:rsidP="00FB0174">
                  <w:pPr>
                    <w:spacing w:after="0" w:line="240" w:lineRule="auto"/>
                    <w:jc w:val="center"/>
                    <w:rPr>
                      <w:rFonts w:ascii="Times New Roman" w:eastAsia="Times New Roman" w:hAnsi="Times New Roman"/>
                      <w:sz w:val="20"/>
                      <w:szCs w:val="20"/>
                    </w:rPr>
                  </w:pPr>
                  <w:r w:rsidRPr="00B53A63">
                    <w:rPr>
                      <w:rFonts w:ascii="Times New Roman" w:eastAsia="Times New Roman" w:hAnsi="Times New Roman"/>
                      <w:sz w:val="20"/>
                      <w:szCs w:val="20"/>
                    </w:rPr>
                    <w:t>2020</w:t>
                  </w:r>
                </w:p>
              </w:tc>
              <w:tc>
                <w:tcPr>
                  <w:tcW w:w="441" w:type="pct"/>
                  <w:tcBorders>
                    <w:top w:val="nil"/>
                    <w:left w:val="nil"/>
                    <w:bottom w:val="single" w:sz="4" w:space="0" w:color="auto"/>
                    <w:right w:val="single" w:sz="4" w:space="0" w:color="auto"/>
                  </w:tcBorders>
                  <w:shd w:val="clear" w:color="000000" w:fill="C9E7FF"/>
                  <w:vAlign w:val="center"/>
                  <w:hideMark/>
                </w:tcPr>
                <w:p w:rsidR="00FB0174" w:rsidRPr="00B53A63" w:rsidRDefault="00FB0174" w:rsidP="00FB0174">
                  <w:pPr>
                    <w:spacing w:after="0" w:line="240" w:lineRule="auto"/>
                    <w:jc w:val="center"/>
                    <w:rPr>
                      <w:rFonts w:ascii="Times New Roman" w:eastAsia="Times New Roman" w:hAnsi="Times New Roman"/>
                      <w:sz w:val="20"/>
                      <w:szCs w:val="20"/>
                    </w:rPr>
                  </w:pPr>
                  <w:r w:rsidRPr="00B53A63">
                    <w:rPr>
                      <w:rFonts w:ascii="Times New Roman" w:eastAsia="Times New Roman" w:hAnsi="Times New Roman"/>
                      <w:sz w:val="20"/>
                      <w:szCs w:val="20"/>
                    </w:rPr>
                    <w:t>2021</w:t>
                  </w:r>
                </w:p>
              </w:tc>
            </w:tr>
            <w:tr w:rsidR="00FB0174" w:rsidRPr="00532CDD" w:rsidTr="008622B2">
              <w:trPr>
                <w:trHeight w:val="270"/>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174" w:rsidRPr="00532CDD" w:rsidRDefault="00FB0174" w:rsidP="00FB0174">
                  <w:pPr>
                    <w:spacing w:after="0" w:line="240" w:lineRule="auto"/>
                    <w:rPr>
                      <w:rFonts w:ascii="Times New Roman" w:eastAsia="Times New Roman" w:hAnsi="Times New Roman"/>
                      <w:sz w:val="20"/>
                      <w:szCs w:val="20"/>
                    </w:rPr>
                  </w:pPr>
                  <w:r w:rsidRPr="00532CDD">
                    <w:rPr>
                      <w:rFonts w:ascii="Times New Roman" w:eastAsia="Times New Roman" w:hAnsi="Times New Roman"/>
                      <w:sz w:val="20"/>
                      <w:szCs w:val="20"/>
                    </w:rPr>
                    <w:t>Spolu</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31 728</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31 619</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31 471</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31 785</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32 044</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31 382</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31 884</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31 590</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31 538</w:t>
                  </w:r>
                </w:p>
              </w:tc>
            </w:tr>
            <w:tr w:rsidR="00FB0174" w:rsidRPr="00532CDD" w:rsidTr="008622B2">
              <w:trPr>
                <w:trHeight w:val="270"/>
              </w:trPr>
              <w:tc>
                <w:tcPr>
                  <w:tcW w:w="1034" w:type="pct"/>
                  <w:tcBorders>
                    <w:top w:val="single" w:sz="4" w:space="0" w:color="auto"/>
                    <w:left w:val="single" w:sz="4" w:space="0" w:color="auto"/>
                    <w:bottom w:val="single" w:sz="4" w:space="0" w:color="auto"/>
                    <w:right w:val="single" w:sz="4" w:space="0" w:color="auto"/>
                  </w:tcBorders>
                  <w:shd w:val="clear" w:color="auto" w:fill="auto"/>
                  <w:noWrap/>
                </w:tcPr>
                <w:p w:rsidR="00FB0174" w:rsidRPr="00532CDD" w:rsidRDefault="00FB0174" w:rsidP="00FB0174">
                  <w:pPr>
                    <w:spacing w:after="0" w:line="240" w:lineRule="auto"/>
                    <w:rPr>
                      <w:rFonts w:ascii="Times New Roman" w:eastAsia="Times New Roman" w:hAnsi="Times New Roman"/>
                      <w:sz w:val="20"/>
                      <w:szCs w:val="20"/>
                    </w:rPr>
                  </w:pPr>
                  <w:r w:rsidRPr="00532CDD">
                    <w:rPr>
                      <w:rFonts w:ascii="Times New Roman" w:eastAsia="Times New Roman" w:hAnsi="Times New Roman"/>
                      <w:sz w:val="20"/>
                      <w:szCs w:val="20"/>
                    </w:rPr>
                    <w:t>paliatívna medicína</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86</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86</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86</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86</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86</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78</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78</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60</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60</w:t>
                  </w:r>
                </w:p>
              </w:tc>
            </w:tr>
            <w:tr w:rsidR="00FB0174" w:rsidRPr="00532CDD" w:rsidTr="008622B2">
              <w:trPr>
                <w:trHeight w:val="270"/>
              </w:trPr>
              <w:tc>
                <w:tcPr>
                  <w:tcW w:w="1034" w:type="pct"/>
                  <w:tcBorders>
                    <w:top w:val="single" w:sz="4" w:space="0" w:color="auto"/>
                    <w:left w:val="single" w:sz="4" w:space="0" w:color="auto"/>
                    <w:bottom w:val="single" w:sz="4" w:space="0" w:color="D9D9D9"/>
                    <w:right w:val="single" w:sz="4" w:space="0" w:color="auto"/>
                  </w:tcBorders>
                  <w:shd w:val="clear" w:color="auto" w:fill="auto"/>
                  <w:noWrap/>
                </w:tcPr>
                <w:p w:rsidR="00FB0174" w:rsidRPr="00532CDD" w:rsidRDefault="00FB0174" w:rsidP="00FB0174">
                  <w:pPr>
                    <w:spacing w:after="0" w:line="240" w:lineRule="auto"/>
                    <w:rPr>
                      <w:rFonts w:ascii="Times New Roman" w:eastAsia="Times New Roman" w:hAnsi="Times New Roman"/>
                      <w:sz w:val="20"/>
                      <w:szCs w:val="20"/>
                    </w:rPr>
                  </w:pPr>
                  <w:r w:rsidRPr="00532CDD">
                    <w:rPr>
                      <w:rFonts w:ascii="Times New Roman" w:eastAsia="Times New Roman" w:hAnsi="Times New Roman"/>
                      <w:sz w:val="20"/>
                      <w:szCs w:val="20"/>
                    </w:rPr>
                    <w:t>ústavná hospicová starostlivosť</w:t>
                  </w:r>
                </w:p>
              </w:tc>
              <w:tc>
                <w:tcPr>
                  <w:tcW w:w="441" w:type="pct"/>
                  <w:tcBorders>
                    <w:top w:val="single" w:sz="4" w:space="0" w:color="auto"/>
                    <w:left w:val="single" w:sz="4" w:space="0" w:color="auto"/>
                    <w:bottom w:val="single" w:sz="4" w:space="0" w:color="D9D9D9"/>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169</w:t>
                  </w:r>
                </w:p>
              </w:tc>
              <w:tc>
                <w:tcPr>
                  <w:tcW w:w="441" w:type="pct"/>
                  <w:tcBorders>
                    <w:top w:val="single" w:sz="4" w:space="0" w:color="auto"/>
                    <w:left w:val="single" w:sz="4" w:space="0" w:color="auto"/>
                    <w:bottom w:val="single" w:sz="4" w:space="0" w:color="D9D9D9"/>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143</w:t>
                  </w:r>
                </w:p>
              </w:tc>
              <w:tc>
                <w:tcPr>
                  <w:tcW w:w="441" w:type="pct"/>
                  <w:tcBorders>
                    <w:top w:val="single" w:sz="4" w:space="0" w:color="auto"/>
                    <w:left w:val="single" w:sz="4" w:space="0" w:color="auto"/>
                    <w:bottom w:val="single" w:sz="4" w:space="0" w:color="D9D9D9"/>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159</w:t>
                  </w:r>
                </w:p>
              </w:tc>
              <w:tc>
                <w:tcPr>
                  <w:tcW w:w="441" w:type="pct"/>
                  <w:tcBorders>
                    <w:top w:val="single" w:sz="4" w:space="0" w:color="auto"/>
                    <w:left w:val="single" w:sz="4" w:space="0" w:color="auto"/>
                    <w:bottom w:val="single" w:sz="4" w:space="0" w:color="D9D9D9"/>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170</w:t>
                  </w:r>
                </w:p>
              </w:tc>
              <w:tc>
                <w:tcPr>
                  <w:tcW w:w="441" w:type="pct"/>
                  <w:tcBorders>
                    <w:top w:val="single" w:sz="4" w:space="0" w:color="auto"/>
                    <w:left w:val="single" w:sz="4" w:space="0" w:color="auto"/>
                    <w:bottom w:val="single" w:sz="4" w:space="0" w:color="D9D9D9"/>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208</w:t>
                  </w:r>
                </w:p>
              </w:tc>
              <w:tc>
                <w:tcPr>
                  <w:tcW w:w="441" w:type="pct"/>
                  <w:tcBorders>
                    <w:top w:val="single" w:sz="4" w:space="0" w:color="auto"/>
                    <w:left w:val="single" w:sz="4" w:space="0" w:color="auto"/>
                    <w:bottom w:val="single" w:sz="4" w:space="0" w:color="D9D9D9"/>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218</w:t>
                  </w:r>
                </w:p>
              </w:tc>
              <w:tc>
                <w:tcPr>
                  <w:tcW w:w="441" w:type="pct"/>
                  <w:tcBorders>
                    <w:top w:val="single" w:sz="4" w:space="0" w:color="auto"/>
                    <w:left w:val="single" w:sz="4" w:space="0" w:color="auto"/>
                    <w:bottom w:val="single" w:sz="4" w:space="0" w:color="D9D9D9"/>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218</w:t>
                  </w:r>
                </w:p>
              </w:tc>
              <w:tc>
                <w:tcPr>
                  <w:tcW w:w="441" w:type="pct"/>
                  <w:tcBorders>
                    <w:top w:val="single" w:sz="4" w:space="0" w:color="auto"/>
                    <w:left w:val="single" w:sz="4" w:space="0" w:color="auto"/>
                    <w:bottom w:val="single" w:sz="4" w:space="0" w:color="D9D9D9"/>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218</w:t>
                  </w:r>
                </w:p>
              </w:tc>
              <w:tc>
                <w:tcPr>
                  <w:tcW w:w="441" w:type="pct"/>
                  <w:tcBorders>
                    <w:top w:val="single" w:sz="4" w:space="0" w:color="auto"/>
                    <w:left w:val="single" w:sz="4" w:space="0" w:color="auto"/>
                    <w:bottom w:val="single" w:sz="4" w:space="0" w:color="D9D9D9"/>
                    <w:right w:val="single" w:sz="4" w:space="0" w:color="auto"/>
                  </w:tcBorders>
                  <w:shd w:val="clear" w:color="auto" w:fill="auto"/>
                  <w:noWrap/>
                </w:tcPr>
                <w:p w:rsidR="00FB0174" w:rsidRPr="00532CDD" w:rsidRDefault="00FB0174" w:rsidP="00FB0174">
                  <w:pPr>
                    <w:spacing w:after="0" w:line="240" w:lineRule="auto"/>
                    <w:jc w:val="right"/>
                    <w:rPr>
                      <w:rFonts w:ascii="Times New Roman" w:eastAsia="Times New Roman" w:hAnsi="Times New Roman"/>
                      <w:sz w:val="20"/>
                      <w:szCs w:val="20"/>
                    </w:rPr>
                  </w:pPr>
                  <w:r w:rsidRPr="00532CDD">
                    <w:rPr>
                      <w:rFonts w:ascii="Times New Roman" w:eastAsia="Times New Roman" w:hAnsi="Times New Roman"/>
                      <w:sz w:val="20"/>
                      <w:szCs w:val="20"/>
                    </w:rPr>
                    <w:t>205</w:t>
                  </w:r>
                </w:p>
              </w:tc>
            </w:tr>
          </w:tbl>
          <w:p w:rsidR="00FB0174" w:rsidRDefault="00FB0174" w:rsidP="00FB0174">
            <w:pPr>
              <w:spacing w:after="0" w:line="240" w:lineRule="auto"/>
              <w:jc w:val="both"/>
              <w:rPr>
                <w:rFonts w:ascii="Times New Roman" w:eastAsia="Times New Roman" w:hAnsi="Times New Roman"/>
                <w:sz w:val="20"/>
                <w:szCs w:val="20"/>
              </w:rPr>
            </w:pPr>
          </w:p>
          <w:p w:rsidR="00FB0174" w:rsidRDefault="00FB0174" w:rsidP="00FB0174">
            <w:pPr>
              <w:spacing w:after="0" w:line="240" w:lineRule="auto"/>
              <w:jc w:val="both"/>
              <w:rPr>
                <w:rFonts w:ascii="Times New Roman" w:hAnsi="Times New Roman"/>
                <w:sz w:val="20"/>
                <w:szCs w:val="20"/>
              </w:rPr>
            </w:pPr>
            <w:r w:rsidRPr="00532CDD">
              <w:rPr>
                <w:rFonts w:ascii="Times New Roman" w:eastAsia="Times New Roman" w:hAnsi="Times New Roman"/>
                <w:sz w:val="20"/>
                <w:szCs w:val="20"/>
              </w:rPr>
              <w:t>V súlade s Európskymi štandardmi paliatívnej medicíny by malo byť vytvorených 80</w:t>
            </w:r>
            <w:r>
              <w:rPr>
                <w:rFonts w:ascii="Times New Roman" w:eastAsia="Times New Roman" w:hAnsi="Times New Roman"/>
                <w:sz w:val="20"/>
                <w:szCs w:val="20"/>
              </w:rPr>
              <w:t xml:space="preserve"> – </w:t>
            </w:r>
            <w:r w:rsidRPr="00532CDD">
              <w:rPr>
                <w:rFonts w:ascii="Times New Roman" w:eastAsia="Times New Roman" w:hAnsi="Times New Roman"/>
                <w:sz w:val="20"/>
                <w:szCs w:val="20"/>
              </w:rPr>
              <w:t>100 lôžok na 1 mi</w:t>
            </w:r>
            <w:r>
              <w:rPr>
                <w:rFonts w:ascii="Times New Roman" w:eastAsia="Times New Roman" w:hAnsi="Times New Roman"/>
                <w:sz w:val="20"/>
                <w:szCs w:val="20"/>
              </w:rPr>
              <w:t>lión obyvateľov, čo v prípade Slovenskej republiky</w:t>
            </w:r>
            <w:r w:rsidRPr="00532CDD">
              <w:rPr>
                <w:rFonts w:ascii="Times New Roman" w:eastAsia="Times New Roman" w:hAnsi="Times New Roman"/>
                <w:sz w:val="20"/>
                <w:szCs w:val="20"/>
              </w:rPr>
              <w:t xml:space="preserve"> predstavuje 543 lôžok. Nad rámec lôžkového fondu je potrebné zohľadniť aj potreby </w:t>
            </w:r>
            <w:r w:rsidRPr="00E003E1">
              <w:rPr>
                <w:rFonts w:ascii="Times New Roman" w:eastAsia="Times New Roman" w:hAnsi="Times New Roman"/>
                <w:sz w:val="20"/>
                <w:szCs w:val="20"/>
              </w:rPr>
              <w:t>dostupnosti paliatívnej zdravotnej starostlivosti v domácom</w:t>
            </w:r>
            <w:r w:rsidRPr="00532CDD">
              <w:rPr>
                <w:rFonts w:ascii="Times New Roman" w:eastAsia="Times New Roman" w:hAnsi="Times New Roman"/>
                <w:sz w:val="20"/>
                <w:szCs w:val="20"/>
              </w:rPr>
              <w:t xml:space="preserve">, resp. v prirodzenom prostredí. Negatívny demografický vývoj spojený </w:t>
            </w:r>
            <w:r>
              <w:rPr>
                <w:rFonts w:ascii="Times New Roman" w:eastAsia="Times New Roman" w:hAnsi="Times New Roman"/>
                <w:sz w:val="20"/>
                <w:szCs w:val="20"/>
              </w:rPr>
              <w:t xml:space="preserve">s </w:t>
            </w:r>
            <w:r w:rsidRPr="00532CDD">
              <w:rPr>
                <w:rFonts w:ascii="Times New Roman" w:eastAsia="Times New Roman" w:hAnsi="Times New Roman"/>
                <w:sz w:val="20"/>
                <w:szCs w:val="20"/>
              </w:rPr>
              <w:t xml:space="preserve">vývojom úmrtnosti jednotlivých regiónov poukazuje na urgentnú potrebu zvýšenia dostupných kapacít. </w:t>
            </w:r>
            <w:r>
              <w:rPr>
                <w:rFonts w:ascii="Times New Roman" w:eastAsia="Times New Roman" w:hAnsi="Times New Roman"/>
                <w:sz w:val="20"/>
                <w:szCs w:val="20"/>
              </w:rPr>
              <w:t>Keďže</w:t>
            </w:r>
            <w:r w:rsidRPr="00532CDD">
              <w:rPr>
                <w:rFonts w:ascii="Times New Roman" w:eastAsia="Times New Roman" w:hAnsi="Times New Roman"/>
                <w:sz w:val="20"/>
                <w:szCs w:val="20"/>
              </w:rPr>
              <w:t xml:space="preserve"> absentuje motivácia zdravotných poisťovní uzatvárať zmluvy </w:t>
            </w:r>
            <w:r>
              <w:rPr>
                <w:rFonts w:ascii="Times New Roman" w:eastAsia="Times New Roman" w:hAnsi="Times New Roman"/>
                <w:sz w:val="20"/>
                <w:szCs w:val="20"/>
              </w:rPr>
              <w:br/>
            </w:r>
            <w:r w:rsidRPr="00532CDD">
              <w:rPr>
                <w:rFonts w:ascii="Times New Roman" w:eastAsia="Times New Roman" w:hAnsi="Times New Roman"/>
                <w:sz w:val="20"/>
                <w:szCs w:val="20"/>
              </w:rPr>
              <w:t xml:space="preserve">s poskytovateľmi zdravotnej starostlivosti nad rozsah verejnej minimálnej siete (a to aj napriek dopytu </w:t>
            </w:r>
            <w:r w:rsidRPr="00E003E1">
              <w:rPr>
                <w:rFonts w:ascii="Times New Roman" w:eastAsia="Times New Roman" w:hAnsi="Times New Roman"/>
                <w:sz w:val="20"/>
                <w:szCs w:val="20"/>
              </w:rPr>
              <w:t>poskytovateľov zdravotnej starostlivosti a poistencov), návrh nariadenia v praxi predstavuje strop v dostupnosti paliatívnej zdravotnej starostlivosti.</w:t>
            </w:r>
          </w:p>
          <w:p w:rsidR="00FB0174" w:rsidRDefault="00FB0174">
            <w:pPr>
              <w:spacing w:after="0" w:line="240" w:lineRule="auto"/>
              <w:ind w:firstLine="708"/>
              <w:jc w:val="both"/>
              <w:rPr>
                <w:rFonts w:ascii="Times New Roman" w:eastAsiaTheme="minorHAnsi" w:hAnsi="Times New Roman"/>
                <w:sz w:val="20"/>
                <w:szCs w:val="20"/>
              </w:rPr>
            </w:pPr>
          </w:p>
          <w:p w:rsidR="00FB0174" w:rsidRDefault="00FB0174" w:rsidP="006D482A">
            <w:pPr>
              <w:spacing w:after="0" w:line="240" w:lineRule="auto"/>
              <w:jc w:val="both"/>
              <w:rPr>
                <w:rFonts w:ascii="Times New Roman" w:eastAsiaTheme="minorHAnsi" w:hAnsi="Times New Roman"/>
                <w:sz w:val="20"/>
                <w:szCs w:val="20"/>
              </w:rPr>
            </w:pPr>
            <w:r>
              <w:rPr>
                <w:rFonts w:ascii="Times New Roman" w:hAnsi="Times New Roman"/>
                <w:sz w:val="20"/>
                <w:szCs w:val="20"/>
              </w:rPr>
              <w:t xml:space="preserve">Urgentný príjem v Nemocnici Malacky bol nariadením vlády Slovenskej republiky č.32/2001 Z. z., ktorým sa dopĺňa nariadenie vlády Slovenskej republiky č. 640/2008 Z. z. </w:t>
            </w:r>
            <w:r>
              <w:rPr>
                <w:rFonts w:ascii="Times New Roman" w:hAnsi="Times New Roman"/>
                <w:bCs/>
                <w:sz w:val="20"/>
                <w:szCs w:val="20"/>
              </w:rPr>
              <w:t>o verejnej minimálnej sieti poskytovateľov zdravotnej starostlivosti</w:t>
            </w:r>
            <w:r>
              <w:rPr>
                <w:rFonts w:ascii="Times New Roman" w:hAnsi="Times New Roman"/>
                <w:sz w:val="20"/>
                <w:szCs w:val="20"/>
              </w:rPr>
              <w:t xml:space="preserve"> (ďalej len ,,nariadenie“) zaradený do pevnej siete poskytovateľov 1. februára 2021. Zaradenie do pevnej siete bolo v prechodných ustanoveniach časovo obmedzené do 1. februára 2023. V tom čase už mala byť v prevádzke Nemocnica Bory, ktorá mala poskytovať urgentnú starostlivosť aj pre oblasť Záhoria. Keďže kvôli pandémii Covid-19 sa výstavba nemocnice spomalila a jej plnoformátové otvorenie sa oddialilo, tak k februáru 2023 nebude ešte fungovať urgentný príjem v Nemocnici Bory. Keďže podľa citovaného právneho predpisu by zároveň v tom čase už nemal fungovať urgentný príjem v Malackách, bude významne ohrozená </w:t>
            </w:r>
            <w:r>
              <w:rPr>
                <w:rFonts w:ascii="Times New Roman" w:hAnsi="Times New Roman"/>
                <w:sz w:val="20"/>
                <w:szCs w:val="20"/>
              </w:rPr>
              <w:lastRenderedPageBreak/>
              <w:t xml:space="preserve">dostupnosť </w:t>
            </w:r>
            <w:r>
              <w:rPr>
                <w:rFonts w:ascii="Times New Roman" w:hAnsi="Times New Roman"/>
                <w:color w:val="333333"/>
                <w:sz w:val="20"/>
                <w:szCs w:val="20"/>
                <w:shd w:val="clear" w:color="auto" w:fill="FFFFFF"/>
              </w:rPr>
              <w:t xml:space="preserve">nepretržitej ústavnej zdravotnej starostlivosti </w:t>
            </w:r>
            <w:r>
              <w:rPr>
                <w:rFonts w:ascii="Times New Roman" w:hAnsi="Times New Roman"/>
                <w:sz w:val="20"/>
                <w:szCs w:val="20"/>
              </w:rPr>
              <w:t>v regióne</w:t>
            </w:r>
            <w:r>
              <w:rPr>
                <w:rFonts w:ascii="Times New Roman" w:hAnsi="Times New Roman"/>
                <w:color w:val="333333"/>
                <w:sz w:val="20"/>
                <w:szCs w:val="20"/>
                <w:shd w:val="clear" w:color="auto" w:fill="FFFFFF"/>
              </w:rPr>
              <w:t xml:space="preserve"> Záhoria</w:t>
            </w:r>
            <w:r>
              <w:rPr>
                <w:rFonts w:ascii="Times New Roman" w:hAnsi="Times New Roman"/>
                <w:bCs/>
                <w:i/>
                <w:sz w:val="20"/>
                <w:szCs w:val="20"/>
              </w:rPr>
              <w:t xml:space="preserve">. </w:t>
            </w:r>
            <w:r>
              <w:rPr>
                <w:rFonts w:ascii="Times New Roman" w:hAnsi="Times New Roman"/>
                <w:bCs/>
                <w:sz w:val="20"/>
                <w:szCs w:val="20"/>
              </w:rPr>
              <w:t xml:space="preserve">V súčasnosti je Fakultná nemocnica Trnava zaradená do </w:t>
            </w:r>
            <w:r>
              <w:rPr>
                <w:rFonts w:ascii="Times New Roman" w:hAnsi="Times New Roman"/>
                <w:sz w:val="20"/>
                <w:szCs w:val="20"/>
              </w:rPr>
              <w:t>siete poskytovateľov ústavnej zdravotnej starostlivosti, ktorí poskytujú ústavnú pohotovostnú službu na urgentnom príjme 1. typu</w:t>
            </w:r>
            <w:r>
              <w:rPr>
                <w:rFonts w:ascii="Times New Roman" w:hAnsi="Times New Roman"/>
                <w:bCs/>
                <w:i/>
                <w:sz w:val="20"/>
                <w:szCs w:val="20"/>
              </w:rPr>
              <w:t xml:space="preserve">.  </w:t>
            </w:r>
            <w:r>
              <w:rPr>
                <w:rFonts w:ascii="Times New Roman" w:hAnsi="Times New Roman"/>
                <w:sz w:val="20"/>
                <w:szCs w:val="20"/>
              </w:rPr>
              <w:t>V súvislosti s rýchlym rozvojom priemyslu v regióne Trnava a tým aj zvýšením počtu obyvateľstva dochádza k  zvýšeniu dopytu po zdravotnej starostlivosti.</w:t>
            </w:r>
          </w:p>
          <w:p w:rsidR="007E3949" w:rsidRDefault="007E3949">
            <w:pPr>
              <w:spacing w:after="0" w:line="240" w:lineRule="auto"/>
              <w:rPr>
                <w:rFonts w:ascii="Times New Roman" w:eastAsia="Times New Roman" w:hAnsi="Times New Roman"/>
                <w:b/>
                <w:sz w:val="20"/>
                <w:szCs w:val="20"/>
              </w:rPr>
            </w:pPr>
          </w:p>
        </w:tc>
      </w:tr>
      <w:tr w:rsidR="007E3949" w:rsidTr="00C11CAE">
        <w:tc>
          <w:tcPr>
            <w:tcW w:w="9180" w:type="dxa"/>
            <w:gridSpan w:val="11"/>
            <w:tcBorders>
              <w:top w:val="single" w:sz="4" w:space="0" w:color="auto"/>
              <w:left w:val="single" w:sz="4" w:space="0" w:color="auto"/>
              <w:bottom w:val="nil"/>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lastRenderedPageBreak/>
              <w:t>Ciele a výsledný stav</w:t>
            </w:r>
          </w:p>
        </w:tc>
      </w:tr>
      <w:tr w:rsidR="007E3949" w:rsidTr="00C11CAE">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5F76C8" w:rsidRDefault="005F76C8" w:rsidP="005F76C8">
            <w:pPr>
              <w:spacing w:after="0" w:line="240" w:lineRule="auto"/>
              <w:jc w:val="both"/>
              <w:rPr>
                <w:rFonts w:ascii="Times New Roman" w:eastAsia="Times New Roman" w:hAnsi="Times New Roman"/>
                <w:sz w:val="20"/>
                <w:szCs w:val="20"/>
              </w:rPr>
            </w:pPr>
            <w:r w:rsidRPr="00493102">
              <w:rPr>
                <w:rFonts w:ascii="Times New Roman" w:eastAsia="Times New Roman" w:hAnsi="Times New Roman"/>
                <w:sz w:val="20"/>
                <w:szCs w:val="20"/>
              </w:rPr>
              <w:t xml:space="preserve">Cieľom navrhovanej právnej úpravy je zabezpečiť predovšetkým </w:t>
            </w:r>
            <w:r w:rsidRPr="00E003E1">
              <w:rPr>
                <w:rFonts w:ascii="Times New Roman" w:eastAsia="Times New Roman" w:hAnsi="Times New Roman"/>
                <w:sz w:val="20"/>
                <w:szCs w:val="20"/>
              </w:rPr>
              <w:t>dostupnosť paliatívnej zdravotnej starostlivosti</w:t>
            </w:r>
            <w:r w:rsidRPr="00493102">
              <w:rPr>
                <w:rFonts w:ascii="Times New Roman" w:eastAsia="Times New Roman" w:hAnsi="Times New Roman"/>
                <w:sz w:val="20"/>
                <w:szCs w:val="20"/>
              </w:rPr>
              <w:t xml:space="preserve"> pre osoby, ktorých zdravotný stav si to vyžaduje, a to nielen v zdravotníckych zariadeniach, ale najmä </w:t>
            </w:r>
            <w:r>
              <w:rPr>
                <w:rFonts w:ascii="Times New Roman" w:eastAsia="Times New Roman" w:hAnsi="Times New Roman"/>
                <w:sz w:val="20"/>
                <w:szCs w:val="20"/>
              </w:rPr>
              <w:br/>
            </w:r>
            <w:r w:rsidRPr="00493102">
              <w:rPr>
                <w:rFonts w:ascii="Times New Roman" w:eastAsia="Times New Roman" w:hAnsi="Times New Roman"/>
                <w:sz w:val="20"/>
                <w:szCs w:val="20"/>
              </w:rPr>
              <w:t>v prirodzenom domácom alebo v inom komunitnom prostredí, v ktorom sú tieto osoby umiestnené.</w:t>
            </w:r>
          </w:p>
          <w:p w:rsidR="005F76C8" w:rsidRDefault="005F76C8" w:rsidP="005F76C8">
            <w:pPr>
              <w:spacing w:after="0" w:line="240" w:lineRule="auto"/>
              <w:jc w:val="both"/>
              <w:rPr>
                <w:rFonts w:ascii="Times New Roman" w:hAnsi="Times New Roman" w:cstheme="minorBidi"/>
                <w:sz w:val="20"/>
                <w:szCs w:val="20"/>
              </w:rPr>
            </w:pPr>
          </w:p>
          <w:p w:rsidR="007E3949" w:rsidRPr="00375B85" w:rsidRDefault="005F76C8" w:rsidP="00375B85">
            <w:pPr>
              <w:spacing w:after="0" w:line="240" w:lineRule="auto"/>
              <w:jc w:val="both"/>
              <w:rPr>
                <w:rFonts w:ascii="Times New Roman" w:eastAsiaTheme="minorHAnsi" w:hAnsi="Times New Roman" w:cstheme="minorBidi"/>
                <w:color w:val="333333"/>
                <w:sz w:val="20"/>
                <w:szCs w:val="20"/>
                <w:shd w:val="clear" w:color="auto" w:fill="FFFFFF"/>
              </w:rPr>
            </w:pPr>
            <w:r>
              <w:rPr>
                <w:rFonts w:ascii="Times New Roman" w:hAnsi="Times New Roman" w:cstheme="minorBidi"/>
                <w:sz w:val="20"/>
                <w:szCs w:val="20"/>
              </w:rPr>
              <w:t>Ďalším</w:t>
            </w:r>
            <w:r w:rsidR="007E3949">
              <w:rPr>
                <w:rFonts w:ascii="Times New Roman" w:hAnsi="Times New Roman" w:cstheme="minorBidi"/>
                <w:sz w:val="20"/>
                <w:szCs w:val="20"/>
              </w:rPr>
              <w:t xml:space="preserve"> cieľom návrhu</w:t>
            </w:r>
            <w:r w:rsidR="007E3949">
              <w:rPr>
                <w:rFonts w:ascii="Times New Roman" w:hAnsi="Times New Roman" w:cstheme="minorBidi"/>
                <w:bCs/>
                <w:sz w:val="20"/>
                <w:szCs w:val="20"/>
              </w:rPr>
              <w:t xml:space="preserve"> nariadenia</w:t>
            </w:r>
            <w:r w:rsidR="007E3949">
              <w:rPr>
                <w:rFonts w:ascii="Times New Roman" w:hAnsi="Times New Roman" w:cstheme="minorBidi"/>
                <w:sz w:val="20"/>
                <w:szCs w:val="20"/>
              </w:rPr>
              <w:t xml:space="preserve"> je zabezpečenie </w:t>
            </w:r>
            <w:r w:rsidR="007E3949">
              <w:rPr>
                <w:rFonts w:ascii="Times New Roman" w:hAnsi="Times New Roman" w:cstheme="minorBidi"/>
                <w:color w:val="333333"/>
                <w:sz w:val="20"/>
                <w:szCs w:val="20"/>
                <w:shd w:val="clear" w:color="auto" w:fill="FFFFFF"/>
              </w:rPr>
              <w:t xml:space="preserve">nepretržitej dostupnosti ústavnej zdravotnej starostlivosti v Nemocnici Malacky pre oblasť Záhoria, a to až do plnohodnotného otvorenia Nemocnice Bory a </w:t>
            </w:r>
            <w:r w:rsidR="007E3949">
              <w:rPr>
                <w:rFonts w:ascii="Times New Roman" w:hAnsi="Times New Roman" w:cstheme="minorBidi"/>
                <w:sz w:val="20"/>
                <w:szCs w:val="20"/>
              </w:rPr>
              <w:t xml:space="preserve">zvýšenie kapacitnej priepustnosti </w:t>
            </w:r>
            <w:r w:rsidR="007E3949">
              <w:rPr>
                <w:rStyle w:val="Zvraznenie"/>
                <w:rFonts w:ascii="Times New Roman" w:hAnsi="Times New Roman" w:cstheme="minorBidi"/>
                <w:bCs/>
                <w:i w:val="0"/>
                <w:color w:val="000000"/>
                <w:sz w:val="20"/>
                <w:szCs w:val="20"/>
                <w:bdr w:val="none" w:sz="0" w:space="0" w:color="auto" w:frame="1"/>
              </w:rPr>
              <w:t xml:space="preserve">a dostupnosti ústavnej neodkladnej zdravotnej starostlivosti pri zvýšení kvality jej poskytovania zaradením Fakultnej nemocnice Trnava do </w:t>
            </w:r>
            <w:r w:rsidR="007E3949">
              <w:rPr>
                <w:rFonts w:ascii="Times New Roman" w:hAnsi="Times New Roman"/>
                <w:sz w:val="20"/>
                <w:szCs w:val="20"/>
              </w:rPr>
              <w:t>siete poskytovateľov ústavnej zdravotnej starostlivosti, ktorí poskytujú ústavnú pohotovostnú službu na urgentnom príjme 2. typu.</w:t>
            </w:r>
            <w:r w:rsidR="007E3949">
              <w:rPr>
                <w:rFonts w:ascii="Times New Roman" w:hAnsi="Times New Roman" w:cstheme="minorBidi"/>
                <w:color w:val="333333"/>
                <w:sz w:val="20"/>
                <w:szCs w:val="20"/>
                <w:shd w:val="clear" w:color="auto" w:fill="FFFFFF"/>
              </w:rPr>
              <w:t xml:space="preserve"> </w:t>
            </w:r>
          </w:p>
        </w:tc>
      </w:tr>
      <w:tr w:rsidR="007E3949" w:rsidTr="00C11CAE">
        <w:tc>
          <w:tcPr>
            <w:tcW w:w="9180" w:type="dxa"/>
            <w:gridSpan w:val="11"/>
            <w:tcBorders>
              <w:top w:val="single" w:sz="4" w:space="0" w:color="auto"/>
              <w:left w:val="single" w:sz="4" w:space="0" w:color="auto"/>
              <w:bottom w:val="nil"/>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Dotknuté subjekty</w:t>
            </w:r>
          </w:p>
        </w:tc>
      </w:tr>
      <w:tr w:rsidR="007E3949" w:rsidTr="00C11CAE">
        <w:tc>
          <w:tcPr>
            <w:tcW w:w="9180" w:type="dxa"/>
            <w:gridSpan w:val="11"/>
            <w:tcBorders>
              <w:top w:val="nil"/>
              <w:left w:val="single" w:sz="4" w:space="0" w:color="auto"/>
              <w:bottom w:val="single" w:sz="4" w:space="0" w:color="auto"/>
              <w:right w:val="single" w:sz="4" w:space="0" w:color="auto"/>
            </w:tcBorders>
            <w:shd w:val="clear" w:color="auto" w:fill="FFFFFF"/>
            <w:hideMark/>
          </w:tcPr>
          <w:p w:rsidR="00451DB3" w:rsidRDefault="00451DB3">
            <w:pPr>
              <w:spacing w:after="0" w:line="240" w:lineRule="auto"/>
              <w:rPr>
                <w:rFonts w:ascii="Times New Roman" w:eastAsia="Times New Roman" w:hAnsi="Times New Roman" w:cstheme="minorBidi"/>
                <w:sz w:val="20"/>
                <w:szCs w:val="20"/>
              </w:rPr>
            </w:pPr>
            <w:r w:rsidRPr="00E003E1">
              <w:rPr>
                <w:rFonts w:ascii="Times New Roman" w:eastAsia="Times New Roman" w:hAnsi="Times New Roman"/>
                <w:sz w:val="20"/>
                <w:szCs w:val="20"/>
              </w:rPr>
              <w:t>Poskytovatelia špecializovanej paliatívnej zdravotnej starostlivosti (mobilné hospice, hospice, oddelenia paliatívnej medicíny a ambulancie paliatívnej medicíny).</w:t>
            </w:r>
          </w:p>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cstheme="minorBidi"/>
                <w:sz w:val="20"/>
                <w:szCs w:val="20"/>
              </w:rPr>
              <w:t>Poskytovatelia zdravotnej starostlivosti, pacienti.</w:t>
            </w:r>
          </w:p>
        </w:tc>
      </w:tr>
      <w:tr w:rsidR="007E3949" w:rsidTr="00C11CAE">
        <w:tc>
          <w:tcPr>
            <w:tcW w:w="9180" w:type="dxa"/>
            <w:gridSpan w:val="11"/>
            <w:tcBorders>
              <w:top w:val="single" w:sz="4" w:space="0" w:color="auto"/>
              <w:left w:val="single" w:sz="4" w:space="0" w:color="auto"/>
              <w:bottom w:val="nil"/>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Alternatívne riešenia</w:t>
            </w:r>
          </w:p>
        </w:tc>
      </w:tr>
      <w:tr w:rsidR="007E3949" w:rsidTr="00C11CAE">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hideMark/>
          </w:tcPr>
          <w:p w:rsidR="00451DB3" w:rsidRDefault="007E3949">
            <w:pPr>
              <w:spacing w:after="0" w:line="240" w:lineRule="auto"/>
              <w:jc w:val="both"/>
              <w:rPr>
                <w:rFonts w:ascii="Times New Roman" w:eastAsia="Times New Roman" w:hAnsi="Times New Roman"/>
                <w:sz w:val="20"/>
                <w:szCs w:val="20"/>
              </w:rPr>
            </w:pPr>
            <w:r>
              <w:rPr>
                <w:rFonts w:ascii="Times New Roman" w:eastAsia="Times New Roman" w:hAnsi="Times New Roman" w:cstheme="minorBidi"/>
                <w:sz w:val="20"/>
                <w:szCs w:val="20"/>
              </w:rPr>
              <w:t xml:space="preserve">Nulový variant: </w:t>
            </w:r>
            <w:r w:rsidR="00451DB3">
              <w:rPr>
                <w:rFonts w:ascii="Times New Roman" w:eastAsia="Times New Roman" w:hAnsi="Times New Roman"/>
                <w:sz w:val="20"/>
                <w:szCs w:val="20"/>
              </w:rPr>
              <w:t>Predstavuje súčasne platnú a účinnú právnu úpravu, ktorej nedostatky sú bližšie špecifikované predovšetkým v časti 2. tejto doložky vybraných vplyvov.</w:t>
            </w:r>
          </w:p>
          <w:p w:rsidR="007E3949" w:rsidRDefault="007570AC">
            <w:pPr>
              <w:spacing w:after="0" w:line="240" w:lineRule="auto"/>
              <w:jc w:val="both"/>
              <w:rPr>
                <w:rFonts w:ascii="Times New Roman" w:eastAsiaTheme="minorHAnsi" w:hAnsi="Times New Roman" w:cstheme="minorBidi"/>
                <w:sz w:val="20"/>
                <w:szCs w:val="20"/>
              </w:rPr>
            </w:pPr>
            <w:r>
              <w:rPr>
                <w:rFonts w:ascii="Times New Roman" w:eastAsia="Times New Roman" w:hAnsi="Times New Roman" w:cstheme="minorBidi"/>
                <w:sz w:val="20"/>
                <w:szCs w:val="20"/>
              </w:rPr>
              <w:t>Zároveň v</w:t>
            </w:r>
            <w:r w:rsidR="007E3949">
              <w:rPr>
                <w:rFonts w:ascii="Times New Roman" w:eastAsia="Times New Roman" w:hAnsi="Times New Roman" w:cstheme="minorBidi"/>
                <w:sz w:val="20"/>
                <w:szCs w:val="20"/>
              </w:rPr>
              <w:t xml:space="preserve"> prípade </w:t>
            </w:r>
            <w:r w:rsidR="007E3949">
              <w:rPr>
                <w:rFonts w:ascii="Times New Roman" w:hAnsi="Times New Roman" w:cstheme="minorBidi"/>
                <w:sz w:val="20"/>
                <w:szCs w:val="20"/>
              </w:rPr>
              <w:t xml:space="preserve">absencie právnej úpravy dôjde k zhoršeniu dostupnosti a predĺženiu času poskytnutia ústavnej zdravotnej starostlivosti pre oblasť Záhoria. </w:t>
            </w:r>
          </w:p>
          <w:p w:rsidR="007E3949" w:rsidRDefault="007E3949" w:rsidP="002B0CAC">
            <w:pPr>
              <w:spacing w:after="0" w:line="240" w:lineRule="auto"/>
              <w:jc w:val="both"/>
              <w:rPr>
                <w:rFonts w:ascii="Times New Roman" w:eastAsia="Times New Roman" w:hAnsi="Times New Roman"/>
                <w:i/>
                <w:sz w:val="20"/>
                <w:szCs w:val="20"/>
              </w:rPr>
            </w:pPr>
            <w:r>
              <w:rPr>
                <w:rFonts w:ascii="Times New Roman" w:eastAsia="Times New Roman" w:hAnsi="Times New Roman"/>
                <w:sz w:val="20"/>
                <w:szCs w:val="20"/>
              </w:rPr>
              <w:t>V prípade nezaradenia Fakultnej nemocnice Trnava do</w:t>
            </w:r>
            <w:r>
              <w:rPr>
                <w:rFonts w:ascii="Times New Roman" w:hAnsi="Times New Roman"/>
                <w:bCs/>
                <w:sz w:val="20"/>
                <w:szCs w:val="20"/>
              </w:rPr>
              <w:t xml:space="preserve"> </w:t>
            </w:r>
            <w:r>
              <w:rPr>
                <w:rFonts w:ascii="Times New Roman" w:hAnsi="Times New Roman"/>
                <w:sz w:val="20"/>
                <w:szCs w:val="20"/>
              </w:rPr>
              <w:t>siete poskytovateľov ústavnej zdravotnej starostlivosti, ktorí poskytujú ústavnú pohotovostnú službu na urgentnom príjme 2. typu</w:t>
            </w:r>
            <w:r>
              <w:rPr>
                <w:rFonts w:ascii="Times New Roman" w:eastAsia="Times New Roman" w:hAnsi="Times New Roman"/>
                <w:sz w:val="20"/>
                <w:szCs w:val="20"/>
              </w:rPr>
              <w:t xml:space="preserve"> nedôjde na tomto pracovisku </w:t>
            </w:r>
            <w:r w:rsidRPr="002B0CAC">
              <w:rPr>
                <w:rStyle w:val="Zvraznenie"/>
                <w:rFonts w:ascii="Times New Roman" w:hAnsi="Times New Roman"/>
                <w:bCs/>
                <w:i w:val="0"/>
                <w:sz w:val="20"/>
                <w:szCs w:val="20"/>
                <w:bdr w:val="none" w:sz="0" w:space="0" w:color="auto" w:frame="1"/>
              </w:rPr>
              <w:t>k rozšíreniu a skvalitneniu poskytovania komplexnej zdravotnej starostlivosti v plnom rozsahu, keďže sa na urgentnom príjme nebude požadovať</w:t>
            </w:r>
            <w:r w:rsidRPr="002B0CAC">
              <w:rPr>
                <w:rFonts w:ascii="Times New Roman" w:eastAsia="Times New Roman" w:hAnsi="Times New Roman"/>
                <w:sz w:val="20"/>
                <w:szCs w:val="20"/>
              </w:rPr>
              <w:t xml:space="preserve"> potrebný rozsah špeciálnej starostlivosti.</w:t>
            </w:r>
          </w:p>
        </w:tc>
      </w:tr>
      <w:tr w:rsidR="007E3949" w:rsidTr="00C11CAE">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Vykonávacie predpisy</w:t>
            </w:r>
          </w:p>
        </w:tc>
      </w:tr>
      <w:tr w:rsidR="007E3949" w:rsidTr="00C11CAE">
        <w:tc>
          <w:tcPr>
            <w:tcW w:w="6203" w:type="dxa"/>
            <w:gridSpan w:val="7"/>
            <w:tcBorders>
              <w:top w:val="single" w:sz="4" w:space="0" w:color="FFFFFF"/>
              <w:left w:val="single" w:sz="4" w:space="0" w:color="auto"/>
              <w:bottom w:val="nil"/>
              <w:right w:val="nil"/>
            </w:tcBorders>
            <w:shd w:val="clear" w:color="auto" w:fill="FFFFFF"/>
            <w:hideMark/>
          </w:tcPr>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hideMark/>
          </w:tcPr>
          <w:p w:rsidR="007E3949" w:rsidRDefault="001D6480">
            <w:pPr>
              <w:spacing w:after="0" w:line="240" w:lineRule="auto"/>
              <w:jc w:val="center"/>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1929613764"/>
                <w14:checkbox>
                  <w14:checked w14:val="0"/>
                  <w14:checkedState w14:val="2612" w14:font="MS Gothic"/>
                  <w14:uncheckedState w14:val="2610" w14:font="MS Gothic"/>
                </w14:checkbox>
              </w:sdtPr>
              <w:sdtEndPr/>
              <w:sdtContent>
                <w:r w:rsidR="007E3949">
                  <w:rPr>
                    <w:rFonts w:ascii="MS Gothic" w:eastAsia="MS Gothic" w:hAnsi="MS Gothic" w:hint="eastAsia"/>
                    <w:b/>
                    <w:sz w:val="20"/>
                    <w:szCs w:val="20"/>
                  </w:rPr>
                  <w:t>☐</w:t>
                </w:r>
              </w:sdtContent>
            </w:sdt>
            <w:r w:rsidR="007E3949">
              <w:rPr>
                <w:rFonts w:ascii="Times New Roman" w:eastAsia="Times New Roman" w:hAnsi="Times New Roman"/>
                <w:b/>
                <w:sz w:val="20"/>
                <w:szCs w:val="20"/>
                <w:lang w:eastAsia="en-US"/>
              </w:rPr>
              <w:t xml:space="preserve">  Áno</w:t>
            </w:r>
          </w:p>
        </w:tc>
        <w:tc>
          <w:tcPr>
            <w:tcW w:w="1560" w:type="dxa"/>
            <w:gridSpan w:val="2"/>
            <w:tcBorders>
              <w:top w:val="single" w:sz="4" w:space="0" w:color="FFFFFF"/>
              <w:left w:val="nil"/>
              <w:bottom w:val="nil"/>
              <w:right w:val="single" w:sz="4" w:space="0" w:color="auto"/>
            </w:tcBorders>
            <w:shd w:val="clear" w:color="auto" w:fill="FFFFFF"/>
            <w:hideMark/>
          </w:tcPr>
          <w:p w:rsidR="007E3949" w:rsidRDefault="001D6480">
            <w:pPr>
              <w:spacing w:after="0" w:line="240" w:lineRule="auto"/>
              <w:jc w:val="center"/>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1594626508"/>
                <w14:checkbox>
                  <w14:checked w14:val="1"/>
                  <w14:checkedState w14:val="2612" w14:font="MS Gothic"/>
                  <w14:uncheckedState w14:val="2610" w14:font="MS Gothic"/>
                </w14:checkbox>
              </w:sdtPr>
              <w:sdtEndPr/>
              <w:sdtContent>
                <w:r w:rsidR="007E3949">
                  <w:rPr>
                    <w:rFonts w:ascii="MS Gothic" w:eastAsia="MS Gothic" w:hAnsi="MS Gothic" w:hint="eastAsia"/>
                    <w:b/>
                    <w:sz w:val="20"/>
                    <w:szCs w:val="20"/>
                  </w:rPr>
                  <w:t>☒</w:t>
                </w:r>
              </w:sdtContent>
            </w:sdt>
            <w:r w:rsidR="007E3949">
              <w:rPr>
                <w:rFonts w:ascii="Times New Roman" w:eastAsia="Times New Roman" w:hAnsi="Times New Roman"/>
                <w:b/>
                <w:sz w:val="20"/>
                <w:szCs w:val="20"/>
                <w:lang w:eastAsia="en-US"/>
              </w:rPr>
              <w:t xml:space="preserve">  Nie</w:t>
            </w:r>
          </w:p>
        </w:tc>
      </w:tr>
      <w:tr w:rsidR="007E3949" w:rsidTr="00C11CAE">
        <w:tc>
          <w:tcPr>
            <w:tcW w:w="9180" w:type="dxa"/>
            <w:gridSpan w:val="11"/>
            <w:tcBorders>
              <w:top w:val="nil"/>
              <w:left w:val="single" w:sz="4" w:space="0" w:color="auto"/>
              <w:bottom w:val="single" w:sz="4" w:space="0" w:color="auto"/>
              <w:right w:val="single" w:sz="4" w:space="0" w:color="auto"/>
            </w:tcBorders>
            <w:shd w:val="clear" w:color="auto" w:fill="FFFFFF"/>
          </w:tcPr>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Ak áno, uveďte ktoré oblasti budú nimi upravené, resp. ktorých vykonávacích predpisov sa zmena dotkne:</w:t>
            </w:r>
          </w:p>
          <w:p w:rsidR="007E3949" w:rsidRDefault="007E3949">
            <w:pPr>
              <w:spacing w:after="0" w:line="240" w:lineRule="auto"/>
              <w:rPr>
                <w:rFonts w:ascii="Times New Roman" w:eastAsia="Times New Roman" w:hAnsi="Times New Roman"/>
                <w:sz w:val="20"/>
                <w:szCs w:val="20"/>
              </w:rPr>
            </w:pPr>
          </w:p>
        </w:tc>
      </w:tr>
      <w:tr w:rsidR="007E3949" w:rsidTr="00C11CAE">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 xml:space="preserve">Transpozícia práva EÚ </w:t>
            </w:r>
          </w:p>
        </w:tc>
      </w:tr>
      <w:tr w:rsidR="007E3949" w:rsidTr="00C11CAE">
        <w:trPr>
          <w:trHeight w:val="157"/>
        </w:trPr>
        <w:tc>
          <w:tcPr>
            <w:tcW w:w="9180" w:type="dxa"/>
            <w:gridSpan w:val="11"/>
            <w:tcBorders>
              <w:top w:val="nil"/>
              <w:left w:val="single" w:sz="4" w:space="0" w:color="000000"/>
              <w:bottom w:val="nil"/>
              <w:right w:val="single" w:sz="4" w:space="0" w:color="auto"/>
            </w:tcBorders>
            <w:shd w:val="clear" w:color="auto" w:fill="FFFFFF"/>
            <w:hideMark/>
          </w:tcPr>
          <w:tbl>
            <w:tblPr>
              <w:tblW w:w="9003" w:type="dxa"/>
              <w:tblLayout w:type="fixed"/>
              <w:tblLook w:val="04A0" w:firstRow="1" w:lastRow="0" w:firstColumn="1" w:lastColumn="0" w:noHBand="0" w:noVBand="1"/>
            </w:tblPr>
            <w:tblGrid>
              <w:gridCol w:w="9003"/>
            </w:tblGrid>
            <w:tr w:rsidR="007E3949" w:rsidTr="003D599F">
              <w:trPr>
                <w:trHeight w:val="62"/>
              </w:trPr>
              <w:tc>
                <w:tcPr>
                  <w:tcW w:w="9003" w:type="dxa"/>
                  <w:tcBorders>
                    <w:top w:val="nil"/>
                    <w:left w:val="nil"/>
                    <w:bottom w:val="nil"/>
                    <w:right w:val="nil"/>
                  </w:tcBorders>
                  <w:hideMark/>
                </w:tcPr>
                <w:p w:rsidR="007E3949" w:rsidRDefault="007E3949">
                  <w:pPr>
                    <w:pStyle w:val="Default"/>
                    <w:spacing w:line="276" w:lineRule="auto"/>
                    <w:rPr>
                      <w:color w:val="auto"/>
                      <w:sz w:val="20"/>
                      <w:szCs w:val="20"/>
                    </w:rPr>
                  </w:pPr>
                  <w:r>
                    <w:rPr>
                      <w:i/>
                      <w:iCs/>
                      <w:color w:val="auto"/>
                      <w:sz w:val="20"/>
                      <w:szCs w:val="20"/>
                    </w:rPr>
                    <w:t xml:space="preserve">Uveďte, či v predkladanom návrhu právneho predpisu dochádza ku goldplatingu podľa tabuľky zhody. </w:t>
                  </w:r>
                </w:p>
              </w:tc>
            </w:tr>
            <w:tr w:rsidR="007E3949" w:rsidTr="003D599F">
              <w:trPr>
                <w:trHeight w:val="205"/>
              </w:trPr>
              <w:tc>
                <w:tcPr>
                  <w:tcW w:w="9003" w:type="dxa"/>
                  <w:tcBorders>
                    <w:top w:val="nil"/>
                    <w:left w:val="nil"/>
                    <w:bottom w:val="nil"/>
                    <w:right w:val="nil"/>
                  </w:tcBorders>
                </w:tcPr>
                <w:p w:rsidR="007E3949" w:rsidRDefault="007E3949">
                  <w:pPr>
                    <w:pStyle w:val="Default"/>
                    <w:spacing w:line="276" w:lineRule="auto"/>
                    <w:rPr>
                      <w:b/>
                      <w:iCs/>
                      <w:color w:val="auto"/>
                      <w:sz w:val="20"/>
                      <w:szCs w:val="20"/>
                    </w:rPr>
                  </w:pPr>
                  <w:r>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Pr>
                          <w:rFonts w:ascii="MS Gothic" w:eastAsia="MS Gothic" w:hAnsi="MS Gothic" w:hint="eastAsia"/>
                          <w:b/>
                          <w:iCs/>
                          <w:color w:val="auto"/>
                          <w:sz w:val="20"/>
                          <w:szCs w:val="20"/>
                          <w:lang w:val="en-US"/>
                        </w:rPr>
                        <w:t>☐</w:t>
                      </w:r>
                    </w:sdtContent>
                  </w:sdt>
                  <w:r>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Pr>
                          <w:rFonts w:ascii="MS Gothic" w:eastAsia="MS Gothic" w:hAnsi="MS Gothic" w:hint="eastAsia"/>
                          <w:b/>
                          <w:iCs/>
                          <w:color w:val="auto"/>
                          <w:sz w:val="20"/>
                          <w:szCs w:val="20"/>
                          <w:lang w:val="en-US"/>
                        </w:rPr>
                        <w:t>☒</w:t>
                      </w:r>
                    </w:sdtContent>
                  </w:sdt>
                  <w:r>
                    <w:rPr>
                      <w:b/>
                      <w:iCs/>
                      <w:color w:val="auto"/>
                      <w:sz w:val="20"/>
                      <w:szCs w:val="20"/>
                    </w:rPr>
                    <w:t xml:space="preserve"> Nie</w:t>
                  </w:r>
                </w:p>
                <w:p w:rsidR="007E3949" w:rsidRDefault="007E3949">
                  <w:pPr>
                    <w:pStyle w:val="Default"/>
                    <w:spacing w:line="276" w:lineRule="auto"/>
                    <w:rPr>
                      <w:i/>
                      <w:iCs/>
                      <w:color w:val="auto"/>
                      <w:sz w:val="20"/>
                      <w:szCs w:val="20"/>
                    </w:rPr>
                  </w:pPr>
                </w:p>
                <w:p w:rsidR="007E3949" w:rsidRDefault="007E3949">
                  <w:pPr>
                    <w:pStyle w:val="Default"/>
                    <w:spacing w:line="276" w:lineRule="auto"/>
                    <w:rPr>
                      <w:color w:val="auto"/>
                      <w:sz w:val="20"/>
                      <w:szCs w:val="20"/>
                    </w:rPr>
                  </w:pPr>
                  <w:r>
                    <w:rPr>
                      <w:i/>
                      <w:iCs/>
                      <w:color w:val="auto"/>
                      <w:sz w:val="20"/>
                      <w:szCs w:val="20"/>
                    </w:rPr>
                    <w:t xml:space="preserve">Ak áno, uveďte, ktorých vplyvov podľa bodu 9 sa goldplating týka: </w:t>
                  </w:r>
                </w:p>
              </w:tc>
            </w:tr>
            <w:tr w:rsidR="007E3949" w:rsidTr="003D599F">
              <w:trPr>
                <w:trHeight w:val="205"/>
              </w:trPr>
              <w:tc>
                <w:tcPr>
                  <w:tcW w:w="9003" w:type="dxa"/>
                  <w:tcBorders>
                    <w:top w:val="nil"/>
                    <w:left w:val="nil"/>
                    <w:bottom w:val="nil"/>
                    <w:right w:val="nil"/>
                  </w:tcBorders>
                </w:tcPr>
                <w:p w:rsidR="007E3949" w:rsidRDefault="007E3949">
                  <w:pPr>
                    <w:pStyle w:val="Default"/>
                    <w:spacing w:line="276" w:lineRule="auto"/>
                    <w:rPr>
                      <w:rFonts w:ascii="Segoe UI Symbol" w:hAnsi="Segoe UI Symbol" w:cs="Segoe UI Symbol"/>
                      <w:sz w:val="20"/>
                      <w:szCs w:val="20"/>
                    </w:rPr>
                  </w:pPr>
                </w:p>
              </w:tc>
            </w:tr>
          </w:tbl>
          <w:p w:rsidR="007E3949" w:rsidRDefault="007E3949">
            <w:pPr>
              <w:spacing w:after="0" w:line="240" w:lineRule="auto"/>
              <w:jc w:val="both"/>
              <w:rPr>
                <w:rFonts w:ascii="Times New Roman" w:eastAsia="Times New Roman" w:hAnsi="Times New Roman"/>
                <w:i/>
                <w:sz w:val="20"/>
                <w:szCs w:val="20"/>
              </w:rPr>
            </w:pPr>
          </w:p>
        </w:tc>
      </w:tr>
      <w:tr w:rsidR="007E3949" w:rsidTr="003D599F">
        <w:trPr>
          <w:trHeight w:val="100"/>
        </w:trPr>
        <w:tc>
          <w:tcPr>
            <w:tcW w:w="9180" w:type="dxa"/>
            <w:gridSpan w:val="11"/>
            <w:tcBorders>
              <w:top w:val="nil"/>
              <w:left w:val="single" w:sz="4" w:space="0" w:color="000000"/>
              <w:bottom w:val="single" w:sz="4" w:space="0" w:color="000000"/>
              <w:right w:val="single" w:sz="4" w:space="0" w:color="000000"/>
            </w:tcBorders>
            <w:shd w:val="clear" w:color="auto" w:fill="FFFFFF"/>
          </w:tcPr>
          <w:p w:rsidR="007E3949" w:rsidRDefault="007E3949">
            <w:pPr>
              <w:spacing w:after="0" w:line="240" w:lineRule="auto"/>
              <w:jc w:val="center"/>
              <w:rPr>
                <w:rFonts w:ascii="Times New Roman" w:eastAsia="Times New Roman" w:hAnsi="Times New Roman"/>
                <w:sz w:val="20"/>
                <w:szCs w:val="20"/>
              </w:rPr>
            </w:pPr>
          </w:p>
        </w:tc>
      </w:tr>
      <w:tr w:rsidR="007E3949" w:rsidTr="00C11CAE">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Preskúmanie účelnosti</w:t>
            </w:r>
          </w:p>
        </w:tc>
      </w:tr>
      <w:tr w:rsidR="007E3949" w:rsidTr="00C11CAE">
        <w:tc>
          <w:tcPr>
            <w:tcW w:w="9180" w:type="dxa"/>
            <w:gridSpan w:val="11"/>
            <w:tcBorders>
              <w:top w:val="single" w:sz="4" w:space="0" w:color="FFFFFF"/>
              <w:left w:val="single" w:sz="4" w:space="0" w:color="auto"/>
              <w:bottom w:val="single" w:sz="4" w:space="0" w:color="auto"/>
              <w:right w:val="single" w:sz="4" w:space="0" w:color="auto"/>
            </w:tcBorders>
            <w:shd w:val="clear" w:color="auto" w:fill="FFFFFF"/>
            <w:hideMark/>
          </w:tcPr>
          <w:p w:rsidR="0013497A" w:rsidRDefault="0013497A">
            <w:pPr>
              <w:spacing w:after="0" w:line="240" w:lineRule="auto"/>
              <w:rPr>
                <w:rFonts w:ascii="Times New Roman" w:eastAsia="Times New Roman" w:hAnsi="Times New Roman"/>
                <w:sz w:val="20"/>
                <w:szCs w:val="20"/>
              </w:rPr>
            </w:pPr>
            <w:r w:rsidRPr="0013497A">
              <w:rPr>
                <w:rFonts w:ascii="Times New Roman" w:eastAsia="Times New Roman" w:hAnsi="Times New Roman"/>
                <w:sz w:val="20"/>
                <w:szCs w:val="20"/>
              </w:rPr>
              <w:t>Preskúmanie účinnosti a účelnosti navrhovaného nariadenia bude vykonávané priebežne po nadobudnutí jeho účinnosti. Medzi kritériá preskúmania tejto účinnosti a účelnosti budú patriť referencie vecných sekcií MZ SR, ktoré vyhodnotia prínos z pohľadu zvýšenia dostupnosti paliatívnej zdravotnej starostlivosti a tam, kde to bude aplikovateľné, aj kvalita takto poskytovanej zdravotnej starostlivosti.</w:t>
            </w:r>
          </w:p>
          <w:p w:rsidR="007E3949" w:rsidRDefault="007E3949">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 xml:space="preserve">Preskúmanie </w:t>
            </w:r>
            <w:r w:rsidR="0013497A">
              <w:rPr>
                <w:rFonts w:ascii="Times New Roman" w:eastAsia="Times New Roman" w:hAnsi="Times New Roman"/>
                <w:sz w:val="20"/>
                <w:szCs w:val="20"/>
              </w:rPr>
              <w:t xml:space="preserve">účinnosti vo vzťahu k úprave urgentného príjmu v Malackých sa uskutoční </w:t>
            </w:r>
            <w:r>
              <w:rPr>
                <w:rFonts w:ascii="Times New Roman" w:eastAsia="Times New Roman" w:hAnsi="Times New Roman"/>
                <w:sz w:val="20"/>
                <w:szCs w:val="20"/>
              </w:rPr>
              <w:t xml:space="preserve">po 5 rokoch – preskúmanie počtu koncovo ošetrených pacientov so špecifickými diagnózami v porovnaní s predchádzajúcimi rokmi.  </w:t>
            </w:r>
          </w:p>
        </w:tc>
      </w:tr>
      <w:tr w:rsidR="007E3949" w:rsidTr="00C11CAE">
        <w:tc>
          <w:tcPr>
            <w:tcW w:w="9180" w:type="dxa"/>
            <w:gridSpan w:val="11"/>
            <w:tcBorders>
              <w:top w:val="nil"/>
              <w:left w:val="nil"/>
              <w:bottom w:val="single" w:sz="4" w:space="0" w:color="auto"/>
              <w:right w:val="nil"/>
            </w:tcBorders>
            <w:shd w:val="clear" w:color="auto" w:fill="FFFFFF"/>
          </w:tcPr>
          <w:p w:rsidR="007E3949" w:rsidRDefault="007E3949">
            <w:pPr>
              <w:spacing w:after="0" w:line="240" w:lineRule="auto"/>
              <w:jc w:val="both"/>
              <w:rPr>
                <w:rFonts w:ascii="Times New Roman" w:eastAsia="Times New Roman" w:hAnsi="Times New Roman"/>
                <w:b/>
                <w:sz w:val="20"/>
                <w:szCs w:val="20"/>
              </w:rPr>
            </w:pPr>
          </w:p>
          <w:p w:rsidR="007E3949" w:rsidRDefault="007E3949">
            <w:pPr>
              <w:spacing w:after="0" w:line="240" w:lineRule="auto"/>
              <w:jc w:val="both"/>
              <w:rPr>
                <w:rFonts w:ascii="Times New Roman" w:eastAsia="Times New Roman" w:hAnsi="Times New Roman"/>
                <w:b/>
                <w:sz w:val="20"/>
                <w:szCs w:val="20"/>
              </w:rPr>
            </w:pPr>
          </w:p>
          <w:p w:rsidR="007E3949" w:rsidRDefault="007E3949">
            <w:pPr>
              <w:spacing w:after="0" w:line="240" w:lineRule="auto"/>
              <w:ind w:left="142" w:hanging="142"/>
              <w:jc w:val="both"/>
              <w:rPr>
                <w:rFonts w:ascii="Times New Roman" w:eastAsia="Times New Roman" w:hAnsi="Times New Roman"/>
                <w:sz w:val="20"/>
                <w:szCs w:val="20"/>
              </w:rPr>
            </w:pPr>
            <w:r>
              <w:rPr>
                <w:rFonts w:ascii="Times New Roman" w:eastAsia="Times New Roman" w:hAnsi="Times New Roman"/>
                <w:sz w:val="20"/>
                <w:szCs w:val="20"/>
              </w:rPr>
              <w:t xml:space="preserve">* vyplniť iba v prípade, ak materiál nie je zahrnutý do Plánu práce vlády Slovenskej republiky alebo Plánu        legislatívnych úloh vlády Slovenskej republiky. </w:t>
            </w:r>
          </w:p>
          <w:p w:rsidR="007E3949" w:rsidRDefault="007E394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vyplniť iba v prípade, ak sa záverečné posúdenie vybraných vplyvov uskutočnilo v zmysle bodu 9.1. jednotnej metodiky.</w:t>
            </w:r>
          </w:p>
          <w:p w:rsidR="007E3949" w:rsidRDefault="007E394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posudzovanie sa týka len zmien v I. a II. pilieri univerzálneho systému dôchodkového zabezpečenia s identifikovaným dopadom od 0,1 % HDP (vrátane) na dlhodobom horizonte.</w:t>
            </w:r>
          </w:p>
          <w:p w:rsidR="007E3949" w:rsidRDefault="007E3949">
            <w:pPr>
              <w:spacing w:after="0" w:line="240" w:lineRule="auto"/>
              <w:jc w:val="both"/>
              <w:rPr>
                <w:rFonts w:ascii="Times New Roman" w:eastAsia="Times New Roman" w:hAnsi="Times New Roman"/>
                <w:b/>
                <w:sz w:val="20"/>
                <w:szCs w:val="20"/>
              </w:rPr>
            </w:pPr>
            <w:bookmarkStart w:id="0" w:name="_GoBack"/>
            <w:bookmarkEnd w:id="0"/>
          </w:p>
        </w:tc>
      </w:tr>
      <w:tr w:rsidR="007E3949" w:rsidTr="00C11CAE">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Vybrané vplyvy  materiálu</w:t>
            </w:r>
          </w:p>
        </w:tc>
      </w:tr>
      <w:tr w:rsidR="007E3949" w:rsidTr="00C11CAE">
        <w:tc>
          <w:tcPr>
            <w:tcW w:w="3812" w:type="dxa"/>
            <w:tcBorders>
              <w:top w:val="single" w:sz="4" w:space="0" w:color="auto"/>
              <w:left w:val="single" w:sz="4" w:space="0" w:color="auto"/>
              <w:bottom w:val="nil"/>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Vplyvy na rozpočet verejnej správy</w:t>
            </w:r>
          </w:p>
        </w:tc>
        <w:sdt>
          <w:sdtPr>
            <w:rPr>
              <w:rFonts w:ascii="Times New Roman" w:eastAsia="Times New Roman" w:hAnsi="Times New Roman" w:cstheme="minorBidi"/>
              <w:b/>
              <w:sz w:val="20"/>
              <w:szCs w:val="20"/>
              <w:lang w:eastAsia="en-US"/>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hideMark/>
              </w:tcPr>
              <w:p w:rsidR="007E3949" w:rsidRDefault="007E3949">
                <w:pPr>
                  <w:spacing w:after="0" w:line="240" w:lineRule="auto"/>
                  <w:ind w:left="-107" w:right="-108"/>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hideMark/>
          </w:tcPr>
          <w:p w:rsidR="007E3949" w:rsidRDefault="007E3949">
            <w:pPr>
              <w:spacing w:after="0" w:line="240" w:lineRule="auto"/>
              <w:ind w:left="34"/>
              <w:rPr>
                <w:rFonts w:ascii="Times New Roman" w:eastAsia="Times New Roman" w:hAnsi="Times New Roman"/>
                <w:b/>
                <w:sz w:val="20"/>
                <w:szCs w:val="20"/>
              </w:rPr>
            </w:pPr>
            <w:r>
              <w:rPr>
                <w:rFonts w:ascii="Times New Roman" w:eastAsia="Times New Roman" w:hAnsi="Times New Roman"/>
                <w:b/>
                <w:sz w:val="20"/>
                <w:szCs w:val="20"/>
              </w:rPr>
              <w:t>Negatívne</w:t>
            </w:r>
          </w:p>
        </w:tc>
      </w:tr>
      <w:tr w:rsidR="007E3949" w:rsidTr="00C11CAE">
        <w:tc>
          <w:tcPr>
            <w:tcW w:w="3812" w:type="dxa"/>
            <w:tcBorders>
              <w:top w:val="nil"/>
              <w:left w:val="single" w:sz="4" w:space="0" w:color="auto"/>
              <w:bottom w:val="nil"/>
              <w:right w:val="single" w:sz="4" w:space="0" w:color="auto"/>
            </w:tcBorders>
            <w:shd w:val="clear" w:color="auto" w:fill="E2E2E2"/>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z toho rozpočtovo zabezpečené vplyvy,         </w:t>
            </w:r>
          </w:p>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v prípade identifikovaného negatívneho </w:t>
            </w:r>
          </w:p>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vplyvu</w:t>
            </w:r>
          </w:p>
        </w:tc>
        <w:sdt>
          <w:sdtPr>
            <w:rPr>
              <w:rFonts w:ascii="Times New Roman" w:eastAsia="Times New Roman" w:hAnsi="Times New Roman" w:cstheme="minorBidi"/>
              <w:sz w:val="20"/>
              <w:szCs w:val="20"/>
              <w:lang w:eastAsia="en-US"/>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cstheme="minorBidi" w:hint="eastAsia"/>
                    <w:sz w:val="20"/>
                    <w:szCs w:val="20"/>
                    <w:lang w:val="en-US"/>
                  </w:rPr>
                  <w:t>☒</w:t>
                </w:r>
              </w:p>
            </w:tc>
          </w:sdtContent>
        </w:sdt>
        <w:tc>
          <w:tcPr>
            <w:tcW w:w="1312"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Áno</w:t>
            </w:r>
          </w:p>
        </w:tc>
        <w:sdt>
          <w:sdtPr>
            <w:rPr>
              <w:rFonts w:ascii="Times New Roman" w:eastAsia="Times New Roman" w:hAnsi="Times New Roman" w:cstheme="minorBidi"/>
              <w:sz w:val="20"/>
              <w:szCs w:val="20"/>
              <w:lang w:eastAsia="en-US"/>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Nie</w:t>
            </w:r>
          </w:p>
        </w:tc>
        <w:sdt>
          <w:sdtPr>
            <w:rPr>
              <w:rFonts w:ascii="Times New Roman" w:eastAsia="Times New Roman" w:hAnsi="Times New Roman" w:cstheme="minorBidi"/>
              <w:sz w:val="20"/>
              <w:szCs w:val="20"/>
              <w:lang w:eastAsia="en-US"/>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ind w:left="-107" w:right="-108"/>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hideMark/>
          </w:tcPr>
          <w:p w:rsidR="007E3949" w:rsidRDefault="007E3949">
            <w:pPr>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Čiastočne</w:t>
            </w:r>
          </w:p>
        </w:tc>
      </w:tr>
      <w:tr w:rsidR="007E3949" w:rsidTr="00C11CAE">
        <w:tc>
          <w:tcPr>
            <w:tcW w:w="3812" w:type="dxa"/>
            <w:tcBorders>
              <w:top w:val="nil"/>
              <w:left w:val="single" w:sz="4" w:space="0" w:color="auto"/>
              <w:bottom w:val="nil"/>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v tom vplyvy na rozpočty obcí a vyšších územných celkov</w:t>
            </w:r>
          </w:p>
        </w:tc>
        <w:sdt>
          <w:sdtPr>
            <w:rPr>
              <w:rFonts w:ascii="Times New Roman" w:eastAsia="Times New Roman" w:hAnsi="Times New Roman" w:cstheme="minorBidi"/>
              <w:b/>
              <w:sz w:val="20"/>
              <w:szCs w:val="20"/>
              <w:lang w:eastAsia="en-US"/>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hideMark/>
              </w:tcPr>
              <w:p w:rsidR="007E3949" w:rsidRDefault="007E3949">
                <w:pPr>
                  <w:spacing w:after="0" w:line="240" w:lineRule="auto"/>
                  <w:ind w:left="-107" w:right="-108"/>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hideMark/>
          </w:tcPr>
          <w:p w:rsidR="007E3949" w:rsidRDefault="007E3949">
            <w:pPr>
              <w:spacing w:after="0" w:line="240" w:lineRule="auto"/>
              <w:ind w:left="34"/>
              <w:rPr>
                <w:rFonts w:ascii="Times New Roman" w:eastAsia="Times New Roman" w:hAnsi="Times New Roman"/>
                <w:b/>
                <w:sz w:val="20"/>
                <w:szCs w:val="20"/>
              </w:rPr>
            </w:pPr>
            <w:r>
              <w:rPr>
                <w:rFonts w:ascii="Times New Roman" w:eastAsia="Times New Roman" w:hAnsi="Times New Roman"/>
                <w:b/>
                <w:sz w:val="20"/>
                <w:szCs w:val="20"/>
              </w:rPr>
              <w:t>Negatívne</w:t>
            </w:r>
          </w:p>
        </w:tc>
      </w:tr>
      <w:tr w:rsidR="007E3949" w:rsidTr="00C11CAE">
        <w:tc>
          <w:tcPr>
            <w:tcW w:w="3812" w:type="dxa"/>
            <w:tcBorders>
              <w:top w:val="nil"/>
              <w:left w:val="single" w:sz="4" w:space="0" w:color="auto"/>
              <w:bottom w:val="single" w:sz="4" w:space="0" w:color="auto"/>
              <w:right w:val="single" w:sz="4" w:space="0" w:color="auto"/>
            </w:tcBorders>
            <w:shd w:val="clear" w:color="auto" w:fill="E2E2E2"/>
            <w:hideMark/>
          </w:tcPr>
          <w:p w:rsidR="007E3949" w:rsidRDefault="007E3949">
            <w:pPr>
              <w:spacing w:after="0" w:line="240" w:lineRule="auto"/>
              <w:ind w:left="171"/>
              <w:rPr>
                <w:rFonts w:ascii="Times New Roman" w:eastAsia="Times New Roman" w:hAnsi="Times New Roman"/>
                <w:sz w:val="20"/>
                <w:szCs w:val="20"/>
              </w:rPr>
            </w:pPr>
            <w:r>
              <w:rPr>
                <w:rFonts w:ascii="Times New Roman" w:eastAsia="Times New Roman" w:hAnsi="Times New Roman"/>
                <w:sz w:val="20"/>
                <w:szCs w:val="20"/>
              </w:rPr>
              <w:t>z toho rozpočtovo zabezpečené vplyvy,</w:t>
            </w:r>
          </w:p>
          <w:p w:rsidR="007E3949" w:rsidRDefault="007E3949">
            <w:pPr>
              <w:spacing w:after="0" w:line="240" w:lineRule="auto"/>
              <w:ind w:left="171"/>
              <w:rPr>
                <w:rFonts w:ascii="Times New Roman" w:eastAsia="Times New Roman" w:hAnsi="Times New Roman"/>
                <w:sz w:val="20"/>
                <w:szCs w:val="20"/>
              </w:rPr>
            </w:pPr>
            <w:r>
              <w:rPr>
                <w:rFonts w:ascii="Times New Roman" w:eastAsia="Times New Roman" w:hAnsi="Times New Roman"/>
                <w:sz w:val="20"/>
                <w:szCs w:val="20"/>
              </w:rPr>
              <w:t>v prípade identifikovaného negatívneho vplyvu</w:t>
            </w:r>
          </w:p>
        </w:tc>
        <w:sdt>
          <w:sdtPr>
            <w:rPr>
              <w:rFonts w:ascii="Times New Roman" w:eastAsia="Times New Roman" w:hAnsi="Times New Roman" w:cstheme="minorBidi"/>
              <w:sz w:val="20"/>
              <w:szCs w:val="20"/>
              <w:lang w:eastAsia="en-US"/>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single" w:sz="4" w:space="0" w:color="auto"/>
              <w:right w:val="nil"/>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Áno</w:t>
            </w:r>
          </w:p>
        </w:tc>
        <w:sdt>
          <w:sdtPr>
            <w:rPr>
              <w:rFonts w:ascii="Times New Roman" w:eastAsia="Times New Roman" w:hAnsi="Times New Roman" w:cstheme="minorBidi"/>
              <w:sz w:val="20"/>
              <w:szCs w:val="20"/>
              <w:lang w:eastAsia="en-US"/>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single" w:sz="4" w:space="0" w:color="auto"/>
              <w:right w:val="nil"/>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Nie</w:t>
            </w:r>
          </w:p>
        </w:tc>
        <w:sdt>
          <w:sdtPr>
            <w:rPr>
              <w:rFonts w:ascii="Times New Roman" w:eastAsia="Times New Roman" w:hAnsi="Times New Roman" w:cstheme="minorBidi"/>
              <w:sz w:val="20"/>
              <w:szCs w:val="20"/>
              <w:lang w:eastAsia="en-US"/>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hideMark/>
              </w:tcPr>
              <w:p w:rsidR="007E3949" w:rsidRDefault="007E3949">
                <w:pPr>
                  <w:spacing w:after="0" w:line="240" w:lineRule="auto"/>
                  <w:ind w:left="-107" w:right="-108"/>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single" w:sz="4" w:space="0" w:color="auto"/>
              <w:right w:val="single" w:sz="4" w:space="0" w:color="auto"/>
            </w:tcBorders>
            <w:vAlign w:val="center"/>
            <w:hideMark/>
          </w:tcPr>
          <w:p w:rsidR="007E3949" w:rsidRDefault="007E3949">
            <w:pPr>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Čiastočne</w:t>
            </w:r>
          </w:p>
        </w:tc>
      </w:tr>
      <w:tr w:rsidR="007E3949" w:rsidTr="00C11CAE">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7E3949" w:rsidRDefault="007E3949">
            <w:pPr>
              <w:spacing w:after="0" w:line="240" w:lineRule="auto"/>
              <w:ind w:left="171"/>
              <w:rPr>
                <w:rFonts w:ascii="Times New Roman" w:eastAsia="Times New Roman" w:hAnsi="Times New Roman"/>
                <w:sz w:val="20"/>
                <w:szCs w:val="20"/>
              </w:rPr>
            </w:pPr>
            <w:r>
              <w:rPr>
                <w:rFonts w:ascii="Times New Roman" w:eastAsia="Times New Roman" w:hAnsi="Times New Roman"/>
                <w:sz w:val="20"/>
                <w:szCs w:val="20"/>
              </w:rPr>
              <w:t>Vplyv na dlhodobú udržateľnosť verejných financií v prípade vybraných opatrení ***</w:t>
            </w:r>
          </w:p>
        </w:tc>
        <w:sdt>
          <w:sdtPr>
            <w:rPr>
              <w:rFonts w:ascii="Times New Roman" w:eastAsia="Times New Roman" w:hAnsi="Times New Roman" w:cstheme="minorBidi"/>
              <w:sz w:val="20"/>
              <w:szCs w:val="20"/>
              <w:lang w:eastAsia="en-US"/>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312" w:type="dxa"/>
            <w:gridSpan w:val="2"/>
            <w:tcBorders>
              <w:top w:val="single" w:sz="4" w:space="0" w:color="auto"/>
              <w:left w:val="nil"/>
              <w:bottom w:val="single" w:sz="4" w:space="0" w:color="auto"/>
              <w:right w:val="nil"/>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Áno</w:t>
            </w:r>
          </w:p>
        </w:tc>
        <w:tc>
          <w:tcPr>
            <w:tcW w:w="538" w:type="dxa"/>
            <w:gridSpan w:val="2"/>
            <w:tcBorders>
              <w:top w:val="single" w:sz="4" w:space="0" w:color="auto"/>
              <w:left w:val="nil"/>
              <w:bottom w:val="single" w:sz="4" w:space="0" w:color="auto"/>
              <w:right w:val="nil"/>
            </w:tcBorders>
            <w:vAlign w:val="center"/>
          </w:tcPr>
          <w:p w:rsidR="007E3949" w:rsidRDefault="007E3949">
            <w:pPr>
              <w:spacing w:after="0" w:line="240" w:lineRule="auto"/>
              <w:jc w:val="center"/>
              <w:rPr>
                <w:rFonts w:ascii="Times New Roman" w:eastAsia="Times New Roman" w:hAnsi="Times New Roman"/>
                <w:sz w:val="20"/>
                <w:szCs w:val="20"/>
              </w:rPr>
            </w:pPr>
          </w:p>
        </w:tc>
        <w:tc>
          <w:tcPr>
            <w:tcW w:w="1133" w:type="dxa"/>
            <w:tcBorders>
              <w:top w:val="single" w:sz="4" w:space="0" w:color="auto"/>
              <w:left w:val="nil"/>
              <w:bottom w:val="single" w:sz="4" w:space="0" w:color="auto"/>
              <w:right w:val="nil"/>
            </w:tcBorders>
            <w:vAlign w:val="center"/>
          </w:tcPr>
          <w:p w:rsidR="007E3949" w:rsidRDefault="007E3949">
            <w:pPr>
              <w:spacing w:after="0" w:line="240" w:lineRule="auto"/>
              <w:rPr>
                <w:rFonts w:ascii="Times New Roman" w:eastAsia="Times New Roman" w:hAnsi="Times New Roman"/>
                <w:sz w:val="20"/>
                <w:szCs w:val="20"/>
              </w:rPr>
            </w:pPr>
          </w:p>
        </w:tc>
        <w:sdt>
          <w:sdtPr>
            <w:rPr>
              <w:rFonts w:ascii="Times New Roman" w:eastAsia="Times New Roman" w:hAnsi="Times New Roman" w:cstheme="minorBidi"/>
              <w:sz w:val="20"/>
              <w:szCs w:val="20"/>
              <w:lang w:eastAsia="en-US"/>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hideMark/>
              </w:tcPr>
              <w:p w:rsidR="007E3949" w:rsidRDefault="007E3949">
                <w:pPr>
                  <w:spacing w:after="0" w:line="240" w:lineRule="auto"/>
                  <w:ind w:left="-107" w:right="-108"/>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297" w:type="dxa"/>
            <w:tcBorders>
              <w:top w:val="single" w:sz="4" w:space="0" w:color="auto"/>
              <w:left w:val="nil"/>
              <w:bottom w:val="single" w:sz="4" w:space="0" w:color="auto"/>
              <w:right w:val="single" w:sz="4" w:space="0" w:color="auto"/>
            </w:tcBorders>
            <w:vAlign w:val="center"/>
            <w:hideMark/>
          </w:tcPr>
          <w:p w:rsidR="007E3949" w:rsidRDefault="007E3949">
            <w:pPr>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Nie</w:t>
            </w:r>
          </w:p>
        </w:tc>
      </w:tr>
      <w:tr w:rsidR="007E3949" w:rsidTr="00C11CAE">
        <w:tc>
          <w:tcPr>
            <w:tcW w:w="3812" w:type="dxa"/>
            <w:tcBorders>
              <w:top w:val="single" w:sz="4" w:space="0" w:color="auto"/>
              <w:left w:val="single" w:sz="4" w:space="0" w:color="auto"/>
              <w:bottom w:val="nil"/>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Vplyvy na podnikateľské prostredie</w:t>
            </w:r>
          </w:p>
        </w:tc>
        <w:sdt>
          <w:sdtPr>
            <w:rPr>
              <w:rFonts w:ascii="Times New Roman" w:eastAsia="Times New Roman" w:hAnsi="Times New Roman" w:cstheme="minorBidi"/>
              <w:b/>
              <w:sz w:val="20"/>
              <w:szCs w:val="20"/>
              <w:lang w:eastAsia="en-US"/>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vAlign w:val="center"/>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vAlign w:val="center"/>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vAlign w:val="center"/>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r w:rsidR="007E3949" w:rsidTr="00C11CAE">
        <w:tc>
          <w:tcPr>
            <w:tcW w:w="3812" w:type="dxa"/>
            <w:tcBorders>
              <w:top w:val="nil"/>
              <w:left w:val="single" w:sz="4" w:space="0" w:color="000000"/>
              <w:bottom w:val="nil"/>
              <w:right w:val="single" w:sz="4" w:space="0" w:color="000000"/>
            </w:tcBorders>
            <w:shd w:val="clear" w:color="auto" w:fill="E2E2E2"/>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z toho vplyvy na MSP</w:t>
            </w:r>
          </w:p>
          <w:p w:rsidR="007E3949" w:rsidRDefault="007E3949">
            <w:pPr>
              <w:spacing w:after="0" w:line="240" w:lineRule="auto"/>
              <w:rPr>
                <w:rFonts w:ascii="Times New Roman" w:eastAsia="Times New Roman" w:hAnsi="Times New Roman"/>
                <w:sz w:val="20"/>
                <w:szCs w:val="20"/>
              </w:rPr>
            </w:pPr>
          </w:p>
        </w:tc>
        <w:sdt>
          <w:sdtPr>
            <w:rPr>
              <w:rFonts w:ascii="Times New Roman" w:eastAsia="Times New Roman" w:hAnsi="Times New Roman" w:cstheme="minorBidi"/>
              <w:sz w:val="20"/>
              <w:szCs w:val="20"/>
              <w:lang w:eastAsia="en-US"/>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ind w:right="-108"/>
              <w:rPr>
                <w:rFonts w:ascii="Times New Roman" w:eastAsia="Times New Roman" w:hAnsi="Times New Roman"/>
                <w:sz w:val="20"/>
                <w:szCs w:val="20"/>
              </w:rPr>
            </w:pPr>
            <w:r>
              <w:rPr>
                <w:rFonts w:ascii="Times New Roman" w:eastAsia="Times New Roman" w:hAnsi="Times New Roman"/>
                <w:sz w:val="20"/>
                <w:szCs w:val="20"/>
              </w:rPr>
              <w:t>Pozitívne</w:t>
            </w:r>
          </w:p>
        </w:tc>
        <w:sdt>
          <w:sdtPr>
            <w:rPr>
              <w:rFonts w:ascii="Times New Roman" w:eastAsia="Times New Roman" w:hAnsi="Times New Roman" w:cstheme="minorBidi"/>
              <w:sz w:val="20"/>
              <w:szCs w:val="20"/>
              <w:lang w:eastAsia="en-US"/>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Žiadne</w:t>
            </w:r>
          </w:p>
        </w:tc>
        <w:sdt>
          <w:sdtPr>
            <w:rPr>
              <w:rFonts w:ascii="Times New Roman" w:eastAsia="Times New Roman" w:hAnsi="Times New Roman" w:cstheme="minorBidi"/>
              <w:sz w:val="20"/>
              <w:szCs w:val="20"/>
              <w:lang w:eastAsia="en-US"/>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hideMark/>
          </w:tcPr>
          <w:p w:rsidR="007E3949" w:rsidRDefault="007E3949">
            <w:pPr>
              <w:spacing w:after="0" w:line="240" w:lineRule="auto"/>
              <w:ind w:left="54"/>
              <w:rPr>
                <w:rFonts w:ascii="Times New Roman" w:eastAsia="Times New Roman" w:hAnsi="Times New Roman"/>
                <w:sz w:val="20"/>
                <w:szCs w:val="20"/>
              </w:rPr>
            </w:pPr>
            <w:r>
              <w:rPr>
                <w:rFonts w:ascii="Times New Roman" w:eastAsia="Times New Roman" w:hAnsi="Times New Roman"/>
                <w:sz w:val="20"/>
                <w:szCs w:val="20"/>
              </w:rPr>
              <w:t>Negatívne</w:t>
            </w:r>
          </w:p>
        </w:tc>
      </w:tr>
      <w:tr w:rsidR="007E3949" w:rsidTr="00C11CAE">
        <w:tc>
          <w:tcPr>
            <w:tcW w:w="3812" w:type="dxa"/>
            <w:tcBorders>
              <w:top w:val="nil"/>
              <w:left w:val="single" w:sz="4" w:space="0" w:color="auto"/>
              <w:bottom w:val="single" w:sz="4" w:space="0" w:color="auto"/>
              <w:right w:val="single" w:sz="4" w:space="0" w:color="auto"/>
            </w:tcBorders>
            <w:shd w:val="clear" w:color="auto" w:fill="E2E2E2"/>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Mechanizmus znižovania byrokracie    </w:t>
            </w:r>
          </w:p>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xml:space="preserve">    a nákladov sa uplatňuje:</w:t>
            </w:r>
          </w:p>
        </w:tc>
        <w:sdt>
          <w:sdtPr>
            <w:rPr>
              <w:rFonts w:ascii="Times New Roman" w:eastAsia="Times New Roman" w:hAnsi="Times New Roman" w:cstheme="minorBidi"/>
              <w:b/>
              <w:sz w:val="20"/>
              <w:szCs w:val="20"/>
              <w:lang w:eastAsia="en-US"/>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596" w:type="dxa"/>
            <w:gridSpan w:val="3"/>
            <w:tcBorders>
              <w:top w:val="dotted" w:sz="4" w:space="0" w:color="auto"/>
              <w:left w:val="nil"/>
              <w:bottom w:val="single" w:sz="4" w:space="0" w:color="auto"/>
              <w:right w:val="nil"/>
            </w:tcBorders>
            <w:vAlign w:val="center"/>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sz w:val="20"/>
                <w:szCs w:val="20"/>
              </w:rPr>
              <w:t>Áno</w:t>
            </w:r>
          </w:p>
        </w:tc>
        <w:tc>
          <w:tcPr>
            <w:tcW w:w="254" w:type="dxa"/>
            <w:tcBorders>
              <w:top w:val="dotted" w:sz="4" w:space="0" w:color="auto"/>
              <w:left w:val="nil"/>
              <w:bottom w:val="single" w:sz="4" w:space="0" w:color="auto"/>
              <w:right w:val="nil"/>
            </w:tcBorders>
            <w:vAlign w:val="center"/>
          </w:tcPr>
          <w:p w:rsidR="007E3949" w:rsidRDefault="007E3949">
            <w:pPr>
              <w:spacing w:after="0" w:line="240" w:lineRule="auto"/>
              <w:jc w:val="center"/>
              <w:rPr>
                <w:rFonts w:ascii="Times New Roman" w:eastAsia="Times New Roman" w:hAnsi="Times New Roman"/>
                <w:b/>
                <w:sz w:val="20"/>
                <w:szCs w:val="20"/>
              </w:rPr>
            </w:pPr>
          </w:p>
        </w:tc>
        <w:tc>
          <w:tcPr>
            <w:tcW w:w="1133" w:type="dxa"/>
            <w:tcBorders>
              <w:top w:val="dotted" w:sz="4" w:space="0" w:color="auto"/>
              <w:left w:val="nil"/>
              <w:bottom w:val="single" w:sz="4" w:space="0" w:color="auto"/>
              <w:right w:val="nil"/>
            </w:tcBorders>
            <w:vAlign w:val="center"/>
          </w:tcPr>
          <w:p w:rsidR="007E3949" w:rsidRDefault="007E3949">
            <w:pPr>
              <w:spacing w:after="0" w:line="240" w:lineRule="auto"/>
              <w:jc w:val="center"/>
              <w:rPr>
                <w:rFonts w:ascii="Times New Roman" w:eastAsia="Times New Roman" w:hAnsi="Times New Roman"/>
                <w:b/>
                <w:sz w:val="20"/>
                <w:szCs w:val="20"/>
              </w:rPr>
            </w:pPr>
          </w:p>
        </w:tc>
        <w:sdt>
          <w:sdtPr>
            <w:rPr>
              <w:rFonts w:ascii="Times New Roman" w:eastAsia="Times New Roman" w:hAnsi="Times New Roman" w:cstheme="minorBidi"/>
              <w:b/>
              <w:sz w:val="20"/>
              <w:szCs w:val="20"/>
              <w:lang w:eastAsia="en-US"/>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single" w:sz="4" w:space="0" w:color="auto"/>
              <w:right w:val="single" w:sz="4" w:space="0" w:color="auto"/>
            </w:tcBorders>
            <w:vAlign w:val="center"/>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sz w:val="20"/>
                <w:szCs w:val="20"/>
              </w:rPr>
              <w:t>Nie</w:t>
            </w:r>
          </w:p>
        </w:tc>
      </w:tr>
      <w:tr w:rsidR="007E3949" w:rsidTr="00C11CAE">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Sociálne vplyvy</w:t>
            </w:r>
          </w:p>
        </w:tc>
        <w:sdt>
          <w:sdtPr>
            <w:rPr>
              <w:rFonts w:ascii="Times New Roman" w:eastAsia="Times New Roman" w:hAnsi="Times New Roman" w:cstheme="minorBidi"/>
              <w:b/>
              <w:sz w:val="20"/>
              <w:szCs w:val="20"/>
              <w:lang w:eastAsia="en-US"/>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r w:rsidR="007E3949" w:rsidTr="00C11CAE">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Vplyvy na životné prostredie</w:t>
            </w:r>
          </w:p>
        </w:tc>
        <w:sdt>
          <w:sdtPr>
            <w:rPr>
              <w:rFonts w:ascii="Times New Roman" w:eastAsia="Times New Roman" w:hAnsi="Times New Roman" w:cstheme="minorBidi"/>
              <w:b/>
              <w:sz w:val="20"/>
              <w:szCs w:val="20"/>
              <w:lang w:eastAsia="en-US"/>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r w:rsidR="007E3949" w:rsidTr="00C11CAE">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Vplyvy na informatizáciu spoločnosti</w:t>
            </w:r>
          </w:p>
        </w:tc>
        <w:sdt>
          <w:sdtPr>
            <w:rPr>
              <w:rFonts w:ascii="Times New Roman" w:eastAsia="Times New Roman" w:hAnsi="Times New Roman" w:cstheme="minorBidi"/>
              <w:b/>
              <w:sz w:val="20"/>
              <w:szCs w:val="20"/>
              <w:lang w:eastAsia="en-US"/>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bl>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7E3949" w:rsidTr="007E3949">
        <w:tc>
          <w:tcPr>
            <w:tcW w:w="3812" w:type="dxa"/>
            <w:tcBorders>
              <w:top w:val="single" w:sz="4" w:space="0" w:color="auto"/>
              <w:left w:val="single" w:sz="4" w:space="0" w:color="auto"/>
              <w:bottom w:val="nil"/>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Calibri"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tcPr>
          <w:p w:rsidR="007E3949" w:rsidRDefault="007E3949">
            <w:pPr>
              <w:spacing w:after="0" w:line="240" w:lineRule="auto"/>
              <w:jc w:val="center"/>
              <w:rPr>
                <w:rFonts w:ascii="Times New Roman" w:eastAsia="MS Mincho" w:hAnsi="Times New Roman"/>
                <w:b/>
                <w:sz w:val="20"/>
                <w:szCs w:val="20"/>
              </w:rPr>
            </w:pPr>
          </w:p>
        </w:tc>
        <w:tc>
          <w:tcPr>
            <w:tcW w:w="1281" w:type="dxa"/>
            <w:tcBorders>
              <w:top w:val="single" w:sz="4" w:space="0" w:color="auto"/>
              <w:left w:val="nil"/>
              <w:bottom w:val="nil"/>
              <w:right w:val="nil"/>
            </w:tcBorders>
          </w:tcPr>
          <w:p w:rsidR="007E3949" w:rsidRDefault="007E3949">
            <w:pPr>
              <w:spacing w:after="0" w:line="240" w:lineRule="auto"/>
              <w:ind w:right="-108"/>
              <w:rPr>
                <w:rFonts w:ascii="Times New Roman" w:eastAsia="Times New Roman" w:hAnsi="Times New Roman"/>
                <w:b/>
                <w:sz w:val="20"/>
                <w:szCs w:val="20"/>
              </w:rPr>
            </w:pPr>
          </w:p>
        </w:tc>
        <w:tc>
          <w:tcPr>
            <w:tcW w:w="569" w:type="dxa"/>
            <w:gridSpan w:val="2"/>
            <w:tcBorders>
              <w:top w:val="single" w:sz="4" w:space="0" w:color="auto"/>
              <w:left w:val="nil"/>
              <w:bottom w:val="nil"/>
              <w:right w:val="nil"/>
            </w:tcBorders>
          </w:tcPr>
          <w:p w:rsidR="007E3949" w:rsidRDefault="007E3949">
            <w:pPr>
              <w:spacing w:after="0" w:line="240" w:lineRule="auto"/>
              <w:jc w:val="center"/>
              <w:rPr>
                <w:rFonts w:ascii="Times New Roman" w:eastAsia="MS Mincho" w:hAnsi="Times New Roman"/>
                <w:b/>
                <w:sz w:val="20"/>
                <w:szCs w:val="20"/>
              </w:rPr>
            </w:pPr>
          </w:p>
        </w:tc>
        <w:tc>
          <w:tcPr>
            <w:tcW w:w="1133" w:type="dxa"/>
            <w:tcBorders>
              <w:top w:val="single" w:sz="4" w:space="0" w:color="auto"/>
              <w:left w:val="nil"/>
              <w:bottom w:val="nil"/>
              <w:right w:val="nil"/>
            </w:tcBorders>
          </w:tcPr>
          <w:p w:rsidR="007E3949" w:rsidRDefault="007E3949">
            <w:pPr>
              <w:spacing w:after="0" w:line="240" w:lineRule="auto"/>
              <w:rPr>
                <w:rFonts w:ascii="Times New Roman" w:eastAsia="Times New Roman" w:hAnsi="Times New Roman"/>
                <w:b/>
                <w:sz w:val="20"/>
                <w:szCs w:val="20"/>
              </w:rPr>
            </w:pPr>
          </w:p>
        </w:tc>
        <w:tc>
          <w:tcPr>
            <w:tcW w:w="547" w:type="dxa"/>
            <w:tcBorders>
              <w:top w:val="single" w:sz="4" w:space="0" w:color="auto"/>
              <w:left w:val="nil"/>
              <w:bottom w:val="nil"/>
              <w:right w:val="nil"/>
            </w:tcBorders>
          </w:tcPr>
          <w:p w:rsidR="007E3949" w:rsidRDefault="007E3949">
            <w:pPr>
              <w:spacing w:after="0" w:line="240" w:lineRule="auto"/>
              <w:jc w:val="center"/>
              <w:rPr>
                <w:rFonts w:ascii="Times New Roman" w:eastAsia="MS Mincho" w:hAnsi="Times New Roman"/>
                <w:b/>
                <w:sz w:val="20"/>
                <w:szCs w:val="20"/>
              </w:rPr>
            </w:pPr>
          </w:p>
        </w:tc>
        <w:tc>
          <w:tcPr>
            <w:tcW w:w="1297" w:type="dxa"/>
            <w:tcBorders>
              <w:top w:val="single" w:sz="4" w:space="0" w:color="auto"/>
              <w:left w:val="nil"/>
              <w:bottom w:val="nil"/>
              <w:right w:val="single" w:sz="4" w:space="0" w:color="auto"/>
            </w:tcBorders>
          </w:tcPr>
          <w:p w:rsidR="007E3949" w:rsidRDefault="007E3949">
            <w:pPr>
              <w:spacing w:after="0" w:line="240" w:lineRule="auto"/>
              <w:ind w:left="54"/>
              <w:rPr>
                <w:rFonts w:ascii="Times New Roman" w:eastAsia="Times New Roman" w:hAnsi="Times New Roman"/>
                <w:b/>
                <w:sz w:val="20"/>
                <w:szCs w:val="20"/>
              </w:rPr>
            </w:pPr>
          </w:p>
        </w:tc>
      </w:tr>
      <w:tr w:rsidR="007E3949" w:rsidTr="007E3949">
        <w:tc>
          <w:tcPr>
            <w:tcW w:w="3812" w:type="dxa"/>
            <w:tcBorders>
              <w:top w:val="nil"/>
              <w:left w:val="single" w:sz="4" w:space="0" w:color="auto"/>
              <w:bottom w:val="nil"/>
              <w:right w:val="single" w:sz="4" w:space="0" w:color="auto"/>
            </w:tcBorders>
            <w:shd w:val="clear" w:color="auto" w:fill="E2E2E2"/>
            <w:hideMark/>
          </w:tcPr>
          <w:p w:rsidR="007E3949" w:rsidRDefault="007E3949">
            <w:pPr>
              <w:spacing w:after="0" w:line="240" w:lineRule="auto"/>
              <w:ind w:left="196" w:hanging="196"/>
              <w:rPr>
                <w:rFonts w:ascii="Times New Roman" w:eastAsia="Calibri" w:hAnsi="Times New Roman"/>
                <w:b/>
                <w:sz w:val="20"/>
                <w:szCs w:val="20"/>
              </w:rPr>
            </w:pPr>
            <w:r>
              <w:rPr>
                <w:rFonts w:ascii="Times New Roman" w:eastAsia="Calibri" w:hAnsi="Times New Roman"/>
                <w:b/>
                <w:sz w:val="20"/>
                <w:szCs w:val="20"/>
              </w:rPr>
              <w:t xml:space="preserve">    vplyvy služieb verejnej správy na občana</w:t>
            </w:r>
          </w:p>
        </w:tc>
        <w:sdt>
          <w:sdtPr>
            <w:rPr>
              <w:rFonts w:ascii="Times New Roman" w:eastAsia="Times New Roman" w:hAnsi="Times New Roman"/>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hideMark/>
              </w:tcPr>
              <w:p w:rsidR="007E3949" w:rsidRDefault="007E3949">
                <w:pPr>
                  <w:spacing w:after="0" w:line="240" w:lineRule="auto"/>
                  <w:jc w:val="center"/>
                  <w:rPr>
                    <w:rFonts w:ascii="Times New Roman" w:eastAsia="Times New Roman" w:hAnsi="Times New Roman"/>
                    <w:b/>
                    <w:sz w:val="20"/>
                    <w:szCs w:val="20"/>
                  </w:rPr>
                </w:pPr>
                <w:r>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hideMark/>
              </w:tcPr>
              <w:p w:rsidR="007E3949" w:rsidRDefault="007E3949">
                <w:pPr>
                  <w:spacing w:after="0" w:line="240" w:lineRule="auto"/>
                  <w:jc w:val="center"/>
                  <w:rPr>
                    <w:rFonts w:ascii="Times New Roman" w:eastAsia="Times New Roman" w:hAnsi="Times New Roman"/>
                    <w:b/>
                    <w:sz w:val="20"/>
                    <w:szCs w:val="20"/>
                  </w:rPr>
                </w:pPr>
                <w:r>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hideMark/>
              </w:tcPr>
              <w:p w:rsidR="007E3949" w:rsidRDefault="007E3949">
                <w:pPr>
                  <w:spacing w:after="0" w:line="240" w:lineRule="auto"/>
                  <w:jc w:val="center"/>
                  <w:rPr>
                    <w:rFonts w:ascii="Times New Roman" w:eastAsia="Times New Roman" w:hAnsi="Times New Roman"/>
                    <w:b/>
                    <w:sz w:val="20"/>
                    <w:szCs w:val="20"/>
                  </w:rPr>
                </w:pPr>
                <w:r>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r w:rsidR="007E3949" w:rsidTr="007E3949">
        <w:tc>
          <w:tcPr>
            <w:tcW w:w="3812" w:type="dxa"/>
            <w:tcBorders>
              <w:top w:val="nil"/>
              <w:left w:val="single" w:sz="4" w:space="0" w:color="auto"/>
              <w:bottom w:val="nil"/>
              <w:right w:val="single" w:sz="4" w:space="0" w:color="auto"/>
            </w:tcBorders>
            <w:shd w:val="clear" w:color="auto" w:fill="E2E2E2"/>
            <w:hideMark/>
          </w:tcPr>
          <w:p w:rsidR="007E3949" w:rsidRDefault="007E3949">
            <w:pPr>
              <w:spacing w:after="0" w:line="240" w:lineRule="auto"/>
              <w:ind w:left="168" w:hanging="168"/>
              <w:rPr>
                <w:rFonts w:ascii="Times New Roman" w:eastAsia="Calibri" w:hAnsi="Times New Roman"/>
                <w:b/>
                <w:sz w:val="20"/>
                <w:szCs w:val="20"/>
              </w:rPr>
            </w:pPr>
            <w:r>
              <w:rPr>
                <w:rFonts w:ascii="Times New Roman" w:eastAsia="Calibri" w:hAnsi="Times New Roman"/>
                <w:b/>
                <w:sz w:val="20"/>
                <w:szCs w:val="20"/>
              </w:rPr>
              <w:t xml:space="preserve">    vplyvy na procesy služieb vo verejnej správe</w:t>
            </w:r>
          </w:p>
        </w:tc>
        <w:sdt>
          <w:sdtPr>
            <w:rPr>
              <w:rFonts w:ascii="Times New Roman" w:eastAsia="Times New Roman" w:hAnsi="Times New Roman"/>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vAlign w:val="center"/>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vAlign w:val="center"/>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hideMark/>
              </w:tcPr>
              <w:p w:rsidR="007E3949" w:rsidRDefault="007E3949">
                <w:pPr>
                  <w:spacing w:after="0" w:line="240" w:lineRule="auto"/>
                  <w:jc w:val="center"/>
                  <w:rPr>
                    <w:rFonts w:ascii="Times New Roman" w:eastAsia="Times New Roman" w:hAnsi="Times New Roman"/>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vAlign w:val="center"/>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bl>
    <w:tbl>
      <w:tblPr>
        <w:tblStyle w:val="Mriekatabuky1"/>
        <w:tblW w:w="0" w:type="dxa"/>
        <w:tblInd w:w="0" w:type="dxa"/>
        <w:tblLayout w:type="fixed"/>
        <w:tblLook w:val="04A0" w:firstRow="1" w:lastRow="0" w:firstColumn="1" w:lastColumn="0" w:noHBand="0" w:noVBand="1"/>
      </w:tblPr>
      <w:tblGrid>
        <w:gridCol w:w="3812"/>
        <w:gridCol w:w="541"/>
        <w:gridCol w:w="1312"/>
        <w:gridCol w:w="538"/>
        <w:gridCol w:w="1133"/>
        <w:gridCol w:w="547"/>
        <w:gridCol w:w="1297"/>
      </w:tblGrid>
      <w:tr w:rsidR="007E3949" w:rsidTr="007E3949">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Vplyvy na manželstvo, rodičovstvo a rodinu</w:t>
            </w:r>
          </w:p>
        </w:tc>
        <w:sdt>
          <w:sdtPr>
            <w:rPr>
              <w:rFonts w:ascii="Times New Roman" w:eastAsia="Times New Roman" w:hAnsi="Times New Roman" w:cstheme="minorBidi"/>
              <w:b/>
              <w:sz w:val="20"/>
              <w:szCs w:val="20"/>
              <w:lang w:eastAsia="en-US"/>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312" w:type="dxa"/>
            <w:tcBorders>
              <w:top w:val="single" w:sz="4" w:space="0" w:color="auto"/>
              <w:left w:val="nil"/>
              <w:bottom w:val="single" w:sz="4" w:space="0" w:color="auto"/>
              <w:right w:val="nil"/>
            </w:tcBorders>
            <w:vAlign w:val="center"/>
            <w:hideMark/>
          </w:tcPr>
          <w:p w:rsidR="007E3949" w:rsidRDefault="007E3949">
            <w:pPr>
              <w:spacing w:after="0" w:line="240" w:lineRule="auto"/>
              <w:ind w:right="-108"/>
              <w:rPr>
                <w:rFonts w:ascii="Times New Roman" w:eastAsia="Times New Roman" w:hAnsi="Times New Roman"/>
                <w:b/>
                <w:sz w:val="20"/>
                <w:szCs w:val="20"/>
              </w:rPr>
            </w:pPr>
            <w:r>
              <w:rPr>
                <w:rFonts w:ascii="Times New Roman" w:eastAsia="Times New Roman" w:hAnsi="Times New Roman"/>
                <w:b/>
                <w:sz w:val="20"/>
                <w:szCs w:val="20"/>
              </w:rPr>
              <w:t>Pozitívne</w:t>
            </w:r>
          </w:p>
        </w:tc>
        <w:sdt>
          <w:sdtPr>
            <w:rPr>
              <w:rFonts w:ascii="Times New Roman" w:eastAsia="Times New Roman" w:hAnsi="Times New Roman" w:cstheme="minorBidi"/>
              <w:b/>
              <w:sz w:val="20"/>
              <w:szCs w:val="20"/>
              <w:lang w:eastAsia="en-US"/>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vAlign w:val="center"/>
            <w:hideMark/>
          </w:tcPr>
          <w:p w:rsidR="007E3949" w:rsidRDefault="007E394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Žiadne</w:t>
            </w:r>
          </w:p>
        </w:tc>
        <w:sdt>
          <w:sdtPr>
            <w:rPr>
              <w:rFonts w:ascii="Times New Roman" w:eastAsia="Times New Roman" w:hAnsi="Times New Roman" w:cstheme="minorBidi"/>
              <w:b/>
              <w:sz w:val="20"/>
              <w:szCs w:val="20"/>
              <w:lang w:eastAsia="en-US"/>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hideMark/>
              </w:tcPr>
              <w:p w:rsidR="007E3949" w:rsidRDefault="007E3949">
                <w:pPr>
                  <w:spacing w:after="0" w:line="240" w:lineRule="auto"/>
                  <w:jc w:val="center"/>
                  <w:rPr>
                    <w:rFonts w:ascii="Times New Roman" w:eastAsia="Times New Roman" w:hAnsi="Times New Roman" w:cstheme="minorBidi"/>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vAlign w:val="center"/>
            <w:hideMark/>
          </w:tcPr>
          <w:p w:rsidR="007E3949" w:rsidRDefault="007E3949">
            <w:pPr>
              <w:spacing w:after="0" w:line="240" w:lineRule="auto"/>
              <w:ind w:left="54"/>
              <w:rPr>
                <w:rFonts w:ascii="Times New Roman" w:eastAsia="Times New Roman" w:hAnsi="Times New Roman"/>
                <w:b/>
                <w:sz w:val="20"/>
                <w:szCs w:val="20"/>
              </w:rPr>
            </w:pPr>
            <w:r>
              <w:rPr>
                <w:rFonts w:ascii="Times New Roman" w:eastAsia="Times New Roman" w:hAnsi="Times New Roman"/>
                <w:b/>
                <w:sz w:val="20"/>
                <w:szCs w:val="20"/>
              </w:rPr>
              <w:t>Negatívne</w:t>
            </w:r>
          </w:p>
        </w:tc>
      </w:tr>
    </w:tbl>
    <w:p w:rsidR="007E3949" w:rsidRDefault="007E3949" w:rsidP="007E3949">
      <w:pPr>
        <w:spacing w:after="0" w:line="240" w:lineRule="auto"/>
        <w:ind w:right="141"/>
        <w:rPr>
          <w:rFonts w:ascii="Times New Roman" w:eastAsia="Times New Roman" w:hAnsi="Times New Roman"/>
          <w:b/>
          <w:sz w:val="20"/>
          <w:szCs w:val="20"/>
        </w:rPr>
      </w:pPr>
    </w:p>
    <w:tbl>
      <w:tblPr>
        <w:tblStyle w:val="Mriekatabuky1"/>
        <w:tblW w:w="0" w:type="dxa"/>
        <w:tblInd w:w="0" w:type="dxa"/>
        <w:tblLayout w:type="fixed"/>
        <w:tblLook w:val="04A0" w:firstRow="1" w:lastRow="0" w:firstColumn="1" w:lastColumn="0" w:noHBand="0" w:noVBand="1"/>
      </w:tblPr>
      <w:tblGrid>
        <w:gridCol w:w="9176"/>
      </w:tblGrid>
      <w:tr w:rsidR="007E3949" w:rsidTr="007E3949">
        <w:tc>
          <w:tcPr>
            <w:tcW w:w="9176" w:type="dxa"/>
            <w:tcBorders>
              <w:top w:val="single" w:sz="4" w:space="0" w:color="auto"/>
              <w:left w:val="single" w:sz="4" w:space="0" w:color="auto"/>
              <w:bottom w:val="nil"/>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Poznámky</w:t>
            </w:r>
          </w:p>
        </w:tc>
      </w:tr>
      <w:tr w:rsidR="007E3949" w:rsidTr="007E3949">
        <w:trPr>
          <w:trHeight w:val="713"/>
        </w:trPr>
        <w:tc>
          <w:tcPr>
            <w:tcW w:w="9176" w:type="dxa"/>
            <w:tcBorders>
              <w:top w:val="nil"/>
              <w:left w:val="single" w:sz="4" w:space="0" w:color="auto"/>
              <w:bottom w:val="single" w:sz="4" w:space="0" w:color="FFFFFF"/>
              <w:right w:val="single" w:sz="4" w:space="0" w:color="auto"/>
            </w:tcBorders>
          </w:tcPr>
          <w:p w:rsidR="00127FFE" w:rsidRDefault="00127FFE" w:rsidP="00127FFE">
            <w:pPr>
              <w:spacing w:after="0" w:line="240" w:lineRule="auto"/>
              <w:ind w:right="177"/>
              <w:jc w:val="both"/>
              <w:rPr>
                <w:rFonts w:ascii="Times New Roman" w:hAnsi="Times New Roman"/>
                <w:sz w:val="20"/>
                <w:szCs w:val="20"/>
              </w:rPr>
            </w:pPr>
            <w:r w:rsidRPr="00493102">
              <w:rPr>
                <w:rFonts w:ascii="Times New Roman" w:hAnsi="Times New Roman"/>
                <w:sz w:val="20"/>
                <w:szCs w:val="20"/>
              </w:rPr>
              <w:t xml:space="preserve">Neočakáva sa, </w:t>
            </w:r>
            <w:r>
              <w:rPr>
                <w:rFonts w:ascii="Times New Roman" w:hAnsi="Times New Roman"/>
                <w:sz w:val="20"/>
                <w:szCs w:val="20"/>
              </w:rPr>
              <w:t>že by navrhované nariadenie mali</w:t>
            </w:r>
            <w:r w:rsidRPr="00493102">
              <w:rPr>
                <w:rFonts w:ascii="Times New Roman" w:hAnsi="Times New Roman"/>
                <w:sz w:val="20"/>
                <w:szCs w:val="20"/>
              </w:rPr>
              <w:t xml:space="preserve"> sprevádzať negatívne vplyvy, naopak, očakáva </w:t>
            </w:r>
            <w:r>
              <w:rPr>
                <w:rFonts w:ascii="Times New Roman" w:hAnsi="Times New Roman"/>
                <w:sz w:val="20"/>
                <w:szCs w:val="20"/>
              </w:rPr>
              <w:br/>
            </w:r>
            <w:r w:rsidRPr="00493102">
              <w:rPr>
                <w:rFonts w:ascii="Times New Roman" w:hAnsi="Times New Roman"/>
                <w:sz w:val="20"/>
                <w:szCs w:val="20"/>
              </w:rPr>
              <w:t>sa profesionalizácia poskytovania špecializovanej paliatívnej medicíny, a teda zvýšenie kvality  a dostupnosti tejto zdravotnej starostlivosti.</w:t>
            </w:r>
          </w:p>
          <w:p w:rsidR="00127FFE" w:rsidRDefault="00127FFE" w:rsidP="00127FFE">
            <w:pPr>
              <w:spacing w:after="0" w:line="240" w:lineRule="auto"/>
              <w:jc w:val="both"/>
              <w:rPr>
                <w:rFonts w:ascii="Times New Roman" w:hAnsi="Times New Roman"/>
                <w:sz w:val="20"/>
                <w:szCs w:val="20"/>
              </w:rPr>
            </w:pPr>
          </w:p>
          <w:p w:rsidR="00127FFE" w:rsidRDefault="00127FFE" w:rsidP="00127FFE">
            <w:pPr>
              <w:spacing w:after="0" w:line="240" w:lineRule="auto"/>
              <w:ind w:right="177"/>
              <w:jc w:val="both"/>
              <w:rPr>
                <w:rFonts w:ascii="Times New Roman" w:hAnsi="Times New Roman"/>
                <w:sz w:val="20"/>
                <w:szCs w:val="20"/>
              </w:rPr>
            </w:pPr>
            <w:r>
              <w:rPr>
                <w:rFonts w:ascii="Times New Roman" w:hAnsi="Times New Roman"/>
                <w:sz w:val="20"/>
                <w:szCs w:val="20"/>
              </w:rPr>
              <w:t xml:space="preserve">V súčasnom stave sú podľa dostupných údajov celkové náklady verejného zdravotného poistenia v rámci hospitalizácie pacientov, ktorí vyžadujú dlhodobú starostlivosť na lôžku v ústavnom zdravotníckom zariadení v objeme 72,73 miliónov eur. V prípade predloženého návrhu novely nariadenia sú odhadované celkové náklady vo výške 72,69 miliónov eur, v ktorých je zahrnutá ústavná aj ambulantná zdravotná starostlivosť pre tento typ pacienta. Uvedený výpočet zohľadňuje skrátenie dĺžky hospitalizácie v priemere o 10 % z konzumovanej zdravotnej starostlivosti a zároveň v sebe zahŕňa navýšenie počtu lôžok v ústavnej zdravotnej starostlivosti a presun približne 50 %. Tento rozdiel bol následne premietnutý do ambulantnej starostlivosti. Výpočtom je možné konštatovať žiadne vplyvy na rozpočet verejnej správy, a to najmä z pohľadu dĺžky hospitalizácie a presunu pacienta do ambulantnej zdravotnej starostlivosti. Zároveň sa týmto zvýši dostupnosť zdravotnej starostlivosti priamo v jednotlivých regiónoch Slovenskej republiky, a to vybudovaním nových ambulancií paliatívnej medicíny a rozsahu siete mobilných hospicov. </w:t>
            </w:r>
          </w:p>
          <w:p w:rsidR="00127FFE" w:rsidRDefault="00127FFE" w:rsidP="00127FFE">
            <w:pPr>
              <w:spacing w:after="0" w:line="240" w:lineRule="auto"/>
              <w:jc w:val="both"/>
              <w:rPr>
                <w:rFonts w:ascii="Times New Roman" w:hAnsi="Times New Roman"/>
                <w:sz w:val="20"/>
                <w:szCs w:val="20"/>
              </w:rPr>
            </w:pPr>
          </w:p>
          <w:p w:rsidR="00127FFE" w:rsidRDefault="00127FFE" w:rsidP="00127FFE">
            <w:pPr>
              <w:spacing w:after="0" w:line="240" w:lineRule="auto"/>
              <w:ind w:right="177"/>
              <w:jc w:val="both"/>
              <w:rPr>
                <w:rFonts w:ascii="Times New Roman" w:hAnsi="Times New Roman"/>
                <w:sz w:val="20"/>
                <w:szCs w:val="20"/>
              </w:rPr>
            </w:pPr>
            <w:r>
              <w:rPr>
                <w:rFonts w:ascii="Times New Roman" w:hAnsi="Times New Roman"/>
                <w:sz w:val="20"/>
                <w:szCs w:val="20"/>
              </w:rPr>
              <w:t>Z uvedených skutočností možno konštatovať, že vplyvy na rozpočet verejnej správy nie sú natoľko zásadné, aby v celkovej miere ovplyvnili rozpočet v takom rozsahu, aby by bolo potrebné definovať jeho výšku, keďže pomerovo k výške výdavkov verejného zdravotného poistenia ide približne o 40 tisíc eur za rok.</w:t>
            </w:r>
          </w:p>
          <w:p w:rsidR="00127FFE" w:rsidRDefault="00127FFE" w:rsidP="00127FFE">
            <w:pPr>
              <w:spacing w:after="0" w:line="240" w:lineRule="auto"/>
              <w:jc w:val="both"/>
              <w:rPr>
                <w:rFonts w:ascii="Times New Roman" w:hAnsi="Times New Roman"/>
                <w:sz w:val="20"/>
                <w:szCs w:val="20"/>
              </w:rPr>
            </w:pPr>
          </w:p>
          <w:p w:rsidR="00127FFE" w:rsidRPr="004B0638" w:rsidRDefault="00127FFE" w:rsidP="00127FFE">
            <w:pPr>
              <w:spacing w:after="0" w:line="240" w:lineRule="auto"/>
              <w:ind w:right="177"/>
              <w:jc w:val="both"/>
              <w:rPr>
                <w:rFonts w:ascii="Times New Roman" w:hAnsi="Times New Roman"/>
                <w:sz w:val="20"/>
                <w:szCs w:val="20"/>
              </w:rPr>
            </w:pPr>
            <w:r>
              <w:rPr>
                <w:rFonts w:ascii="Times New Roman" w:hAnsi="Times New Roman"/>
                <w:sz w:val="20"/>
                <w:szCs w:val="20"/>
              </w:rPr>
              <w:t xml:space="preserve">V rámci uvedenej novely nariadenia je možné predpokladať marginálne zmeny v sociálnej oblasti, a to najmä </w:t>
            </w:r>
            <w:r>
              <w:rPr>
                <w:rFonts w:ascii="Times New Roman" w:hAnsi="Times New Roman"/>
                <w:sz w:val="20"/>
                <w:szCs w:val="20"/>
              </w:rPr>
              <w:br/>
              <w:t>v zabezpečení</w:t>
            </w:r>
            <w:r w:rsidRPr="004B0638">
              <w:rPr>
                <w:rFonts w:ascii="Times New Roman" w:hAnsi="Times New Roman"/>
                <w:sz w:val="20"/>
                <w:szCs w:val="20"/>
              </w:rPr>
              <w:t xml:space="preserve"> </w:t>
            </w:r>
            <w:r>
              <w:rPr>
                <w:rFonts w:ascii="Times New Roman" w:hAnsi="Times New Roman"/>
                <w:sz w:val="20"/>
                <w:szCs w:val="20"/>
              </w:rPr>
              <w:t>dostupnosti</w:t>
            </w:r>
            <w:r w:rsidRPr="004B0638">
              <w:rPr>
                <w:rFonts w:ascii="Times New Roman" w:hAnsi="Times New Roman"/>
                <w:sz w:val="20"/>
                <w:szCs w:val="20"/>
              </w:rPr>
              <w:t xml:space="preserve">, </w:t>
            </w:r>
            <w:r>
              <w:rPr>
                <w:rFonts w:ascii="Times New Roman" w:hAnsi="Times New Roman"/>
                <w:sz w:val="20"/>
                <w:szCs w:val="20"/>
              </w:rPr>
              <w:t>kvality</w:t>
            </w:r>
            <w:r w:rsidRPr="004B0638">
              <w:rPr>
                <w:rFonts w:ascii="Times New Roman" w:hAnsi="Times New Roman"/>
                <w:sz w:val="20"/>
                <w:szCs w:val="20"/>
              </w:rPr>
              <w:t xml:space="preserve"> a</w:t>
            </w:r>
            <w:r>
              <w:rPr>
                <w:rFonts w:ascii="Times New Roman" w:hAnsi="Times New Roman"/>
                <w:sz w:val="20"/>
                <w:szCs w:val="20"/>
              </w:rPr>
              <w:t xml:space="preserve"> efektívnosti </w:t>
            </w:r>
            <w:r w:rsidRPr="004B0638">
              <w:rPr>
                <w:rFonts w:ascii="Times New Roman" w:hAnsi="Times New Roman"/>
                <w:sz w:val="20"/>
                <w:szCs w:val="20"/>
              </w:rPr>
              <w:t xml:space="preserve">dlhodobej zdravotnej a paliatívnej starostlivosti pre osoby, ktorých zdravotný stav si to vyžaduje, a to nielen v zdravotníckych zariadeniach, ale aj v prirodzenom prostredí, v ktorom sú tieto osoby umiestnené.   </w:t>
            </w:r>
          </w:p>
          <w:p w:rsidR="00127FFE" w:rsidRDefault="00127FFE" w:rsidP="00127FFE">
            <w:pPr>
              <w:spacing w:after="0" w:line="240" w:lineRule="auto"/>
              <w:jc w:val="both"/>
              <w:rPr>
                <w:rFonts w:ascii="Times New Roman" w:hAnsi="Times New Roman"/>
                <w:sz w:val="20"/>
                <w:szCs w:val="20"/>
              </w:rPr>
            </w:pPr>
          </w:p>
          <w:p w:rsidR="00127FFE" w:rsidRDefault="00127FFE" w:rsidP="00127FFE">
            <w:pPr>
              <w:spacing w:after="0" w:line="240" w:lineRule="auto"/>
              <w:ind w:right="177"/>
              <w:jc w:val="both"/>
              <w:rPr>
                <w:rFonts w:ascii="Times New Roman" w:hAnsi="Times New Roman"/>
                <w:sz w:val="20"/>
                <w:szCs w:val="20"/>
              </w:rPr>
            </w:pPr>
            <w:r>
              <w:rPr>
                <w:rFonts w:ascii="Times New Roman" w:hAnsi="Times New Roman"/>
                <w:sz w:val="20"/>
                <w:szCs w:val="20"/>
              </w:rPr>
              <w:t>Na základe hore uvedených skutočností n</w:t>
            </w:r>
            <w:r w:rsidRPr="005A2569">
              <w:rPr>
                <w:rFonts w:ascii="Times New Roman" w:hAnsi="Times New Roman"/>
                <w:sz w:val="20"/>
                <w:szCs w:val="20"/>
              </w:rPr>
              <w:t xml:space="preserve">ávrh </w:t>
            </w:r>
            <w:r>
              <w:rPr>
                <w:rFonts w:ascii="Times New Roman" w:hAnsi="Times New Roman"/>
                <w:sz w:val="20"/>
                <w:szCs w:val="20"/>
              </w:rPr>
              <w:t>nariadenia</w:t>
            </w:r>
            <w:r w:rsidRPr="005A2569">
              <w:rPr>
                <w:rFonts w:ascii="Times New Roman" w:hAnsi="Times New Roman"/>
                <w:sz w:val="20"/>
                <w:szCs w:val="20"/>
              </w:rPr>
              <w:t xml:space="preserve"> nemá vplyvy na rozpočet verejnej správy, </w:t>
            </w:r>
            <w:r>
              <w:rPr>
                <w:rFonts w:ascii="Times New Roman" w:hAnsi="Times New Roman"/>
                <w:sz w:val="20"/>
                <w:szCs w:val="20"/>
              </w:rPr>
              <w:t xml:space="preserve">nemá zásadné </w:t>
            </w:r>
            <w:r w:rsidRPr="005A2569">
              <w:rPr>
                <w:rFonts w:ascii="Times New Roman" w:hAnsi="Times New Roman"/>
                <w:sz w:val="20"/>
                <w:szCs w:val="20"/>
              </w:rPr>
              <w:t>sociálne vplyvy</w:t>
            </w:r>
            <w:r>
              <w:rPr>
                <w:rFonts w:ascii="Times New Roman" w:hAnsi="Times New Roman"/>
                <w:sz w:val="20"/>
                <w:szCs w:val="20"/>
              </w:rPr>
              <w:t>,</w:t>
            </w:r>
            <w:r w:rsidRPr="005A2569">
              <w:rPr>
                <w:rFonts w:ascii="Times New Roman" w:hAnsi="Times New Roman"/>
                <w:sz w:val="20"/>
                <w:szCs w:val="20"/>
              </w:rPr>
              <w:t xml:space="preserve"> </w:t>
            </w:r>
            <w:r>
              <w:rPr>
                <w:rFonts w:ascii="Times New Roman" w:hAnsi="Times New Roman"/>
                <w:sz w:val="20"/>
                <w:szCs w:val="20"/>
              </w:rPr>
              <w:t xml:space="preserve">nemá vplyvy na </w:t>
            </w:r>
            <w:r w:rsidRPr="005A2569">
              <w:rPr>
                <w:rFonts w:ascii="Times New Roman" w:hAnsi="Times New Roman"/>
                <w:sz w:val="20"/>
                <w:szCs w:val="20"/>
              </w:rPr>
              <w:t xml:space="preserve">životné prostredie, informatizáciu spoločnosti, služby verejnej správy pre občana, ako aj na manželstvo, rodičovstvo a rodinu. </w:t>
            </w:r>
          </w:p>
          <w:p w:rsidR="00127FFE" w:rsidRDefault="00127FFE" w:rsidP="00127FFE">
            <w:pPr>
              <w:spacing w:after="0" w:line="240" w:lineRule="auto"/>
              <w:jc w:val="both"/>
              <w:rPr>
                <w:rFonts w:ascii="Times New Roman" w:hAnsi="Times New Roman"/>
                <w:sz w:val="20"/>
                <w:szCs w:val="20"/>
              </w:rPr>
            </w:pPr>
          </w:p>
          <w:p w:rsidR="00127FFE" w:rsidRDefault="00127FFE" w:rsidP="00127FFE">
            <w:pPr>
              <w:spacing w:after="0" w:line="240" w:lineRule="auto"/>
              <w:jc w:val="both"/>
              <w:rPr>
                <w:rFonts w:ascii="Times New Roman" w:hAnsi="Times New Roman"/>
                <w:sz w:val="20"/>
                <w:szCs w:val="20"/>
              </w:rPr>
            </w:pPr>
            <w:r>
              <w:rPr>
                <w:rFonts w:ascii="Times New Roman" w:hAnsi="Times New Roman"/>
                <w:sz w:val="20"/>
                <w:szCs w:val="20"/>
              </w:rPr>
              <w:t>Tabuľka č. 1 Výpočet rozdielu po schválení novely nariadenia (odhadovaná skutočnosť)</w:t>
            </w:r>
          </w:p>
          <w:tbl>
            <w:tblPr>
              <w:tblW w:w="8729" w:type="dxa"/>
              <w:tblLayout w:type="fixed"/>
              <w:tblCellMar>
                <w:left w:w="0" w:type="dxa"/>
                <w:right w:w="0" w:type="dxa"/>
              </w:tblCellMar>
              <w:tblLook w:val="04A0" w:firstRow="1" w:lastRow="0" w:firstColumn="1" w:lastColumn="0" w:noHBand="0" w:noVBand="1"/>
            </w:tblPr>
            <w:tblGrid>
              <w:gridCol w:w="5682"/>
              <w:gridCol w:w="1559"/>
              <w:gridCol w:w="1488"/>
            </w:tblGrid>
            <w:tr w:rsidR="00127FFE" w:rsidRPr="000A0EA7" w:rsidTr="008622B2">
              <w:trPr>
                <w:trHeight w:val="455"/>
              </w:trPr>
              <w:tc>
                <w:tcPr>
                  <w:tcW w:w="568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rPr>
                      <w:rFonts w:ascii="Times New Roman" w:hAnsi="Times New Roman"/>
                      <w:sz w:val="20"/>
                      <w:szCs w:val="20"/>
                    </w:rPr>
                  </w:pP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center"/>
                    <w:rPr>
                      <w:rFonts w:ascii="Times New Roman" w:hAnsi="Times New Roman"/>
                      <w:sz w:val="20"/>
                      <w:szCs w:val="20"/>
                    </w:rPr>
                  </w:pPr>
                  <w:r w:rsidRPr="000A0EA7">
                    <w:rPr>
                      <w:rFonts w:ascii="Times New Roman" w:hAnsi="Times New Roman"/>
                      <w:sz w:val="20"/>
                      <w:szCs w:val="20"/>
                    </w:rPr>
                    <w:t>súčasný stav</w:t>
                  </w:r>
                </w:p>
              </w:tc>
              <w:tc>
                <w:tcPr>
                  <w:tcW w:w="14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center"/>
                    <w:rPr>
                      <w:rFonts w:ascii="Times New Roman" w:hAnsi="Times New Roman"/>
                      <w:sz w:val="20"/>
                      <w:szCs w:val="20"/>
                    </w:rPr>
                  </w:pPr>
                  <w:r w:rsidRPr="000A0EA7">
                    <w:rPr>
                      <w:rFonts w:ascii="Times New Roman" w:hAnsi="Times New Roman"/>
                      <w:sz w:val="20"/>
                      <w:szCs w:val="20"/>
                    </w:rPr>
                    <w:t>po schválení nariadenia</w:t>
                  </w:r>
                </w:p>
              </w:tc>
            </w:tr>
            <w:tr w:rsidR="00127FFE" w:rsidRPr="000A0EA7" w:rsidTr="008622B2">
              <w:trPr>
                <w:trHeight w:val="264"/>
              </w:trPr>
              <w:tc>
                <w:tcPr>
                  <w:tcW w:w="5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rPr>
                      <w:rFonts w:ascii="Times New Roman" w:hAnsi="Times New Roman"/>
                      <w:sz w:val="20"/>
                      <w:szCs w:val="20"/>
                    </w:rPr>
                  </w:pPr>
                  <w:r w:rsidRPr="000A0EA7">
                    <w:rPr>
                      <w:rFonts w:ascii="Times New Roman" w:hAnsi="Times New Roman"/>
                      <w:sz w:val="20"/>
                      <w:szCs w:val="20"/>
                    </w:rPr>
                    <w:t>odhadovaný počet pacientov</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30 931</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34 024</w:t>
                  </w:r>
                </w:p>
              </w:tc>
            </w:tr>
            <w:tr w:rsidR="00127FFE" w:rsidRPr="000A0EA7" w:rsidTr="008622B2">
              <w:trPr>
                <w:trHeight w:val="264"/>
              </w:trPr>
              <w:tc>
                <w:tcPr>
                  <w:tcW w:w="5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rPr>
                      <w:rFonts w:ascii="Times New Roman" w:hAnsi="Times New Roman"/>
                      <w:sz w:val="20"/>
                      <w:szCs w:val="20"/>
                    </w:rPr>
                  </w:pPr>
                  <w:r w:rsidRPr="000A0EA7">
                    <w:rPr>
                      <w:rFonts w:ascii="Times New Roman" w:hAnsi="Times New Roman"/>
                      <w:sz w:val="20"/>
                      <w:szCs w:val="20"/>
                    </w:rPr>
                    <w:t>priemerná dĺžka hospitalizácie</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17.2</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15.1</w:t>
                  </w:r>
                </w:p>
              </w:tc>
            </w:tr>
            <w:tr w:rsidR="00127FFE" w:rsidRPr="000A0EA7" w:rsidTr="008622B2">
              <w:trPr>
                <w:trHeight w:val="264"/>
              </w:trPr>
              <w:tc>
                <w:tcPr>
                  <w:tcW w:w="5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rPr>
                      <w:rFonts w:ascii="Times New Roman" w:hAnsi="Times New Roman"/>
                      <w:sz w:val="20"/>
                      <w:szCs w:val="20"/>
                    </w:rPr>
                  </w:pPr>
                  <w:r w:rsidRPr="000A0EA7">
                    <w:rPr>
                      <w:rFonts w:ascii="Times New Roman" w:hAnsi="Times New Roman"/>
                      <w:sz w:val="20"/>
                      <w:szCs w:val="20"/>
                    </w:rPr>
                    <w:t>priemerná cena za hospitalizáciu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1 890</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1 676</w:t>
                  </w:r>
                </w:p>
              </w:tc>
            </w:tr>
            <w:tr w:rsidR="00127FFE" w:rsidRPr="000A0EA7" w:rsidTr="008622B2">
              <w:trPr>
                <w:trHeight w:val="264"/>
              </w:trPr>
              <w:tc>
                <w:tcPr>
                  <w:tcW w:w="5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rPr>
                      <w:rFonts w:ascii="Times New Roman" w:hAnsi="Times New Roman"/>
                      <w:sz w:val="20"/>
                      <w:szCs w:val="20"/>
                    </w:rPr>
                  </w:pPr>
                  <w:r w:rsidRPr="000A0EA7">
                    <w:rPr>
                      <w:rFonts w:ascii="Times New Roman" w:hAnsi="Times New Roman"/>
                      <w:sz w:val="20"/>
                      <w:szCs w:val="20"/>
                    </w:rPr>
                    <w:t>priemerná cena za lôžkodeň</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136</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136</w:t>
                  </w:r>
                </w:p>
              </w:tc>
            </w:tr>
            <w:tr w:rsidR="00127FFE" w:rsidRPr="000A0EA7" w:rsidTr="008622B2">
              <w:trPr>
                <w:trHeight w:val="264"/>
              </w:trPr>
              <w:tc>
                <w:tcPr>
                  <w:tcW w:w="5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rPr>
                      <w:rFonts w:ascii="Times New Roman" w:hAnsi="Times New Roman"/>
                      <w:sz w:val="20"/>
                      <w:szCs w:val="20"/>
                    </w:rPr>
                  </w:pPr>
                  <w:r w:rsidRPr="000A0EA7">
                    <w:rPr>
                      <w:rFonts w:ascii="Times New Roman" w:hAnsi="Times New Roman"/>
                      <w:sz w:val="20"/>
                      <w:szCs w:val="20"/>
                    </w:rPr>
                    <w:t>celková suma za hospitalizáciu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72 729 554</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72 002 258</w:t>
                  </w:r>
                </w:p>
              </w:tc>
            </w:tr>
            <w:tr w:rsidR="00127FFE" w:rsidRPr="000A0EA7" w:rsidTr="008622B2">
              <w:trPr>
                <w:trHeight w:val="264"/>
              </w:trPr>
              <w:tc>
                <w:tcPr>
                  <w:tcW w:w="5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rPr>
                      <w:rFonts w:ascii="Times New Roman" w:hAnsi="Times New Roman"/>
                      <w:sz w:val="20"/>
                      <w:szCs w:val="20"/>
                    </w:rPr>
                  </w:pPr>
                  <w:r>
                    <w:rPr>
                      <w:rFonts w:ascii="Times New Roman" w:hAnsi="Times New Roman"/>
                      <w:sz w:val="20"/>
                      <w:szCs w:val="20"/>
                    </w:rPr>
                    <w:t xml:space="preserve">celková </w:t>
                  </w:r>
                  <w:r w:rsidRPr="000A0EA7">
                    <w:rPr>
                      <w:rFonts w:ascii="Times New Roman" w:hAnsi="Times New Roman"/>
                      <w:sz w:val="20"/>
                      <w:szCs w:val="20"/>
                    </w:rPr>
                    <w:t>suma v ambulantnej zdravotnej starostlivosti*</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686 244</w:t>
                  </w:r>
                </w:p>
              </w:tc>
            </w:tr>
            <w:tr w:rsidR="00127FFE" w:rsidRPr="000A0EA7" w:rsidTr="008622B2">
              <w:trPr>
                <w:trHeight w:val="264"/>
              </w:trPr>
              <w:tc>
                <w:tcPr>
                  <w:tcW w:w="5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rPr>
                      <w:rFonts w:ascii="Times New Roman" w:hAnsi="Times New Roman"/>
                      <w:sz w:val="20"/>
                      <w:szCs w:val="20"/>
                    </w:rPr>
                  </w:pPr>
                  <w:r w:rsidRPr="000A0EA7">
                    <w:rPr>
                      <w:rFonts w:ascii="Times New Roman" w:hAnsi="Times New Roman"/>
                      <w:sz w:val="20"/>
                      <w:szCs w:val="20"/>
                    </w:rPr>
                    <w:t>total cost of care</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72 729 554</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72 688 502</w:t>
                  </w:r>
                </w:p>
              </w:tc>
            </w:tr>
            <w:tr w:rsidR="00127FFE" w:rsidRPr="000A0EA7" w:rsidTr="008622B2">
              <w:trPr>
                <w:trHeight w:val="264"/>
              </w:trPr>
              <w:tc>
                <w:tcPr>
                  <w:tcW w:w="5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rPr>
                      <w:rFonts w:ascii="Times New Roman" w:hAnsi="Times New Roman"/>
                      <w:sz w:val="20"/>
                      <w:szCs w:val="20"/>
                    </w:rPr>
                  </w:pPr>
                  <w:r>
                    <w:rPr>
                      <w:rFonts w:ascii="Times New Roman" w:hAnsi="Times New Roman"/>
                      <w:sz w:val="20"/>
                      <w:szCs w:val="20"/>
                    </w:rPr>
                    <w:t>r</w:t>
                  </w:r>
                  <w:r w:rsidRPr="000A0EA7">
                    <w:rPr>
                      <w:rFonts w:ascii="Times New Roman" w:hAnsi="Times New Roman"/>
                      <w:sz w:val="20"/>
                      <w:szCs w:val="20"/>
                    </w:rPr>
                    <w:t>ozdiel po schválení nariadenia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right"/>
                    <w:rPr>
                      <w:rFonts w:ascii="Times New Roman" w:hAnsi="Times New Roman"/>
                      <w:sz w:val="20"/>
                      <w:szCs w:val="20"/>
                    </w:rPr>
                  </w:pPr>
                  <w:r w:rsidRPr="000A0EA7">
                    <w:rPr>
                      <w:rFonts w:ascii="Times New Roman" w:hAnsi="Times New Roman"/>
                      <w:sz w:val="20"/>
                      <w:szCs w:val="20"/>
                    </w:rPr>
                    <w:t>41 051</w:t>
                  </w:r>
                </w:p>
              </w:tc>
            </w:tr>
            <w:tr w:rsidR="00127FFE" w:rsidRPr="000A0EA7" w:rsidTr="008622B2">
              <w:trPr>
                <w:trHeight w:val="264"/>
              </w:trPr>
              <w:tc>
                <w:tcPr>
                  <w:tcW w:w="8729" w:type="dxa"/>
                  <w:gridSpan w:val="3"/>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127FFE" w:rsidRPr="000A0EA7" w:rsidRDefault="00127FFE" w:rsidP="00127FFE">
                  <w:pPr>
                    <w:spacing w:after="0" w:line="240" w:lineRule="auto"/>
                    <w:jc w:val="both"/>
                    <w:rPr>
                      <w:rFonts w:ascii="Times New Roman" w:hAnsi="Times New Roman"/>
                      <w:sz w:val="16"/>
                      <w:szCs w:val="16"/>
                    </w:rPr>
                  </w:pPr>
                  <w:r w:rsidRPr="000A0EA7">
                    <w:rPr>
                      <w:rFonts w:ascii="Times New Roman" w:hAnsi="Times New Roman"/>
                      <w:sz w:val="16"/>
                      <w:szCs w:val="16"/>
                    </w:rPr>
                    <w:t>* konzervatívny odhad s presunom pacientov približne 50% z ústavnej do ambulantnej zdravotnej starostlivosti so zohľadnením rozdielu skrátenia dĺžky hospitalizácie podľa výpočtov v priemere o dva dni</w:t>
                  </w:r>
                </w:p>
              </w:tc>
            </w:tr>
            <w:tr w:rsidR="00127FFE" w:rsidRPr="000A0EA7" w:rsidTr="008622B2">
              <w:trPr>
                <w:trHeight w:val="264"/>
              </w:trPr>
              <w:tc>
                <w:tcPr>
                  <w:tcW w:w="872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27FFE" w:rsidRPr="000A0EA7" w:rsidRDefault="00127FFE" w:rsidP="00127FFE">
                  <w:pPr>
                    <w:spacing w:after="0" w:line="240" w:lineRule="auto"/>
                    <w:jc w:val="both"/>
                    <w:rPr>
                      <w:rFonts w:ascii="Times New Roman" w:hAnsi="Times New Roman"/>
                      <w:sz w:val="16"/>
                      <w:szCs w:val="16"/>
                    </w:rPr>
                  </w:pPr>
                  <w:r>
                    <w:rPr>
                      <w:rFonts w:ascii="Times New Roman" w:hAnsi="Times New Roman"/>
                      <w:sz w:val="16"/>
                      <w:szCs w:val="16"/>
                    </w:rPr>
                    <w:t>Zdroj: Vykázaná zdravotná starostlivosť – NCZI za rok 2022</w:t>
                  </w:r>
                </w:p>
              </w:tc>
            </w:tr>
          </w:tbl>
          <w:p w:rsidR="00127FFE" w:rsidRDefault="00127FFE" w:rsidP="0004033C">
            <w:pPr>
              <w:spacing w:after="0" w:line="240" w:lineRule="auto"/>
              <w:jc w:val="both"/>
              <w:rPr>
                <w:rFonts w:ascii="Times New Roman" w:eastAsia="Times New Roman" w:hAnsi="Times New Roman"/>
                <w:sz w:val="20"/>
                <w:szCs w:val="20"/>
              </w:rPr>
            </w:pPr>
          </w:p>
          <w:p w:rsidR="007E3949" w:rsidRPr="0004033C" w:rsidRDefault="0004033C" w:rsidP="0004033C">
            <w:pPr>
              <w:spacing w:after="0" w:line="240" w:lineRule="auto"/>
              <w:jc w:val="both"/>
              <w:rPr>
                <w:rFonts w:ascii="Times New Roman" w:eastAsia="Calibri" w:hAnsi="Times New Roman"/>
              </w:rPr>
            </w:pPr>
            <w:r w:rsidRPr="0004033C">
              <w:rPr>
                <w:rFonts w:ascii="Times New Roman" w:eastAsia="Times New Roman" w:hAnsi="Times New Roman"/>
                <w:sz w:val="20"/>
                <w:szCs w:val="20"/>
              </w:rPr>
              <w:t xml:space="preserve">Návrh nariadenia vlády má vplyv na rozpočet verejnej správy a nemá iné ani marginálne </w:t>
            </w:r>
            <w:r w:rsidR="007E3949" w:rsidRPr="0004033C">
              <w:rPr>
                <w:rFonts w:ascii="Times New Roman" w:eastAsia="Times New Roman" w:hAnsi="Times New Roman"/>
                <w:sz w:val="20"/>
                <w:szCs w:val="20"/>
              </w:rPr>
              <w:t xml:space="preserve"> vplyv</w:t>
            </w:r>
            <w:r w:rsidRPr="0004033C">
              <w:rPr>
                <w:rFonts w:ascii="Times New Roman" w:eastAsia="Times New Roman" w:hAnsi="Times New Roman"/>
                <w:sz w:val="20"/>
                <w:szCs w:val="20"/>
              </w:rPr>
              <w:t xml:space="preserve">y na niektorú z ostatných </w:t>
            </w:r>
            <w:r w:rsidR="007E3949" w:rsidRPr="0004033C">
              <w:rPr>
                <w:rFonts w:ascii="Times New Roman" w:eastAsia="Times New Roman" w:hAnsi="Times New Roman"/>
                <w:sz w:val="20"/>
                <w:szCs w:val="20"/>
              </w:rPr>
              <w:t>sledovaných oblastí v bode 9</w:t>
            </w:r>
            <w:r w:rsidRPr="0004033C">
              <w:rPr>
                <w:rFonts w:ascii="Times New Roman" w:eastAsia="Times New Roman" w:hAnsi="Times New Roman"/>
                <w:sz w:val="20"/>
                <w:szCs w:val="20"/>
              </w:rPr>
              <w:t>.</w:t>
            </w:r>
            <w:r w:rsidR="007E3949" w:rsidRPr="0004033C">
              <w:rPr>
                <w:rFonts w:ascii="Times New Roman" w:eastAsia="Times New Roman" w:hAnsi="Times New Roman"/>
                <w:sz w:val="20"/>
                <w:szCs w:val="20"/>
              </w:rPr>
              <w:t xml:space="preserve"> </w:t>
            </w:r>
          </w:p>
        </w:tc>
      </w:tr>
      <w:tr w:rsidR="007E3949" w:rsidTr="007E3949">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Kontakt na spracovateľa</w:t>
            </w:r>
          </w:p>
        </w:tc>
      </w:tr>
      <w:tr w:rsidR="007E3949" w:rsidTr="007E3949">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hideMark/>
          </w:tcPr>
          <w:p w:rsidR="007E3949" w:rsidRDefault="007E3949">
            <w:pPr>
              <w:spacing w:after="0" w:line="240" w:lineRule="auto"/>
              <w:rPr>
                <w:rStyle w:val="Hypertextovprepojenie"/>
                <w:sz w:val="20"/>
                <w:szCs w:val="20"/>
              </w:rPr>
            </w:pPr>
            <w:r>
              <w:rPr>
                <w:rFonts w:ascii="Times New Roman" w:eastAsia="Times New Roman" w:hAnsi="Times New Roman"/>
                <w:sz w:val="20"/>
                <w:szCs w:val="20"/>
              </w:rPr>
              <w:t xml:space="preserve">Mgr. Radovan Hribik, tel. č. </w:t>
            </w:r>
            <w:r>
              <w:rPr>
                <w:rFonts w:ascii="Times New Roman" w:hAnsi="Times New Roman"/>
                <w:sz w:val="20"/>
                <w:szCs w:val="20"/>
              </w:rPr>
              <w:t xml:space="preserve">+421 2 593 73 401,e-mail: </w:t>
            </w:r>
            <w:hyperlink r:id="rId12" w:history="1">
              <w:r>
                <w:rPr>
                  <w:rStyle w:val="Hypertextovprepojenie"/>
                  <w:sz w:val="20"/>
                  <w:szCs w:val="20"/>
                </w:rPr>
                <w:t>radovan.hribik@health.gov.sk</w:t>
              </w:r>
            </w:hyperlink>
            <w:r>
              <w:rPr>
                <w:rStyle w:val="Hypertextovprepojenie"/>
                <w:sz w:val="20"/>
                <w:szCs w:val="20"/>
              </w:rPr>
              <w:t xml:space="preserve">   štátny radca Odbor zdravotnej starostlivosti, MZ SR</w:t>
            </w:r>
          </w:p>
          <w:p w:rsidR="00127FFE" w:rsidRPr="00127FFE" w:rsidRDefault="00127FFE" w:rsidP="00127FFE">
            <w:pPr>
              <w:spacing w:after="0" w:line="240" w:lineRule="auto"/>
              <w:jc w:val="both"/>
              <w:rPr>
                <w:rFonts w:ascii="Times New Roman" w:hAnsi="Times New Roman"/>
                <w:sz w:val="20"/>
                <w:szCs w:val="20"/>
              </w:rPr>
            </w:pPr>
            <w:r w:rsidRPr="006F02B3">
              <w:rPr>
                <w:rFonts w:ascii="Times New Roman" w:hAnsi="Times New Roman"/>
                <w:sz w:val="20"/>
                <w:szCs w:val="20"/>
              </w:rPr>
              <w:t>Mgr. Tibor Hlinka, PhD.</w:t>
            </w:r>
            <w:r>
              <w:rPr>
                <w:rFonts w:ascii="Times New Roman" w:hAnsi="Times New Roman"/>
                <w:sz w:val="20"/>
                <w:szCs w:val="20"/>
              </w:rPr>
              <w:t xml:space="preserve">, tel. č.: </w:t>
            </w:r>
            <w:r w:rsidRPr="006F02B3">
              <w:rPr>
                <w:rFonts w:ascii="Times New Roman" w:hAnsi="Times New Roman"/>
                <w:sz w:val="20"/>
                <w:szCs w:val="20"/>
              </w:rPr>
              <w:t>02/59373249</w:t>
            </w:r>
            <w:r>
              <w:rPr>
                <w:rFonts w:ascii="Times New Roman" w:hAnsi="Times New Roman"/>
                <w:sz w:val="20"/>
                <w:szCs w:val="20"/>
              </w:rPr>
              <w:t xml:space="preserve">, </w:t>
            </w:r>
            <w:r w:rsidRPr="006F02B3">
              <w:rPr>
                <w:rFonts w:ascii="Times New Roman" w:hAnsi="Times New Roman"/>
                <w:sz w:val="20"/>
                <w:szCs w:val="20"/>
              </w:rPr>
              <w:t xml:space="preserve">e-mail: </w:t>
            </w:r>
            <w:hyperlink r:id="rId13" w:history="1">
              <w:r w:rsidRPr="001344D0">
                <w:rPr>
                  <w:rStyle w:val="Hypertextovprepojenie"/>
                  <w:sz w:val="20"/>
                  <w:szCs w:val="20"/>
                </w:rPr>
                <w:t>tibor.hlinka@health.gov.sk</w:t>
              </w:r>
            </w:hyperlink>
            <w:r>
              <w:rPr>
                <w:rStyle w:val="Hypertextovprepojenie"/>
                <w:sz w:val="20"/>
                <w:szCs w:val="20"/>
              </w:rPr>
              <w:t xml:space="preserve">, </w:t>
            </w:r>
            <w:r w:rsidRPr="006F02B3">
              <w:rPr>
                <w:rFonts w:ascii="Times New Roman" w:hAnsi="Times New Roman"/>
                <w:sz w:val="20"/>
                <w:szCs w:val="20"/>
              </w:rPr>
              <w:t>Odbor štandardných klinických postupov</w:t>
            </w:r>
          </w:p>
        </w:tc>
      </w:tr>
      <w:tr w:rsidR="007E3949" w:rsidTr="007E3949">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26"/>
              <w:contextualSpacing/>
              <w:rPr>
                <w:rFonts w:ascii="Times New Roman" w:eastAsia="Calibri" w:hAnsi="Times New Roman"/>
                <w:b/>
              </w:rPr>
            </w:pPr>
            <w:r>
              <w:rPr>
                <w:rFonts w:ascii="Times New Roman" w:eastAsia="Calibri" w:hAnsi="Times New Roman"/>
                <w:b/>
              </w:rPr>
              <w:t>Zdroje</w:t>
            </w:r>
          </w:p>
        </w:tc>
      </w:tr>
      <w:tr w:rsidR="007E3949" w:rsidTr="007E3949">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B66D7E" w:rsidRDefault="00B66D7E" w:rsidP="00B66D7E">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b/>
                <w:bCs/>
                <w:sz w:val="20"/>
                <w:szCs w:val="20"/>
              </w:rPr>
            </w:pPr>
            <w:r>
              <w:rPr>
                <w:rFonts w:ascii="Times New Roman" w:hAnsi="Times New Roman"/>
                <w:sz w:val="20"/>
                <w:szCs w:val="20"/>
              </w:rPr>
              <w:t>Opatrenie Ministerstva zdravotníctva Slovenskej republiky z 26. októbra 2022 č. 07045-54/2003 –OL, ktorým sa mení a dopĺňa opatrenie Ministerstva zdravotníctva Slovenskej republiky č. 07045/2022 z 30. decembra 2003, ktorým sa ustanovuje rozsah regulácie cien v oblasti zdravotníctva v znení neskorších predpisov.</w:t>
            </w:r>
          </w:p>
          <w:p w:rsidR="007E3949" w:rsidRDefault="00B55743" w:rsidP="007F125E">
            <w:pPr>
              <w:spacing w:after="0" w:line="240" w:lineRule="auto"/>
              <w:jc w:val="both"/>
              <w:rPr>
                <w:rFonts w:ascii="Times New Roman" w:eastAsia="Times New Roman" w:hAnsi="Times New Roman"/>
                <w:b/>
                <w:sz w:val="20"/>
                <w:szCs w:val="20"/>
              </w:rPr>
            </w:pPr>
            <w:r w:rsidRPr="00A77730">
              <w:rPr>
                <w:rFonts w:ascii="Times New Roman" w:eastAsia="Times New Roman" w:hAnsi="Times New Roman"/>
                <w:bCs/>
                <w:color w:val="000000"/>
                <w:sz w:val="20"/>
                <w:szCs w:val="20"/>
              </w:rPr>
              <w:t xml:space="preserve">Za oblasť </w:t>
            </w:r>
            <w:r w:rsidRPr="00A77730">
              <w:rPr>
                <w:rFonts w:ascii="Times New Roman" w:hAnsi="Times New Roman"/>
                <w:color w:val="000000"/>
                <w:sz w:val="20"/>
                <w:szCs w:val="20"/>
              </w:rPr>
              <w:t>materiálno-technického zabezpečenia mobilných hospicov a ADOS ide o zosúladenie praxe s </w:t>
            </w:r>
            <w:r w:rsidRPr="00A77730">
              <w:rPr>
                <w:rFonts w:ascii="Times New Roman" w:eastAsia="Times New Roman" w:hAnsi="Times New Roman"/>
                <w:bCs/>
                <w:color w:val="000000"/>
                <w:sz w:val="20"/>
                <w:szCs w:val="20"/>
              </w:rPr>
              <w:t xml:space="preserve">legislatívnym textom. Za oblasť minimálnych požiadaviek na personálne zabezpečenie pre poskytovanie </w:t>
            </w:r>
            <w:r w:rsidRPr="00E003E1">
              <w:rPr>
                <w:rFonts w:ascii="Times New Roman" w:eastAsia="Times New Roman" w:hAnsi="Times New Roman"/>
                <w:bCs/>
                <w:color w:val="000000"/>
                <w:sz w:val="20"/>
                <w:szCs w:val="20"/>
              </w:rPr>
              <w:t>špecializovanej paliatívnej zdravotnej starostlivosti ide o</w:t>
            </w:r>
            <w:r w:rsidRPr="00A77730">
              <w:rPr>
                <w:rFonts w:ascii="Times New Roman" w:eastAsia="Times New Roman" w:hAnsi="Times New Roman"/>
                <w:bCs/>
                <w:color w:val="000000"/>
                <w:sz w:val="20"/>
                <w:szCs w:val="20"/>
              </w:rPr>
              <w:t> implementáciu štandardov medzinárodnej asociácie hospicovej a paliatívnej zdravotnej starostlivosti (IAHPC).</w:t>
            </w:r>
          </w:p>
        </w:tc>
      </w:tr>
      <w:tr w:rsidR="007E3949" w:rsidTr="007E3949">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47" w:hanging="425"/>
              <w:contextualSpacing/>
              <w:rPr>
                <w:rFonts w:ascii="Times New Roman" w:eastAsia="Calibri" w:hAnsi="Times New Roman"/>
                <w:b/>
              </w:rPr>
            </w:pPr>
            <w:r>
              <w:rPr>
                <w:rFonts w:ascii="Times New Roman" w:eastAsia="Calibri" w:hAnsi="Times New Roman"/>
                <w:b/>
              </w:rPr>
              <w:t>Stanovisko Komisie na posudzovanie vybraných vplyvov z PPK č. 007/2023</w:t>
            </w:r>
            <w:r>
              <w:rPr>
                <w:rFonts w:ascii="Calibri" w:eastAsia="Calibri" w:hAnsi="Calibri"/>
              </w:rPr>
              <w:t xml:space="preserve"> </w:t>
            </w:r>
          </w:p>
          <w:p w:rsidR="007E3949" w:rsidRDefault="007E3949">
            <w:pPr>
              <w:spacing w:after="0" w:line="240" w:lineRule="auto"/>
              <w:ind w:left="502"/>
              <w:rPr>
                <w:rFonts w:ascii="Times New Roman" w:eastAsia="Times New Roman" w:hAnsi="Times New Roman"/>
                <w:b/>
                <w:sz w:val="20"/>
                <w:szCs w:val="20"/>
              </w:rPr>
            </w:pPr>
            <w:r>
              <w:rPr>
                <w:rFonts w:ascii="Times New Roman" w:eastAsia="Calibri" w:hAnsi="Times New Roman"/>
              </w:rPr>
              <w:t>(v prípade, ak sa uskutočnilo v zmysle bodu 8.1 Jednotnej metodiky)</w:t>
            </w:r>
          </w:p>
        </w:tc>
      </w:tr>
      <w:tr w:rsidR="007E3949" w:rsidTr="007E3949">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E3949" w:rsidRDefault="007E3949">
            <w:pPr>
              <w:spacing w:after="0" w:line="240" w:lineRule="auto"/>
              <w:rPr>
                <w:rFonts w:ascii="Times New Roman" w:eastAsia="Times New Roman" w:hAnsi="Times New Roman"/>
                <w:b/>
                <w:sz w:val="20"/>
                <w:szCs w:val="20"/>
              </w:rPr>
            </w:pPr>
          </w:p>
          <w:tbl>
            <w:tblPr>
              <w:tblStyle w:val="Mriekatabuky1"/>
              <w:tblW w:w="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E3949">
              <w:trPr>
                <w:trHeight w:val="396"/>
              </w:trPr>
              <w:tc>
                <w:tcPr>
                  <w:tcW w:w="2552" w:type="dxa"/>
                  <w:hideMark/>
                </w:tcPr>
                <w:p w:rsidR="007E3949" w:rsidRDefault="001D6480">
                  <w:pPr>
                    <w:spacing w:after="0" w:line="240" w:lineRule="auto"/>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1874910888"/>
                      <w14:checkbox>
                        <w14:checked w14:val="0"/>
                        <w14:checkedState w14:val="2612" w14:font="MS Gothic"/>
                        <w14:uncheckedState w14:val="2610" w14:font="MS Gothic"/>
                      </w14:checkbox>
                    </w:sdtPr>
                    <w:sdtEndPr/>
                    <w:sdtContent>
                      <w:r w:rsidR="007E3949">
                        <w:rPr>
                          <w:rFonts w:ascii="Segoe UI Symbol" w:eastAsia="MS Gothic" w:hAnsi="Segoe UI Symbol" w:cs="Segoe UI Symbol"/>
                          <w:b/>
                          <w:sz w:val="20"/>
                          <w:szCs w:val="20"/>
                        </w:rPr>
                        <w:t>☐</w:t>
                      </w:r>
                    </w:sdtContent>
                  </w:sdt>
                  <w:r w:rsidR="007E3949">
                    <w:rPr>
                      <w:rFonts w:ascii="Times New Roman" w:eastAsia="Times New Roman" w:hAnsi="Times New Roman"/>
                      <w:b/>
                      <w:sz w:val="20"/>
                      <w:szCs w:val="20"/>
                      <w:lang w:eastAsia="en-US"/>
                    </w:rPr>
                    <w:t xml:space="preserve">  Súhlasné </w:t>
                  </w:r>
                </w:p>
              </w:tc>
              <w:tc>
                <w:tcPr>
                  <w:tcW w:w="3827" w:type="dxa"/>
                  <w:hideMark/>
                </w:tcPr>
                <w:p w:rsidR="007E3949" w:rsidRDefault="001D6480">
                  <w:pPr>
                    <w:spacing w:after="0" w:line="240" w:lineRule="auto"/>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1697888127"/>
                      <w14:checkbox>
                        <w14:checked w14:val="0"/>
                        <w14:checkedState w14:val="2612" w14:font="MS Gothic"/>
                        <w14:uncheckedState w14:val="2610" w14:font="MS Gothic"/>
                      </w14:checkbox>
                    </w:sdtPr>
                    <w:sdtEndPr/>
                    <w:sdtContent>
                      <w:r w:rsidR="007E3949">
                        <w:rPr>
                          <w:rFonts w:ascii="Segoe UI Symbol" w:eastAsia="MS Gothic" w:hAnsi="Segoe UI Symbol" w:cs="Segoe UI Symbol"/>
                          <w:b/>
                          <w:sz w:val="20"/>
                          <w:szCs w:val="20"/>
                        </w:rPr>
                        <w:t>☐</w:t>
                      </w:r>
                    </w:sdtContent>
                  </w:sdt>
                  <w:r w:rsidR="007E3949">
                    <w:rPr>
                      <w:rFonts w:ascii="Times New Roman" w:eastAsia="Times New Roman" w:hAnsi="Times New Roman"/>
                      <w:b/>
                      <w:sz w:val="20"/>
                      <w:szCs w:val="20"/>
                      <w:lang w:eastAsia="en-US"/>
                    </w:rPr>
                    <w:t xml:space="preserve">  Súhlasné s návrhom na dopracovanie</w:t>
                  </w:r>
                </w:p>
              </w:tc>
              <w:tc>
                <w:tcPr>
                  <w:tcW w:w="2534" w:type="dxa"/>
                  <w:hideMark/>
                </w:tcPr>
                <w:p w:rsidR="007E3949" w:rsidRDefault="001D6480">
                  <w:pPr>
                    <w:spacing w:after="0" w:line="240" w:lineRule="auto"/>
                    <w:ind w:right="459"/>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647822913"/>
                      <w14:checkbox>
                        <w14:checked w14:val="1"/>
                        <w14:checkedState w14:val="2612" w14:font="MS Gothic"/>
                        <w14:uncheckedState w14:val="2610" w14:font="MS Gothic"/>
                      </w14:checkbox>
                    </w:sdtPr>
                    <w:sdtEndPr/>
                    <w:sdtContent>
                      <w:r w:rsidR="007E3949">
                        <w:rPr>
                          <w:rFonts w:ascii="Segoe UI Symbol" w:eastAsia="MS Gothic" w:hAnsi="Segoe UI Symbol" w:cs="Segoe UI Symbol"/>
                          <w:b/>
                          <w:sz w:val="20"/>
                          <w:szCs w:val="20"/>
                        </w:rPr>
                        <w:t>☒</w:t>
                      </w:r>
                    </w:sdtContent>
                  </w:sdt>
                  <w:r w:rsidR="007E3949">
                    <w:rPr>
                      <w:rFonts w:ascii="Times New Roman" w:eastAsia="Times New Roman" w:hAnsi="Times New Roman"/>
                      <w:b/>
                      <w:sz w:val="20"/>
                      <w:szCs w:val="20"/>
                      <w:lang w:eastAsia="en-US"/>
                    </w:rPr>
                    <w:t xml:space="preserve">  Nesúhlasné</w:t>
                  </w:r>
                </w:p>
              </w:tc>
            </w:tr>
          </w:tbl>
          <w:p w:rsidR="007E3949" w:rsidRDefault="007E3949">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Uveďte pripomienky zo stanoviska Komisie z časti II. spolu s Vaším vyhodnotením:</w:t>
            </w:r>
          </w:p>
          <w:p w:rsidR="007E3949" w:rsidRDefault="007E3949">
            <w:pPr>
              <w:tabs>
                <w:tab w:val="center" w:pos="6379"/>
              </w:tabs>
              <w:spacing w:after="0" w:line="240" w:lineRule="auto"/>
              <w:ind w:right="-2"/>
              <w:jc w:val="both"/>
              <w:rPr>
                <w:rFonts w:ascii="Times New Roman" w:eastAsiaTheme="minorHAnsi" w:hAnsi="Times New Roman"/>
                <w:b/>
                <w:bCs/>
                <w:sz w:val="20"/>
                <w:szCs w:val="20"/>
              </w:rPr>
            </w:pPr>
            <w:r>
              <w:rPr>
                <w:rFonts w:ascii="Times New Roman" w:hAnsi="Times New Roman"/>
                <w:b/>
                <w:bCs/>
                <w:sz w:val="20"/>
                <w:szCs w:val="20"/>
              </w:rPr>
              <w:t>K doložke vybraných vplyvov</w:t>
            </w:r>
          </w:p>
          <w:p w:rsidR="007E3949" w:rsidRDefault="007E3949">
            <w:pPr>
              <w:pStyle w:val="xxmsonormal"/>
              <w:jc w:val="both"/>
              <w:rPr>
                <w:sz w:val="20"/>
                <w:szCs w:val="20"/>
              </w:rPr>
            </w:pPr>
            <w:r>
              <w:rPr>
                <w:sz w:val="20"/>
                <w:szCs w:val="20"/>
              </w:rPr>
              <w:t>Komisia odporúča predkladateľovi v Doložke vybraných vplyvov v časti 11. Kontakt na spracovateľa doplniť funkciu kontaktnej osoby.</w:t>
            </w:r>
          </w:p>
          <w:p w:rsidR="007E3949" w:rsidRDefault="007E3949">
            <w:pPr>
              <w:pStyle w:val="xxmsonormal"/>
              <w:jc w:val="both"/>
              <w:rPr>
                <w:sz w:val="20"/>
                <w:szCs w:val="20"/>
              </w:rPr>
            </w:pPr>
            <w:r>
              <w:rPr>
                <w:sz w:val="20"/>
                <w:szCs w:val="20"/>
                <w:u w:val="single"/>
              </w:rPr>
              <w:t>Odôvodnenie:</w:t>
            </w:r>
            <w:r>
              <w:rPr>
                <w:sz w:val="20"/>
                <w:szCs w:val="20"/>
              </w:rPr>
              <w:t xml:space="preserve"> Odporúča sa uviesť meno, priezvisko a funkciu spracovateľa, emailový a telefonický kontakt.</w:t>
            </w:r>
          </w:p>
          <w:p w:rsidR="007E3949" w:rsidRDefault="007E3949">
            <w:pPr>
              <w:tabs>
                <w:tab w:val="center" w:pos="6379"/>
              </w:tabs>
              <w:spacing w:after="0" w:line="240" w:lineRule="auto"/>
              <w:ind w:right="-2"/>
              <w:jc w:val="both"/>
              <w:rPr>
                <w:rFonts w:ascii="Times New Roman" w:hAnsi="Times New Roman"/>
                <w:b/>
                <w:bCs/>
                <w:sz w:val="20"/>
                <w:szCs w:val="20"/>
              </w:rPr>
            </w:pPr>
            <w:r>
              <w:rPr>
                <w:rFonts w:ascii="Times New Roman" w:hAnsi="Times New Roman"/>
                <w:b/>
                <w:bCs/>
                <w:sz w:val="20"/>
                <w:szCs w:val="20"/>
              </w:rPr>
              <w:t>Spôsob vyhodnotenia: Akceptované</w:t>
            </w:r>
          </w:p>
          <w:p w:rsidR="007E3949" w:rsidRDefault="007E3949">
            <w:pPr>
              <w:tabs>
                <w:tab w:val="center" w:pos="6379"/>
              </w:tabs>
              <w:spacing w:after="0" w:line="240" w:lineRule="auto"/>
              <w:ind w:right="-2"/>
              <w:jc w:val="both"/>
              <w:rPr>
                <w:rFonts w:ascii="Times New Roman" w:hAnsi="Times New Roman"/>
                <w:b/>
                <w:bCs/>
                <w:sz w:val="20"/>
                <w:szCs w:val="20"/>
              </w:rPr>
            </w:pPr>
          </w:p>
          <w:p w:rsidR="007E3949" w:rsidRDefault="007E3949">
            <w:pPr>
              <w:spacing w:after="0" w:line="240" w:lineRule="auto"/>
              <w:contextualSpacing/>
              <w:jc w:val="both"/>
              <w:rPr>
                <w:rFonts w:ascii="Times New Roman" w:hAnsi="Times New Roman"/>
                <w:sz w:val="20"/>
                <w:szCs w:val="20"/>
              </w:rPr>
            </w:pPr>
            <w:r>
              <w:rPr>
                <w:rFonts w:ascii="Times New Roman" w:hAnsi="Times New Roman"/>
                <w:b/>
                <w:bCs/>
                <w:sz w:val="20"/>
                <w:szCs w:val="20"/>
              </w:rPr>
              <w:t>K vplyvom na rozpočet verejnej správy</w:t>
            </w:r>
          </w:p>
          <w:p w:rsidR="007E3949" w:rsidRDefault="007E3949">
            <w:pPr>
              <w:spacing w:after="0" w:line="240" w:lineRule="auto"/>
              <w:jc w:val="both"/>
              <w:rPr>
                <w:rFonts w:ascii="Times New Roman" w:hAnsi="Times New Roman"/>
                <w:sz w:val="20"/>
                <w:szCs w:val="20"/>
              </w:rPr>
            </w:pPr>
            <w:r>
              <w:rPr>
                <w:rFonts w:ascii="Times New Roman" w:hAnsi="Times New Roman"/>
                <w:sz w:val="20"/>
                <w:szCs w:val="20"/>
              </w:rPr>
              <w:t>V doložke vybraných vplyvov je označený negatívny, rozpočtovo zabezpečený vplyv. V analýze vplyvov na rozpočet verejnej správy v tabuľke č. 1 je uvedené zvýšenie výdavkov VZP v riadku Financovanie zabezpečené v rozpočte v sume 0,92 mil. eur v roku 2023 a v sume 1,23 mil. eur ročne od roku 2024 z dôvodu zaradenia Fakultnej nemocnice Trnava do siete poskytovateľov, ktorý poskytujú pohotovostnú službu s urgentným príjmom 2. typu.</w:t>
            </w:r>
          </w:p>
          <w:p w:rsidR="007E3949" w:rsidRDefault="007E3949">
            <w:pPr>
              <w:spacing w:after="0" w:line="240" w:lineRule="auto"/>
              <w:jc w:val="both"/>
              <w:rPr>
                <w:rFonts w:ascii="Times New Roman" w:hAnsi="Times New Roman"/>
                <w:sz w:val="20"/>
                <w:szCs w:val="20"/>
              </w:rPr>
            </w:pPr>
          </w:p>
          <w:p w:rsidR="007E3949" w:rsidRDefault="007E3949">
            <w:pPr>
              <w:spacing w:after="0" w:line="240" w:lineRule="auto"/>
              <w:jc w:val="both"/>
              <w:rPr>
                <w:rFonts w:ascii="Times New Roman" w:hAnsi="Times New Roman"/>
                <w:sz w:val="20"/>
                <w:szCs w:val="20"/>
              </w:rPr>
            </w:pPr>
            <w:r>
              <w:rPr>
                <w:rFonts w:ascii="Times New Roman" w:hAnsi="Times New Roman"/>
                <w:sz w:val="20"/>
                <w:szCs w:val="20"/>
              </w:rPr>
              <w:t xml:space="preserve">Komisia žiada uviesť spôsob, akým sa očakáva krytie navýšenia platieb z rozpočtu zdravotných poisťovní v súvislosti so zaradením Fakultnej nemocnice Trnava do siete poskytovateľov s urgentným príjmom 2. typu (oproti pôvodnému urgentnému príjmu 1. typu). </w:t>
            </w:r>
          </w:p>
          <w:p w:rsidR="007E3949" w:rsidRDefault="007E3949">
            <w:pPr>
              <w:spacing w:after="0" w:line="240" w:lineRule="auto"/>
              <w:jc w:val="both"/>
              <w:rPr>
                <w:rFonts w:ascii="Times New Roman" w:hAnsi="Times New Roman"/>
                <w:sz w:val="20"/>
                <w:szCs w:val="20"/>
              </w:rPr>
            </w:pPr>
          </w:p>
          <w:p w:rsidR="007E3949" w:rsidRDefault="007E3949">
            <w:pPr>
              <w:spacing w:after="0" w:line="240" w:lineRule="auto"/>
              <w:jc w:val="both"/>
              <w:rPr>
                <w:rFonts w:ascii="Times New Roman" w:hAnsi="Times New Roman"/>
                <w:sz w:val="20"/>
                <w:szCs w:val="20"/>
              </w:rPr>
            </w:pPr>
            <w:r>
              <w:rPr>
                <w:rFonts w:ascii="Times New Roman" w:hAnsi="Times New Roman"/>
                <w:sz w:val="20"/>
                <w:szCs w:val="20"/>
                <w:u w:val="single"/>
              </w:rPr>
              <w:t>Odôvodnenie:</w:t>
            </w:r>
            <w:r>
              <w:rPr>
                <w:rFonts w:ascii="Times New Roman" w:hAnsi="Times New Roman"/>
                <w:sz w:val="20"/>
                <w:szCs w:val="20"/>
              </w:rPr>
              <w:t xml:space="preserve"> MZ SR v analýze vplyvov na rozpočet verejnej správy uvádza, že zvýšenie platieb pre Fakultnú nemocnicu Trnava vo výške 1,2 mil. eur ročne bude kryté z rozpočtu zdravotných poisťovní bez potreby dodatočného financovania zo štátneho rozpočtu. Nie je však vysvetlené, ako to bude dosiahnuté bez dosiahnutia zníženia výdavkov v inej oblasti, aby celkové výdavky verejného zdravotného poistenia nerástli.</w:t>
            </w:r>
          </w:p>
          <w:p w:rsidR="007E3949" w:rsidRDefault="007E3949">
            <w:pPr>
              <w:spacing w:after="0" w:line="240" w:lineRule="auto"/>
              <w:jc w:val="both"/>
              <w:rPr>
                <w:rFonts w:ascii="Times New Roman" w:hAnsi="Times New Roman"/>
                <w:b/>
                <w:sz w:val="20"/>
                <w:szCs w:val="20"/>
              </w:rPr>
            </w:pPr>
          </w:p>
          <w:p w:rsidR="007E3949" w:rsidRDefault="007E3949">
            <w:pPr>
              <w:tabs>
                <w:tab w:val="center" w:pos="6379"/>
              </w:tabs>
              <w:spacing w:after="0" w:line="240" w:lineRule="auto"/>
              <w:ind w:right="-2"/>
              <w:jc w:val="both"/>
              <w:rPr>
                <w:rFonts w:ascii="Times New Roman" w:hAnsi="Times New Roman"/>
                <w:b/>
                <w:bCs/>
                <w:sz w:val="20"/>
                <w:szCs w:val="20"/>
              </w:rPr>
            </w:pPr>
            <w:r>
              <w:rPr>
                <w:rFonts w:ascii="Times New Roman" w:hAnsi="Times New Roman"/>
                <w:b/>
                <w:bCs/>
                <w:sz w:val="20"/>
                <w:szCs w:val="20"/>
              </w:rPr>
              <w:t xml:space="preserve">Spôsob vyhodnotenia: </w:t>
            </w:r>
            <w:r w:rsidR="00FC7EBD" w:rsidRPr="00FC7EBD">
              <w:rPr>
                <w:rFonts w:ascii="Times New Roman" w:hAnsi="Times New Roman"/>
                <w:b/>
                <w:bCs/>
                <w:sz w:val="20"/>
                <w:szCs w:val="20"/>
              </w:rPr>
              <w:t>Neakceptované</w:t>
            </w:r>
          </w:p>
          <w:p w:rsidR="007E3949" w:rsidRDefault="00FC7EBD" w:rsidP="00F03ED9">
            <w:pPr>
              <w:jc w:val="both"/>
              <w:rPr>
                <w:rFonts w:ascii="Times New Roman" w:eastAsia="Times New Roman" w:hAnsi="Times New Roman"/>
                <w:b/>
                <w:sz w:val="20"/>
                <w:szCs w:val="20"/>
              </w:rPr>
            </w:pPr>
            <w:r w:rsidRPr="00FC7EBD">
              <w:rPr>
                <w:rFonts w:ascii="Times New Roman" w:hAnsi="Times New Roman"/>
                <w:bCs/>
                <w:sz w:val="20"/>
                <w:szCs w:val="20"/>
              </w:rPr>
              <w:t>Odôvodnenie: Zvýšené výdavky zdravotných poisťovní budú plne kryté z prostriedkov verejného zdravotného poistenia v rámci rozpočtu zdravotných poisťovní.</w:t>
            </w:r>
          </w:p>
        </w:tc>
      </w:tr>
      <w:tr w:rsidR="007E3949" w:rsidTr="007E3949">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7E3949" w:rsidRDefault="007E3949">
            <w:pPr>
              <w:numPr>
                <w:ilvl w:val="0"/>
                <w:numId w:val="8"/>
              </w:numPr>
              <w:spacing w:after="0" w:line="240" w:lineRule="auto"/>
              <w:ind w:left="450" w:hanging="425"/>
              <w:contextualSpacing/>
              <w:jc w:val="both"/>
              <w:rPr>
                <w:rFonts w:ascii="Times New Roman" w:eastAsia="Calibri" w:hAnsi="Times New Roman"/>
                <w:b/>
              </w:rPr>
            </w:pPr>
            <w:r>
              <w:rPr>
                <w:rFonts w:ascii="Times New Roman" w:eastAsia="Calibri" w:hAnsi="Times New Roman"/>
                <w:b/>
              </w:rPr>
              <w:t>Stanovisko Komisie na posudzovanie vybraných vplyvov zo záverečného posúdenia č. ..........</w:t>
            </w:r>
            <w:r>
              <w:rPr>
                <w:rFonts w:ascii="Times New Roman" w:eastAsia="Calibri" w:hAnsi="Times New Roman"/>
              </w:rPr>
              <w:t xml:space="preserve"> (v prípade, ak sa uskutočnilo v zmysle bodu 9.1. Jednotnej metodiky) </w:t>
            </w:r>
          </w:p>
        </w:tc>
      </w:tr>
      <w:tr w:rsidR="007E3949" w:rsidTr="007E3949">
        <w:tc>
          <w:tcPr>
            <w:tcW w:w="9176" w:type="dxa"/>
            <w:tcBorders>
              <w:top w:val="single" w:sz="4" w:space="0" w:color="FFFFFF"/>
              <w:left w:val="single" w:sz="4" w:space="0" w:color="auto"/>
              <w:bottom w:val="single" w:sz="4" w:space="0" w:color="auto"/>
              <w:right w:val="single" w:sz="4" w:space="0" w:color="auto"/>
            </w:tcBorders>
            <w:shd w:val="clear" w:color="auto" w:fill="FFFFFF"/>
          </w:tcPr>
          <w:p w:rsidR="007E3949" w:rsidRDefault="007E3949">
            <w:pPr>
              <w:spacing w:after="0" w:line="240" w:lineRule="auto"/>
              <w:rPr>
                <w:rFonts w:ascii="Times New Roman" w:eastAsia="Times New Roman" w:hAnsi="Times New Roman"/>
                <w:b/>
                <w:sz w:val="20"/>
                <w:szCs w:val="20"/>
              </w:rPr>
            </w:pPr>
          </w:p>
          <w:tbl>
            <w:tblPr>
              <w:tblStyle w:val="Mriekatabuky1"/>
              <w:tblW w:w="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E3949">
              <w:trPr>
                <w:trHeight w:val="396"/>
              </w:trPr>
              <w:tc>
                <w:tcPr>
                  <w:tcW w:w="2552" w:type="dxa"/>
                  <w:hideMark/>
                </w:tcPr>
                <w:p w:rsidR="007E3949" w:rsidRDefault="001D6480">
                  <w:pPr>
                    <w:spacing w:after="0" w:line="240" w:lineRule="auto"/>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888232876"/>
                      <w14:checkbox>
                        <w14:checked w14:val="0"/>
                        <w14:checkedState w14:val="2612" w14:font="MS Gothic"/>
                        <w14:uncheckedState w14:val="2610" w14:font="MS Gothic"/>
                      </w14:checkbox>
                    </w:sdtPr>
                    <w:sdtEndPr/>
                    <w:sdtContent>
                      <w:r w:rsidR="007E3949">
                        <w:rPr>
                          <w:rFonts w:ascii="MS Gothic" w:eastAsia="MS Gothic" w:hAnsi="MS Gothic" w:hint="eastAsia"/>
                          <w:b/>
                          <w:sz w:val="20"/>
                          <w:szCs w:val="20"/>
                        </w:rPr>
                        <w:t>☐</w:t>
                      </w:r>
                    </w:sdtContent>
                  </w:sdt>
                  <w:r w:rsidR="007E3949">
                    <w:rPr>
                      <w:rFonts w:ascii="Times New Roman" w:eastAsia="Times New Roman" w:hAnsi="Times New Roman"/>
                      <w:b/>
                      <w:sz w:val="20"/>
                      <w:szCs w:val="20"/>
                      <w:lang w:eastAsia="en-US"/>
                    </w:rPr>
                    <w:t xml:space="preserve">   Súhlasné </w:t>
                  </w:r>
                </w:p>
              </w:tc>
              <w:tc>
                <w:tcPr>
                  <w:tcW w:w="3827" w:type="dxa"/>
                  <w:hideMark/>
                </w:tcPr>
                <w:p w:rsidR="007E3949" w:rsidRDefault="001D6480">
                  <w:pPr>
                    <w:spacing w:after="0" w:line="240" w:lineRule="auto"/>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953831761"/>
                      <w14:checkbox>
                        <w14:checked w14:val="0"/>
                        <w14:checkedState w14:val="2612" w14:font="MS Gothic"/>
                        <w14:uncheckedState w14:val="2610" w14:font="MS Gothic"/>
                      </w14:checkbox>
                    </w:sdtPr>
                    <w:sdtEndPr/>
                    <w:sdtContent>
                      <w:r w:rsidR="007E3949">
                        <w:rPr>
                          <w:rFonts w:ascii="MS Gothic" w:eastAsia="MS Gothic" w:hAnsi="MS Gothic" w:hint="eastAsia"/>
                          <w:b/>
                          <w:sz w:val="20"/>
                          <w:szCs w:val="20"/>
                        </w:rPr>
                        <w:t>☐</w:t>
                      </w:r>
                    </w:sdtContent>
                  </w:sdt>
                  <w:r w:rsidR="007E3949">
                    <w:rPr>
                      <w:rFonts w:ascii="Times New Roman" w:eastAsia="Times New Roman" w:hAnsi="Times New Roman"/>
                      <w:b/>
                      <w:sz w:val="20"/>
                      <w:szCs w:val="20"/>
                      <w:lang w:eastAsia="en-US"/>
                    </w:rPr>
                    <w:t xml:space="preserve">  Súhlasné s  návrhom na dopracovanie</w:t>
                  </w:r>
                </w:p>
              </w:tc>
              <w:tc>
                <w:tcPr>
                  <w:tcW w:w="2534" w:type="dxa"/>
                  <w:hideMark/>
                </w:tcPr>
                <w:p w:rsidR="007E3949" w:rsidRDefault="001D6480">
                  <w:pPr>
                    <w:spacing w:after="0" w:line="240" w:lineRule="auto"/>
                    <w:ind w:right="459"/>
                    <w:rPr>
                      <w:rFonts w:ascii="Times New Roman" w:eastAsia="Times New Roman" w:hAnsi="Times New Roman"/>
                      <w:b/>
                      <w:sz w:val="20"/>
                      <w:szCs w:val="20"/>
                    </w:rPr>
                  </w:pPr>
                  <w:sdt>
                    <w:sdtPr>
                      <w:rPr>
                        <w:rFonts w:ascii="Times New Roman" w:eastAsia="Times New Roman" w:hAnsi="Times New Roman" w:cstheme="minorBidi"/>
                        <w:b/>
                        <w:sz w:val="20"/>
                        <w:szCs w:val="20"/>
                        <w:lang w:eastAsia="en-US"/>
                      </w:rPr>
                      <w:id w:val="-361740452"/>
                      <w14:checkbox>
                        <w14:checked w14:val="0"/>
                        <w14:checkedState w14:val="2612" w14:font="MS Gothic"/>
                        <w14:uncheckedState w14:val="2610" w14:font="MS Gothic"/>
                      </w14:checkbox>
                    </w:sdtPr>
                    <w:sdtEndPr/>
                    <w:sdtContent>
                      <w:r w:rsidR="007E3949">
                        <w:rPr>
                          <w:rFonts w:ascii="MS Gothic" w:eastAsia="MS Gothic" w:hAnsi="MS Gothic" w:hint="eastAsia"/>
                          <w:b/>
                          <w:sz w:val="20"/>
                          <w:szCs w:val="20"/>
                        </w:rPr>
                        <w:t>☐</w:t>
                      </w:r>
                    </w:sdtContent>
                  </w:sdt>
                  <w:r w:rsidR="007E3949">
                    <w:rPr>
                      <w:rFonts w:ascii="Times New Roman" w:eastAsia="Times New Roman" w:hAnsi="Times New Roman"/>
                      <w:b/>
                      <w:sz w:val="20"/>
                      <w:szCs w:val="20"/>
                      <w:lang w:eastAsia="en-US"/>
                    </w:rPr>
                    <w:t xml:space="preserve">  Nesúhlasné</w:t>
                  </w:r>
                </w:p>
              </w:tc>
            </w:tr>
          </w:tbl>
          <w:p w:rsidR="007E3949" w:rsidRDefault="007E3949">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Uveďte pripomienky zo stanoviska Komisie z časti II. spolu s Vaším vyhodnotením:</w:t>
            </w:r>
          </w:p>
          <w:p w:rsidR="007E3949" w:rsidRDefault="007E3949">
            <w:pPr>
              <w:spacing w:after="0" w:line="240" w:lineRule="auto"/>
              <w:rPr>
                <w:rFonts w:ascii="Times New Roman" w:eastAsia="Times New Roman" w:hAnsi="Times New Roman"/>
                <w:b/>
                <w:sz w:val="20"/>
                <w:szCs w:val="20"/>
              </w:rPr>
            </w:pPr>
          </w:p>
          <w:p w:rsidR="007E3949" w:rsidRDefault="007E3949">
            <w:pPr>
              <w:spacing w:after="0" w:line="240" w:lineRule="auto"/>
              <w:rPr>
                <w:rFonts w:ascii="Times New Roman" w:eastAsia="Times New Roman" w:hAnsi="Times New Roman"/>
                <w:b/>
                <w:sz w:val="20"/>
                <w:szCs w:val="20"/>
              </w:rPr>
            </w:pPr>
          </w:p>
        </w:tc>
      </w:tr>
    </w:tbl>
    <w:p w:rsidR="007E3949" w:rsidRDefault="007E3949" w:rsidP="007E3949">
      <w:pPr>
        <w:spacing w:after="0" w:line="240" w:lineRule="auto"/>
        <w:rPr>
          <w:rFonts w:ascii="Arial Narrow" w:hAnsi="Arial Narrow"/>
        </w:rPr>
        <w:sectPr w:rsidR="007E3949">
          <w:footerReference w:type="default" r:id="rId14"/>
          <w:pgSz w:w="11907" w:h="16840"/>
          <w:pgMar w:top="1843" w:right="1418" w:bottom="1418" w:left="1418" w:header="708" w:footer="708" w:gutter="0"/>
          <w:cols w:space="708"/>
        </w:sectPr>
      </w:pPr>
    </w:p>
    <w:p w:rsidR="007E3949" w:rsidRDefault="007E3949" w:rsidP="007E394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Analýza vplyvov na rozpočet verejnej správy,</w:t>
      </w:r>
    </w:p>
    <w:p w:rsidR="007E3949" w:rsidRDefault="007E3949" w:rsidP="007E394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na zamestnanosť vo verejnej správe a financovanie návrhu</w:t>
      </w:r>
    </w:p>
    <w:p w:rsidR="007E3949" w:rsidRDefault="007E3949" w:rsidP="007E3949">
      <w:pPr>
        <w:spacing w:after="0" w:line="240" w:lineRule="auto"/>
        <w:jc w:val="right"/>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2.1 Zhrnutie vplyvov na rozpočet verejnej správy v návrhu</w:t>
      </w:r>
    </w:p>
    <w:p w:rsidR="007E3949" w:rsidRDefault="007E3949" w:rsidP="007E3949">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1"/>
        <w:gridCol w:w="1267"/>
        <w:gridCol w:w="1267"/>
        <w:gridCol w:w="1267"/>
        <w:gridCol w:w="1267"/>
      </w:tblGrid>
      <w:tr w:rsidR="007E3949" w:rsidTr="007E3949">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bookmarkStart w:id="1" w:name="OLE_LINK1"/>
            <w:r>
              <w:rPr>
                <w:rFonts w:ascii="Times New Roman" w:eastAsia="Times New Roman" w:hAnsi="Times New Roman"/>
                <w:b/>
                <w:bCs/>
                <w:sz w:val="24"/>
                <w:szCs w:val="24"/>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Vplyv na rozpočet verejnej správy (v eurách)</w:t>
            </w:r>
          </w:p>
        </w:tc>
      </w:tr>
      <w:tr w:rsidR="007E3949" w:rsidTr="007E3949">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2023</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2024</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2026</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r>
      <w:tr w:rsidR="007E3949" w:rsidTr="007E3949">
        <w:trPr>
          <w:trHeight w:val="132"/>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ind w:left="259"/>
              <w:rPr>
                <w:rFonts w:ascii="Times New Roman" w:eastAsia="Times New Roman" w:hAnsi="Times New Roman"/>
                <w:b/>
                <w:bCs/>
                <w:i/>
                <w:iCs/>
                <w:sz w:val="24"/>
                <w:szCs w:val="24"/>
              </w:rPr>
            </w:pPr>
            <w:r>
              <w:rPr>
                <w:rFonts w:ascii="Times New Roman" w:eastAsia="Times New Roman" w:hAnsi="Times New Roman"/>
                <w:bCs/>
                <w:i/>
                <w:iCs/>
                <w:sz w:val="24"/>
                <w:szCs w:val="24"/>
              </w:rPr>
              <w:t>Rozpočtové prostriedky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ind w:left="259"/>
              <w:rPr>
                <w:rFonts w:ascii="Times New Roman" w:eastAsia="Times New Roman" w:hAnsi="Times New Roman"/>
                <w:bCs/>
                <w:i/>
                <w:iCs/>
                <w:sz w:val="24"/>
                <w:szCs w:val="24"/>
              </w:rPr>
            </w:pPr>
            <w:r>
              <w:rPr>
                <w:rFonts w:ascii="Times New Roman" w:eastAsia="Times New Roman" w:hAnsi="Times New Roman"/>
                <w:bCs/>
                <w:i/>
                <w:iCs/>
                <w:sz w:val="24"/>
                <w:szCs w:val="24"/>
              </w:rPr>
              <w:t>EÚ zdroje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+920241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 xml:space="preserve">+1226988   </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7E3949" w:rsidRDefault="007E3949">
            <w:pPr>
              <w:spacing w:after="0" w:line="240" w:lineRule="auto"/>
              <w:jc w:val="right"/>
              <w:rPr>
                <w:rFonts w:ascii="Times New Roman" w:eastAsia="Times New Roman" w:hAnsi="Times New Roman"/>
                <w:b/>
                <w:bCs/>
                <w:iCs/>
                <w:sz w:val="24"/>
                <w:szCs w:val="24"/>
              </w:rPr>
            </w:pP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ind w:left="259"/>
              <w:rPr>
                <w:rFonts w:ascii="Times New Roman" w:eastAsia="Times New Roman" w:hAnsi="Times New Roman"/>
                <w:b/>
                <w:bCs/>
                <w:i/>
                <w:iCs/>
                <w:sz w:val="24"/>
                <w:szCs w:val="24"/>
              </w:rPr>
            </w:pPr>
            <w:r>
              <w:rPr>
                <w:rFonts w:ascii="Times New Roman" w:eastAsia="Times New Roman" w:hAnsi="Times New Roman"/>
                <w:bCs/>
                <w:i/>
                <w:iCs/>
                <w:sz w:val="24"/>
                <w:szCs w:val="24"/>
              </w:rPr>
              <w:t>Rozpočtové prostriedky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Cs/>
                <w:i/>
                <w:iCs/>
                <w:sz w:val="24"/>
                <w:szCs w:val="24"/>
              </w:rPr>
            </w:pPr>
            <w:r>
              <w:rPr>
                <w:rFonts w:ascii="Times New Roman" w:eastAsia="Times New Roman" w:hAnsi="Times New Roman"/>
                <w:bCs/>
                <w:i/>
                <w:iCs/>
                <w:sz w:val="24"/>
                <w:szCs w:val="24"/>
              </w:rPr>
              <w:t xml:space="preserve">    EÚ zdroje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Cs/>
                <w:i/>
                <w:iCs/>
                <w:sz w:val="24"/>
                <w:szCs w:val="24"/>
              </w:rPr>
            </w:pPr>
            <w:r>
              <w:rPr>
                <w:rFonts w:ascii="Times New Roman" w:eastAsia="Times New Roman" w:hAnsi="Times New Roman"/>
                <w:bCs/>
                <w:i/>
                <w:iCs/>
                <w:sz w:val="24"/>
                <w:szCs w:val="24"/>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ind w:left="203"/>
              <w:rPr>
                <w:rFonts w:ascii="Times New Roman" w:eastAsia="Times New Roman" w:hAnsi="Times New Roman"/>
                <w:bCs/>
                <w:i/>
                <w:iCs/>
                <w:sz w:val="24"/>
                <w:szCs w:val="24"/>
              </w:rPr>
            </w:pPr>
            <w:r>
              <w:rPr>
                <w:rFonts w:ascii="Times New Roman" w:eastAsia="Times New Roman" w:hAnsi="Times New Roman"/>
                <w:bCs/>
                <w:i/>
                <w:iCs/>
                <w:sz w:val="24"/>
                <w:szCs w:val="24"/>
              </w:rPr>
              <w:t xml:space="preserve">z toho vplyv nových úloh v zmysle ods. 2 Čl. 6 ústavného zákona č. 493/2011 Z. z. </w:t>
            </w:r>
          </w:p>
          <w:p w:rsidR="007E3949" w:rsidRDefault="007E3949">
            <w:pPr>
              <w:spacing w:after="0" w:line="240" w:lineRule="auto"/>
              <w:ind w:left="203"/>
              <w:rPr>
                <w:rFonts w:ascii="Times New Roman" w:eastAsia="Times New Roman" w:hAnsi="Times New Roman"/>
                <w:b/>
                <w:bCs/>
                <w:i/>
                <w:iCs/>
                <w:sz w:val="24"/>
                <w:szCs w:val="24"/>
              </w:rPr>
            </w:pPr>
            <w:r>
              <w:rPr>
                <w:rFonts w:ascii="Times New Roman" w:eastAsia="Times New Roman" w:hAnsi="Times New Roman"/>
                <w:bCs/>
                <w:i/>
                <w:iCs/>
                <w:sz w:val="24"/>
                <w:szCs w:val="24"/>
              </w:rPr>
              <w:t>o rozpočtovej zodpovednosti</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ind w:left="203"/>
              <w:rPr>
                <w:rFonts w:ascii="Times New Roman" w:eastAsia="Times New Roman" w:hAnsi="Times New Roman"/>
                <w:bCs/>
                <w:i/>
                <w:iCs/>
                <w:sz w:val="24"/>
                <w:szCs w:val="24"/>
              </w:rPr>
            </w:pPr>
            <w:r>
              <w:rPr>
                <w:rFonts w:ascii="Times New Roman" w:eastAsia="Times New Roman" w:hAnsi="Times New Roman"/>
                <w:bCs/>
                <w:i/>
                <w:iCs/>
                <w:sz w:val="24"/>
                <w:szCs w:val="24"/>
              </w:rPr>
              <w:t xml:space="preserve">z toho vplyv nových úloh v zmysle ods. 2 Čl. 6 ústavného zákona č. 493/2011 Z. z. </w:t>
            </w:r>
          </w:p>
          <w:p w:rsidR="007E3949" w:rsidRDefault="007E3949">
            <w:pPr>
              <w:spacing w:after="0" w:line="240" w:lineRule="auto"/>
              <w:ind w:left="203"/>
              <w:rPr>
                <w:rFonts w:ascii="Times New Roman" w:eastAsia="Times New Roman" w:hAnsi="Times New Roman"/>
                <w:b/>
                <w:bCs/>
                <w:i/>
                <w:iCs/>
                <w:sz w:val="24"/>
                <w:szCs w:val="24"/>
              </w:rPr>
            </w:pPr>
            <w:r>
              <w:rPr>
                <w:rFonts w:ascii="Times New Roman" w:eastAsia="Times New Roman" w:hAnsi="Times New Roman"/>
                <w:bCs/>
                <w:i/>
                <w:iCs/>
                <w:sz w:val="24"/>
                <w:szCs w:val="24"/>
              </w:rPr>
              <w:t>o rozpočtovej zodpovednosti</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i/>
                <w:iCs/>
                <w:sz w:val="24"/>
                <w:szCs w:val="24"/>
              </w:rPr>
              <w:t>- vplyv na ostatné subjekty verejnej správy/ vplyv na verejné zdravotné poistenie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sz w:val="24"/>
                <w:szCs w:val="24"/>
              </w:rPr>
              <w:t>+920241</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sz w:val="24"/>
                <w:szCs w:val="24"/>
              </w:rPr>
              <w:t xml:space="preserve">+1226988   </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b/>
                <w:bCs/>
                <w:iCs/>
                <w:sz w:val="24"/>
                <w:szCs w:val="24"/>
              </w:rPr>
            </w:pPr>
            <w:r>
              <w:rPr>
                <w:rFonts w:ascii="Times New Roman" w:eastAsia="Times New Roman" w:hAnsi="Times New Roman"/>
                <w:b/>
                <w:bCs/>
                <w:i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+920241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 xml:space="preserve">+1226988   </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 tom: za každý subjekt verejnej správy / </w:t>
            </w:r>
            <w:r>
              <w:rPr>
                <w:rFonts w:ascii="Times New Roman" w:eastAsia="Times New Roman" w:hAnsi="Times New Roman"/>
                <w:b/>
                <w:bCs/>
                <w:i/>
                <w:iCs/>
                <w:sz w:val="24"/>
                <w:szCs w:val="24"/>
              </w:rPr>
              <w:t>vplyv na verejné zdravotné poistenie</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+920241</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+1226988</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7E3949" w:rsidRDefault="007E3949">
            <w:pPr>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 xml:space="preserve">+1226988   </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r>
      <w:tr w:rsidR="007E3949" w:rsidTr="007E3949">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E3949" w:rsidRDefault="007E394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0</w:t>
            </w:r>
          </w:p>
        </w:tc>
      </w:tr>
      <w:bookmarkEnd w:id="1"/>
    </w:tbl>
    <w:p w:rsidR="007E3949" w:rsidRDefault="007E3949" w:rsidP="007E3949">
      <w:pPr>
        <w:rPr>
          <w:rFonts w:ascii="Times New Roman" w:eastAsia="Times New Roman" w:hAnsi="Times New Roman"/>
          <w:b/>
          <w:bCs/>
          <w:sz w:val="24"/>
          <w:szCs w:val="24"/>
        </w:rPr>
      </w:pPr>
      <w:r>
        <w:rPr>
          <w:rFonts w:ascii="Times New Roman" w:eastAsia="Times New Roman" w:hAnsi="Times New Roman"/>
          <w:b/>
          <w:bCs/>
          <w:sz w:val="24"/>
          <w:szCs w:val="24"/>
        </w:rPr>
        <w:br w:type="page"/>
        <w:t>2.1.1. Financovanie návrhu - Návrh na riešenie úbytku príjmov alebo zvýšených výdavkov podľa § 33 ods. 1 zákona č. 523/2004 Z. z. o rozpočtových pravidlách verejnej správy:</w:t>
      </w:r>
    </w:p>
    <w:p w:rsidR="007E3949" w:rsidRDefault="007E3949" w:rsidP="007E3949">
      <w:pPr>
        <w:spacing w:after="0" w:line="240" w:lineRule="auto"/>
        <w:jc w:val="both"/>
        <w:rPr>
          <w:rFonts w:ascii="Times New Roman" w:eastAsia="Times New Roman" w:hAnsi="Times New Roman"/>
          <w:b/>
          <w:bCs/>
          <w:sz w:val="12"/>
          <w:szCs w:val="24"/>
        </w:rPr>
      </w:pPr>
    </w:p>
    <w:p w:rsidR="007E3949" w:rsidRDefault="007E3949" w:rsidP="007E394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b/>
          <w:bCs/>
          <w:sz w:val="20"/>
          <w:szCs w:val="20"/>
        </w:rPr>
      </w:pPr>
      <w:r>
        <w:rPr>
          <w:rFonts w:ascii="Times New Roman" w:hAnsi="Times New Roman"/>
          <w:sz w:val="20"/>
          <w:szCs w:val="20"/>
        </w:rPr>
        <w:t>Návrh predpokladá zvýšenie výdavkov verejného zdravotného poistenia na základe platby pevnej ceny za poskytovanie urgentnej zdravotnej starostlivosti poskytovateľom, ktorý má povolenie na prevádzkovanie všeobecnej nemocnice alebo špecializovanej nemocnice, ktorá má urgentný príjem 2. typu podľa Opatrenie Ministerstva zdravotníctva Slovenskej republiky z 26. októbra 2022 č. 07045-54/2003 –OL, ktorým sa mení a dopĺňa opatrenie Ministerstva zdravotníctva Slovenskej republiky č. 07045/2022 z 30. decembra 2003, ktorým sa ustanovuje rozsah regulácie cien v oblasti zdravotníctva v znení neskorších predpisov</w:t>
      </w:r>
      <w:r w:rsidR="000678AE">
        <w:rPr>
          <w:rFonts w:ascii="Times New Roman" w:hAnsi="Times New Roman"/>
          <w:sz w:val="20"/>
          <w:szCs w:val="20"/>
        </w:rPr>
        <w:t>.</w:t>
      </w:r>
    </w:p>
    <w:p w:rsidR="007E3949" w:rsidRDefault="007E3949" w:rsidP="007E394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rPr>
      </w:pPr>
    </w:p>
    <w:p w:rsidR="007E3949" w:rsidRDefault="007E3949" w:rsidP="007E3949">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2.2. Popis a charakteristika návrhu</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2.2.1. Popis návrhu:</w:t>
      </w:r>
    </w:p>
    <w:p w:rsidR="007E3949" w:rsidRDefault="007E3949" w:rsidP="007E3949">
      <w:pPr>
        <w:spacing w:after="0" w:line="240" w:lineRule="auto"/>
        <w:jc w:val="both"/>
        <w:rPr>
          <w:rFonts w:ascii="Times New Roman" w:eastAsia="Times New Roman" w:hAnsi="Times New Roman"/>
          <w:b/>
          <w:bCs/>
          <w:sz w:val="24"/>
          <w:szCs w:val="24"/>
        </w:rPr>
      </w:pPr>
    </w:p>
    <w:p w:rsidR="007E3949" w:rsidRDefault="007E3949" w:rsidP="007E3949">
      <w:pPr>
        <w:widowControl w:val="0"/>
        <w:autoSpaceDE w:val="0"/>
        <w:autoSpaceDN w:val="0"/>
        <w:adjustRightInd w:val="0"/>
        <w:jc w:val="both"/>
        <w:rPr>
          <w:rFonts w:ascii="Times New Roman" w:hAnsi="Times New Roman"/>
          <w:sz w:val="24"/>
          <w:szCs w:val="24"/>
        </w:rPr>
      </w:pPr>
      <w:r>
        <w:rPr>
          <w:rFonts w:ascii="Times New Roman" w:eastAsia="Times New Roman" w:hAnsi="Times New Roman"/>
          <w:bCs/>
          <w:iCs/>
          <w:sz w:val="24"/>
          <w:szCs w:val="24"/>
        </w:rPr>
        <w:t xml:space="preserve">Návrh nariadenia vlády Slovenskej republiky z .....2023, ktorým sa mení a dopĺňa nariadenie vlády Slovenskej republiky č. 640/2008 Z. z. </w:t>
      </w:r>
      <w:r>
        <w:rPr>
          <w:rFonts w:ascii="Times New Roman" w:hAnsi="Times New Roman"/>
          <w:bCs/>
          <w:sz w:val="24"/>
          <w:szCs w:val="24"/>
        </w:rPr>
        <w:t xml:space="preserve">o verejnej minimálnej sieti poskytovateľov zdravotnej starostlivosti v znení neskorších predpisov. Účelom nariadenia vlády SR je vydanie povolenia na prevádzkovanie urgentného príjmu 1. typu pre nemocnicu Malacky a zaradenie Fakultnej nemocnice Trnava do  siete poskytovateľov </w:t>
      </w:r>
      <w:r>
        <w:rPr>
          <w:rFonts w:ascii="Times New Roman" w:hAnsi="Times New Roman"/>
          <w:sz w:val="24"/>
          <w:szCs w:val="24"/>
        </w:rPr>
        <w:t>ústavnej zdravotnej starostlivosti, ktorí poskytujú ústavnú pohotovostnú službu na urgentnom príjme 2. typu.</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2.2.2. Charakteristika návrhu:</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b/>
          <w:sz w:val="24"/>
          <w:szCs w:val="24"/>
          <w:bdr w:val="single" w:sz="4" w:space="0" w:color="auto" w:frame="1"/>
        </w:rPr>
        <w:t xml:space="preserve">     </w:t>
      </w:r>
      <w:r>
        <w:rPr>
          <w:rFonts w:ascii="Times New Roman" w:eastAsia="Times New Roman" w:hAnsi="Times New Roman"/>
          <w:b/>
          <w:sz w:val="24"/>
          <w:szCs w:val="24"/>
        </w:rPr>
        <w:t xml:space="preserve">  </w:t>
      </w:r>
      <w:r>
        <w:rPr>
          <w:rFonts w:ascii="Times New Roman" w:eastAsia="Times New Roman" w:hAnsi="Times New Roman"/>
          <w:sz w:val="24"/>
          <w:szCs w:val="24"/>
        </w:rPr>
        <w:t>zmena sadzby</w:t>
      </w: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single" w:sz="4" w:space="0" w:color="auto" w:frame="1"/>
        </w:rPr>
        <w:t xml:space="preserve">     </w:t>
      </w:r>
      <w:r>
        <w:rPr>
          <w:rFonts w:ascii="Times New Roman" w:eastAsia="Times New Roman" w:hAnsi="Times New Roman"/>
          <w:sz w:val="24"/>
          <w:szCs w:val="24"/>
        </w:rPr>
        <w:t xml:space="preserve">  zmena v nároku</w:t>
      </w: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single" w:sz="4" w:space="0" w:color="auto" w:frame="1"/>
        </w:rPr>
        <w:t xml:space="preserve">     </w:t>
      </w:r>
      <w:r>
        <w:rPr>
          <w:rFonts w:ascii="Times New Roman" w:eastAsia="Times New Roman" w:hAnsi="Times New Roman"/>
          <w:sz w:val="24"/>
          <w:szCs w:val="24"/>
        </w:rPr>
        <w:t xml:space="preserve">  nová služba alebo nariadenie (alebo ich zrušenie)</w:t>
      </w: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single" w:sz="4" w:space="0" w:color="auto" w:frame="1"/>
        </w:rPr>
        <w:t xml:space="preserve">  x   </w:t>
      </w:r>
      <w:r>
        <w:rPr>
          <w:rFonts w:ascii="Times New Roman" w:eastAsia="Times New Roman" w:hAnsi="Times New Roman"/>
          <w:sz w:val="24"/>
          <w:szCs w:val="24"/>
        </w:rPr>
        <w:t xml:space="preserve">  kombinovaný návrh</w:t>
      </w: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single" w:sz="4" w:space="0" w:color="auto" w:frame="1"/>
        </w:rPr>
        <w:t xml:space="preserve">     </w:t>
      </w:r>
      <w:r>
        <w:rPr>
          <w:rFonts w:ascii="Times New Roman" w:eastAsia="Times New Roman" w:hAnsi="Times New Roman"/>
          <w:sz w:val="24"/>
          <w:szCs w:val="24"/>
        </w:rPr>
        <w:t xml:space="preserve">  iné </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2.2.3. Predpoklady vývoja objemu aktivít:</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Jasne popíšte, v prípade potreby použite nižšie uvedenú tabuľku. Uveďte aj odhady základov daní a/alebo poplatkov, ak sa ich táto zmena týka.</w:t>
      </w:r>
    </w:p>
    <w:p w:rsidR="007E3949" w:rsidRDefault="007E3949" w:rsidP="007E3949">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Tabuľka č. 2 </w:t>
      </w:r>
    </w:p>
    <w:tbl>
      <w:tblPr>
        <w:tblW w:w="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1134"/>
        <w:gridCol w:w="1134"/>
        <w:gridCol w:w="1134"/>
        <w:gridCol w:w="1134"/>
      </w:tblGrid>
      <w:tr w:rsidR="007E3949" w:rsidTr="007E3949">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Odhadované objemy</w:t>
            </w:r>
          </w:p>
        </w:tc>
      </w:tr>
      <w:tr w:rsidR="007E3949" w:rsidTr="007E3949">
        <w:trPr>
          <w:cantSplit/>
          <w:trHeight w:val="70"/>
        </w:trPr>
        <w:tc>
          <w:tcPr>
            <w:tcW w:w="4530" w:type="dxa"/>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2026</w:t>
            </w:r>
          </w:p>
        </w:tc>
      </w:tr>
      <w:tr w:rsidR="007E3949" w:rsidTr="007E3949">
        <w:trPr>
          <w:trHeight w:val="70"/>
        </w:trPr>
        <w:tc>
          <w:tcPr>
            <w:tcW w:w="4530" w:type="dxa"/>
            <w:tcBorders>
              <w:top w:val="single" w:sz="4" w:space="0" w:color="auto"/>
              <w:left w:val="single" w:sz="4" w:space="0" w:color="auto"/>
              <w:bottom w:val="single" w:sz="4" w:space="0" w:color="auto"/>
              <w:right w:val="single" w:sz="4" w:space="0" w:color="auto"/>
            </w:tcBorders>
            <w:hideMark/>
          </w:tcPr>
          <w:p w:rsidR="007E3949" w:rsidRDefault="007E394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Indikátor ABC</w:t>
            </w: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r>
      <w:tr w:rsidR="007E3949" w:rsidTr="007E3949">
        <w:trPr>
          <w:trHeight w:val="70"/>
        </w:trPr>
        <w:tc>
          <w:tcPr>
            <w:tcW w:w="4530" w:type="dxa"/>
            <w:tcBorders>
              <w:top w:val="single" w:sz="4" w:space="0" w:color="auto"/>
              <w:left w:val="single" w:sz="4" w:space="0" w:color="auto"/>
              <w:bottom w:val="single" w:sz="4" w:space="0" w:color="auto"/>
              <w:right w:val="single" w:sz="4" w:space="0" w:color="auto"/>
            </w:tcBorders>
            <w:hideMark/>
          </w:tcPr>
          <w:p w:rsidR="007E3949" w:rsidRDefault="007E394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Indikátor KLM</w:t>
            </w: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r>
      <w:tr w:rsidR="007E3949" w:rsidTr="007E3949">
        <w:trPr>
          <w:trHeight w:val="70"/>
        </w:trPr>
        <w:tc>
          <w:tcPr>
            <w:tcW w:w="4530" w:type="dxa"/>
            <w:tcBorders>
              <w:top w:val="single" w:sz="4" w:space="0" w:color="auto"/>
              <w:left w:val="single" w:sz="4" w:space="0" w:color="auto"/>
              <w:bottom w:val="single" w:sz="4" w:space="0" w:color="auto"/>
              <w:right w:val="single" w:sz="4" w:space="0" w:color="auto"/>
            </w:tcBorders>
            <w:hideMark/>
          </w:tcPr>
          <w:p w:rsidR="007E3949" w:rsidRDefault="007E394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Indikátor XYZ</w:t>
            </w: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949" w:rsidRDefault="007E3949">
            <w:pPr>
              <w:autoSpaceDE w:val="0"/>
              <w:autoSpaceDN w:val="0"/>
              <w:adjustRightInd w:val="0"/>
              <w:spacing w:after="0" w:line="240" w:lineRule="auto"/>
              <w:jc w:val="right"/>
              <w:rPr>
                <w:rFonts w:ascii="Times New Roman" w:eastAsia="Times New Roman" w:hAnsi="Times New Roman"/>
                <w:sz w:val="24"/>
                <w:szCs w:val="24"/>
              </w:rPr>
            </w:pPr>
          </w:p>
        </w:tc>
      </w:tr>
    </w:tbl>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sz w:val="24"/>
          <w:szCs w:val="24"/>
        </w:rPr>
      </w:pPr>
    </w:p>
    <w:p w:rsidR="006F0C50" w:rsidRDefault="006F0C50" w:rsidP="007E3949">
      <w:pPr>
        <w:spacing w:after="0" w:line="240" w:lineRule="auto"/>
        <w:rPr>
          <w:rFonts w:ascii="Times New Roman" w:eastAsia="Times New Roman" w:hAnsi="Times New Roman"/>
          <w:sz w:val="24"/>
          <w:szCs w:val="24"/>
        </w:rPr>
      </w:pPr>
    </w:p>
    <w:p w:rsidR="006F0C50" w:rsidRDefault="006F0C50" w:rsidP="007E3949">
      <w:pPr>
        <w:spacing w:after="0" w:line="240" w:lineRule="auto"/>
        <w:rPr>
          <w:rFonts w:ascii="Times New Roman" w:eastAsia="Times New Roman" w:hAnsi="Times New Roman"/>
          <w:sz w:val="24"/>
          <w:szCs w:val="24"/>
        </w:rPr>
      </w:pPr>
    </w:p>
    <w:p w:rsidR="006F0C50" w:rsidRDefault="006F0C50"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2.2.4. Výpočty vplyvov na verejné financie</w:t>
      </w:r>
    </w:p>
    <w:p w:rsidR="007E3949" w:rsidRDefault="007E3949" w:rsidP="007E3949">
      <w:pPr>
        <w:spacing w:after="0" w:line="240" w:lineRule="auto"/>
        <w:rPr>
          <w:rFonts w:ascii="Times New Roman" w:eastAsia="Times New Roman" w:hAnsi="Times New Roman"/>
          <w:sz w:val="24"/>
          <w:szCs w:val="24"/>
        </w:rPr>
      </w:pPr>
    </w:p>
    <w:p w:rsidR="007E3949" w:rsidRDefault="007E3949" w:rsidP="007E3949">
      <w:pPr>
        <w:spacing w:after="0" w:line="240" w:lineRule="auto"/>
        <w:ind w:firstLine="708"/>
        <w:jc w:val="both"/>
        <w:rPr>
          <w:rFonts w:ascii="Times New Roman" w:hAnsi="Times New Roman"/>
          <w:bCs/>
          <w:sz w:val="24"/>
          <w:szCs w:val="24"/>
        </w:rPr>
      </w:pPr>
      <w:r>
        <w:rPr>
          <w:rFonts w:ascii="Times New Roman" w:eastAsia="Times New Roman" w:hAnsi="Times New Roman"/>
          <w:sz w:val="24"/>
          <w:szCs w:val="24"/>
        </w:rPr>
        <w:t xml:space="preserve">V prípade predĺženia </w:t>
      </w:r>
      <w:r>
        <w:rPr>
          <w:rFonts w:ascii="Times New Roman" w:hAnsi="Times New Roman"/>
          <w:bCs/>
          <w:sz w:val="24"/>
          <w:szCs w:val="24"/>
        </w:rPr>
        <w:t xml:space="preserve">povolenia na prevádzkovanie urgentného príjmu 1. typu pre nemocnicu Malacky sa jedná len o predĺženie poskytovania súčasnej služby, ktorá je krytá v rozpočte. </w:t>
      </w:r>
    </w:p>
    <w:p w:rsidR="00974E41" w:rsidRDefault="007E3949" w:rsidP="00974E41">
      <w:pPr>
        <w:spacing w:after="0" w:line="240" w:lineRule="auto"/>
        <w:ind w:firstLine="708"/>
        <w:jc w:val="both"/>
        <w:rPr>
          <w:rFonts w:ascii="Times New Roman" w:hAnsi="Times New Roman"/>
          <w:sz w:val="24"/>
          <w:szCs w:val="24"/>
        </w:rPr>
      </w:pPr>
      <w:r>
        <w:rPr>
          <w:rFonts w:ascii="Times New Roman" w:hAnsi="Times New Roman"/>
          <w:bCs/>
          <w:sz w:val="24"/>
          <w:szCs w:val="24"/>
        </w:rPr>
        <w:t xml:space="preserve">V prípade zaradenia Fakultnej nemocnice Trnava do siete poskytovateľov </w:t>
      </w:r>
      <w:r>
        <w:rPr>
          <w:rFonts w:ascii="Times New Roman" w:hAnsi="Times New Roman"/>
          <w:sz w:val="24"/>
          <w:szCs w:val="24"/>
        </w:rPr>
        <w:t>ústavnej zdravotnej starostlivosti, ktorí poskytujú ústavnú pohotovostnú službu na urgentnom príjme 2. typu sme pri výpočte vychádzali z Opatrenia Ministerstva zdravotníctva Slovenskej republiky z 26. októbra 2022 č. 07045-54/2003–OL, ktorým sa mení a dopĺňa opatrenie Ministerstva zdravotníctva Slovenskej republiky č. 07045/2022 z 30. decembra 2003, ktorým sa ustanovuje rozsah regulácie cien v oblasti zdravotníctva v znení neskorších predpisov.</w:t>
      </w:r>
    </w:p>
    <w:p w:rsidR="007E3949" w:rsidRDefault="007E3949" w:rsidP="00974E41">
      <w:pPr>
        <w:spacing w:after="0" w:line="240" w:lineRule="auto"/>
        <w:ind w:firstLine="708"/>
        <w:jc w:val="both"/>
        <w:rPr>
          <w:rFonts w:ascii="Times New Roman" w:hAnsi="Times New Roman"/>
          <w:sz w:val="24"/>
          <w:szCs w:val="24"/>
        </w:rPr>
      </w:pPr>
      <w:r>
        <w:rPr>
          <w:rFonts w:ascii="Times New Roman" w:hAnsi="Times New Roman"/>
          <w:sz w:val="24"/>
          <w:szCs w:val="24"/>
        </w:rPr>
        <w:t xml:space="preserve"> Pri výpočte sme vychádzali z rozdielu medzi platbou pevnej ceny za poskytovanie urgentnej zdravotnej starostlivosti poskytovateľom, ktorý má povolenie na prevádzkovanie všeobecnej nemocnice alebo špecializovanej nemocnice, ktorá má urgentný príjem 1. typu - 55 380 eur mesačne a urgentným príjmom 2. typu – 157 629 eur mesačne.</w:t>
      </w:r>
      <w:r w:rsidR="00974E41">
        <w:rPr>
          <w:rFonts w:ascii="Times New Roman" w:hAnsi="Times New Roman"/>
          <w:sz w:val="24"/>
          <w:szCs w:val="24"/>
        </w:rPr>
        <w:t xml:space="preserve"> </w:t>
      </w:r>
      <w:r>
        <w:rPr>
          <w:rFonts w:ascii="Times New Roman" w:hAnsi="Times New Roman"/>
          <w:sz w:val="24"/>
          <w:szCs w:val="24"/>
        </w:rPr>
        <w:t xml:space="preserve">Výsledný rozdiel je 102 249 eur mesačne x zodpovedajúci počet mesiacov v roku. </w:t>
      </w:r>
    </w:p>
    <w:p w:rsidR="007E3949" w:rsidRDefault="00974E41" w:rsidP="007E3949">
      <w:pPr>
        <w:tabs>
          <w:tab w:val="num" w:pos="1080"/>
        </w:tabs>
        <w:spacing w:after="0" w:line="240" w:lineRule="auto"/>
        <w:jc w:val="both"/>
        <w:rPr>
          <w:rFonts w:ascii="Times New Roman" w:eastAsia="Times New Roman" w:hAnsi="Times New Roman"/>
          <w:bCs/>
          <w:sz w:val="24"/>
          <w:szCs w:val="24"/>
        </w:rPr>
      </w:pPr>
      <w:r>
        <w:rPr>
          <w:rFonts w:ascii="Times New Roman" w:hAnsi="Times New Roman"/>
          <w:sz w:val="24"/>
          <w:szCs w:val="24"/>
        </w:rPr>
        <w:t xml:space="preserve">            </w:t>
      </w:r>
      <w:r w:rsidR="007E3949">
        <w:rPr>
          <w:rFonts w:ascii="Times New Roman" w:hAnsi="Times New Roman"/>
          <w:sz w:val="24"/>
          <w:szCs w:val="24"/>
        </w:rPr>
        <w:t>Uvedené zvýšenie platieb bude kryté z rozpočtu poisťovní bez potreby dodatočného financovania zo štátneho rozpočtu</w:t>
      </w:r>
      <w:r w:rsidR="000678AE">
        <w:rPr>
          <w:rFonts w:ascii="Times New Roman" w:hAnsi="Times New Roman"/>
          <w:sz w:val="24"/>
          <w:szCs w:val="24"/>
        </w:rPr>
        <w:t>.</w:t>
      </w:r>
    </w:p>
    <w:p w:rsidR="007E3949" w:rsidRDefault="007E3949" w:rsidP="007E3949">
      <w:pPr>
        <w:tabs>
          <w:tab w:val="num" w:pos="1080"/>
        </w:tabs>
        <w:spacing w:after="0" w:line="240" w:lineRule="auto"/>
        <w:jc w:val="both"/>
        <w:rPr>
          <w:rFonts w:ascii="Times New Roman" w:eastAsia="Times New Roman" w:hAnsi="Times New Roman"/>
          <w:bCs/>
          <w:sz w:val="24"/>
          <w:szCs w:val="24"/>
        </w:rPr>
      </w:pPr>
    </w:p>
    <w:p w:rsidR="007E3949" w:rsidRDefault="007E3949" w:rsidP="007E3949">
      <w:pPr>
        <w:tabs>
          <w:tab w:val="num" w:pos="1080"/>
        </w:tabs>
        <w:spacing w:after="0" w:line="240" w:lineRule="auto"/>
        <w:jc w:val="both"/>
        <w:rPr>
          <w:rFonts w:ascii="Times New Roman" w:eastAsia="Times New Roman" w:hAnsi="Times New Roman"/>
          <w:bCs/>
          <w:sz w:val="24"/>
          <w:szCs w:val="20"/>
        </w:rPr>
      </w:pPr>
    </w:p>
    <w:p w:rsidR="00622AC0" w:rsidRDefault="00622AC0">
      <w:pPr>
        <w:spacing w:after="160" w:line="259" w:lineRule="auto"/>
        <w:rPr>
          <w:rFonts w:ascii="Times New Roman" w:eastAsia="Times New Roman" w:hAnsi="Times New Roman"/>
          <w:bCs/>
          <w:sz w:val="24"/>
          <w:szCs w:val="20"/>
        </w:rPr>
      </w:pPr>
      <w:r>
        <w:rPr>
          <w:rFonts w:ascii="Times New Roman" w:eastAsia="Times New Roman" w:hAnsi="Times New Roman"/>
          <w:bCs/>
          <w:sz w:val="24"/>
          <w:szCs w:val="20"/>
        </w:rPr>
        <w:br w:type="page"/>
      </w:r>
    </w:p>
    <w:p w:rsidR="00640780" w:rsidRDefault="00640780" w:rsidP="007E3949">
      <w:pPr>
        <w:spacing w:after="0" w:line="240" w:lineRule="auto"/>
        <w:rPr>
          <w:rFonts w:ascii="Times New Roman" w:eastAsia="Times New Roman" w:hAnsi="Times New Roman"/>
          <w:bCs/>
          <w:sz w:val="24"/>
          <w:szCs w:val="20"/>
        </w:rPr>
        <w:sectPr w:rsidR="00640780" w:rsidSect="00340930">
          <w:pgSz w:w="11906" w:h="16838"/>
          <w:pgMar w:top="1417" w:right="1417" w:bottom="1276" w:left="1417" w:header="567" w:footer="283" w:gutter="0"/>
          <w:cols w:space="708"/>
          <w:docGrid w:linePitch="299"/>
        </w:sectPr>
      </w:pPr>
    </w:p>
    <w:p w:rsidR="00622AC0" w:rsidRDefault="00622AC0">
      <w:pPr>
        <w:spacing w:after="160" w:line="259" w:lineRule="auto"/>
        <w:rPr>
          <w:rFonts w:ascii="Times New Roman" w:eastAsia="Times New Roman" w:hAnsi="Times New Roman"/>
          <w:bCs/>
          <w:sz w:val="24"/>
          <w:szCs w:val="20"/>
        </w:rPr>
      </w:pPr>
      <w:r>
        <w:rPr>
          <w:rFonts w:ascii="Times New Roman" w:eastAsia="Times New Roman" w:hAnsi="Times New Roman"/>
          <w:bCs/>
          <w:sz w:val="24"/>
          <w:szCs w:val="20"/>
        </w:rPr>
        <w:br w:type="page"/>
      </w:r>
    </w:p>
    <w:p w:rsidR="007E3949" w:rsidRDefault="007E3949" w:rsidP="007E3949">
      <w:pPr>
        <w:tabs>
          <w:tab w:val="num" w:pos="1080"/>
        </w:tabs>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 xml:space="preserve">Tabuľka č. 3 </w:t>
      </w:r>
    </w:p>
    <w:p w:rsidR="007E3949" w:rsidRDefault="007E3949" w:rsidP="007E3949">
      <w:pPr>
        <w:tabs>
          <w:tab w:val="num" w:pos="1080"/>
        </w:tabs>
        <w:spacing w:after="0" w:line="240" w:lineRule="auto"/>
        <w:jc w:val="both"/>
        <w:rPr>
          <w:rFonts w:ascii="Times New Roman" w:eastAsia="Times New Roman" w:hAnsi="Times New Roman"/>
          <w:bCs/>
          <w:sz w:val="24"/>
          <w:szCs w:val="20"/>
        </w:rPr>
      </w:pPr>
    </w:p>
    <w:tbl>
      <w:tblPr>
        <w:tblpPr w:leftFromText="141" w:rightFromText="141" w:bottomFromText="200" w:horzAnchor="margin" w:tblpXSpec="center" w:tblpY="533"/>
        <w:tblW w:w="13950" w:type="dxa"/>
        <w:tblCellMar>
          <w:left w:w="70" w:type="dxa"/>
          <w:right w:w="70" w:type="dxa"/>
        </w:tblCellMar>
        <w:tblLook w:val="04A0" w:firstRow="1" w:lastRow="0" w:firstColumn="1" w:lastColumn="0" w:noHBand="0" w:noVBand="1"/>
      </w:tblPr>
      <w:tblGrid>
        <w:gridCol w:w="4950"/>
        <w:gridCol w:w="1500"/>
        <w:gridCol w:w="1500"/>
        <w:gridCol w:w="1500"/>
        <w:gridCol w:w="1500"/>
        <w:gridCol w:w="3000"/>
      </w:tblGrid>
      <w:tr w:rsidR="007E3949" w:rsidTr="007E3949">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poznámka</w:t>
            </w:r>
          </w:p>
        </w:tc>
      </w:tr>
      <w:tr w:rsidR="007E3949" w:rsidTr="007E3949">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2023</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2024</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2025</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r>
      <w:tr w:rsidR="007E3949" w:rsidTr="007E3949">
        <w:trPr>
          <w:trHeight w:val="255"/>
        </w:trPr>
        <w:tc>
          <w:tcPr>
            <w:tcW w:w="495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vertAlign w:val="superscript"/>
              </w:rPr>
            </w:pPr>
            <w:r>
              <w:rPr>
                <w:rFonts w:ascii="Times New Roman" w:eastAsia="Times New Roman" w:hAnsi="Times New Roman"/>
                <w:b/>
                <w:bCs/>
                <w:sz w:val="24"/>
                <w:szCs w:val="24"/>
              </w:rPr>
              <w:t>Daňové príjmy (100)</w:t>
            </w:r>
            <w:r>
              <w:rPr>
                <w:rFonts w:ascii="Times New Roman" w:eastAsia="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3000"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495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Nedaňové príjmy (200)</w:t>
            </w:r>
            <w:r>
              <w:rPr>
                <w:rFonts w:ascii="Times New Roman" w:eastAsia="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3000"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495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Granty a transfery (300)</w:t>
            </w:r>
            <w:r>
              <w:rPr>
                <w:rFonts w:ascii="Times New Roman" w:eastAsia="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0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3000"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495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000"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495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3000"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bl>
    <w:p w:rsidR="007E3949" w:rsidRDefault="007E3949" w:rsidP="007E3949">
      <w:pPr>
        <w:tabs>
          <w:tab w:val="num" w:pos="108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1 –  príjmy rozpísať až do položiek platnej ekonomickej klasifikácie</w:t>
      </w:r>
    </w:p>
    <w:p w:rsidR="007E3949" w:rsidRDefault="007E3949" w:rsidP="007E3949">
      <w:pPr>
        <w:tabs>
          <w:tab w:val="num" w:pos="1080"/>
        </w:tabs>
        <w:spacing w:after="0" w:line="240" w:lineRule="auto"/>
        <w:jc w:val="both"/>
        <w:rPr>
          <w:rFonts w:ascii="Times New Roman" w:eastAsia="Times New Roman" w:hAnsi="Times New Roman"/>
          <w:bCs/>
          <w:sz w:val="24"/>
          <w:szCs w:val="20"/>
        </w:rPr>
      </w:pPr>
    </w:p>
    <w:p w:rsidR="007E3949" w:rsidRDefault="007E3949" w:rsidP="007E3949">
      <w:pPr>
        <w:tabs>
          <w:tab w:val="num" w:pos="1080"/>
        </w:tabs>
        <w:spacing w:after="0" w:line="240" w:lineRule="auto"/>
        <w:jc w:val="both"/>
        <w:rPr>
          <w:rFonts w:ascii="Times New Roman" w:eastAsia="Times New Roman" w:hAnsi="Times New Roman"/>
          <w:b/>
          <w:bCs/>
          <w:sz w:val="24"/>
          <w:szCs w:val="20"/>
        </w:rPr>
      </w:pPr>
      <w:r>
        <w:rPr>
          <w:rFonts w:ascii="Times New Roman" w:eastAsia="Times New Roman" w:hAnsi="Times New Roman"/>
          <w:b/>
          <w:bCs/>
          <w:sz w:val="24"/>
          <w:szCs w:val="20"/>
        </w:rPr>
        <w:t>Poznámka:</w:t>
      </w:r>
    </w:p>
    <w:p w:rsidR="007E3949" w:rsidRDefault="007E3949" w:rsidP="007E3949">
      <w:pPr>
        <w:tabs>
          <w:tab w:val="num" w:pos="1080"/>
        </w:tabs>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Ak sa vplyv týka viacerých subjektov verejnej správy, vypĺňa sa samostatná tabuľka za každý subjekt.</w:t>
      </w: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578"/>
        <w:jc w:val="right"/>
        <w:rPr>
          <w:rFonts w:ascii="Times New Roman" w:eastAsia="Times New Roman" w:hAnsi="Times New Roman"/>
          <w:bCs/>
          <w:sz w:val="24"/>
          <w:szCs w:val="24"/>
        </w:rPr>
      </w:pPr>
    </w:p>
    <w:p w:rsidR="007E3949" w:rsidRDefault="007E3949" w:rsidP="007E3949">
      <w:pPr>
        <w:tabs>
          <w:tab w:val="num" w:pos="1080"/>
        </w:tabs>
        <w:spacing w:after="0" w:line="240" w:lineRule="auto"/>
        <w:ind w:right="-32"/>
        <w:jc w:val="right"/>
        <w:rPr>
          <w:rFonts w:ascii="Times New Roman" w:eastAsia="Times New Roman" w:hAnsi="Times New Roman"/>
          <w:bCs/>
          <w:sz w:val="24"/>
          <w:szCs w:val="24"/>
        </w:rPr>
      </w:pPr>
      <w:r>
        <w:rPr>
          <w:rFonts w:ascii="Times New Roman" w:eastAsia="Times New Roman" w:hAnsi="Times New Roman"/>
          <w:bCs/>
          <w:sz w:val="24"/>
          <w:szCs w:val="24"/>
        </w:rPr>
        <w:t xml:space="preserve">Tabuľka č. 4 </w:t>
      </w:r>
    </w:p>
    <w:p w:rsidR="007E3949" w:rsidRDefault="007E3949" w:rsidP="007E3949">
      <w:pPr>
        <w:tabs>
          <w:tab w:val="num" w:pos="1080"/>
        </w:tabs>
        <w:spacing w:after="0" w:line="240" w:lineRule="auto"/>
        <w:jc w:val="both"/>
        <w:rPr>
          <w:rFonts w:ascii="Times New Roman" w:eastAsia="Times New Roman" w:hAnsi="Times New Roman"/>
          <w:bCs/>
          <w:sz w:val="24"/>
          <w:szCs w:val="20"/>
        </w:rPr>
      </w:pPr>
    </w:p>
    <w:tbl>
      <w:tblPr>
        <w:tblpPr w:leftFromText="141" w:rightFromText="141" w:bottomFromText="200" w:vertAnchor="text" w:horzAnchor="page" w:tblpX="629" w:tblpY="2"/>
        <w:tblW w:w="14879" w:type="dxa"/>
        <w:tblCellMar>
          <w:left w:w="70" w:type="dxa"/>
          <w:right w:w="70" w:type="dxa"/>
        </w:tblCellMar>
        <w:tblLook w:val="04A0" w:firstRow="1" w:lastRow="0" w:firstColumn="1" w:lastColumn="0" w:noHBand="0" w:noVBand="1"/>
      </w:tblPr>
      <w:tblGrid>
        <w:gridCol w:w="7070"/>
        <w:gridCol w:w="1430"/>
        <w:gridCol w:w="1650"/>
        <w:gridCol w:w="1540"/>
        <w:gridCol w:w="1540"/>
        <w:gridCol w:w="1649"/>
      </w:tblGrid>
      <w:tr w:rsidR="007E3949" w:rsidTr="007E394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poznámka</w:t>
            </w:r>
          </w:p>
        </w:tc>
      </w:tr>
      <w:tr w:rsidR="007E3949" w:rsidTr="007E3949">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E3949" w:rsidRDefault="007E3949">
            <w:pPr>
              <w:spacing w:after="0"/>
              <w:rPr>
                <w:rFonts w:ascii="Times New Roman" w:eastAsia="Times New Roman" w:hAnsi="Times New Roman"/>
                <w:b/>
                <w:bCs/>
                <w:sz w:val="20"/>
                <w:szCs w:val="20"/>
              </w:rPr>
            </w:pPr>
          </w:p>
        </w:tc>
        <w:tc>
          <w:tcPr>
            <w:tcW w:w="143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2023</w:t>
            </w:r>
          </w:p>
        </w:tc>
        <w:tc>
          <w:tcPr>
            <w:tcW w:w="165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2024</w:t>
            </w:r>
          </w:p>
        </w:tc>
        <w:tc>
          <w:tcPr>
            <w:tcW w:w="154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2025</w:t>
            </w:r>
          </w:p>
        </w:tc>
        <w:tc>
          <w:tcPr>
            <w:tcW w:w="154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Bežné výdavky (600)</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Mzdy, platy, služobné príjmy a ostatné osobné vyrovnania (610)</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0"/>
                <w:szCs w:val="20"/>
                <w:vertAlign w:val="superscript"/>
              </w:rPr>
            </w:pPr>
            <w:r>
              <w:rPr>
                <w:rFonts w:ascii="Times New Roman" w:eastAsia="Times New Roman" w:hAnsi="Times New Roman"/>
                <w:sz w:val="20"/>
                <w:szCs w:val="20"/>
              </w:rPr>
              <w:t xml:space="preserve">  Poistné a príspevok do poisťovní (620)</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0"/>
                <w:szCs w:val="20"/>
                <w:vertAlign w:val="superscript"/>
              </w:rPr>
            </w:pPr>
            <w:r>
              <w:rPr>
                <w:rFonts w:ascii="Times New Roman" w:eastAsia="Times New Roman" w:hAnsi="Times New Roman"/>
                <w:sz w:val="20"/>
                <w:szCs w:val="20"/>
              </w:rPr>
              <w:t xml:space="preserve">  Tovary a služby (630)</w:t>
            </w:r>
            <w:r>
              <w:rPr>
                <w:rFonts w:ascii="Times New Roman" w:eastAsia="Times New Roman" w:hAnsi="Times New Roman"/>
                <w:sz w:val="20"/>
                <w:szCs w:val="20"/>
                <w:vertAlign w:val="superscript"/>
              </w:rPr>
              <w:t>2</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Bežné transfery (640)</w:t>
            </w:r>
            <w:r>
              <w:rPr>
                <w:rFonts w:ascii="Times New Roman" w:eastAsia="Times New Roman" w:hAnsi="Times New Roman"/>
                <w:sz w:val="20"/>
                <w:szCs w:val="20"/>
                <w:vertAlign w:val="superscript"/>
              </w:rPr>
              <w:t>2</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vAlign w:val="center"/>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Splácanie úrokov a ostatné platby súvisiace s </w:t>
            </w:r>
            <w:r>
              <w:t xml:space="preserve"> </w:t>
            </w:r>
            <w:r>
              <w:rPr>
                <w:rFonts w:ascii="Times New Roman" w:eastAsia="Times New Roman" w:hAnsi="Times New Roman"/>
                <w:sz w:val="20"/>
                <w:szCs w:val="20"/>
              </w:rPr>
              <w:t>úverom, pôžičkou, návratnou finančnou výpomocou a finančným prenájmom (650)</w:t>
            </w:r>
            <w:r>
              <w:rPr>
                <w:rFonts w:ascii="Times New Roman" w:eastAsia="Times New Roman" w:hAnsi="Times New Roman"/>
                <w:sz w:val="20"/>
                <w:szCs w:val="20"/>
                <w:vertAlign w:val="superscript"/>
              </w:rPr>
              <w:t>2</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tcPr>
          <w:p w:rsidR="007E3949" w:rsidRDefault="007E3949">
            <w:pPr>
              <w:spacing w:after="0" w:line="240" w:lineRule="auto"/>
              <w:rPr>
                <w:rFonts w:ascii="Times New Roman" w:eastAsia="Times New Roman" w:hAnsi="Times New Roman"/>
                <w:sz w:val="24"/>
                <w:szCs w:val="24"/>
              </w:rPr>
            </w:pP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Kapitálové výdavky (700)</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Obstarávanie kapitálových aktív (710)</w:t>
            </w:r>
            <w:r>
              <w:rPr>
                <w:rFonts w:ascii="Times New Roman" w:eastAsia="Times New Roman" w:hAnsi="Times New Roman"/>
                <w:sz w:val="20"/>
                <w:szCs w:val="20"/>
                <w:vertAlign w:val="superscript"/>
              </w:rPr>
              <w:t>2</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Kapitálové transfery (720)</w:t>
            </w:r>
            <w:r>
              <w:rPr>
                <w:rFonts w:ascii="Times New Roman" w:eastAsia="Times New Roman" w:hAnsi="Times New Roman"/>
                <w:sz w:val="20"/>
                <w:szCs w:val="20"/>
                <w:vertAlign w:val="superscript"/>
              </w:rPr>
              <w:t>2</w:t>
            </w:r>
          </w:p>
        </w:tc>
        <w:tc>
          <w:tcPr>
            <w:tcW w:w="143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65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0"/>
                <w:szCs w:val="20"/>
              </w:rPr>
            </w:pPr>
          </w:p>
        </w:tc>
        <w:tc>
          <w:tcPr>
            <w:tcW w:w="154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w:t>
            </w:r>
          </w:p>
        </w:tc>
        <w:tc>
          <w:tcPr>
            <w:tcW w:w="165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649" w:type="dxa"/>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Dopad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0"/>
                <w:szCs w:val="24"/>
              </w:rPr>
              <w:t>0</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bl>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r>
        <w:rPr>
          <w:rFonts w:ascii="Times New Roman" w:eastAsia="Times New Roman" w:hAnsi="Times New Roman"/>
          <w:bCs/>
          <w:sz w:val="20"/>
          <w:szCs w:val="20"/>
        </w:rPr>
        <w:t>2 –  výdavky rozpísať až do položiek platnej ekonomickej klasifikácie</w:t>
      </w:r>
    </w:p>
    <w:p w:rsidR="007E3949" w:rsidRDefault="007E3949" w:rsidP="007E3949">
      <w:pPr>
        <w:tabs>
          <w:tab w:val="num" w:pos="1080"/>
        </w:tabs>
        <w:spacing w:after="0" w:line="240" w:lineRule="auto"/>
        <w:ind w:left="-900"/>
        <w:jc w:val="both"/>
        <w:rPr>
          <w:rFonts w:ascii="Times New Roman" w:eastAsia="Times New Roman" w:hAnsi="Times New Roman"/>
          <w:bCs/>
          <w:sz w:val="24"/>
          <w:szCs w:val="20"/>
        </w:rPr>
      </w:pPr>
    </w:p>
    <w:p w:rsidR="007E3949" w:rsidRDefault="007E3949" w:rsidP="007E3949">
      <w:pPr>
        <w:tabs>
          <w:tab w:val="num" w:pos="1080"/>
        </w:tabs>
        <w:spacing w:after="0" w:line="240" w:lineRule="auto"/>
        <w:ind w:left="-900"/>
        <w:jc w:val="both"/>
        <w:rPr>
          <w:rFonts w:ascii="Times New Roman" w:eastAsia="Times New Roman" w:hAnsi="Times New Roman"/>
          <w:b/>
          <w:bCs/>
          <w:sz w:val="20"/>
          <w:szCs w:val="20"/>
        </w:rPr>
      </w:pPr>
      <w:r>
        <w:rPr>
          <w:rFonts w:ascii="Times New Roman" w:eastAsia="Times New Roman" w:hAnsi="Times New Roman"/>
          <w:b/>
          <w:bCs/>
          <w:sz w:val="24"/>
          <w:szCs w:val="20"/>
        </w:rPr>
        <w:t>Poznámka:</w:t>
      </w: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r>
        <w:rPr>
          <w:rFonts w:ascii="Times New Roman" w:eastAsia="Times New Roman" w:hAnsi="Times New Roman"/>
          <w:bCs/>
          <w:sz w:val="24"/>
          <w:szCs w:val="20"/>
        </w:rPr>
        <w:t>Ak sa vplyv týka viacerých subjektov verejnej správy, vypĺňa sa samostatná tabuľka za každý subjekt.</w:t>
      </w: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ind w:left="-900"/>
        <w:jc w:val="both"/>
        <w:rPr>
          <w:rFonts w:ascii="Times New Roman" w:eastAsia="Times New Roman" w:hAnsi="Times New Roman"/>
          <w:bCs/>
          <w:sz w:val="20"/>
          <w:szCs w:val="20"/>
        </w:rPr>
      </w:pPr>
    </w:p>
    <w:p w:rsidR="007E3949" w:rsidRDefault="007E3949" w:rsidP="007E3949">
      <w:pPr>
        <w:tabs>
          <w:tab w:val="num" w:pos="1080"/>
        </w:tabs>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 xml:space="preserve">                 Tabuľka č. 5 </w:t>
      </w:r>
    </w:p>
    <w:p w:rsidR="007E3949" w:rsidRDefault="007E3949" w:rsidP="007E3949">
      <w:pPr>
        <w:tabs>
          <w:tab w:val="num" w:pos="1080"/>
        </w:tabs>
        <w:spacing w:after="0" w:line="240" w:lineRule="auto"/>
        <w:jc w:val="both"/>
        <w:rPr>
          <w:rFonts w:ascii="Times New Roman" w:eastAsia="Times New Roman" w:hAnsi="Times New Roman"/>
          <w:bCs/>
          <w:sz w:val="24"/>
          <w:szCs w:val="20"/>
        </w:rPr>
      </w:pPr>
    </w:p>
    <w:tbl>
      <w:tblPr>
        <w:tblW w:w="14954" w:type="dxa"/>
        <w:tblInd w:w="-784" w:type="dxa"/>
        <w:tblCellMar>
          <w:left w:w="70" w:type="dxa"/>
          <w:right w:w="70" w:type="dxa"/>
        </w:tblCellMar>
        <w:tblLook w:val="04A0" w:firstRow="1" w:lastRow="0" w:firstColumn="1" w:lastColumn="0" w:noHBand="0" w:noVBand="1"/>
      </w:tblPr>
      <w:tblGrid>
        <w:gridCol w:w="6188"/>
        <w:gridCol w:w="1698"/>
        <w:gridCol w:w="1788"/>
        <w:gridCol w:w="720"/>
        <w:gridCol w:w="1158"/>
        <w:gridCol w:w="1560"/>
        <w:gridCol w:w="1332"/>
        <w:gridCol w:w="510"/>
      </w:tblGrid>
      <w:tr w:rsidR="007E3949" w:rsidTr="007E3949">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Zamestnanosť</w:t>
            </w:r>
          </w:p>
        </w:tc>
        <w:tc>
          <w:tcPr>
            <w:tcW w:w="6924" w:type="dxa"/>
            <w:gridSpan w:val="5"/>
            <w:tcBorders>
              <w:top w:val="single" w:sz="4" w:space="0" w:color="auto"/>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Vplyv na rozpočet verejnej správy</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poznámka</w:t>
            </w:r>
          </w:p>
        </w:tc>
      </w:tr>
      <w:tr w:rsidR="007E3949" w:rsidTr="007E3949">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2023</w:t>
            </w:r>
          </w:p>
        </w:tc>
        <w:tc>
          <w:tcPr>
            <w:tcW w:w="1788"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2024</w:t>
            </w:r>
          </w:p>
        </w:tc>
        <w:tc>
          <w:tcPr>
            <w:tcW w:w="1878" w:type="dxa"/>
            <w:gridSpan w:val="2"/>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2025</w:t>
            </w:r>
          </w:p>
        </w:tc>
        <w:tc>
          <w:tcPr>
            <w:tcW w:w="156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2026</w:t>
            </w:r>
          </w:p>
        </w:tc>
        <w:tc>
          <w:tcPr>
            <w:tcW w:w="0" w:type="auto"/>
            <w:gridSpan w:val="2"/>
            <w:vMerge/>
            <w:tcBorders>
              <w:top w:val="nil"/>
              <w:left w:val="nil"/>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bCs/>
                <w:sz w:val="24"/>
                <w:szCs w:val="24"/>
              </w:rPr>
            </w:pP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Počet zamestnancov celkom</w:t>
            </w:r>
          </w:p>
        </w:tc>
        <w:tc>
          <w:tcPr>
            <w:tcW w:w="169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78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78" w:type="dxa"/>
            <w:gridSpan w:val="2"/>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6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78" w:type="dxa"/>
            <w:gridSpan w:val="2"/>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60" w:type="dxa"/>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42" w:type="dxa"/>
            <w:gridSpan w:val="2"/>
            <w:tcBorders>
              <w:top w:val="nil"/>
              <w:left w:val="nil"/>
              <w:bottom w:val="single" w:sz="4" w:space="0" w:color="auto"/>
              <w:right w:val="single" w:sz="4" w:space="0" w:color="auto"/>
            </w:tcBorders>
            <w:noWrap/>
            <w:vAlign w:val="bottom"/>
          </w:tcPr>
          <w:p w:rsidR="007E3949" w:rsidRDefault="007E3949">
            <w:pPr>
              <w:spacing w:after="0" w:line="240" w:lineRule="auto"/>
              <w:rPr>
                <w:rFonts w:ascii="Times New Roman" w:eastAsia="Times New Roman" w:hAnsi="Times New Roman"/>
                <w:sz w:val="24"/>
                <w:szCs w:val="24"/>
              </w:rPr>
            </w:pP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78" w:type="dxa"/>
            <w:gridSpan w:val="2"/>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60" w:type="dxa"/>
            <w:tcBorders>
              <w:top w:val="single" w:sz="4" w:space="0" w:color="auto"/>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hideMark/>
          </w:tcPr>
          <w:p w:rsidR="007E3949" w:rsidRDefault="007E39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1788" w:type="dxa"/>
            <w:tcBorders>
              <w:top w:val="single" w:sz="4" w:space="0" w:color="auto"/>
              <w:left w:val="nil"/>
              <w:bottom w:val="single" w:sz="4" w:space="0" w:color="auto"/>
              <w:right w:val="single" w:sz="4" w:space="0" w:color="auto"/>
            </w:tcBorders>
            <w:hideMark/>
          </w:tcPr>
          <w:p w:rsidR="007E3949" w:rsidRDefault="007E39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1878" w:type="dxa"/>
            <w:gridSpan w:val="2"/>
            <w:tcBorders>
              <w:top w:val="single" w:sz="4" w:space="0" w:color="auto"/>
              <w:left w:val="nil"/>
              <w:bottom w:val="single" w:sz="4" w:space="0" w:color="auto"/>
              <w:right w:val="single" w:sz="4" w:space="0" w:color="auto"/>
            </w:tcBorders>
            <w:hideMark/>
          </w:tcPr>
          <w:p w:rsidR="007E3949" w:rsidRDefault="007E39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auto"/>
              <w:left w:val="nil"/>
              <w:bottom w:val="single" w:sz="4" w:space="0" w:color="auto"/>
              <w:right w:val="single" w:sz="4" w:space="0" w:color="auto"/>
            </w:tcBorders>
            <w:hideMark/>
          </w:tcPr>
          <w:p w:rsidR="007E3949" w:rsidRDefault="007E39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878" w:type="dxa"/>
            <w:gridSpan w:val="2"/>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560" w:type="dxa"/>
            <w:tcBorders>
              <w:top w:val="nil"/>
              <w:left w:val="nil"/>
              <w:bottom w:val="single" w:sz="4" w:space="0" w:color="auto"/>
              <w:right w:val="single" w:sz="4" w:space="0" w:color="auto"/>
            </w:tcBorders>
            <w:shd w:val="clear" w:color="auto" w:fill="BFBFBF" w:themeFill="background1" w:themeFillShade="BF"/>
            <w:hideMark/>
          </w:tcPr>
          <w:p w:rsidR="007E3949" w:rsidRDefault="007E394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1842"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78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78" w:type="dxa"/>
            <w:gridSpan w:val="2"/>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6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78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878" w:type="dxa"/>
            <w:gridSpan w:val="2"/>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56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Poistné a príspevok do poisťovní (620)</w:t>
            </w:r>
          </w:p>
        </w:tc>
        <w:tc>
          <w:tcPr>
            <w:tcW w:w="169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78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78" w:type="dxa"/>
            <w:gridSpan w:val="2"/>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56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b/>
                <w:bCs/>
                <w:sz w:val="24"/>
                <w:szCs w:val="24"/>
              </w:rPr>
            </w:pP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w:t>
            </w:r>
          </w:p>
        </w:tc>
      </w:tr>
      <w:tr w:rsidR="007E3949" w:rsidTr="007E3949">
        <w:trPr>
          <w:trHeight w:val="255"/>
        </w:trPr>
        <w:tc>
          <w:tcPr>
            <w:tcW w:w="6188" w:type="dxa"/>
            <w:tcBorders>
              <w:top w:val="nil"/>
              <w:left w:val="single" w:sz="4" w:space="0" w:color="auto"/>
              <w:bottom w:val="single" w:sz="4" w:space="0" w:color="auto"/>
              <w:right w:val="single" w:sz="4" w:space="0" w:color="auto"/>
            </w:tcBorders>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788"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878" w:type="dxa"/>
            <w:gridSpan w:val="2"/>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560" w:type="dxa"/>
            <w:tcBorders>
              <w:top w:val="nil"/>
              <w:left w:val="nil"/>
              <w:bottom w:val="single" w:sz="4" w:space="0" w:color="auto"/>
              <w:right w:val="single" w:sz="4" w:space="0" w:color="auto"/>
            </w:tcBorders>
          </w:tcPr>
          <w:p w:rsidR="007E3949" w:rsidRDefault="007E3949">
            <w:pPr>
              <w:spacing w:after="0" w:line="240" w:lineRule="auto"/>
              <w:jc w:val="center"/>
              <w:rPr>
                <w:rFonts w:ascii="Times New Roman" w:eastAsia="Times New Roman" w:hAnsi="Times New Roman"/>
                <w:sz w:val="24"/>
                <w:szCs w:val="24"/>
              </w:rPr>
            </w:pPr>
          </w:p>
        </w:tc>
        <w:tc>
          <w:tcPr>
            <w:tcW w:w="1842" w:type="dxa"/>
            <w:gridSpan w:val="2"/>
            <w:tcBorders>
              <w:top w:val="nil"/>
              <w:left w:val="nil"/>
              <w:bottom w:val="single" w:sz="4" w:space="0" w:color="auto"/>
              <w:right w:val="single" w:sz="4" w:space="0" w:color="auto"/>
            </w:tcBorders>
            <w:noWrap/>
            <w:vAlign w:val="bottom"/>
            <w:hideMark/>
          </w:tcPr>
          <w:p w:rsidR="007E3949" w:rsidRDefault="007E39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7E3949" w:rsidTr="007E3949">
        <w:trPr>
          <w:trHeight w:val="255"/>
        </w:trPr>
        <w:tc>
          <w:tcPr>
            <w:tcW w:w="6188" w:type="dxa"/>
            <w:noWrap/>
            <w:vAlign w:val="bottom"/>
          </w:tcPr>
          <w:p w:rsidR="007E3949" w:rsidRDefault="007E3949">
            <w:pPr>
              <w:spacing w:after="0" w:line="240" w:lineRule="auto"/>
              <w:rPr>
                <w:rFonts w:ascii="Times New Roman" w:eastAsia="Times New Roman" w:hAnsi="Times New Roman"/>
                <w:sz w:val="24"/>
                <w:szCs w:val="24"/>
              </w:rPr>
            </w:pPr>
          </w:p>
        </w:tc>
        <w:tc>
          <w:tcPr>
            <w:tcW w:w="1698" w:type="dxa"/>
            <w:noWrap/>
            <w:vAlign w:val="bottom"/>
          </w:tcPr>
          <w:p w:rsidR="007E3949" w:rsidRDefault="007E3949">
            <w:pPr>
              <w:spacing w:after="0" w:line="240" w:lineRule="auto"/>
              <w:rPr>
                <w:rFonts w:ascii="Times New Roman" w:eastAsia="Times New Roman" w:hAnsi="Times New Roman"/>
                <w:sz w:val="24"/>
                <w:szCs w:val="24"/>
              </w:rPr>
            </w:pPr>
          </w:p>
        </w:tc>
        <w:tc>
          <w:tcPr>
            <w:tcW w:w="1788" w:type="dxa"/>
            <w:noWrap/>
            <w:vAlign w:val="bottom"/>
          </w:tcPr>
          <w:p w:rsidR="007E3949" w:rsidRDefault="007E3949">
            <w:pPr>
              <w:spacing w:after="0" w:line="240" w:lineRule="auto"/>
              <w:rPr>
                <w:rFonts w:ascii="Times New Roman" w:eastAsia="Times New Roman" w:hAnsi="Times New Roman"/>
                <w:sz w:val="24"/>
                <w:szCs w:val="24"/>
              </w:rPr>
            </w:pPr>
          </w:p>
        </w:tc>
        <w:tc>
          <w:tcPr>
            <w:tcW w:w="1878" w:type="dxa"/>
            <w:gridSpan w:val="2"/>
            <w:noWrap/>
            <w:vAlign w:val="bottom"/>
          </w:tcPr>
          <w:p w:rsidR="007E3949" w:rsidRDefault="007E3949">
            <w:pPr>
              <w:spacing w:after="0" w:line="240" w:lineRule="auto"/>
              <w:rPr>
                <w:rFonts w:ascii="Times New Roman" w:eastAsia="Times New Roman" w:hAnsi="Times New Roman"/>
                <w:sz w:val="24"/>
                <w:szCs w:val="24"/>
              </w:rPr>
            </w:pPr>
          </w:p>
        </w:tc>
        <w:tc>
          <w:tcPr>
            <w:tcW w:w="1560" w:type="dxa"/>
            <w:noWrap/>
            <w:vAlign w:val="bottom"/>
          </w:tcPr>
          <w:p w:rsidR="007E3949" w:rsidRDefault="007E3949">
            <w:pPr>
              <w:spacing w:after="0" w:line="240" w:lineRule="auto"/>
              <w:rPr>
                <w:rFonts w:ascii="Times New Roman" w:eastAsia="Times New Roman" w:hAnsi="Times New Roman"/>
                <w:sz w:val="24"/>
                <w:szCs w:val="24"/>
              </w:rPr>
            </w:pPr>
          </w:p>
        </w:tc>
        <w:tc>
          <w:tcPr>
            <w:tcW w:w="1842" w:type="dxa"/>
            <w:gridSpan w:val="2"/>
            <w:noWrap/>
            <w:vAlign w:val="bottom"/>
          </w:tcPr>
          <w:p w:rsidR="007E3949" w:rsidRDefault="007E3949">
            <w:pPr>
              <w:spacing w:after="0" w:line="240" w:lineRule="auto"/>
              <w:rPr>
                <w:rFonts w:ascii="Times New Roman" w:eastAsia="Times New Roman" w:hAnsi="Times New Roman"/>
                <w:sz w:val="24"/>
                <w:szCs w:val="24"/>
              </w:rPr>
            </w:pPr>
          </w:p>
        </w:tc>
      </w:tr>
      <w:tr w:rsidR="007E3949" w:rsidTr="007E3949">
        <w:trPr>
          <w:trHeight w:val="255"/>
        </w:trPr>
        <w:tc>
          <w:tcPr>
            <w:tcW w:w="6188" w:type="dxa"/>
            <w:hideMark/>
          </w:tcPr>
          <w:p w:rsidR="007E3949" w:rsidRDefault="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Poznámka:</w:t>
            </w:r>
          </w:p>
        </w:tc>
        <w:tc>
          <w:tcPr>
            <w:tcW w:w="1698" w:type="dxa"/>
            <w:noWrap/>
            <w:vAlign w:val="bottom"/>
          </w:tcPr>
          <w:p w:rsidR="007E3949" w:rsidRDefault="007E3949">
            <w:pPr>
              <w:spacing w:after="0" w:line="240" w:lineRule="auto"/>
              <w:rPr>
                <w:rFonts w:ascii="Times New Roman" w:eastAsia="Times New Roman" w:hAnsi="Times New Roman"/>
                <w:sz w:val="24"/>
                <w:szCs w:val="24"/>
              </w:rPr>
            </w:pPr>
          </w:p>
        </w:tc>
        <w:tc>
          <w:tcPr>
            <w:tcW w:w="1788" w:type="dxa"/>
            <w:noWrap/>
            <w:vAlign w:val="bottom"/>
          </w:tcPr>
          <w:p w:rsidR="007E3949" w:rsidRDefault="007E3949">
            <w:pPr>
              <w:spacing w:after="0" w:line="240" w:lineRule="auto"/>
              <w:rPr>
                <w:rFonts w:ascii="Times New Roman" w:eastAsia="Times New Roman" w:hAnsi="Times New Roman"/>
                <w:sz w:val="24"/>
                <w:szCs w:val="24"/>
              </w:rPr>
            </w:pPr>
          </w:p>
        </w:tc>
        <w:tc>
          <w:tcPr>
            <w:tcW w:w="1878" w:type="dxa"/>
            <w:gridSpan w:val="2"/>
            <w:noWrap/>
            <w:vAlign w:val="bottom"/>
          </w:tcPr>
          <w:p w:rsidR="007E3949" w:rsidRDefault="007E3949">
            <w:pPr>
              <w:spacing w:after="0" w:line="240" w:lineRule="auto"/>
              <w:rPr>
                <w:rFonts w:ascii="Times New Roman" w:eastAsia="Times New Roman" w:hAnsi="Times New Roman"/>
                <w:sz w:val="24"/>
                <w:szCs w:val="24"/>
              </w:rPr>
            </w:pPr>
          </w:p>
        </w:tc>
        <w:tc>
          <w:tcPr>
            <w:tcW w:w="1560" w:type="dxa"/>
            <w:noWrap/>
            <w:vAlign w:val="bottom"/>
          </w:tcPr>
          <w:p w:rsidR="007E3949" w:rsidRDefault="007E3949">
            <w:pPr>
              <w:spacing w:after="0" w:line="240" w:lineRule="auto"/>
              <w:rPr>
                <w:rFonts w:ascii="Times New Roman" w:eastAsia="Times New Roman" w:hAnsi="Times New Roman"/>
                <w:sz w:val="24"/>
                <w:szCs w:val="24"/>
              </w:rPr>
            </w:pPr>
          </w:p>
        </w:tc>
        <w:tc>
          <w:tcPr>
            <w:tcW w:w="1842" w:type="dxa"/>
            <w:gridSpan w:val="2"/>
            <w:noWrap/>
            <w:vAlign w:val="bottom"/>
          </w:tcPr>
          <w:p w:rsidR="007E3949" w:rsidRDefault="007E3949">
            <w:pPr>
              <w:spacing w:after="0" w:line="240" w:lineRule="auto"/>
              <w:rPr>
                <w:rFonts w:ascii="Times New Roman" w:eastAsia="Times New Roman" w:hAnsi="Times New Roman"/>
                <w:sz w:val="24"/>
                <w:szCs w:val="24"/>
              </w:rPr>
            </w:pPr>
          </w:p>
        </w:tc>
      </w:tr>
      <w:tr w:rsidR="007E3949" w:rsidTr="007E3949">
        <w:trPr>
          <w:trHeight w:val="255"/>
        </w:trPr>
        <w:tc>
          <w:tcPr>
            <w:tcW w:w="13112" w:type="dxa"/>
            <w:gridSpan w:val="6"/>
            <w:noWrap/>
            <w:hideMark/>
          </w:tcPr>
          <w:p w:rsidR="007E3949" w:rsidRDefault="007E3949">
            <w:r>
              <w:rPr>
                <w:rFonts w:ascii="Times New Roman" w:eastAsia="Times New Roman" w:hAnsi="Times New Roman"/>
                <w:bCs/>
                <w:sz w:val="24"/>
                <w:szCs w:val="20"/>
              </w:rPr>
              <w:t xml:space="preserve">Návrh nariadenia vlády nemá vplyv na zamestnanosť, keďže v prípade Nemocnice Malacky sa jedná o pokračovanie služby a v prípade Fakultnej nemocnice Trnava budú služby zabezpečované súčasným personálom nemocnice.  </w:t>
            </w:r>
          </w:p>
        </w:tc>
        <w:tc>
          <w:tcPr>
            <w:tcW w:w="1842" w:type="dxa"/>
            <w:gridSpan w:val="2"/>
            <w:noWrap/>
            <w:vAlign w:val="bottom"/>
          </w:tcPr>
          <w:p w:rsidR="007E3949" w:rsidRDefault="007E3949">
            <w:pPr>
              <w:spacing w:after="0" w:line="240" w:lineRule="auto"/>
              <w:rPr>
                <w:rFonts w:ascii="Times New Roman" w:eastAsia="Times New Roman" w:hAnsi="Times New Roman"/>
                <w:sz w:val="24"/>
                <w:szCs w:val="24"/>
              </w:rPr>
            </w:pPr>
          </w:p>
        </w:tc>
      </w:tr>
      <w:tr w:rsidR="007E3949" w:rsidTr="007E3949">
        <w:trPr>
          <w:trHeight w:val="255"/>
        </w:trPr>
        <w:tc>
          <w:tcPr>
            <w:tcW w:w="10394" w:type="dxa"/>
            <w:gridSpan w:val="4"/>
            <w:noWrap/>
          </w:tcPr>
          <w:p w:rsidR="007E3949" w:rsidRDefault="007E3949"/>
        </w:tc>
        <w:tc>
          <w:tcPr>
            <w:tcW w:w="1158" w:type="dxa"/>
            <w:noWrap/>
            <w:vAlign w:val="bottom"/>
          </w:tcPr>
          <w:p w:rsidR="007E3949" w:rsidRDefault="007E3949">
            <w:pPr>
              <w:spacing w:after="0" w:line="240" w:lineRule="auto"/>
              <w:rPr>
                <w:rFonts w:ascii="Times New Roman" w:eastAsia="Times New Roman" w:hAnsi="Times New Roman"/>
                <w:sz w:val="24"/>
                <w:szCs w:val="24"/>
              </w:rPr>
            </w:pPr>
          </w:p>
        </w:tc>
        <w:tc>
          <w:tcPr>
            <w:tcW w:w="2892" w:type="dxa"/>
            <w:gridSpan w:val="2"/>
            <w:noWrap/>
            <w:vAlign w:val="bottom"/>
          </w:tcPr>
          <w:p w:rsidR="007E3949" w:rsidRDefault="007E3949">
            <w:pPr>
              <w:spacing w:after="0" w:line="240" w:lineRule="auto"/>
              <w:rPr>
                <w:rFonts w:ascii="Times New Roman" w:eastAsia="Times New Roman" w:hAnsi="Times New Roman"/>
                <w:sz w:val="24"/>
                <w:szCs w:val="24"/>
              </w:rPr>
            </w:pPr>
          </w:p>
        </w:tc>
        <w:tc>
          <w:tcPr>
            <w:tcW w:w="510" w:type="dxa"/>
            <w:noWrap/>
            <w:vAlign w:val="bottom"/>
          </w:tcPr>
          <w:p w:rsidR="007E3949" w:rsidRDefault="007E3949">
            <w:pPr>
              <w:spacing w:after="0" w:line="240" w:lineRule="auto"/>
              <w:rPr>
                <w:rFonts w:ascii="Times New Roman" w:eastAsia="Times New Roman" w:hAnsi="Times New Roman"/>
                <w:sz w:val="24"/>
                <w:szCs w:val="24"/>
              </w:rPr>
            </w:pPr>
          </w:p>
        </w:tc>
      </w:tr>
    </w:tbl>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p>
    <w:p w:rsidR="007E3949" w:rsidRDefault="007E3949" w:rsidP="007E394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7E3949" w:rsidRDefault="007E3949" w:rsidP="007E394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2.2.5. Výpočet vplyvov na dlhodobú udržateľnosť verejných financií </w:t>
      </w:r>
    </w:p>
    <w:p w:rsidR="007E3949" w:rsidRDefault="007E3949" w:rsidP="007E3949">
      <w:pPr>
        <w:spacing w:after="0" w:line="240" w:lineRule="auto"/>
        <w:jc w:val="both"/>
        <w:rPr>
          <w:rFonts w:ascii="Times New Roman" w:eastAsia="Times New Roman" w:hAnsi="Times New Roman"/>
          <w:sz w:val="24"/>
          <w:szCs w:val="24"/>
        </w:rPr>
      </w:pPr>
    </w:p>
    <w:p w:rsidR="007E3949" w:rsidRDefault="007E3949" w:rsidP="007E394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Uveďte model, ktorý bol použitý na stanovenie vplyvov na príjmy a výdavky v dlhodobom horizonte, ako aj predpoklady, z ktorých ste vychádzali a boli v modeli zahrnuté. Popíšte použitý model spolu s jeho modifikáciami, ak boli pri výpočte vykonané. </w:t>
      </w:r>
    </w:p>
    <w:p w:rsidR="007E3949" w:rsidRDefault="007E3949" w:rsidP="007E3949">
      <w:pPr>
        <w:spacing w:after="0" w:line="240" w:lineRule="auto"/>
        <w:jc w:val="both"/>
        <w:rPr>
          <w:rFonts w:ascii="Times New Roman" w:eastAsia="Times New Roman" w:hAnsi="Times New Roman"/>
          <w:sz w:val="24"/>
          <w:szCs w:val="24"/>
        </w:rPr>
      </w:pPr>
    </w:p>
    <w:p w:rsidR="007E3949" w:rsidRDefault="007E3949" w:rsidP="007E39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Tabuľka č. 6</w:t>
      </w:r>
    </w:p>
    <w:p w:rsidR="007E3949" w:rsidRDefault="007E3949" w:rsidP="007E3949">
      <w:pPr>
        <w:spacing w:after="0" w:line="240" w:lineRule="auto"/>
        <w:jc w:val="both"/>
        <w:rPr>
          <w:rFonts w:ascii="Times New Roman" w:eastAsia="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7"/>
        <w:gridCol w:w="1559"/>
        <w:gridCol w:w="1559"/>
        <w:gridCol w:w="1418"/>
        <w:gridCol w:w="1984"/>
        <w:gridCol w:w="3119"/>
      </w:tblGrid>
      <w:tr w:rsidR="007E3949" w:rsidTr="007E3949">
        <w:trPr>
          <w:trHeight w:val="284"/>
        </w:trPr>
        <w:tc>
          <w:tcPr>
            <w:tcW w:w="29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Dlhodobá udržateľnosť</w:t>
            </w:r>
          </w:p>
        </w:tc>
        <w:tc>
          <w:tcPr>
            <w:tcW w:w="796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Vplyv na verejné financie</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Poznámka</w:t>
            </w:r>
          </w:p>
        </w:tc>
      </w:tr>
      <w:tr w:rsidR="007E3949" w:rsidTr="007E3949">
        <w:trPr>
          <w:trHeight w:val="28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sz w:val="24"/>
                <w:szCs w:val="24"/>
              </w:rPr>
            </w:pPr>
          </w:p>
        </w:tc>
        <w:tc>
          <w:tcPr>
            <w:tcW w:w="14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2023</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2033</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2043</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2053</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3949" w:rsidRDefault="007E3949">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2063</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E3949" w:rsidRDefault="007E3949">
            <w:pPr>
              <w:spacing w:after="0"/>
              <w:rPr>
                <w:rFonts w:ascii="Times New Roman" w:eastAsia="Times New Roman" w:hAnsi="Times New Roman"/>
                <w:b/>
                <w:sz w:val="24"/>
                <w:szCs w:val="24"/>
              </w:rPr>
            </w:pPr>
          </w:p>
        </w:tc>
      </w:tr>
      <w:tr w:rsidR="007E3949" w:rsidTr="007E3949">
        <w:trPr>
          <w:trHeight w:val="284"/>
        </w:trPr>
        <w:tc>
          <w:tcPr>
            <w:tcW w:w="2943" w:type="dxa"/>
            <w:tcBorders>
              <w:top w:val="single" w:sz="4" w:space="0" w:color="auto"/>
              <w:left w:val="single" w:sz="4" w:space="0" w:color="auto"/>
              <w:bottom w:val="single" w:sz="4" w:space="0" w:color="auto"/>
              <w:right w:val="single" w:sz="4" w:space="0" w:color="auto"/>
            </w:tcBorders>
            <w:vAlign w:val="bottom"/>
            <w:hideMark/>
          </w:tcPr>
          <w:p w:rsidR="007E3949" w:rsidRDefault="007E39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Vplyv na výdavky v p. b. HDP</w:t>
            </w:r>
          </w:p>
        </w:tc>
        <w:tc>
          <w:tcPr>
            <w:tcW w:w="1447"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r>
      <w:tr w:rsidR="007E3949" w:rsidTr="007E3949">
        <w:trPr>
          <w:trHeight w:val="284"/>
        </w:trPr>
        <w:tc>
          <w:tcPr>
            <w:tcW w:w="2943" w:type="dxa"/>
            <w:tcBorders>
              <w:top w:val="single" w:sz="4" w:space="0" w:color="auto"/>
              <w:left w:val="single" w:sz="4" w:space="0" w:color="auto"/>
              <w:bottom w:val="single" w:sz="4" w:space="0" w:color="auto"/>
              <w:right w:val="single" w:sz="4" w:space="0" w:color="auto"/>
            </w:tcBorders>
            <w:hideMark/>
          </w:tcPr>
          <w:p w:rsidR="007E3949" w:rsidRDefault="007E39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Vplyv na príjmy v p. b. HDP</w:t>
            </w:r>
          </w:p>
        </w:tc>
        <w:tc>
          <w:tcPr>
            <w:tcW w:w="1447"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r>
      <w:tr w:rsidR="007E3949" w:rsidTr="007E3949">
        <w:trPr>
          <w:trHeight w:val="284"/>
        </w:trPr>
        <w:tc>
          <w:tcPr>
            <w:tcW w:w="2943" w:type="dxa"/>
            <w:tcBorders>
              <w:top w:val="single" w:sz="4" w:space="0" w:color="auto"/>
              <w:left w:val="single" w:sz="4" w:space="0" w:color="auto"/>
              <w:bottom w:val="single" w:sz="4" w:space="0" w:color="auto"/>
              <w:right w:val="single" w:sz="4" w:space="0" w:color="auto"/>
            </w:tcBorders>
            <w:hideMark/>
          </w:tcPr>
          <w:p w:rsidR="007E3949" w:rsidRDefault="007E39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Vplyv na bilanciu  v p. b. HDP</w:t>
            </w:r>
          </w:p>
        </w:tc>
        <w:tc>
          <w:tcPr>
            <w:tcW w:w="1447"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E3949" w:rsidRDefault="007E39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tc>
      </w:tr>
    </w:tbl>
    <w:p w:rsidR="007E3949" w:rsidRDefault="007E3949" w:rsidP="007E3949">
      <w:pPr>
        <w:spacing w:after="0" w:line="240" w:lineRule="auto"/>
        <w:jc w:val="both"/>
        <w:rPr>
          <w:rFonts w:ascii="Times New Roman" w:eastAsia="Times New Roman" w:hAnsi="Times New Roman"/>
          <w:sz w:val="24"/>
          <w:szCs w:val="24"/>
        </w:rPr>
      </w:pPr>
    </w:p>
    <w:p w:rsidR="007E3949" w:rsidRDefault="007E3949" w:rsidP="007E394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Poznámka: </w:t>
      </w:r>
    </w:p>
    <w:p w:rsidR="007E3949" w:rsidRDefault="007E3949" w:rsidP="007E39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Písmeno „d“ označuje prvý rok nasledujúcej dekády. </w:t>
      </w:r>
    </w:p>
    <w:p w:rsidR="007E3949" w:rsidRDefault="007E3949" w:rsidP="007E39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Tabuľka sa vypĺňa pre každé opatrenie samostatne. V prípade zavádzania viacerých opatrení sa vyplní aj tabuľka obsahujúca aj kumulatívny efekt zavedenia všetkých opatrení súčasne.“  </w:t>
      </w:r>
    </w:p>
    <w:p w:rsidR="00BB0868" w:rsidRDefault="00BB0868"/>
    <w:sectPr w:rsidR="00BB0868" w:rsidSect="0064078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80" w:rsidRDefault="001D6480" w:rsidP="00D52A37">
      <w:pPr>
        <w:spacing w:after="0" w:line="240" w:lineRule="auto"/>
      </w:pPr>
      <w:r>
        <w:separator/>
      </w:r>
    </w:p>
  </w:endnote>
  <w:endnote w:type="continuationSeparator" w:id="0">
    <w:p w:rsidR="001D6480" w:rsidRDefault="001D6480" w:rsidP="00D5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142098"/>
      <w:docPartObj>
        <w:docPartGallery w:val="Page Numbers (Bottom of Page)"/>
        <w:docPartUnique/>
      </w:docPartObj>
    </w:sdtPr>
    <w:sdtEndPr/>
    <w:sdtContent>
      <w:p w:rsidR="00D52A37" w:rsidRDefault="00D52A37">
        <w:pPr>
          <w:pStyle w:val="Pta"/>
          <w:jc w:val="right"/>
        </w:pPr>
        <w:r>
          <w:fldChar w:fldCharType="begin"/>
        </w:r>
        <w:r>
          <w:instrText>PAGE   \* MERGEFORMAT</w:instrText>
        </w:r>
        <w:r>
          <w:fldChar w:fldCharType="separate"/>
        </w:r>
        <w:r w:rsidR="001D6480">
          <w:rPr>
            <w:noProof/>
          </w:rPr>
          <w:t>1</w:t>
        </w:r>
        <w:r>
          <w:fldChar w:fldCharType="end"/>
        </w:r>
      </w:p>
    </w:sdtContent>
  </w:sdt>
  <w:p w:rsidR="00D52A37" w:rsidRDefault="00D52A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80" w:rsidRDefault="001D6480" w:rsidP="00D52A37">
      <w:pPr>
        <w:spacing w:after="0" w:line="240" w:lineRule="auto"/>
      </w:pPr>
      <w:r>
        <w:separator/>
      </w:r>
    </w:p>
  </w:footnote>
  <w:footnote w:type="continuationSeparator" w:id="0">
    <w:p w:rsidR="001D6480" w:rsidRDefault="001D6480" w:rsidP="00D52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 w15:restartNumberingAfterBreak="0">
    <w:nsid w:val="5EA80CB7"/>
    <w:multiLevelType w:val="hybridMultilevel"/>
    <w:tmpl w:val="F1747B7A"/>
    <w:lvl w:ilvl="0" w:tplc="6B5AC516">
      <w:start w:val="1"/>
      <w:numFmt w:val="upperRoman"/>
      <w:pStyle w:val="Nadpis1"/>
      <w:lvlText w:val="%1."/>
      <w:lvlJc w:val="right"/>
      <w:pPr>
        <w:ind w:left="6843" w:hanging="180"/>
      </w:pPr>
    </w:lvl>
    <w:lvl w:ilvl="1" w:tplc="858E3F60">
      <w:start w:val="1"/>
      <w:numFmt w:val="decimal"/>
      <w:lvlText w:val="%2."/>
      <w:lvlJc w:val="left"/>
      <w:pPr>
        <w:ind w:left="1500" w:hanging="42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6A03488E"/>
    <w:multiLevelType w:val="hybridMultilevel"/>
    <w:tmpl w:val="42C61446"/>
    <w:lvl w:ilvl="0" w:tplc="3D8A57DA">
      <w:start w:val="1"/>
      <w:numFmt w:val="upperLetter"/>
      <w:pStyle w:val="Nadpis2"/>
      <w:lvlText w:val="%1."/>
      <w:lvlJc w:val="left"/>
      <w:pPr>
        <w:ind w:left="1637" w:hanging="360"/>
      </w:pPr>
      <w:rPr>
        <w:b/>
      </w:rPr>
    </w:lvl>
    <w:lvl w:ilvl="1" w:tplc="04090019">
      <w:start w:val="1"/>
      <w:numFmt w:val="lowerLetter"/>
      <w:lvlText w:val="%2."/>
      <w:lvlJc w:val="left"/>
      <w:pPr>
        <w:ind w:left="2020" w:hanging="360"/>
      </w:pPr>
    </w:lvl>
    <w:lvl w:ilvl="2" w:tplc="0409001B">
      <w:start w:val="1"/>
      <w:numFmt w:val="lowerRoman"/>
      <w:lvlText w:val="%3."/>
      <w:lvlJc w:val="right"/>
      <w:pPr>
        <w:ind w:left="2740" w:hanging="180"/>
      </w:pPr>
    </w:lvl>
    <w:lvl w:ilvl="3" w:tplc="0409000F">
      <w:start w:val="1"/>
      <w:numFmt w:val="decimal"/>
      <w:lvlText w:val="%4."/>
      <w:lvlJc w:val="left"/>
      <w:pPr>
        <w:ind w:left="3460" w:hanging="360"/>
      </w:pPr>
    </w:lvl>
    <w:lvl w:ilvl="4" w:tplc="04090019">
      <w:start w:val="1"/>
      <w:numFmt w:val="lowerLetter"/>
      <w:lvlText w:val="%5."/>
      <w:lvlJc w:val="left"/>
      <w:pPr>
        <w:ind w:left="4180" w:hanging="360"/>
      </w:pPr>
    </w:lvl>
    <w:lvl w:ilvl="5" w:tplc="0409001B">
      <w:start w:val="1"/>
      <w:numFmt w:val="lowerRoman"/>
      <w:lvlText w:val="%6."/>
      <w:lvlJc w:val="right"/>
      <w:pPr>
        <w:ind w:left="4900" w:hanging="180"/>
      </w:pPr>
    </w:lvl>
    <w:lvl w:ilvl="6" w:tplc="0409000F">
      <w:start w:val="1"/>
      <w:numFmt w:val="decimal"/>
      <w:lvlText w:val="%7."/>
      <w:lvlJc w:val="left"/>
      <w:pPr>
        <w:ind w:left="5620" w:hanging="360"/>
      </w:pPr>
    </w:lvl>
    <w:lvl w:ilvl="7" w:tplc="04090019">
      <w:start w:val="1"/>
      <w:numFmt w:val="lowerLetter"/>
      <w:lvlText w:val="%8."/>
      <w:lvlJc w:val="left"/>
      <w:pPr>
        <w:ind w:left="6340" w:hanging="360"/>
      </w:pPr>
    </w:lvl>
    <w:lvl w:ilvl="8" w:tplc="0409001B">
      <w:start w:val="1"/>
      <w:numFmt w:val="lowerRoman"/>
      <w:lvlText w:val="%9."/>
      <w:lvlJc w:val="right"/>
      <w:pPr>
        <w:ind w:left="7060" w:hanging="180"/>
      </w:p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start w:val="1"/>
      <w:numFmt w:val="lowerRoman"/>
      <w:lvlText w:val="%3."/>
      <w:lvlJc w:val="right"/>
      <w:pPr>
        <w:ind w:left="2302" w:hanging="180"/>
      </w:pPr>
      <w:rPr>
        <w:rFonts w:cs="Times New Roman"/>
      </w:rPr>
    </w:lvl>
    <w:lvl w:ilvl="3" w:tplc="041B000F">
      <w:start w:val="1"/>
      <w:numFmt w:val="decimal"/>
      <w:lvlText w:val="%4."/>
      <w:lvlJc w:val="left"/>
      <w:pPr>
        <w:ind w:left="3022" w:hanging="360"/>
      </w:pPr>
      <w:rPr>
        <w:rFonts w:cs="Times New Roman"/>
      </w:rPr>
    </w:lvl>
    <w:lvl w:ilvl="4" w:tplc="041B0019">
      <w:start w:val="1"/>
      <w:numFmt w:val="lowerLetter"/>
      <w:lvlText w:val="%5."/>
      <w:lvlJc w:val="left"/>
      <w:pPr>
        <w:ind w:left="3742" w:hanging="360"/>
      </w:pPr>
      <w:rPr>
        <w:rFonts w:cs="Times New Roman"/>
      </w:rPr>
    </w:lvl>
    <w:lvl w:ilvl="5" w:tplc="041B001B">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start w:val="1"/>
      <w:numFmt w:val="lowerLetter"/>
      <w:lvlText w:val="%8."/>
      <w:lvlJc w:val="left"/>
      <w:pPr>
        <w:ind w:left="5902" w:hanging="360"/>
      </w:pPr>
      <w:rPr>
        <w:rFonts w:cs="Times New Roman"/>
      </w:rPr>
    </w:lvl>
    <w:lvl w:ilvl="8" w:tplc="041B001B">
      <w:start w:val="1"/>
      <w:numFmt w:val="lowerRoman"/>
      <w:lvlText w:val="%9."/>
      <w:lvlJc w:val="right"/>
      <w:pPr>
        <w:ind w:left="6622"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49"/>
    <w:rsid w:val="0004033C"/>
    <w:rsid w:val="000678AE"/>
    <w:rsid w:val="00127FFE"/>
    <w:rsid w:val="0013497A"/>
    <w:rsid w:val="001A29FC"/>
    <w:rsid w:val="001D6480"/>
    <w:rsid w:val="002B0CAC"/>
    <w:rsid w:val="00340930"/>
    <w:rsid w:val="003541DC"/>
    <w:rsid w:val="00375B85"/>
    <w:rsid w:val="003D599F"/>
    <w:rsid w:val="00451DB3"/>
    <w:rsid w:val="005F76C8"/>
    <w:rsid w:val="00622AC0"/>
    <w:rsid w:val="00640780"/>
    <w:rsid w:val="00680E81"/>
    <w:rsid w:val="006D482A"/>
    <w:rsid w:val="006F0C50"/>
    <w:rsid w:val="00726405"/>
    <w:rsid w:val="007570AC"/>
    <w:rsid w:val="007E3949"/>
    <w:rsid w:val="007F125E"/>
    <w:rsid w:val="00974E41"/>
    <w:rsid w:val="00B42A77"/>
    <w:rsid w:val="00B55743"/>
    <w:rsid w:val="00B66D7E"/>
    <w:rsid w:val="00BB0868"/>
    <w:rsid w:val="00BE1CA4"/>
    <w:rsid w:val="00BE29D9"/>
    <w:rsid w:val="00C11CAE"/>
    <w:rsid w:val="00C12442"/>
    <w:rsid w:val="00D52A37"/>
    <w:rsid w:val="00E65294"/>
    <w:rsid w:val="00ED6890"/>
    <w:rsid w:val="00ED7534"/>
    <w:rsid w:val="00F03ED9"/>
    <w:rsid w:val="00F0759D"/>
    <w:rsid w:val="00FB0174"/>
    <w:rsid w:val="00FC7E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B330"/>
  <w15:chartTrackingRefBased/>
  <w15:docId w15:val="{417FF045-0AD7-487A-AE5A-7BD9C182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949"/>
    <w:pPr>
      <w:spacing w:after="200" w:line="276" w:lineRule="auto"/>
    </w:pPr>
    <w:rPr>
      <w:rFonts w:eastAsiaTheme="minorEastAsia" w:cs="Times New Roman"/>
      <w:lang w:eastAsia="sk-SK"/>
    </w:rPr>
  </w:style>
  <w:style w:type="paragraph" w:styleId="Nadpis1">
    <w:name w:val="heading 1"/>
    <w:aliases w:val="Nadpis 1T,NADPIS,Heading 11111,Kapitola,H1,V_Head1,Main Section,MainHeader"/>
    <w:basedOn w:val="Normlny"/>
    <w:next w:val="Normlny"/>
    <w:link w:val="Nadpis1Char"/>
    <w:uiPriority w:val="9"/>
    <w:qFormat/>
    <w:rsid w:val="007E3949"/>
    <w:pPr>
      <w:keepNext/>
      <w:numPr>
        <w:numId w:val="1"/>
      </w:numPr>
      <w:spacing w:before="240" w:after="60"/>
      <w:outlineLvl w:val="0"/>
    </w:pPr>
    <w:rPr>
      <w:rFonts w:ascii="Calibri" w:eastAsia="MS Gothic" w:hAnsi="Calibri"/>
      <w:b/>
      <w:bCs/>
      <w:kern w:val="32"/>
      <w:sz w:val="32"/>
      <w:szCs w:val="32"/>
      <w:lang w:val="x-none" w:eastAsia="en-US"/>
    </w:rPr>
  </w:style>
  <w:style w:type="paragraph" w:styleId="Nadpis2">
    <w:name w:val="heading 2"/>
    <w:aliases w:val="Nadpis 2T,Podnadpis,F2,F21,H2,Podkapitola1,hlavicka,h2,V_Head2"/>
    <w:basedOn w:val="Obsah2"/>
    <w:next w:val="Normlny"/>
    <w:link w:val="Nadpis2Char"/>
    <w:uiPriority w:val="9"/>
    <w:semiHidden/>
    <w:unhideWhenUsed/>
    <w:qFormat/>
    <w:rsid w:val="007E3949"/>
    <w:pPr>
      <w:keepNext/>
      <w:numPr>
        <w:numId w:val="3"/>
      </w:numPr>
      <w:spacing w:before="240" w:after="60"/>
      <w:outlineLvl w:val="1"/>
    </w:pPr>
    <w:rPr>
      <w:rFonts w:ascii="Calibri" w:eastAsia="MS Gothic" w:hAnsi="Calibri"/>
      <w:b/>
      <w:bCs/>
      <w:iCs/>
      <w:sz w:val="28"/>
      <w:szCs w:val="28"/>
      <w:lang w:val="x-none" w:eastAsia="en-US"/>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semiHidden/>
    <w:unhideWhenUsed/>
    <w:qFormat/>
    <w:rsid w:val="007E3949"/>
    <w:pPr>
      <w:keepNext/>
      <w:spacing w:before="240" w:after="60"/>
      <w:outlineLvl w:val="2"/>
    </w:pPr>
    <w:rPr>
      <w:rFonts w:ascii="Arial" w:eastAsia="Calibri" w:hAnsi="Arial" w:cs="Arial"/>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7E3949"/>
    <w:rPr>
      <w:rFonts w:ascii="Calibri" w:eastAsia="MS Gothic" w:hAnsi="Calibri" w:cs="Times New Roman"/>
      <w:b/>
      <w:bCs/>
      <w:kern w:val="32"/>
      <w:sz w:val="32"/>
      <w:szCs w:val="32"/>
      <w:lang w:val="x-none"/>
    </w:rPr>
  </w:style>
  <w:style w:type="character" w:customStyle="1" w:styleId="Nadpis2Char">
    <w:name w:val="Nadpis 2 Char"/>
    <w:aliases w:val="Nadpis 2T Char,Podnadpis Char,F2 Char,F21 Char,H2 Char,Podkapitola1 Char,hlavicka Char,h2 Char,V_Head2 Char"/>
    <w:basedOn w:val="Predvolenpsmoodseku"/>
    <w:link w:val="Nadpis2"/>
    <w:uiPriority w:val="9"/>
    <w:semiHidden/>
    <w:qFormat/>
    <w:rsid w:val="007E3949"/>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semiHidden/>
    <w:rsid w:val="007E3949"/>
    <w:rPr>
      <w:rFonts w:ascii="Arial" w:eastAsia="Calibri" w:hAnsi="Arial" w:cs="Arial"/>
      <w:b/>
      <w:bCs/>
      <w:sz w:val="26"/>
      <w:szCs w:val="26"/>
    </w:rPr>
  </w:style>
  <w:style w:type="character" w:styleId="Hypertextovprepojenie">
    <w:name w:val="Hyperlink"/>
    <w:basedOn w:val="Predvolenpsmoodseku"/>
    <w:uiPriority w:val="99"/>
    <w:semiHidden/>
    <w:unhideWhenUsed/>
    <w:rsid w:val="007E3949"/>
    <w:rPr>
      <w:rFonts w:ascii="Times New Roman" w:hAnsi="Times New Roman" w:cs="Times New Roman" w:hint="default"/>
      <w:color w:val="0000FF"/>
      <w:u w:val="single"/>
    </w:rPr>
  </w:style>
  <w:style w:type="character" w:styleId="PouitHypertextovPrepojenie">
    <w:name w:val="FollowedHyperlink"/>
    <w:semiHidden/>
    <w:unhideWhenUsed/>
    <w:rsid w:val="007E3949"/>
    <w:rPr>
      <w:strike w:val="0"/>
      <w:dstrike w:val="0"/>
      <w:color w:val="auto"/>
      <w:u w:val="none"/>
      <w:effect w:val="none"/>
    </w:rPr>
  </w:style>
  <w:style w:type="character" w:customStyle="1" w:styleId="Nadpis1Char1">
    <w:name w:val="Nadpis 1 Char1"/>
    <w:aliases w:val="Nadpis 1T Char1,NADPIS Char1,Heading 11111 Char1,Kapitola Char1,H1 Char1,V_Head1 Char1,Main Section Char1,MainHeader Char1"/>
    <w:basedOn w:val="Predvolenpsmoodseku"/>
    <w:uiPriority w:val="9"/>
    <w:rsid w:val="007E3949"/>
    <w:rPr>
      <w:rFonts w:asciiTheme="majorHAnsi" w:eastAsiaTheme="majorEastAsia" w:hAnsiTheme="majorHAnsi" w:cstheme="majorBidi"/>
      <w:color w:val="2E74B5" w:themeColor="accent1" w:themeShade="BF"/>
      <w:sz w:val="32"/>
      <w:szCs w:val="32"/>
    </w:rPr>
  </w:style>
  <w:style w:type="paragraph" w:styleId="Obsah2">
    <w:name w:val="toc 2"/>
    <w:basedOn w:val="Normlny"/>
    <w:next w:val="Normlny"/>
    <w:autoRedefine/>
    <w:uiPriority w:val="39"/>
    <w:semiHidden/>
    <w:unhideWhenUsed/>
    <w:rsid w:val="007E3949"/>
    <w:pPr>
      <w:spacing w:after="100"/>
      <w:ind w:left="220"/>
    </w:pPr>
  </w:style>
  <w:style w:type="character" w:customStyle="1" w:styleId="Nadpis2Char1">
    <w:name w:val="Nadpis 2 Char1"/>
    <w:aliases w:val="Nadpis 2T Char1,Podnadpis Char1,F2 Char1,F21 Char1,H2 Char1,Podkapitola1 Char1,hlavicka Char1,h2 Char1,V_Head2 Char1"/>
    <w:basedOn w:val="Predvolenpsmoodseku"/>
    <w:uiPriority w:val="9"/>
    <w:semiHidden/>
    <w:rsid w:val="007E3949"/>
    <w:rPr>
      <w:rFonts w:asciiTheme="majorHAnsi" w:eastAsiaTheme="majorEastAsia" w:hAnsiTheme="majorHAnsi" w:cstheme="majorBidi"/>
      <w:color w:val="2E74B5" w:themeColor="accent1" w:themeShade="BF"/>
      <w:sz w:val="26"/>
      <w:szCs w:val="26"/>
    </w:rPr>
  </w:style>
  <w:style w:type="character" w:customStyle="1" w:styleId="Nadpis3Char1">
    <w:name w:val="Nadpis 3 Char1"/>
    <w:aliases w:val="Záhlaví 3 Char1,V_Head3 Char1,V_Head31 Char1,V_Head32 Char1,Podkapitola2 Char1,H3 Char1,h3 Char1,h3 sub heading Char1,(Alt+3) Char1,Table Attribute Heading Char1,Heading C Char1,sub Italic Char1,proj3 Char1,proj31 Char1,proj32 Char1"/>
    <w:basedOn w:val="Predvolenpsmoodseku"/>
    <w:uiPriority w:val="9"/>
    <w:semiHidden/>
    <w:rsid w:val="007E3949"/>
    <w:rPr>
      <w:rFonts w:asciiTheme="majorHAnsi" w:eastAsiaTheme="majorEastAsia" w:hAnsiTheme="majorHAnsi" w:cstheme="majorBidi"/>
      <w:color w:val="1F4D78" w:themeColor="accent1" w:themeShade="7F"/>
      <w:sz w:val="24"/>
      <w:szCs w:val="24"/>
    </w:rPr>
  </w:style>
  <w:style w:type="paragraph" w:styleId="Normlnywebov">
    <w:name w:val="Normal (Web)"/>
    <w:aliases w:val="webb"/>
    <w:autoRedefine/>
    <w:uiPriority w:val="1"/>
    <w:semiHidden/>
    <w:unhideWhenUsed/>
    <w:qFormat/>
    <w:rsid w:val="007E3949"/>
    <w:pPr>
      <w:spacing w:after="0" w:line="240" w:lineRule="auto"/>
    </w:pPr>
    <w:rPr>
      <w:rFonts w:eastAsiaTheme="minorEastAsia" w:cs="Times New Roman"/>
      <w:lang w:eastAsia="sk-SK"/>
    </w:rPr>
  </w:style>
  <w:style w:type="character" w:customStyle="1" w:styleId="TextpoznmkypodiarouChar">
    <w:name w:val="Text poznámky pod čiarou Char"/>
    <w:basedOn w:val="Predvolenpsmoodseku"/>
    <w:link w:val="Textpoznmkypodiarou"/>
    <w:uiPriority w:val="99"/>
    <w:semiHidden/>
    <w:locked/>
    <w:rsid w:val="007E3949"/>
    <w:rPr>
      <w:rFonts w:ascii="Calibri" w:hAnsi="Calibri"/>
      <w:sz w:val="20"/>
      <w:szCs w:val="20"/>
    </w:rPr>
  </w:style>
  <w:style w:type="character" w:customStyle="1" w:styleId="TextkomentraChar">
    <w:name w:val="Text komentára Char"/>
    <w:basedOn w:val="Predvolenpsmoodseku"/>
    <w:link w:val="Textkomentra"/>
    <w:uiPriority w:val="99"/>
    <w:semiHidden/>
    <w:locked/>
    <w:rsid w:val="007E3949"/>
    <w:rPr>
      <w:sz w:val="20"/>
      <w:szCs w:val="20"/>
    </w:rPr>
  </w:style>
  <w:style w:type="character" w:customStyle="1" w:styleId="HlavikaChar">
    <w:name w:val="Hlavička Char"/>
    <w:basedOn w:val="Predvolenpsmoodseku"/>
    <w:link w:val="Hlavika"/>
    <w:uiPriority w:val="99"/>
    <w:locked/>
    <w:rsid w:val="007E3949"/>
  </w:style>
  <w:style w:type="character" w:customStyle="1" w:styleId="PtaChar">
    <w:name w:val="Päta Char"/>
    <w:basedOn w:val="Predvolenpsmoodseku"/>
    <w:link w:val="Pta"/>
    <w:uiPriority w:val="99"/>
    <w:qFormat/>
    <w:locked/>
    <w:rsid w:val="007E3949"/>
  </w:style>
  <w:style w:type="character" w:customStyle="1" w:styleId="NzovChar">
    <w:name w:val="Názov Char"/>
    <w:aliases w:val="Char Char Char Char Char"/>
    <w:basedOn w:val="Predvolenpsmoodseku"/>
    <w:link w:val="Nzov"/>
    <w:uiPriority w:val="10"/>
    <w:locked/>
    <w:rsid w:val="007E3949"/>
    <w:rPr>
      <w:rFonts w:ascii="Arial" w:eastAsia="Times New Roman" w:hAnsi="Arial" w:cs="Arial"/>
      <w:sz w:val="24"/>
      <w:szCs w:val="20"/>
    </w:rPr>
  </w:style>
  <w:style w:type="paragraph" w:styleId="Nzov">
    <w:name w:val="Title"/>
    <w:aliases w:val="Char Char Char Char"/>
    <w:basedOn w:val="Normlny"/>
    <w:link w:val="NzovChar"/>
    <w:uiPriority w:val="10"/>
    <w:qFormat/>
    <w:rsid w:val="007E3949"/>
    <w:pPr>
      <w:spacing w:after="0" w:line="240" w:lineRule="auto"/>
      <w:jc w:val="center"/>
    </w:pPr>
    <w:rPr>
      <w:rFonts w:ascii="Arial" w:eastAsia="Times New Roman" w:hAnsi="Arial" w:cs="Arial"/>
      <w:sz w:val="24"/>
      <w:szCs w:val="20"/>
      <w:lang w:eastAsia="en-US"/>
    </w:rPr>
  </w:style>
  <w:style w:type="character" w:customStyle="1" w:styleId="NzovChar1">
    <w:name w:val="Názov Char1"/>
    <w:aliases w:val="Char Char Char Char Char1"/>
    <w:basedOn w:val="Predvolenpsmoodseku"/>
    <w:uiPriority w:val="10"/>
    <w:rsid w:val="007E3949"/>
    <w:rPr>
      <w:rFonts w:asciiTheme="majorHAnsi" w:eastAsiaTheme="majorEastAsia" w:hAnsiTheme="majorHAnsi" w:cstheme="majorBidi"/>
      <w:spacing w:val="-10"/>
      <w:kern w:val="28"/>
      <w:sz w:val="56"/>
      <w:szCs w:val="56"/>
      <w:lang w:eastAsia="sk-SK"/>
    </w:rPr>
  </w:style>
  <w:style w:type="character" w:customStyle="1" w:styleId="ZkladntextChar">
    <w:name w:val="Základný text Char"/>
    <w:basedOn w:val="Predvolenpsmoodseku"/>
    <w:link w:val="Zkladntext"/>
    <w:uiPriority w:val="99"/>
    <w:semiHidden/>
    <w:locked/>
    <w:rsid w:val="007E3949"/>
  </w:style>
  <w:style w:type="character" w:customStyle="1" w:styleId="ZarkazkladnhotextuChar">
    <w:name w:val="Zarážka základného textu Char"/>
    <w:basedOn w:val="Predvolenpsmoodseku"/>
    <w:link w:val="Zarkazkladnhotextu"/>
    <w:uiPriority w:val="99"/>
    <w:semiHidden/>
    <w:locked/>
    <w:rsid w:val="007E3949"/>
    <w:rPr>
      <w:rFonts w:ascii="Arial" w:eastAsia="Times New Roman" w:hAnsi="Arial" w:cs="Arial"/>
      <w:sz w:val="24"/>
      <w:szCs w:val="20"/>
    </w:rPr>
  </w:style>
  <w:style w:type="character" w:customStyle="1" w:styleId="PodtitulChar">
    <w:name w:val="Podtitul Char"/>
    <w:basedOn w:val="Predvolenpsmoodseku"/>
    <w:link w:val="Podtitul"/>
    <w:locked/>
    <w:rsid w:val="007E3949"/>
    <w:rPr>
      <w:rFonts w:ascii="Times New Roman" w:eastAsia="Times New Roman" w:hAnsi="Times New Roman" w:cs="Times New Roman"/>
      <w:i/>
      <w:iCs/>
      <w:sz w:val="24"/>
      <w:szCs w:val="20"/>
    </w:rPr>
  </w:style>
  <w:style w:type="character" w:customStyle="1" w:styleId="Zkladntext2Char">
    <w:name w:val="Základný text 2 Char"/>
    <w:basedOn w:val="Predvolenpsmoodseku"/>
    <w:link w:val="Zkladntext2"/>
    <w:uiPriority w:val="99"/>
    <w:semiHidden/>
    <w:locked/>
    <w:rsid w:val="007E3949"/>
    <w:rPr>
      <w:rFonts w:ascii="Times New Roman" w:eastAsia="Times New Roman" w:hAnsi="Times New Roman" w:cs="Times New Roman"/>
      <w:color w:val="000000"/>
      <w:sz w:val="24"/>
      <w:szCs w:val="24"/>
    </w:rPr>
  </w:style>
  <w:style w:type="paragraph" w:styleId="Textkomentra">
    <w:name w:val="annotation text"/>
    <w:basedOn w:val="Normlny"/>
    <w:link w:val="TextkomentraChar"/>
    <w:uiPriority w:val="99"/>
    <w:semiHidden/>
    <w:unhideWhenUsed/>
    <w:rsid w:val="007E3949"/>
    <w:pPr>
      <w:spacing w:line="240" w:lineRule="auto"/>
    </w:pPr>
    <w:rPr>
      <w:rFonts w:eastAsiaTheme="minorHAnsi" w:cstheme="minorBidi"/>
      <w:sz w:val="20"/>
      <w:szCs w:val="20"/>
      <w:lang w:eastAsia="en-US"/>
    </w:rPr>
  </w:style>
  <w:style w:type="character" w:customStyle="1" w:styleId="TextkomentraChar1">
    <w:name w:val="Text komentára Char1"/>
    <w:basedOn w:val="Predvolenpsmoodseku"/>
    <w:uiPriority w:val="99"/>
    <w:semiHidden/>
    <w:rsid w:val="007E3949"/>
    <w:rPr>
      <w:rFonts w:eastAsiaTheme="minorEastAsia" w:cs="Times New Roman"/>
      <w:sz w:val="20"/>
      <w:szCs w:val="20"/>
      <w:lang w:eastAsia="sk-SK"/>
    </w:rPr>
  </w:style>
  <w:style w:type="character" w:customStyle="1" w:styleId="PredmetkomentraChar">
    <w:name w:val="Predmet komentára Char"/>
    <w:basedOn w:val="TextkomentraChar"/>
    <w:link w:val="Predmetkomentra"/>
    <w:uiPriority w:val="99"/>
    <w:semiHidden/>
    <w:locked/>
    <w:rsid w:val="007E3949"/>
    <w:rPr>
      <w:b/>
      <w:bCs/>
      <w:sz w:val="20"/>
      <w:szCs w:val="20"/>
    </w:rPr>
  </w:style>
  <w:style w:type="character" w:customStyle="1" w:styleId="TextbublinyChar">
    <w:name w:val="Text bubliny Char"/>
    <w:basedOn w:val="Predvolenpsmoodseku"/>
    <w:link w:val="Textbubliny"/>
    <w:uiPriority w:val="99"/>
    <w:semiHidden/>
    <w:locked/>
    <w:rsid w:val="007E3949"/>
    <w:rPr>
      <w:rFonts w:ascii="Tahoma" w:hAnsi="Tahoma" w:cs="Tahoma"/>
      <w:sz w:val="16"/>
      <w:szCs w:val="16"/>
    </w:rPr>
  </w:style>
  <w:style w:type="character" w:customStyle="1" w:styleId="OdsekzoznamuChar">
    <w:name w:val="Odsek zoznamu Char"/>
    <w:aliases w:val="body Char,Odsek zoznamu2 Char,Odsek Char,Odsek zoznamu1 Char,List Paragraph1 Char"/>
    <w:link w:val="Odsekzoznamu"/>
    <w:uiPriority w:val="34"/>
    <w:qFormat/>
    <w:locked/>
    <w:rsid w:val="007E3949"/>
  </w:style>
  <w:style w:type="paragraph" w:styleId="Odsekzoznamu">
    <w:name w:val="List Paragraph"/>
    <w:aliases w:val="body,Odsek zoznamu2,Odsek,Odsek zoznamu1,List Paragraph1"/>
    <w:basedOn w:val="Normlny"/>
    <w:link w:val="OdsekzoznamuChar"/>
    <w:uiPriority w:val="34"/>
    <w:qFormat/>
    <w:rsid w:val="007E3949"/>
    <w:pPr>
      <w:ind w:left="720"/>
      <w:contextualSpacing/>
    </w:pPr>
    <w:rPr>
      <w:rFonts w:eastAsiaTheme="minorHAnsi" w:cstheme="minorBidi"/>
      <w:lang w:eastAsia="en-US"/>
    </w:rPr>
  </w:style>
  <w:style w:type="paragraph" w:customStyle="1" w:styleId="msolistparagraph0">
    <w:name w:val="msolistparagraph"/>
    <w:basedOn w:val="Normlny"/>
    <w:uiPriority w:val="99"/>
    <w:rsid w:val="007E3949"/>
    <w:pPr>
      <w:spacing w:after="0" w:line="240" w:lineRule="auto"/>
      <w:ind w:left="720"/>
    </w:pPr>
    <w:rPr>
      <w:rFonts w:ascii="Calibri" w:eastAsia="Times New Roman" w:hAnsi="Calibri"/>
    </w:rPr>
  </w:style>
  <w:style w:type="paragraph" w:customStyle="1" w:styleId="Normlny0">
    <w:name w:val="Norm‡lny"/>
    <w:basedOn w:val="Normlny"/>
    <w:uiPriority w:val="99"/>
    <w:rsid w:val="007E3949"/>
    <w:pPr>
      <w:widowControl w:val="0"/>
      <w:spacing w:after="0" w:line="240" w:lineRule="auto"/>
    </w:pPr>
    <w:rPr>
      <w:rFonts w:ascii="Times New Roman" w:eastAsia="Times New Roman" w:hAnsi="Times New Roman"/>
      <w:color w:val="000000"/>
      <w:sz w:val="20"/>
      <w:szCs w:val="20"/>
    </w:rPr>
  </w:style>
  <w:style w:type="paragraph" w:customStyle="1" w:styleId="Default">
    <w:name w:val="Default"/>
    <w:uiPriority w:val="99"/>
    <w:rsid w:val="007E39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kladntext0">
    <w:name w:val="Základný text_"/>
    <w:link w:val="Zkladntext1"/>
    <w:locked/>
    <w:rsid w:val="007E3949"/>
    <w:rPr>
      <w:sz w:val="23"/>
      <w:shd w:val="clear" w:color="auto" w:fill="FFFFFF"/>
    </w:rPr>
  </w:style>
  <w:style w:type="paragraph" w:customStyle="1" w:styleId="Zkladntext1">
    <w:name w:val="Základný text1"/>
    <w:basedOn w:val="Normlny"/>
    <w:link w:val="Zkladntext0"/>
    <w:rsid w:val="007E3949"/>
    <w:pPr>
      <w:widowControl w:val="0"/>
      <w:shd w:val="clear" w:color="auto" w:fill="FFFFFF"/>
      <w:spacing w:before="240" w:after="240" w:line="316" w:lineRule="exact"/>
      <w:ind w:hanging="360"/>
      <w:jc w:val="both"/>
    </w:pPr>
    <w:rPr>
      <w:rFonts w:eastAsiaTheme="minorHAnsi" w:cstheme="minorBidi"/>
      <w:sz w:val="23"/>
      <w:lang w:eastAsia="en-US"/>
    </w:rPr>
  </w:style>
  <w:style w:type="paragraph" w:customStyle="1" w:styleId="Zarakazakladnhotextu2">
    <w:name w:val="Zara?ka zakladn?ho textu 2"/>
    <w:basedOn w:val="Normlny"/>
    <w:uiPriority w:val="99"/>
    <w:rsid w:val="007E3949"/>
    <w:pPr>
      <w:widowControl w:val="0"/>
      <w:spacing w:after="0" w:line="240" w:lineRule="auto"/>
      <w:ind w:firstLine="708"/>
      <w:jc w:val="both"/>
    </w:pPr>
    <w:rPr>
      <w:rFonts w:ascii="Arial" w:eastAsia="Times New Roman" w:hAnsi="Arial"/>
      <w:sz w:val="20"/>
      <w:szCs w:val="20"/>
    </w:rPr>
  </w:style>
  <w:style w:type="paragraph" w:customStyle="1" w:styleId="Zkladntext3">
    <w:name w:val="Základní text"/>
    <w:aliases w:val="Základný text Char Char"/>
    <w:uiPriority w:val="99"/>
    <w:rsid w:val="007E3949"/>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paragraph" w:customStyle="1" w:styleId="1podsek">
    <w:name w:val="1podsek"/>
    <w:basedOn w:val="Odsekzoznamu"/>
    <w:uiPriority w:val="99"/>
    <w:qFormat/>
    <w:rsid w:val="007E3949"/>
    <w:pPr>
      <w:numPr>
        <w:numId w:val="5"/>
      </w:numPr>
      <w:tabs>
        <w:tab w:val="num" w:pos="360"/>
      </w:tabs>
      <w:autoSpaceDE w:val="0"/>
      <w:autoSpaceDN w:val="0"/>
      <w:adjustRightInd w:val="0"/>
      <w:spacing w:after="0" w:line="240" w:lineRule="auto"/>
      <w:ind w:left="708" w:firstLine="0"/>
      <w:jc w:val="both"/>
    </w:pPr>
    <w:rPr>
      <w:rFonts w:ascii="Times New Roman" w:eastAsia="Times New Roman" w:hAnsi="Times New Roman"/>
      <w:sz w:val="24"/>
      <w:szCs w:val="24"/>
    </w:rPr>
  </w:style>
  <w:style w:type="paragraph" w:customStyle="1" w:styleId="xxmsonormal">
    <w:name w:val="x_xmsonormal"/>
    <w:basedOn w:val="Normlny"/>
    <w:uiPriority w:val="99"/>
    <w:rsid w:val="007E3949"/>
    <w:pPr>
      <w:spacing w:after="0" w:line="240" w:lineRule="auto"/>
    </w:pPr>
    <w:rPr>
      <w:rFonts w:ascii="Times New Roman" w:eastAsiaTheme="minorHAnsi" w:hAnsi="Times New Roman"/>
      <w:sz w:val="24"/>
      <w:szCs w:val="24"/>
    </w:rPr>
  </w:style>
  <w:style w:type="character" w:styleId="Odkaznapoznmkupodiarou">
    <w:name w:val="footnote reference"/>
    <w:basedOn w:val="Predvolenpsmoodseku"/>
    <w:uiPriority w:val="99"/>
    <w:semiHidden/>
    <w:unhideWhenUsed/>
    <w:rsid w:val="007E3949"/>
    <w:rPr>
      <w:vertAlign w:val="superscript"/>
    </w:rPr>
  </w:style>
  <w:style w:type="character" w:styleId="Odkaznakomentr">
    <w:name w:val="annotation reference"/>
    <w:basedOn w:val="Predvolenpsmoodseku"/>
    <w:uiPriority w:val="99"/>
    <w:semiHidden/>
    <w:unhideWhenUsed/>
    <w:rsid w:val="007E3949"/>
    <w:rPr>
      <w:rFonts w:ascii="Times New Roman" w:hAnsi="Times New Roman" w:cs="Times New Roman" w:hint="default"/>
      <w:sz w:val="16"/>
      <w:szCs w:val="16"/>
    </w:rPr>
  </w:style>
  <w:style w:type="character" w:styleId="slostrany">
    <w:name w:val="page number"/>
    <w:basedOn w:val="Predvolenpsmoodseku"/>
    <w:uiPriority w:val="99"/>
    <w:semiHidden/>
    <w:unhideWhenUsed/>
    <w:rsid w:val="007E3949"/>
    <w:rPr>
      <w:rFonts w:ascii="Times New Roman" w:hAnsi="Times New Roman" w:cs="Times New Roman" w:hint="default"/>
    </w:rPr>
  </w:style>
  <w:style w:type="character" w:styleId="Zstupntext">
    <w:name w:val="Placeholder Text"/>
    <w:basedOn w:val="Predvolenpsmoodseku"/>
    <w:uiPriority w:val="99"/>
    <w:semiHidden/>
    <w:qFormat/>
    <w:rsid w:val="007E3949"/>
    <w:rPr>
      <w:rFonts w:ascii="Times New Roman" w:hAnsi="Times New Roman" w:cs="Times New Roman" w:hint="default"/>
      <w:color w:val="808080"/>
    </w:rPr>
  </w:style>
  <w:style w:type="paragraph" w:styleId="Predmetkomentra">
    <w:name w:val="annotation subject"/>
    <w:basedOn w:val="Textkomentra"/>
    <w:next w:val="Textkomentra"/>
    <w:link w:val="PredmetkomentraChar"/>
    <w:uiPriority w:val="99"/>
    <w:semiHidden/>
    <w:unhideWhenUsed/>
    <w:rsid w:val="007E3949"/>
    <w:rPr>
      <w:b/>
      <w:bCs/>
    </w:rPr>
  </w:style>
  <w:style w:type="character" w:customStyle="1" w:styleId="PredmetkomentraChar1">
    <w:name w:val="Predmet komentára Char1"/>
    <w:basedOn w:val="TextkomentraChar1"/>
    <w:uiPriority w:val="99"/>
    <w:semiHidden/>
    <w:rsid w:val="007E3949"/>
    <w:rPr>
      <w:rFonts w:eastAsiaTheme="minorEastAsia" w:cs="Times New Roman"/>
      <w:b/>
      <w:bCs/>
      <w:sz w:val="20"/>
      <w:szCs w:val="20"/>
      <w:lang w:eastAsia="sk-SK"/>
    </w:rPr>
  </w:style>
  <w:style w:type="paragraph" w:styleId="Textbubliny">
    <w:name w:val="Balloon Text"/>
    <w:basedOn w:val="Normlny"/>
    <w:link w:val="TextbublinyChar"/>
    <w:uiPriority w:val="99"/>
    <w:semiHidden/>
    <w:unhideWhenUsed/>
    <w:rsid w:val="007E3949"/>
    <w:pPr>
      <w:spacing w:after="0" w:line="240" w:lineRule="auto"/>
    </w:pPr>
    <w:rPr>
      <w:rFonts w:ascii="Tahoma" w:eastAsiaTheme="minorHAnsi" w:hAnsi="Tahoma" w:cs="Tahoma"/>
      <w:sz w:val="16"/>
      <w:szCs w:val="16"/>
      <w:lang w:eastAsia="en-US"/>
    </w:rPr>
  </w:style>
  <w:style w:type="character" w:customStyle="1" w:styleId="TextbublinyChar1">
    <w:name w:val="Text bubliny Char1"/>
    <w:basedOn w:val="Predvolenpsmoodseku"/>
    <w:uiPriority w:val="99"/>
    <w:semiHidden/>
    <w:rsid w:val="007E3949"/>
    <w:rPr>
      <w:rFonts w:ascii="Segoe UI" w:eastAsiaTheme="minorEastAsia" w:hAnsi="Segoe UI" w:cs="Segoe UI"/>
      <w:sz w:val="18"/>
      <w:szCs w:val="18"/>
      <w:lang w:eastAsia="sk-SK"/>
    </w:rPr>
  </w:style>
  <w:style w:type="character" w:customStyle="1" w:styleId="apple-converted-space">
    <w:name w:val="apple-converted-space"/>
    <w:basedOn w:val="Predvolenpsmoodseku"/>
    <w:rsid w:val="007E3949"/>
    <w:rPr>
      <w:rFonts w:ascii="Times New Roman" w:hAnsi="Times New Roman" w:cs="Times New Roman" w:hint="default"/>
    </w:rPr>
  </w:style>
  <w:style w:type="paragraph" w:styleId="Hlavika">
    <w:name w:val="header"/>
    <w:basedOn w:val="Normlny"/>
    <w:link w:val="HlavikaChar"/>
    <w:uiPriority w:val="99"/>
    <w:unhideWhenUsed/>
    <w:rsid w:val="007E3949"/>
    <w:pPr>
      <w:tabs>
        <w:tab w:val="center" w:pos="4536"/>
        <w:tab w:val="right" w:pos="9072"/>
      </w:tabs>
      <w:spacing w:after="0" w:line="240" w:lineRule="auto"/>
    </w:pPr>
    <w:rPr>
      <w:rFonts w:eastAsiaTheme="minorHAnsi" w:cstheme="minorBidi"/>
      <w:lang w:eastAsia="en-US"/>
    </w:rPr>
  </w:style>
  <w:style w:type="character" w:customStyle="1" w:styleId="HlavikaChar1">
    <w:name w:val="Hlavička Char1"/>
    <w:basedOn w:val="Predvolenpsmoodseku"/>
    <w:uiPriority w:val="99"/>
    <w:semiHidden/>
    <w:rsid w:val="007E3949"/>
    <w:rPr>
      <w:rFonts w:eastAsiaTheme="minorEastAsia" w:cs="Times New Roman"/>
      <w:lang w:eastAsia="sk-SK"/>
    </w:rPr>
  </w:style>
  <w:style w:type="paragraph" w:styleId="Pta">
    <w:name w:val="footer"/>
    <w:basedOn w:val="Normlny"/>
    <w:link w:val="PtaChar"/>
    <w:uiPriority w:val="99"/>
    <w:unhideWhenUsed/>
    <w:rsid w:val="007E3949"/>
    <w:pPr>
      <w:tabs>
        <w:tab w:val="center" w:pos="4536"/>
        <w:tab w:val="right" w:pos="9072"/>
      </w:tabs>
      <w:spacing w:after="0" w:line="240" w:lineRule="auto"/>
    </w:pPr>
    <w:rPr>
      <w:rFonts w:eastAsiaTheme="minorHAnsi" w:cstheme="minorBidi"/>
      <w:lang w:eastAsia="en-US"/>
    </w:rPr>
  </w:style>
  <w:style w:type="character" w:customStyle="1" w:styleId="PtaChar1">
    <w:name w:val="Päta Char1"/>
    <w:basedOn w:val="Predvolenpsmoodseku"/>
    <w:uiPriority w:val="99"/>
    <w:semiHidden/>
    <w:rsid w:val="007E3949"/>
    <w:rPr>
      <w:rFonts w:eastAsiaTheme="minorEastAsia" w:cs="Times New Roman"/>
      <w:lang w:eastAsia="sk-SK"/>
    </w:rPr>
  </w:style>
  <w:style w:type="paragraph" w:styleId="Zarkazkladnhotextu">
    <w:name w:val="Body Text Indent"/>
    <w:basedOn w:val="Normlny"/>
    <w:link w:val="ZarkazkladnhotextuChar"/>
    <w:uiPriority w:val="99"/>
    <w:semiHidden/>
    <w:unhideWhenUsed/>
    <w:rsid w:val="007E3949"/>
    <w:pPr>
      <w:spacing w:after="120"/>
      <w:ind w:left="283"/>
    </w:pPr>
    <w:rPr>
      <w:rFonts w:ascii="Arial" w:eastAsia="Times New Roman" w:hAnsi="Arial" w:cs="Arial"/>
      <w:sz w:val="24"/>
      <w:szCs w:val="20"/>
      <w:lang w:eastAsia="en-US"/>
    </w:rPr>
  </w:style>
  <w:style w:type="character" w:customStyle="1" w:styleId="ZarkazkladnhotextuChar1">
    <w:name w:val="Zarážka základného textu Char1"/>
    <w:basedOn w:val="Predvolenpsmoodseku"/>
    <w:uiPriority w:val="99"/>
    <w:semiHidden/>
    <w:rsid w:val="007E3949"/>
    <w:rPr>
      <w:rFonts w:eastAsiaTheme="minorEastAsia" w:cs="Times New Roman"/>
      <w:lang w:eastAsia="sk-SK"/>
    </w:rPr>
  </w:style>
  <w:style w:type="paragraph" w:styleId="Zkladntext">
    <w:name w:val="Body Text"/>
    <w:basedOn w:val="Normlny"/>
    <w:link w:val="ZkladntextChar"/>
    <w:uiPriority w:val="99"/>
    <w:semiHidden/>
    <w:unhideWhenUsed/>
    <w:rsid w:val="007E3949"/>
    <w:pPr>
      <w:spacing w:after="120"/>
    </w:pPr>
    <w:rPr>
      <w:rFonts w:eastAsiaTheme="minorHAnsi" w:cstheme="minorBidi"/>
      <w:lang w:eastAsia="en-US"/>
    </w:rPr>
  </w:style>
  <w:style w:type="character" w:customStyle="1" w:styleId="ZkladntextChar1">
    <w:name w:val="Základný text Char1"/>
    <w:basedOn w:val="Predvolenpsmoodseku"/>
    <w:uiPriority w:val="99"/>
    <w:semiHidden/>
    <w:rsid w:val="007E3949"/>
    <w:rPr>
      <w:rFonts w:eastAsiaTheme="minorEastAsia" w:cs="Times New Roman"/>
      <w:lang w:eastAsia="sk-SK"/>
    </w:rPr>
  </w:style>
  <w:style w:type="paragraph" w:styleId="Textpoznmkypodiarou">
    <w:name w:val="footnote text"/>
    <w:basedOn w:val="Normlny"/>
    <w:link w:val="TextpoznmkypodiarouChar"/>
    <w:uiPriority w:val="99"/>
    <w:semiHidden/>
    <w:unhideWhenUsed/>
    <w:rsid w:val="007E3949"/>
    <w:pPr>
      <w:spacing w:after="0" w:line="240" w:lineRule="auto"/>
    </w:pPr>
    <w:rPr>
      <w:rFonts w:ascii="Calibri" w:eastAsiaTheme="minorHAnsi" w:hAnsi="Calibri" w:cstheme="minorBidi"/>
      <w:sz w:val="20"/>
      <w:szCs w:val="20"/>
      <w:lang w:eastAsia="en-US"/>
    </w:rPr>
  </w:style>
  <w:style w:type="character" w:customStyle="1" w:styleId="TextpoznmkypodiarouChar1">
    <w:name w:val="Text poznámky pod čiarou Char1"/>
    <w:basedOn w:val="Predvolenpsmoodseku"/>
    <w:uiPriority w:val="99"/>
    <w:semiHidden/>
    <w:rsid w:val="007E3949"/>
    <w:rPr>
      <w:rFonts w:eastAsiaTheme="minorEastAsia" w:cs="Times New Roman"/>
      <w:sz w:val="20"/>
      <w:szCs w:val="20"/>
      <w:lang w:eastAsia="sk-SK"/>
    </w:rPr>
  </w:style>
  <w:style w:type="paragraph" w:styleId="Podtitul">
    <w:name w:val="Subtitle"/>
    <w:basedOn w:val="Normlny"/>
    <w:next w:val="Normlny"/>
    <w:link w:val="PodtitulChar"/>
    <w:qFormat/>
    <w:rsid w:val="007E3949"/>
    <w:pPr>
      <w:numPr>
        <w:ilvl w:val="1"/>
      </w:numPr>
      <w:spacing w:after="160"/>
    </w:pPr>
    <w:rPr>
      <w:rFonts w:ascii="Times New Roman" w:eastAsia="Times New Roman" w:hAnsi="Times New Roman"/>
      <w:i/>
      <w:iCs/>
      <w:sz w:val="24"/>
      <w:szCs w:val="20"/>
      <w:lang w:eastAsia="en-US"/>
    </w:rPr>
  </w:style>
  <w:style w:type="character" w:customStyle="1" w:styleId="PodtitulChar1">
    <w:name w:val="Podtitul Char1"/>
    <w:basedOn w:val="Predvolenpsmoodseku"/>
    <w:rsid w:val="007E3949"/>
    <w:rPr>
      <w:rFonts w:eastAsiaTheme="minorEastAsia"/>
      <w:color w:val="5A5A5A" w:themeColor="text1" w:themeTint="A5"/>
      <w:spacing w:val="15"/>
      <w:lang w:eastAsia="sk-SK"/>
    </w:rPr>
  </w:style>
  <w:style w:type="paragraph" w:styleId="Zkladntext2">
    <w:name w:val="Body Text 2"/>
    <w:basedOn w:val="Normlny"/>
    <w:link w:val="Zkladntext2Char"/>
    <w:uiPriority w:val="99"/>
    <w:semiHidden/>
    <w:unhideWhenUsed/>
    <w:rsid w:val="007E3949"/>
    <w:pPr>
      <w:spacing w:after="120" w:line="480" w:lineRule="auto"/>
    </w:pPr>
    <w:rPr>
      <w:rFonts w:ascii="Times New Roman" w:eastAsia="Times New Roman" w:hAnsi="Times New Roman"/>
      <w:color w:val="000000"/>
      <w:sz w:val="24"/>
      <w:szCs w:val="24"/>
      <w:lang w:eastAsia="en-US"/>
    </w:rPr>
  </w:style>
  <w:style w:type="character" w:customStyle="1" w:styleId="Zkladntext2Char1">
    <w:name w:val="Základný text 2 Char1"/>
    <w:basedOn w:val="Predvolenpsmoodseku"/>
    <w:uiPriority w:val="99"/>
    <w:semiHidden/>
    <w:rsid w:val="007E3949"/>
    <w:rPr>
      <w:rFonts w:eastAsiaTheme="minorEastAsia" w:cs="Times New Roman"/>
      <w:lang w:eastAsia="sk-SK"/>
    </w:rPr>
  </w:style>
  <w:style w:type="character" w:customStyle="1" w:styleId="ra">
    <w:name w:val="ra"/>
    <w:basedOn w:val="Predvolenpsmoodseku"/>
    <w:rsid w:val="007E3949"/>
  </w:style>
  <w:style w:type="character" w:customStyle="1" w:styleId="Textzstupnhosymbolu1">
    <w:name w:val="Text zástupného symbolu1"/>
    <w:uiPriority w:val="99"/>
    <w:semiHidden/>
    <w:rsid w:val="007E3949"/>
    <w:rPr>
      <w:rFonts w:ascii="Times New Roman" w:hAnsi="Times New Roman" w:cs="Times New Roman" w:hint="default"/>
      <w:color w:val="808080"/>
    </w:rPr>
  </w:style>
  <w:style w:type="table" w:styleId="Mriekatabuky">
    <w:name w:val="Table Grid"/>
    <w:basedOn w:val="Normlnatabuka"/>
    <w:uiPriority w:val="59"/>
    <w:rsid w:val="007E3949"/>
    <w:pPr>
      <w:spacing w:after="0" w:line="240" w:lineRule="auto"/>
    </w:pPr>
    <w:rPr>
      <w:rFonts w:eastAsiaTheme="minorEastAsia"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59"/>
    <w:rsid w:val="007E39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7E3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09114">
      <w:bodyDiv w:val="1"/>
      <w:marLeft w:val="0"/>
      <w:marRight w:val="0"/>
      <w:marTop w:val="0"/>
      <w:marBottom w:val="0"/>
      <w:divBdr>
        <w:top w:val="none" w:sz="0" w:space="0" w:color="auto"/>
        <w:left w:val="none" w:sz="0" w:space="0" w:color="auto"/>
        <w:bottom w:val="none" w:sz="0" w:space="0" w:color="auto"/>
        <w:right w:val="none" w:sz="0" w:space="0" w:color="auto"/>
      </w:divBdr>
    </w:div>
    <w:div w:id="14222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bor.hlinka@health.gov.s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adovan.hribik@health.gov.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WKX3UHSAJ2R6-2-1205862</_dlc_DocId>
    <_dlc_DocIdUrl xmlns="e60a29af-d413-48d4-bd90-fe9d2a897e4b">
      <Url>https://ovdmasv601/sites/DMS/_layouts/15/DocIdRedir.aspx?ID=WKX3UHSAJ2R6-2-1205862</Url>
      <Description>WKX3UHSAJ2R6-2-1205862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D655-6B5A-4976-BF2A-7DA24D6C5CDA}">
  <ds:schemaRefs>
    <ds:schemaRef ds:uri="http://schemas.microsoft.com/office/2006/metadata/properties"/>
    <ds:schemaRef ds:uri="http://schemas.microsoft.com/office/infopath/2007/PartnerControls"/>
    <ds:schemaRef ds:uri="e60a29af-d413-48d4-bd90-fe9d2a897e4b"/>
  </ds:schemaRefs>
</ds:datastoreItem>
</file>

<file path=customXml/itemProps2.xml><?xml version="1.0" encoding="utf-8"?>
<ds:datastoreItem xmlns:ds="http://schemas.openxmlformats.org/officeDocument/2006/customXml" ds:itemID="{C8DA9152-8AC1-42B5-95D6-ADC34B1EB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B51ED-9EE9-4FC2-A5D4-3F97E77C477A}">
  <ds:schemaRefs>
    <ds:schemaRef ds:uri="http://schemas.microsoft.com/sharepoint/events"/>
  </ds:schemaRefs>
</ds:datastoreItem>
</file>

<file path=customXml/itemProps4.xml><?xml version="1.0" encoding="utf-8"?>
<ds:datastoreItem xmlns:ds="http://schemas.openxmlformats.org/officeDocument/2006/customXml" ds:itemID="{4EB0D083-3BD2-4183-9F9F-68D407F92BD4}">
  <ds:schemaRefs>
    <ds:schemaRef ds:uri="http://schemas.microsoft.com/sharepoint/v3/contenttype/forms"/>
  </ds:schemaRefs>
</ds:datastoreItem>
</file>

<file path=customXml/itemProps5.xml><?xml version="1.0" encoding="utf-8"?>
<ds:datastoreItem xmlns:ds="http://schemas.openxmlformats.org/officeDocument/2006/customXml" ds:itemID="{65B2DC43-E4C8-408E-8DDF-A81A8043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3500</Words>
  <Characters>19954</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Hribik Radovan</dc:creator>
  <cp:keywords/>
  <dc:description/>
  <cp:lastModifiedBy>Ďurejová Barbora</cp:lastModifiedBy>
  <cp:revision>25</cp:revision>
  <dcterms:created xsi:type="dcterms:W3CDTF">2023-03-22T06:50:00Z</dcterms:created>
  <dcterms:modified xsi:type="dcterms:W3CDTF">2023-03-22T07:28:00Z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0bf1f421-03bf-4719-b892-30b1e03fc4ac</vt:lpwstr>
  </property>
</Properties>
</file>