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660094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79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660094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21</w:t>
      </w:r>
      <w:r w:rsidR="00156432">
        <w:rPr>
          <w:b/>
          <w:bCs/>
        </w:rPr>
        <w:t>. marc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D37191">
        <w:t>Marek Kaľavský</w:t>
      </w:r>
      <w:r>
        <w:t xml:space="preserve">, </w:t>
      </w:r>
      <w:r w:rsidR="00D37191">
        <w:t>pod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D37191">
        <w:t xml:space="preserve"> a Peter Rohaľ, tajomník 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D4DF5" w:rsidRDefault="00CD4DF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iCs/>
                <w:u w:val="single"/>
              </w:rPr>
              <w:t>Návrh poslancov Národnej rady Slovenskej republiky Alojza Baránika a Ondreja Dostála na vydanie zákona, ktorým sa dopĺňa zákon č. 301/2005 Z. z. Trestný poriadok v znení neskorších predpisov (tlač 1407) (č. m. 5476/2023)</w:t>
            </w:r>
          </w:p>
          <w:p w:rsidR="0029151F" w:rsidRPr="00345190" w:rsidRDefault="0029151F" w:rsidP="0029151F">
            <w:pPr>
              <w:spacing w:after="160" w:line="252" w:lineRule="auto"/>
              <w:ind w:left="720"/>
              <w:contextualSpacing/>
              <w:jc w:val="both"/>
            </w:pPr>
            <w:r>
              <w:t>Legislatívna  rada  po  prerokovaní  tohto  poslaneckého  návrhu  zákona  odporučila vláde s  predloženým návrhom vysloviť nesúhlas.</w:t>
            </w:r>
          </w:p>
          <w:p w:rsidR="0029151F" w:rsidRPr="0029151F" w:rsidRDefault="0029151F" w:rsidP="00645F05">
            <w:pPr>
              <w:spacing w:after="160" w:line="256" w:lineRule="auto"/>
              <w:contextualSpacing/>
              <w:jc w:val="both"/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u w:val="single"/>
              </w:rPr>
              <w:t xml:space="preserve">Návrh </w:t>
            </w:r>
            <w:r w:rsidRPr="0029151F">
              <w:rPr>
                <w:iCs/>
                <w:u w:val="single"/>
              </w:rPr>
              <w:t>poslanca Národnej rady Slovenskej republiky Martina Fecka na vydanie zákona, ktorým sa mení a dopĺňa zákon Národnej rady Slovenskej republiky č. 180/1995 Z. z. o niektorých opatreniach na usporiadanie vlastníctva k pozemkom v znení neskorších predpisov (tlač 1402) (č. m. 4715/2023)</w:t>
            </w:r>
          </w:p>
          <w:p w:rsidR="0029151F" w:rsidRPr="00345190" w:rsidRDefault="0029151F" w:rsidP="0029151F">
            <w:pPr>
              <w:spacing w:after="160" w:line="252" w:lineRule="auto"/>
              <w:ind w:left="720"/>
              <w:contextualSpacing/>
              <w:jc w:val="both"/>
            </w:pPr>
            <w:r>
              <w:t xml:space="preserve">Legislatívna  rada  po  prerokovaní  tohto  poslaneckého  návrhu  zákona  odporučila vláde s </w:t>
            </w:r>
            <w:r w:rsidR="00F94BA9">
              <w:t xml:space="preserve"> predloženým návrhom vysloviť </w:t>
            </w:r>
            <w:r>
              <w:t>súhlas.</w:t>
            </w:r>
          </w:p>
          <w:p w:rsidR="0029151F" w:rsidRPr="0029151F" w:rsidRDefault="0029151F" w:rsidP="00645F05">
            <w:pPr>
              <w:spacing w:after="160" w:line="256" w:lineRule="auto"/>
              <w:contextualSpacing/>
              <w:jc w:val="both"/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iCs/>
                <w:u w:val="single"/>
              </w:rPr>
              <w:t>Návrh skupiny poslancov Národnej rady Slovenskej republiky na vydanie zákona, ktorým sa mení a dopĺňa zákon č. 383/2013 Z. z. o príspevku pri narodení dieťaťa a príspevku na viac súčasne narodených detí a o zmene a doplnení niektorých zákonov v znení neskorších predpisov (tlač 1404) (č. m. 4721/2023)</w:t>
            </w:r>
          </w:p>
          <w:p w:rsidR="0029151F" w:rsidRPr="00345190" w:rsidRDefault="0029151F" w:rsidP="0029151F">
            <w:pPr>
              <w:spacing w:after="160" w:line="252" w:lineRule="auto"/>
              <w:ind w:left="720"/>
              <w:contextualSpacing/>
              <w:jc w:val="both"/>
            </w:pPr>
            <w:r>
              <w:t xml:space="preserve">Legislatívna  rada  po  prerokovaní  tohto  poslaneckého  návrhu  zákona  odporučila vláde s </w:t>
            </w:r>
            <w:r w:rsidR="003D0165">
              <w:t xml:space="preserve"> predloženým návrhom vysloviť </w:t>
            </w:r>
            <w:r>
              <w:t>súhlas</w:t>
            </w:r>
            <w:r w:rsidR="003D0165">
              <w:t xml:space="preserve"> s pripomienkami</w:t>
            </w:r>
            <w:r>
              <w:t>.</w:t>
            </w:r>
          </w:p>
          <w:p w:rsidR="0029151F" w:rsidRPr="0029151F" w:rsidRDefault="0029151F" w:rsidP="00645F05">
            <w:pPr>
              <w:spacing w:after="160" w:line="256" w:lineRule="auto"/>
              <w:contextualSpacing/>
              <w:jc w:val="both"/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u w:val="single"/>
              </w:rPr>
              <w:t>Návrh poslanca Národnej rady Slovenskej republiky Miloša Svrčeka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nehnuteľnosti (katastrálny zákon) v znení neskoršíchj predpisov v znení neskorších predpisov (tlač 1398) (č. m. 3811/2023)</w:t>
            </w:r>
          </w:p>
          <w:p w:rsidR="00182036" w:rsidRPr="00345190" w:rsidRDefault="00182036" w:rsidP="00182036">
            <w:pPr>
              <w:spacing w:after="160" w:line="252" w:lineRule="auto"/>
              <w:ind w:left="720"/>
              <w:contextualSpacing/>
              <w:jc w:val="both"/>
            </w:pPr>
            <w:r>
              <w:t>Legislatívna  rada  po  prerokovaní  tohto  poslaneckého  návrhu  zákona  odporučila vláde s  predloženým návrhom vysloviť súhlas s pripomienkami.</w:t>
            </w:r>
          </w:p>
          <w:p w:rsidR="00182036" w:rsidRPr="0029151F" w:rsidRDefault="00182036" w:rsidP="00182036">
            <w:pPr>
              <w:spacing w:after="160" w:line="256" w:lineRule="auto"/>
              <w:ind w:left="720"/>
              <w:contextualSpacing/>
              <w:jc w:val="both"/>
            </w:pPr>
          </w:p>
          <w:p w:rsidR="0029151F" w:rsidRPr="0029151F" w:rsidRDefault="0029151F" w:rsidP="0029151F">
            <w:pPr>
              <w:spacing w:after="160" w:line="256" w:lineRule="auto"/>
              <w:ind w:left="708"/>
              <w:contextualSpacing/>
              <w:jc w:val="both"/>
            </w:pPr>
          </w:p>
          <w:p w:rsidR="0029151F" w:rsidRPr="0029151F" w:rsidRDefault="0029151F" w:rsidP="0029151F">
            <w:pPr>
              <w:spacing w:after="160" w:line="256" w:lineRule="auto"/>
              <w:ind w:left="708"/>
              <w:contextualSpacing/>
              <w:jc w:val="both"/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iCs/>
                <w:u w:val="single"/>
              </w:rPr>
              <w:lastRenderedPageBreak/>
              <w:t>Návrh nariadenia vlády Slovenskej republiky č. 296/2010 Z. z. o odbornej spôsobilosti na výkon zdravotníckeho povolania, spôsobe ďalšieho vzdelávania zdravotníckych pracovníkov, sústave špecializačných odborov a sústave certifikovaných pracovných činností v znení neskorších predpisov (č. m. 9137/2023)</w:t>
            </w:r>
          </w:p>
          <w:p w:rsidR="0029151F" w:rsidRPr="00A52654" w:rsidRDefault="0029151F" w:rsidP="0029151F">
            <w:pPr>
              <w:spacing w:line="0" w:lineRule="atLeast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29151F" w:rsidRPr="0029151F" w:rsidRDefault="0029151F" w:rsidP="0029151F">
            <w:pPr>
              <w:spacing w:after="160" w:line="256" w:lineRule="auto"/>
              <w:ind w:left="720"/>
              <w:contextualSpacing/>
              <w:jc w:val="both"/>
            </w:pPr>
          </w:p>
          <w:p w:rsidR="0029151F" w:rsidRPr="0029151F" w:rsidRDefault="0029151F" w:rsidP="0029151F">
            <w:pPr>
              <w:spacing w:after="160" w:line="256" w:lineRule="auto"/>
              <w:ind w:left="720"/>
              <w:contextualSpacing/>
              <w:jc w:val="both"/>
            </w:pPr>
          </w:p>
          <w:p w:rsidR="0029151F" w:rsidRPr="0029151F" w:rsidRDefault="0029151F" w:rsidP="0029151F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29151F">
              <w:rPr>
                <w:iCs/>
                <w:u w:val="single"/>
              </w:rPr>
              <w:t>Návrh nariadenia vlády Slovenskej republiky č. 640/2008 Z. z. o</w:t>
            </w:r>
            <w:r w:rsidR="00C67936">
              <w:rPr>
                <w:iCs/>
                <w:u w:val="single"/>
              </w:rPr>
              <w:t> verejnej minimálnej sieti posk</w:t>
            </w:r>
            <w:r w:rsidRPr="0029151F">
              <w:rPr>
                <w:iCs/>
                <w:u w:val="single"/>
              </w:rPr>
              <w:t>ytovateľov zdravotnej starostlivosti v znení neskorších predpisov (č. m. 9141/2023)</w:t>
            </w:r>
          </w:p>
          <w:p w:rsidR="00E279FC" w:rsidRDefault="00E279FC" w:rsidP="00E279FC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Legislatívna rada prerušila rokovanie a odporučila predkladateľovi </w:t>
            </w:r>
            <w:r w:rsidR="002D5E65">
              <w:rPr>
                <w:bCs/>
              </w:rPr>
              <w:t>predložiť nové znenie</w:t>
            </w:r>
            <w:r w:rsidR="002D5E65" w:rsidRPr="007A38F0">
              <w:t xml:space="preserve"> návrhu </w:t>
            </w:r>
            <w:r w:rsidR="002D5E65">
              <w:t>nariadenia vlády</w:t>
            </w:r>
            <w:r w:rsidR="002D5E65">
              <w:rPr>
                <w:bCs/>
              </w:rPr>
              <w:t>, ktoré bude obsahovať ďalší návrh novely tohto nariadenia vlády.</w:t>
            </w:r>
          </w:p>
          <w:p w:rsidR="0029151F" w:rsidRDefault="0029151F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9151F" w:rsidRDefault="0029151F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9151F" w:rsidRDefault="0029151F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9151F" w:rsidRDefault="0029151F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45190" w:rsidRDefault="00345190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815FAD" w:rsidRPr="00074EDF" w:rsidTr="00BD594E">
              <w:trPr>
                <w:trHeight w:val="398"/>
              </w:trPr>
              <w:tc>
                <w:tcPr>
                  <w:tcW w:w="7513" w:type="dxa"/>
                </w:tcPr>
                <w:p w:rsidR="00FD7437" w:rsidRDefault="00FD7437" w:rsidP="00FD7437"/>
                <w:p w:rsidR="00076E2A" w:rsidRDefault="00076E2A" w:rsidP="00BD445F"/>
                <w:p w:rsidR="00926A60" w:rsidRDefault="00926A60" w:rsidP="003A6193"/>
                <w:p w:rsidR="00433AC4" w:rsidRDefault="00433AC4" w:rsidP="00433AC4"/>
                <w:p w:rsidR="00024714" w:rsidRDefault="00024714" w:rsidP="00024714"/>
                <w:p w:rsidR="00E862DC" w:rsidRDefault="00E862DC" w:rsidP="00BD445F"/>
                <w:p w:rsidR="00FD7437" w:rsidRDefault="00FD7437" w:rsidP="00FD7437"/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5E4979" w:rsidRDefault="005E4979">
      <w:bookmarkStart w:id="0" w:name="_GoBack"/>
      <w:bookmarkEnd w:id="0"/>
    </w:p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9FB44BB0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E7A"/>
    <w:multiLevelType w:val="hybridMultilevel"/>
    <w:tmpl w:val="E45C334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24714"/>
    <w:rsid w:val="00031570"/>
    <w:rsid w:val="00053546"/>
    <w:rsid w:val="00073A7B"/>
    <w:rsid w:val="00076E2A"/>
    <w:rsid w:val="000C137C"/>
    <w:rsid w:val="000E6D3F"/>
    <w:rsid w:val="000F0989"/>
    <w:rsid w:val="000F194B"/>
    <w:rsid w:val="0011540C"/>
    <w:rsid w:val="00131B44"/>
    <w:rsid w:val="001404A0"/>
    <w:rsid w:val="00154B05"/>
    <w:rsid w:val="00156432"/>
    <w:rsid w:val="001662CD"/>
    <w:rsid w:val="00182036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06959"/>
    <w:rsid w:val="00217DA5"/>
    <w:rsid w:val="002237F7"/>
    <w:rsid w:val="0023078A"/>
    <w:rsid w:val="00231CFC"/>
    <w:rsid w:val="00250B80"/>
    <w:rsid w:val="002561DD"/>
    <w:rsid w:val="00264CA7"/>
    <w:rsid w:val="00280580"/>
    <w:rsid w:val="00280C3F"/>
    <w:rsid w:val="0029151F"/>
    <w:rsid w:val="002B1CB3"/>
    <w:rsid w:val="002C3E8A"/>
    <w:rsid w:val="002D3A2B"/>
    <w:rsid w:val="002D5E65"/>
    <w:rsid w:val="002E689E"/>
    <w:rsid w:val="00322A03"/>
    <w:rsid w:val="00323042"/>
    <w:rsid w:val="003370C0"/>
    <w:rsid w:val="00345190"/>
    <w:rsid w:val="00372B46"/>
    <w:rsid w:val="00393680"/>
    <w:rsid w:val="003A6193"/>
    <w:rsid w:val="003D0165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A3075"/>
    <w:rsid w:val="004B1C3A"/>
    <w:rsid w:val="004D09B8"/>
    <w:rsid w:val="004E4AE5"/>
    <w:rsid w:val="004E4B7D"/>
    <w:rsid w:val="004F2FE8"/>
    <w:rsid w:val="00553AB7"/>
    <w:rsid w:val="00553CE5"/>
    <w:rsid w:val="005758F8"/>
    <w:rsid w:val="00576FBB"/>
    <w:rsid w:val="005A3127"/>
    <w:rsid w:val="005B54B7"/>
    <w:rsid w:val="005E4979"/>
    <w:rsid w:val="005F3BA9"/>
    <w:rsid w:val="0060751F"/>
    <w:rsid w:val="00645F05"/>
    <w:rsid w:val="00660094"/>
    <w:rsid w:val="00671913"/>
    <w:rsid w:val="006820B7"/>
    <w:rsid w:val="0068285D"/>
    <w:rsid w:val="006841DF"/>
    <w:rsid w:val="006C5553"/>
    <w:rsid w:val="006F5A18"/>
    <w:rsid w:val="00734CD9"/>
    <w:rsid w:val="00776462"/>
    <w:rsid w:val="0080295A"/>
    <w:rsid w:val="00802F52"/>
    <w:rsid w:val="00811937"/>
    <w:rsid w:val="00815FAD"/>
    <w:rsid w:val="008335F6"/>
    <w:rsid w:val="00870A7C"/>
    <w:rsid w:val="008A0F7F"/>
    <w:rsid w:val="008E5D8E"/>
    <w:rsid w:val="008F03E6"/>
    <w:rsid w:val="00901BA6"/>
    <w:rsid w:val="00911E2B"/>
    <w:rsid w:val="00914BDA"/>
    <w:rsid w:val="00921B2D"/>
    <w:rsid w:val="00926A60"/>
    <w:rsid w:val="009B31D5"/>
    <w:rsid w:val="009E0546"/>
    <w:rsid w:val="009E2BB0"/>
    <w:rsid w:val="00A24428"/>
    <w:rsid w:val="00A32A94"/>
    <w:rsid w:val="00A52654"/>
    <w:rsid w:val="00AA16E7"/>
    <w:rsid w:val="00AC166D"/>
    <w:rsid w:val="00AE639B"/>
    <w:rsid w:val="00AF4B2A"/>
    <w:rsid w:val="00B1334E"/>
    <w:rsid w:val="00B31ED9"/>
    <w:rsid w:val="00B7348C"/>
    <w:rsid w:val="00B90191"/>
    <w:rsid w:val="00BD445F"/>
    <w:rsid w:val="00BD594E"/>
    <w:rsid w:val="00C02E99"/>
    <w:rsid w:val="00C03C09"/>
    <w:rsid w:val="00C26A3C"/>
    <w:rsid w:val="00C36B82"/>
    <w:rsid w:val="00C37AE6"/>
    <w:rsid w:val="00C4354F"/>
    <w:rsid w:val="00C459D9"/>
    <w:rsid w:val="00C513D5"/>
    <w:rsid w:val="00C67936"/>
    <w:rsid w:val="00C841B7"/>
    <w:rsid w:val="00CB24D0"/>
    <w:rsid w:val="00CC1145"/>
    <w:rsid w:val="00CC2A0F"/>
    <w:rsid w:val="00CD4DF5"/>
    <w:rsid w:val="00CD7141"/>
    <w:rsid w:val="00CF197D"/>
    <w:rsid w:val="00D23EDA"/>
    <w:rsid w:val="00D26759"/>
    <w:rsid w:val="00D37191"/>
    <w:rsid w:val="00D62DAC"/>
    <w:rsid w:val="00D9606B"/>
    <w:rsid w:val="00D9620A"/>
    <w:rsid w:val="00DC04A3"/>
    <w:rsid w:val="00DC17D6"/>
    <w:rsid w:val="00DE0BC3"/>
    <w:rsid w:val="00E1239B"/>
    <w:rsid w:val="00E24656"/>
    <w:rsid w:val="00E279FC"/>
    <w:rsid w:val="00E50D9A"/>
    <w:rsid w:val="00E52780"/>
    <w:rsid w:val="00E53472"/>
    <w:rsid w:val="00E77047"/>
    <w:rsid w:val="00E80807"/>
    <w:rsid w:val="00E86127"/>
    <w:rsid w:val="00E862DC"/>
    <w:rsid w:val="00E91DAC"/>
    <w:rsid w:val="00EC64D3"/>
    <w:rsid w:val="00EF115B"/>
    <w:rsid w:val="00F21F37"/>
    <w:rsid w:val="00F606CD"/>
    <w:rsid w:val="00F94BA9"/>
    <w:rsid w:val="00FC2AAB"/>
    <w:rsid w:val="00FC58D0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5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8D0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162</cp:revision>
  <cp:lastPrinted>2023-03-21T12:00:00Z</cp:lastPrinted>
  <dcterms:created xsi:type="dcterms:W3CDTF">2022-10-21T06:43:00Z</dcterms:created>
  <dcterms:modified xsi:type="dcterms:W3CDTF">2023-03-29T09:30:00Z</dcterms:modified>
</cp:coreProperties>
</file>