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rsidTr="00F330AF">
        <w:trPr>
          <w:trHeight w:val="566"/>
        </w:trPr>
        <w:tc>
          <w:tcPr>
            <w:tcW w:w="9464" w:type="dxa"/>
            <w:shd w:val="clear" w:color="auto" w:fill="D9D9D9"/>
            <w:vAlign w:val="center"/>
            <w:hideMark/>
          </w:tcPr>
          <w:p w:rsidR="00374EDB" w:rsidRPr="002E32C0" w:rsidRDefault="00413E9A" w:rsidP="002737EC">
            <w:pPr>
              <w:spacing w:line="276" w:lineRule="auto"/>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F330AF">
        <w:trPr>
          <w:trHeight w:val="688"/>
        </w:trPr>
        <w:tc>
          <w:tcPr>
            <w:tcW w:w="9464" w:type="dxa"/>
            <w:shd w:val="clear" w:color="auto" w:fill="D9D9D9"/>
            <w:vAlign w:val="center"/>
            <w:hideMark/>
          </w:tcPr>
          <w:p w:rsidR="00374EDB" w:rsidRPr="002E32C0" w:rsidRDefault="00374EDB" w:rsidP="002737EC">
            <w:pPr>
              <w:spacing w:line="276" w:lineRule="auto"/>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rsidTr="00F330AF">
        <w:trPr>
          <w:trHeight w:val="995"/>
        </w:trPr>
        <w:tc>
          <w:tcPr>
            <w:tcW w:w="9464" w:type="dxa"/>
          </w:tcPr>
          <w:p w:rsidR="00DA6F02" w:rsidRDefault="00DA6F02" w:rsidP="002737EC">
            <w:pPr>
              <w:spacing w:line="276" w:lineRule="auto"/>
              <w:jc w:val="both"/>
            </w:pPr>
          </w:p>
          <w:p w:rsidR="006044C8" w:rsidRDefault="00247303" w:rsidP="002737EC">
            <w:pPr>
              <w:spacing w:line="276" w:lineRule="auto"/>
              <w:jc w:val="both"/>
            </w:pPr>
            <w:r>
              <w:t>V</w:t>
            </w:r>
            <w:r w:rsidR="001F7966">
              <w:t xml:space="preserve">yhlásenie </w:t>
            </w:r>
            <w:r w:rsidR="003D19EF">
              <w:t xml:space="preserve">chráneného areálu (CHA) Tisovský kras </w:t>
            </w:r>
            <w:r w:rsidR="001F7966" w:rsidRPr="00D346CF">
              <w:t xml:space="preserve">bude mať dlhodobý pozitívny vplyv na </w:t>
            </w:r>
            <w:r w:rsidR="009151DD" w:rsidRPr="00D346CF">
              <w:t>prírodné hodnoty, ktoré sú predmetom ochrany.</w:t>
            </w:r>
          </w:p>
          <w:p w:rsidR="00573B95" w:rsidRDefault="006044C8" w:rsidP="002737EC">
            <w:pPr>
              <w:spacing w:line="276" w:lineRule="auto"/>
              <w:jc w:val="both"/>
            </w:pPr>
            <w:r>
              <w:t>Predmetom o</w:t>
            </w:r>
            <w:r w:rsidR="009151DD" w:rsidRPr="00D346CF">
              <w:t>chran</w:t>
            </w:r>
            <w:r>
              <w:t>y je</w:t>
            </w:r>
            <w:r w:rsidR="00DA6872" w:rsidRPr="00DA6872">
              <w:t xml:space="preserve"> </w:t>
            </w:r>
            <w:r w:rsidR="005D583C">
              <w:t xml:space="preserve">predovšetkým </w:t>
            </w:r>
            <w:r w:rsidR="00060013">
              <w:t>5</w:t>
            </w:r>
            <w:r w:rsidR="00DA6872" w:rsidRPr="002E4D28">
              <w:rPr>
                <w:bCs/>
                <w:u w:val="single"/>
              </w:rPr>
              <w:t xml:space="preserve"> prioritný</w:t>
            </w:r>
            <w:r>
              <w:rPr>
                <w:bCs/>
                <w:u w:val="single"/>
              </w:rPr>
              <w:t xml:space="preserve">ch </w:t>
            </w:r>
            <w:r w:rsidR="00DA6872" w:rsidRPr="002E4D28">
              <w:rPr>
                <w:bCs/>
                <w:u w:val="single"/>
              </w:rPr>
              <w:t>biotopo</w:t>
            </w:r>
            <w:r>
              <w:rPr>
                <w:bCs/>
                <w:u w:val="single"/>
              </w:rPr>
              <w:t>v</w:t>
            </w:r>
            <w:r w:rsidR="00DA6872" w:rsidRPr="002E4D28">
              <w:rPr>
                <w:bCs/>
                <w:u w:val="single"/>
              </w:rPr>
              <w:t xml:space="preserve"> európskeho významu</w:t>
            </w:r>
            <w:r w:rsidR="00D26E6C" w:rsidRPr="002E4D28">
              <w:rPr>
                <w:bCs/>
                <w:u w:val="single"/>
              </w:rPr>
              <w:t>:</w:t>
            </w:r>
            <w:r w:rsidR="00060013">
              <w:rPr>
                <w:bCs/>
                <w:u w:val="single"/>
              </w:rPr>
              <w:t xml:space="preserve"> </w:t>
            </w:r>
            <w:r w:rsidR="00060013" w:rsidRPr="00361671">
              <w:t>Kr 6  Xerotermné kroviny</w:t>
            </w:r>
            <w:r w:rsidR="006B0D9F">
              <w:t xml:space="preserve"> </w:t>
            </w:r>
            <w:r w:rsidR="006B0D9F">
              <w:br/>
            </w:r>
            <w:r w:rsidR="006B0D9F" w:rsidRPr="00361671">
              <w:t>(* 40A0)</w:t>
            </w:r>
            <w:r w:rsidR="00060013" w:rsidRPr="00361671">
              <w:t>,</w:t>
            </w:r>
            <w:r w:rsidR="00060013">
              <w:t xml:space="preserve"> </w:t>
            </w:r>
            <w:r w:rsidR="00060013" w:rsidRPr="00361671">
              <w:t>Ls 4  Lipovo-javorové sutinové lesy</w:t>
            </w:r>
            <w:r w:rsidR="006B0D9F">
              <w:t xml:space="preserve"> </w:t>
            </w:r>
            <w:r w:rsidR="006B0D9F" w:rsidRPr="00361671">
              <w:t>(* 9180)</w:t>
            </w:r>
            <w:r w:rsidR="00060013" w:rsidRPr="00361671">
              <w:t>,</w:t>
            </w:r>
            <w:r w:rsidR="00060013">
              <w:t xml:space="preserve"> </w:t>
            </w:r>
            <w:r w:rsidR="00060013" w:rsidRPr="00361671">
              <w:t>Pr 3 Penovcové prameniská</w:t>
            </w:r>
            <w:r w:rsidR="006B0D9F">
              <w:t xml:space="preserve"> </w:t>
            </w:r>
            <w:r w:rsidR="006B0D9F" w:rsidRPr="00361671">
              <w:t>(* 7220)</w:t>
            </w:r>
            <w:r w:rsidR="00060013" w:rsidRPr="00361671">
              <w:t>,</w:t>
            </w:r>
            <w:r w:rsidR="00060013">
              <w:t xml:space="preserve"> </w:t>
            </w:r>
            <w:r w:rsidR="00060013" w:rsidRPr="00361671">
              <w:t xml:space="preserve">Pi 5 Pionierske porasty zväzu </w:t>
            </w:r>
            <w:r w:rsidR="00060013" w:rsidRPr="00361671">
              <w:rPr>
                <w:i/>
              </w:rPr>
              <w:t>Alysso-Sedion albi</w:t>
            </w:r>
            <w:r w:rsidR="00060013" w:rsidRPr="00361671">
              <w:t xml:space="preserve"> na plytkých karbonátových a bázických substrátoch</w:t>
            </w:r>
            <w:r w:rsidR="006B0D9F">
              <w:t xml:space="preserve"> </w:t>
            </w:r>
            <w:r w:rsidR="006B0D9F" w:rsidRPr="00361671">
              <w:t>(* 6110)</w:t>
            </w:r>
            <w:r w:rsidR="00060013" w:rsidRPr="00361671">
              <w:t>,</w:t>
            </w:r>
            <w:r w:rsidR="00060013">
              <w:t xml:space="preserve"> </w:t>
            </w:r>
            <w:r w:rsidR="00060013" w:rsidRPr="00361671">
              <w:t>Sk 6 Nespevnené karbonátové skalné sutiny v montánnom až kolínnom stupni</w:t>
            </w:r>
            <w:r w:rsidR="006B0D9F">
              <w:t xml:space="preserve"> </w:t>
            </w:r>
            <w:r w:rsidR="006B0D9F" w:rsidRPr="00361671">
              <w:t>(* 8160)</w:t>
            </w:r>
            <w:r w:rsidR="00060013">
              <w:t xml:space="preserve">; </w:t>
            </w:r>
            <w:r w:rsidR="00060013">
              <w:rPr>
                <w:bCs/>
              </w:rPr>
              <w:t>11</w:t>
            </w:r>
            <w:r w:rsidR="00DA6872" w:rsidRPr="002E4D28">
              <w:rPr>
                <w:bCs/>
                <w:u w:val="single"/>
              </w:rPr>
              <w:t xml:space="preserve"> biotopo</w:t>
            </w:r>
            <w:r w:rsidRPr="002E4D28">
              <w:rPr>
                <w:bCs/>
                <w:u w:val="single"/>
              </w:rPr>
              <w:t xml:space="preserve">v </w:t>
            </w:r>
            <w:r w:rsidR="00DA6872" w:rsidRPr="002E4D28">
              <w:rPr>
                <w:bCs/>
                <w:u w:val="single"/>
              </w:rPr>
              <w:t>európskeho významu</w:t>
            </w:r>
            <w:r w:rsidR="00D26E6C">
              <w:rPr>
                <w:bCs/>
              </w:rPr>
              <w:t xml:space="preserve">: </w:t>
            </w:r>
            <w:r w:rsidR="00060013" w:rsidRPr="00060013">
              <w:t>Kr 2 Porasty borievky obyčajnej</w:t>
            </w:r>
            <w:r w:rsidR="006B0D9F">
              <w:t xml:space="preserve"> </w:t>
            </w:r>
            <w:r w:rsidR="006B0D9F" w:rsidRPr="00060013">
              <w:t>(5130)</w:t>
            </w:r>
            <w:r w:rsidR="00060013" w:rsidRPr="00060013">
              <w:t>, Lk 1 Nížinné a podhorské kosné lúky</w:t>
            </w:r>
            <w:r w:rsidR="006B0D9F">
              <w:t xml:space="preserve"> </w:t>
            </w:r>
            <w:r w:rsidR="006B0D9F" w:rsidRPr="00060013">
              <w:t>(6510)</w:t>
            </w:r>
            <w:r w:rsidR="00060013" w:rsidRPr="00060013">
              <w:t>, Lk 5 Vysokobylinné spoločenstvá na vlhkých lúkach</w:t>
            </w:r>
            <w:r w:rsidR="006B0D9F">
              <w:t xml:space="preserve"> </w:t>
            </w:r>
            <w:r w:rsidR="006B0D9F" w:rsidRPr="00060013">
              <w:t>(6430)</w:t>
            </w:r>
            <w:r w:rsidR="00060013" w:rsidRPr="00060013">
              <w:t>, Ls 5.1 Bukové a jedľovo-bukové kvetnaté lesy</w:t>
            </w:r>
            <w:r w:rsidR="006B0D9F">
              <w:t xml:space="preserve"> </w:t>
            </w:r>
            <w:r w:rsidR="006B0D9F" w:rsidRPr="00060013">
              <w:t>(9130)</w:t>
            </w:r>
            <w:r w:rsidR="00060013" w:rsidRPr="00060013">
              <w:t>, Ls 5.2 Kyslomilné bukové lesy</w:t>
            </w:r>
            <w:r w:rsidR="006B0D9F">
              <w:t xml:space="preserve"> </w:t>
            </w:r>
            <w:r w:rsidR="006B0D9F" w:rsidRPr="00060013">
              <w:t>(9110)</w:t>
            </w:r>
            <w:r w:rsidR="00060013" w:rsidRPr="00060013">
              <w:t>, Ls 5.4 Vápnomilné bukové lesy</w:t>
            </w:r>
            <w:r w:rsidR="006B0D9F">
              <w:t xml:space="preserve"> </w:t>
            </w:r>
            <w:r w:rsidR="006B0D9F" w:rsidRPr="00060013">
              <w:t>(9150)</w:t>
            </w:r>
            <w:r w:rsidR="00060013" w:rsidRPr="00060013">
              <w:t>, Ra 3 Prechodné rašeliniská a</w:t>
            </w:r>
            <w:r w:rsidR="006B0D9F">
              <w:t> </w:t>
            </w:r>
            <w:r w:rsidR="00060013" w:rsidRPr="00060013">
              <w:t>trasoviská</w:t>
            </w:r>
            <w:r w:rsidR="006B0D9F">
              <w:t xml:space="preserve"> </w:t>
            </w:r>
            <w:r w:rsidR="006B0D9F" w:rsidRPr="00060013">
              <w:t>(7140)</w:t>
            </w:r>
            <w:r w:rsidR="00060013" w:rsidRPr="00060013">
              <w:t>, Ra 6 Slatiny s vysokým obsahom báz</w:t>
            </w:r>
            <w:r w:rsidR="006B0D9F">
              <w:t xml:space="preserve"> </w:t>
            </w:r>
            <w:r w:rsidR="006B0D9F" w:rsidRPr="00060013">
              <w:t>(7230)</w:t>
            </w:r>
            <w:r w:rsidR="00060013" w:rsidRPr="00060013">
              <w:t>, Sk 1 Karbonátové skalné steny so štrbinovou vegetáciou</w:t>
            </w:r>
            <w:r w:rsidR="006B0D9F">
              <w:t xml:space="preserve"> </w:t>
            </w:r>
            <w:r w:rsidR="006B0D9F" w:rsidRPr="00060013">
              <w:t>(8210)</w:t>
            </w:r>
            <w:r w:rsidR="00060013" w:rsidRPr="00060013">
              <w:t>, Sk 8 Neprístupné jaskynné útvary</w:t>
            </w:r>
            <w:r w:rsidR="006B0D9F">
              <w:t xml:space="preserve"> </w:t>
            </w:r>
            <w:r w:rsidR="006B0D9F" w:rsidRPr="00060013">
              <w:t>(8310)</w:t>
            </w:r>
            <w:r w:rsidR="00060013" w:rsidRPr="00060013">
              <w:t>, Tr 1 Suchomilné travinno-bylinné a krovinové porasty na vápnitom substráte</w:t>
            </w:r>
            <w:r w:rsidR="006B0D9F">
              <w:t xml:space="preserve"> </w:t>
            </w:r>
            <w:r w:rsidR="006B0D9F" w:rsidRPr="00060013">
              <w:t>(6210)</w:t>
            </w:r>
            <w:r w:rsidR="00060013" w:rsidRPr="00060013">
              <w:t>.</w:t>
            </w:r>
          </w:p>
          <w:p w:rsidR="00044236" w:rsidRDefault="00044236" w:rsidP="002737EC">
            <w:pPr>
              <w:spacing w:line="276" w:lineRule="auto"/>
              <w:jc w:val="both"/>
              <w:rPr>
                <w:bCs/>
              </w:rPr>
            </w:pPr>
            <w:bookmarkStart w:id="0" w:name="_GoBack"/>
            <w:bookmarkEnd w:id="0"/>
          </w:p>
          <w:p w:rsidR="00FF7AE8" w:rsidRPr="00060013" w:rsidRDefault="00DA6872">
            <w:pPr>
              <w:autoSpaceDE w:val="0"/>
              <w:spacing w:line="276" w:lineRule="auto"/>
              <w:jc w:val="both"/>
            </w:pPr>
            <w:r>
              <w:rPr>
                <w:bCs/>
              </w:rPr>
              <w:t xml:space="preserve">Predmetom ochrany </w:t>
            </w:r>
            <w:r w:rsidR="0033283B">
              <w:rPr>
                <w:bCs/>
              </w:rPr>
              <w:t xml:space="preserve">sú </w:t>
            </w:r>
            <w:r>
              <w:rPr>
                <w:bCs/>
              </w:rPr>
              <w:t xml:space="preserve">tiež </w:t>
            </w:r>
            <w:r w:rsidR="00E63452" w:rsidRPr="002E4D28">
              <w:rPr>
                <w:bCs/>
                <w:u w:val="single"/>
              </w:rPr>
              <w:t>biotop</w:t>
            </w:r>
            <w:r w:rsidR="0033283B">
              <w:rPr>
                <w:bCs/>
                <w:u w:val="single"/>
              </w:rPr>
              <w:t>y</w:t>
            </w:r>
            <w:r w:rsidR="00E63452" w:rsidRPr="002E4D28">
              <w:rPr>
                <w:bCs/>
                <w:u w:val="single"/>
              </w:rPr>
              <w:t xml:space="preserve"> </w:t>
            </w:r>
            <w:r w:rsidR="00060013">
              <w:rPr>
                <w:bCs/>
                <w:u w:val="single"/>
              </w:rPr>
              <w:t>2</w:t>
            </w:r>
            <w:r w:rsidR="0033283B">
              <w:rPr>
                <w:bCs/>
                <w:u w:val="single"/>
              </w:rPr>
              <w:t xml:space="preserve"> </w:t>
            </w:r>
            <w:r w:rsidRPr="002E4D28">
              <w:rPr>
                <w:bCs/>
                <w:u w:val="single"/>
              </w:rPr>
              <w:t>druhov rastlín európskeho významu</w:t>
            </w:r>
            <w:r w:rsidR="00573B95">
              <w:rPr>
                <w:bCs/>
              </w:rPr>
              <w:t>:</w:t>
            </w:r>
            <w:r w:rsidR="00060013">
              <w:rPr>
                <w:bCs/>
              </w:rPr>
              <w:t xml:space="preserve"> </w:t>
            </w:r>
            <w:r w:rsidR="006B0D9F" w:rsidRPr="006B0D9F">
              <w:rPr>
                <w:bCs/>
              </w:rPr>
              <w:t>kyjanôčka zelená (</w:t>
            </w:r>
            <w:r w:rsidR="006B0D9F" w:rsidRPr="00234A24">
              <w:rPr>
                <w:bCs/>
                <w:i/>
              </w:rPr>
              <w:t>Buxbaumia viridis</w:t>
            </w:r>
            <w:r w:rsidR="00D47147">
              <w:rPr>
                <w:bCs/>
                <w:i/>
              </w:rPr>
              <w:t xml:space="preserve"> </w:t>
            </w:r>
            <w:r w:rsidR="00D47147" w:rsidRPr="00044236">
              <w:rPr>
                <w:bCs/>
              </w:rPr>
              <w:t>(Moug.)Moug.&amp;Nestl.(o)</w:t>
            </w:r>
            <w:r w:rsidR="006B0D9F" w:rsidRPr="00D47147">
              <w:rPr>
                <w:bCs/>
              </w:rPr>
              <w:t>)</w:t>
            </w:r>
            <w:r w:rsidR="006B0D9F" w:rsidRPr="006B0D9F">
              <w:rPr>
                <w:bCs/>
              </w:rPr>
              <w:t>,</w:t>
            </w:r>
            <w:r w:rsidR="00D47147">
              <w:rPr>
                <w:bCs/>
              </w:rPr>
              <w:t xml:space="preserve"> </w:t>
            </w:r>
            <w:r w:rsidR="006B0D9F">
              <w:rPr>
                <w:bCs/>
              </w:rPr>
              <w:t xml:space="preserve">* </w:t>
            </w:r>
            <w:r w:rsidR="006B0D9F" w:rsidRPr="006B0D9F">
              <w:rPr>
                <w:bCs/>
              </w:rPr>
              <w:t>poniklec pro</w:t>
            </w:r>
            <w:r w:rsidR="006B0D9F">
              <w:rPr>
                <w:bCs/>
              </w:rPr>
              <w:t>stredný (</w:t>
            </w:r>
            <w:r w:rsidR="006B0D9F" w:rsidRPr="00234A24">
              <w:rPr>
                <w:bCs/>
                <w:i/>
              </w:rPr>
              <w:t>Pulsatilla subslavica</w:t>
            </w:r>
            <w:r w:rsidR="00D47147">
              <w:rPr>
                <w:bCs/>
                <w:i/>
              </w:rPr>
              <w:t xml:space="preserve"> </w:t>
            </w:r>
            <w:r w:rsidR="00D47147" w:rsidRPr="00044236">
              <w:rPr>
                <w:bCs/>
              </w:rPr>
              <w:t>Futák ex Goliašová</w:t>
            </w:r>
            <w:r w:rsidR="006B0D9F">
              <w:rPr>
                <w:bCs/>
              </w:rPr>
              <w:t>)</w:t>
            </w:r>
            <w:r w:rsidR="00060013">
              <w:rPr>
                <w:bCs/>
              </w:rPr>
              <w:t>;</w:t>
            </w:r>
            <w:r w:rsidR="00060013" w:rsidRPr="00060013">
              <w:rPr>
                <w:bCs/>
              </w:rPr>
              <w:t xml:space="preserve"> </w:t>
            </w:r>
            <w:r w:rsidR="0033283B" w:rsidRPr="00743D90">
              <w:rPr>
                <w:bCs/>
                <w:u w:val="single"/>
              </w:rPr>
              <w:t xml:space="preserve">biotopy </w:t>
            </w:r>
            <w:r w:rsidR="00060013">
              <w:rPr>
                <w:bCs/>
                <w:u w:val="single"/>
              </w:rPr>
              <w:t>12</w:t>
            </w:r>
            <w:r w:rsidR="00573B95" w:rsidRPr="002E4D28">
              <w:rPr>
                <w:bCs/>
                <w:u w:val="single"/>
              </w:rPr>
              <w:t xml:space="preserve"> druhov </w:t>
            </w:r>
            <w:r w:rsidR="00875A83" w:rsidRPr="002E4D28">
              <w:rPr>
                <w:bCs/>
                <w:u w:val="single"/>
              </w:rPr>
              <w:t xml:space="preserve">rastlín </w:t>
            </w:r>
            <w:r w:rsidR="00573B95" w:rsidRPr="002E4D28">
              <w:rPr>
                <w:bCs/>
                <w:u w:val="single"/>
              </w:rPr>
              <w:t>národného význam</w:t>
            </w:r>
            <w:r w:rsidR="00573B95" w:rsidRPr="00060013">
              <w:rPr>
                <w:bCs/>
                <w:u w:val="single"/>
              </w:rPr>
              <w:t>:</w:t>
            </w:r>
            <w:r w:rsidR="00573B95" w:rsidRPr="00060013">
              <w:rPr>
                <w:bCs/>
              </w:rPr>
              <w:t xml:space="preserve"> </w:t>
            </w:r>
            <w:r w:rsidR="006B0D9F" w:rsidRPr="00234A24">
              <w:rPr>
                <w:iCs/>
              </w:rPr>
              <w:t xml:space="preserve">misôčka tmavá </w:t>
            </w:r>
            <w:r w:rsidR="006B0D9F" w:rsidRPr="00234A24">
              <w:t>(</w:t>
            </w:r>
            <w:r w:rsidR="006B0D9F" w:rsidRPr="00234A24">
              <w:rPr>
                <w:i/>
              </w:rPr>
              <w:t>Pseudoplectania melaena</w:t>
            </w:r>
            <w:r w:rsidR="006B0D9F" w:rsidRPr="00234A24">
              <w:rPr>
                <w:smallCaps/>
                <w:color w:val="000000"/>
              </w:rPr>
              <w:t xml:space="preserve">), </w:t>
            </w:r>
            <w:r w:rsidR="006B0D9F" w:rsidRPr="00234A24">
              <w:t>prilbovka biela (</w:t>
            </w:r>
            <w:r w:rsidR="006B0D9F" w:rsidRPr="00234A24">
              <w:rPr>
                <w:i/>
              </w:rPr>
              <w:t>Cephalanthera damasonium</w:t>
            </w:r>
            <w:r w:rsidR="006B0D9F" w:rsidRPr="00234A24">
              <w:t>), prilbovka dlholistá (</w:t>
            </w:r>
            <w:r w:rsidR="006B0D9F" w:rsidRPr="00234A24">
              <w:rPr>
                <w:i/>
              </w:rPr>
              <w:t>Cephalanthera longifolia</w:t>
            </w:r>
            <w:r w:rsidR="006B0D9F" w:rsidRPr="00234A24">
              <w:t>), prilbovka červená (</w:t>
            </w:r>
            <w:r w:rsidR="006B0D9F" w:rsidRPr="00234A24">
              <w:rPr>
                <w:i/>
              </w:rPr>
              <w:t>Cephalanthera rubra</w:t>
            </w:r>
            <w:r w:rsidR="006B0D9F" w:rsidRPr="00234A24">
              <w:t>), kruštík drobnolistý (</w:t>
            </w:r>
            <w:r w:rsidR="006B0D9F" w:rsidRPr="00234A24">
              <w:rPr>
                <w:bCs/>
                <w:i/>
                <w:iCs/>
              </w:rPr>
              <w:t>Epipactis microphylla</w:t>
            </w:r>
            <w:r w:rsidR="006B0D9F" w:rsidRPr="00234A24">
              <w:t>), kruštík močiarny (</w:t>
            </w:r>
            <w:r w:rsidR="006B0D9F" w:rsidRPr="00234A24">
              <w:rPr>
                <w:bCs/>
                <w:i/>
                <w:iCs/>
              </w:rPr>
              <w:t>Epipactis palustris</w:t>
            </w:r>
            <w:r w:rsidR="006B0D9F" w:rsidRPr="00234A24">
              <w:t>), kruštík modrofialový (</w:t>
            </w:r>
            <w:r w:rsidR="006B0D9F" w:rsidRPr="00234A24">
              <w:rPr>
                <w:bCs/>
                <w:i/>
                <w:iCs/>
              </w:rPr>
              <w:t>Epipactis purpurata</w:t>
            </w:r>
            <w:r w:rsidR="006B0D9F" w:rsidRPr="00234A24">
              <w:t>), kruštík úzkopyskový (</w:t>
            </w:r>
            <w:r w:rsidR="006B0D9F" w:rsidRPr="00234A24">
              <w:rPr>
                <w:bCs/>
                <w:i/>
                <w:iCs/>
              </w:rPr>
              <w:t>Epipactis leptochila</w:t>
            </w:r>
            <w:r w:rsidR="006B0D9F" w:rsidRPr="00234A24">
              <w:t>), päťprstnica obyčajná (</w:t>
            </w:r>
            <w:r w:rsidR="006B0D9F" w:rsidRPr="00234A24">
              <w:rPr>
                <w:i/>
              </w:rPr>
              <w:t>Gymnadenia connopsea</w:t>
            </w:r>
            <w:r w:rsidR="006B0D9F" w:rsidRPr="00234A24">
              <w:rPr>
                <w:color w:val="000000"/>
              </w:rPr>
              <w:t>),</w:t>
            </w:r>
            <w:r w:rsidR="006B0D9F" w:rsidRPr="00234A24">
              <w:t xml:space="preserve"> vstavač purpurový (</w:t>
            </w:r>
            <w:r w:rsidR="006B0D9F" w:rsidRPr="00234A24">
              <w:rPr>
                <w:bCs/>
                <w:i/>
              </w:rPr>
              <w:t>Orchis purpurea</w:t>
            </w:r>
            <w:r w:rsidR="006B0D9F" w:rsidRPr="00234A24">
              <w:t>), prvosienka holá (</w:t>
            </w:r>
            <w:r w:rsidR="006B0D9F" w:rsidRPr="00234A24">
              <w:rPr>
                <w:bCs/>
                <w:i/>
                <w:iCs/>
              </w:rPr>
              <w:t>Primula auricula</w:t>
            </w:r>
            <w:r w:rsidR="006B0D9F" w:rsidRPr="00234A24">
              <w:t xml:space="preserve">), </w:t>
            </w:r>
            <w:r w:rsidR="006B0D9F" w:rsidRPr="00234A24">
              <w:rPr>
                <w:color w:val="000000"/>
              </w:rPr>
              <w:t>tis obyčajný (</w:t>
            </w:r>
            <w:r w:rsidR="006B0D9F" w:rsidRPr="00234A24">
              <w:rPr>
                <w:i/>
                <w:color w:val="000000"/>
              </w:rPr>
              <w:t>Taxus baccata</w:t>
            </w:r>
            <w:r w:rsidR="006B0D9F" w:rsidRPr="00234A24">
              <w:rPr>
                <w:color w:val="000000"/>
              </w:rPr>
              <w:t>)</w:t>
            </w:r>
            <w:r w:rsidR="00060013" w:rsidRPr="00060013">
              <w:rPr>
                <w:color w:val="000000"/>
              </w:rPr>
              <w:t>;</w:t>
            </w:r>
            <w:r w:rsidR="00060013">
              <w:t xml:space="preserve"> </w:t>
            </w:r>
            <w:r w:rsidR="00E63452" w:rsidRPr="002E4D28">
              <w:rPr>
                <w:bCs/>
                <w:u w:val="single"/>
              </w:rPr>
              <w:t>biotop</w:t>
            </w:r>
            <w:r w:rsidR="0033283B">
              <w:rPr>
                <w:bCs/>
                <w:u w:val="single"/>
              </w:rPr>
              <w:t>y</w:t>
            </w:r>
            <w:r w:rsidR="00E63452" w:rsidRPr="002E4D28">
              <w:rPr>
                <w:bCs/>
                <w:u w:val="single"/>
              </w:rPr>
              <w:t xml:space="preserve"> </w:t>
            </w:r>
            <w:r w:rsidR="00060013">
              <w:rPr>
                <w:bCs/>
                <w:u w:val="single"/>
              </w:rPr>
              <w:t>16</w:t>
            </w:r>
            <w:r w:rsidR="00BE391E">
              <w:rPr>
                <w:bCs/>
                <w:u w:val="single"/>
              </w:rPr>
              <w:t xml:space="preserve"> </w:t>
            </w:r>
            <w:r w:rsidR="0033283B">
              <w:rPr>
                <w:bCs/>
                <w:u w:val="single"/>
              </w:rPr>
              <w:t xml:space="preserve">druhov </w:t>
            </w:r>
            <w:r w:rsidRPr="002E4D28">
              <w:rPr>
                <w:bCs/>
                <w:u w:val="single"/>
              </w:rPr>
              <w:t>živočíchov európskeho významu</w:t>
            </w:r>
            <w:r w:rsidR="006B0D9F">
              <w:rPr>
                <w:bCs/>
                <w:u w:val="single"/>
              </w:rPr>
              <w:t>:</w:t>
            </w:r>
            <w:r w:rsidR="006B0D9F">
              <w:t xml:space="preserve"> ohniváčik veľký (</w:t>
            </w:r>
            <w:r w:rsidR="006B0D9F">
              <w:rPr>
                <w:i/>
              </w:rPr>
              <w:t>Lycaena dispar</w:t>
            </w:r>
            <w:r w:rsidR="006B0D9F">
              <w:t>), * fuzáč alpský</w:t>
            </w:r>
            <w:r w:rsidR="006B0D9F">
              <w:rPr>
                <w:i/>
              </w:rPr>
              <w:t xml:space="preserve"> </w:t>
            </w:r>
            <w:r w:rsidR="006B0D9F">
              <w:t>(</w:t>
            </w:r>
            <w:r w:rsidR="006B0D9F">
              <w:rPr>
                <w:i/>
              </w:rPr>
              <w:t>Rosalia alpina</w:t>
            </w:r>
            <w:r w:rsidR="006B0D9F">
              <w:t>),</w:t>
            </w:r>
            <w:r w:rsidR="006B0D9F">
              <w:rPr>
                <w:i/>
              </w:rPr>
              <w:t xml:space="preserve"> </w:t>
            </w:r>
            <w:r w:rsidR="006B0D9F">
              <w:t>plocháč červený (</w:t>
            </w:r>
            <w:r w:rsidR="006B0D9F">
              <w:rPr>
                <w:i/>
              </w:rPr>
              <w:t>Cucujus cinnaberinus</w:t>
            </w:r>
            <w:r w:rsidR="006B0D9F">
              <w:t>)</w:t>
            </w:r>
            <w:r w:rsidR="006B0D9F">
              <w:rPr>
                <w:i/>
                <w:iCs/>
              </w:rPr>
              <w:t>,</w:t>
            </w:r>
            <w:r w:rsidR="006B0D9F">
              <w:t xml:space="preserve"> kunka žltobruchá (</w:t>
            </w:r>
            <w:r w:rsidR="006B0D9F">
              <w:rPr>
                <w:i/>
              </w:rPr>
              <w:t>Bombina variegata</w:t>
            </w:r>
            <w:r w:rsidR="006B0D9F">
              <w:t>), netopier brvitý</w:t>
            </w:r>
            <w:r w:rsidR="006B0D9F">
              <w:rPr>
                <w:i/>
              </w:rPr>
              <w:t xml:space="preserve"> </w:t>
            </w:r>
            <w:r w:rsidR="006B0D9F">
              <w:t>(</w:t>
            </w:r>
            <w:r w:rsidR="006B0D9F">
              <w:rPr>
                <w:i/>
              </w:rPr>
              <w:t>Myotis emarginatus</w:t>
            </w:r>
            <w:r w:rsidR="006B0D9F">
              <w:t>),</w:t>
            </w:r>
            <w:r w:rsidR="006B0D9F">
              <w:rPr>
                <w:i/>
              </w:rPr>
              <w:t xml:space="preserve"> </w:t>
            </w:r>
            <w:r w:rsidR="005C5360" w:rsidRPr="00044236">
              <w:t>uchaňa čierna/</w:t>
            </w:r>
            <w:r w:rsidR="006B0D9F">
              <w:t>netopier čierny (</w:t>
            </w:r>
            <w:r w:rsidR="006B0D9F">
              <w:rPr>
                <w:i/>
              </w:rPr>
              <w:t>Barbastella barbastellus</w:t>
            </w:r>
            <w:r w:rsidR="006B0D9F">
              <w:t>),</w:t>
            </w:r>
            <w:r w:rsidR="005C5360">
              <w:t xml:space="preserve"> netopier veľký/</w:t>
            </w:r>
            <w:r w:rsidR="006B0D9F">
              <w:t>netopier obyčajný (</w:t>
            </w:r>
            <w:r w:rsidR="006B0D9F">
              <w:rPr>
                <w:i/>
              </w:rPr>
              <w:t>Myotis myotis</w:t>
            </w:r>
            <w:r w:rsidR="006B0D9F">
              <w:t>), netopier ostrouchý (</w:t>
            </w:r>
            <w:r w:rsidR="006B0D9F">
              <w:rPr>
                <w:i/>
              </w:rPr>
              <w:t>Myotis blythi</w:t>
            </w:r>
            <w:r w:rsidR="006B0D9F">
              <w:t>),</w:t>
            </w:r>
            <w:r w:rsidR="006B0D9F">
              <w:rPr>
                <w:i/>
              </w:rPr>
              <w:t xml:space="preserve"> </w:t>
            </w:r>
            <w:r w:rsidR="006B0D9F">
              <w:t xml:space="preserve">netopier veľkouchý </w:t>
            </w:r>
            <w:r w:rsidR="006B0D9F" w:rsidRPr="002703BA">
              <w:t>(</w:t>
            </w:r>
            <w:r w:rsidR="006B0D9F">
              <w:rPr>
                <w:i/>
              </w:rPr>
              <w:t>Myotis bechsteini</w:t>
            </w:r>
            <w:r w:rsidR="006B0D9F" w:rsidRPr="002703BA">
              <w:t>)</w:t>
            </w:r>
            <w:r w:rsidR="006B0D9F">
              <w:rPr>
                <w:i/>
              </w:rPr>
              <w:t>,</w:t>
            </w:r>
            <w:r w:rsidR="006B0D9F">
              <w:t xml:space="preserve"> podkovár južný (</w:t>
            </w:r>
            <w:r w:rsidR="006B0D9F">
              <w:rPr>
                <w:i/>
              </w:rPr>
              <w:t>Rhinolophus euryale</w:t>
            </w:r>
            <w:r w:rsidR="006B0D9F">
              <w:t>),</w:t>
            </w:r>
            <w:r w:rsidR="006B0D9F">
              <w:rPr>
                <w:i/>
              </w:rPr>
              <w:t xml:space="preserve"> </w:t>
            </w:r>
            <w:r w:rsidR="006B0D9F">
              <w:t>podkovár malý</w:t>
            </w:r>
            <w:r w:rsidR="005C5360">
              <w:t>/podkovár krpatý</w:t>
            </w:r>
            <w:r w:rsidR="006B0D9F">
              <w:t xml:space="preserve"> </w:t>
            </w:r>
            <w:r w:rsidR="006B0D9F" w:rsidRPr="002703BA">
              <w:t>(</w:t>
            </w:r>
            <w:r w:rsidR="006B0D9F">
              <w:rPr>
                <w:i/>
              </w:rPr>
              <w:t>Rhinolophus hipposideros</w:t>
            </w:r>
            <w:r w:rsidR="006B0D9F" w:rsidRPr="002703BA">
              <w:t>)</w:t>
            </w:r>
            <w:r w:rsidR="006B0D9F">
              <w:rPr>
                <w:i/>
              </w:rPr>
              <w:t xml:space="preserve">, </w:t>
            </w:r>
            <w:r w:rsidR="006B0D9F">
              <w:t>podkovár veľký</w:t>
            </w:r>
            <w:r w:rsidR="006B0D9F">
              <w:rPr>
                <w:i/>
              </w:rPr>
              <w:t xml:space="preserve"> </w:t>
            </w:r>
            <w:r w:rsidR="006B0D9F">
              <w:t>(</w:t>
            </w:r>
            <w:r w:rsidR="006B0D9F">
              <w:rPr>
                <w:i/>
              </w:rPr>
              <w:t>Rhinolophus ferrumequinum</w:t>
            </w:r>
            <w:r w:rsidR="006B0D9F">
              <w:t>), * medveď hnedý (</w:t>
            </w:r>
            <w:r w:rsidR="006B0D9F">
              <w:rPr>
                <w:i/>
              </w:rPr>
              <w:t>Ursus arctos</w:t>
            </w:r>
            <w:r w:rsidR="006B0D9F">
              <w:t>),</w:t>
            </w:r>
            <w:r w:rsidR="006B0D9F">
              <w:rPr>
                <w:i/>
              </w:rPr>
              <w:t xml:space="preserve"> </w:t>
            </w:r>
            <w:r w:rsidR="006B0D9F">
              <w:t>rys ostrovid (</w:t>
            </w:r>
            <w:r w:rsidR="006B0D9F">
              <w:rPr>
                <w:i/>
              </w:rPr>
              <w:t>Lynx lynx</w:t>
            </w:r>
            <w:r w:rsidR="006B0D9F">
              <w:t>),</w:t>
            </w:r>
            <w:r w:rsidR="006B0D9F">
              <w:rPr>
                <w:i/>
              </w:rPr>
              <w:t xml:space="preserve"> * </w:t>
            </w:r>
            <w:r w:rsidR="006B0D9F">
              <w:t>vlk dravý (</w:t>
            </w:r>
            <w:r w:rsidR="006B0D9F">
              <w:rPr>
                <w:i/>
              </w:rPr>
              <w:t>Canis lupus</w:t>
            </w:r>
            <w:r w:rsidR="006B0D9F">
              <w:t>),</w:t>
            </w:r>
            <w:r w:rsidR="006B0D9F">
              <w:rPr>
                <w:i/>
              </w:rPr>
              <w:t xml:space="preserve"> </w:t>
            </w:r>
            <w:r w:rsidR="006B0D9F">
              <w:t>vydra riečna (</w:t>
            </w:r>
            <w:r w:rsidR="006B0D9F">
              <w:rPr>
                <w:i/>
              </w:rPr>
              <w:t>Lutra lutra</w:t>
            </w:r>
            <w:r w:rsidR="006B0D9F">
              <w:t>)</w:t>
            </w:r>
            <w:r w:rsidR="00060013">
              <w:t xml:space="preserve">; </w:t>
            </w:r>
            <w:r w:rsidR="00E63452" w:rsidRPr="002E4D28">
              <w:rPr>
                <w:bCs/>
                <w:u w:val="single"/>
              </w:rPr>
              <w:t>biotop</w:t>
            </w:r>
            <w:r w:rsidR="0033283B">
              <w:rPr>
                <w:bCs/>
                <w:u w:val="single"/>
              </w:rPr>
              <w:t xml:space="preserve">y </w:t>
            </w:r>
            <w:r w:rsidR="00060013">
              <w:rPr>
                <w:bCs/>
                <w:u w:val="single"/>
              </w:rPr>
              <w:t>2</w:t>
            </w:r>
            <w:r w:rsidR="0033283B">
              <w:rPr>
                <w:bCs/>
                <w:u w:val="single"/>
              </w:rPr>
              <w:t xml:space="preserve"> druhov</w:t>
            </w:r>
            <w:r w:rsidR="00E63452" w:rsidRPr="002E4D28">
              <w:rPr>
                <w:bCs/>
                <w:u w:val="single"/>
              </w:rPr>
              <w:t xml:space="preserve"> </w:t>
            </w:r>
            <w:r w:rsidRPr="002E4D28">
              <w:rPr>
                <w:bCs/>
                <w:u w:val="single"/>
              </w:rPr>
              <w:t>živočíchov národného významu</w:t>
            </w:r>
            <w:r w:rsidR="00E63452">
              <w:rPr>
                <w:bCs/>
              </w:rPr>
              <w:t>:</w:t>
            </w:r>
            <w:r w:rsidR="00E63452" w:rsidRPr="00E63452">
              <w:rPr>
                <w:bCs/>
              </w:rPr>
              <w:t xml:space="preserve"> </w:t>
            </w:r>
            <w:r w:rsidR="006B0D9F">
              <w:t>modráčik horcový (</w:t>
            </w:r>
            <w:r w:rsidR="006B0D9F">
              <w:rPr>
                <w:i/>
              </w:rPr>
              <w:t>Maculinea alcon</w:t>
            </w:r>
            <w:r w:rsidR="006B0D9F">
              <w:t>),</w:t>
            </w:r>
            <w:r w:rsidR="006B0D9F" w:rsidRPr="005721C4">
              <w:rPr>
                <w:smallCaps/>
              </w:rPr>
              <w:t xml:space="preserve"> </w:t>
            </w:r>
            <w:r w:rsidR="006B0D9F">
              <w:rPr>
                <w:iCs/>
              </w:rPr>
              <w:t xml:space="preserve">koník pestrý </w:t>
            </w:r>
            <w:r w:rsidR="006B0D9F" w:rsidRPr="002703BA">
              <w:t>(</w:t>
            </w:r>
            <w:r w:rsidR="006B0D9F">
              <w:rPr>
                <w:i/>
                <w:iCs/>
              </w:rPr>
              <w:t>Arcyptera fusca</w:t>
            </w:r>
            <w:r w:rsidR="006B0D9F" w:rsidRPr="002703BA">
              <w:t>)</w:t>
            </w:r>
            <w:r w:rsidR="006B0D9F">
              <w:t xml:space="preserve"> </w:t>
            </w:r>
            <w:r w:rsidR="00C07F23">
              <w:rPr>
                <w:bCs/>
              </w:rPr>
              <w:t xml:space="preserve">a </w:t>
            </w:r>
            <w:r w:rsidRPr="002E4D28">
              <w:rPr>
                <w:bCs/>
                <w:u w:val="single"/>
              </w:rPr>
              <w:t>19 druhov vtákov</w:t>
            </w:r>
            <w:r w:rsidR="00E63452">
              <w:rPr>
                <w:bCs/>
              </w:rPr>
              <w:t>:</w:t>
            </w:r>
            <w:r w:rsidR="006B0D9F">
              <w:t xml:space="preserve"> </w:t>
            </w:r>
            <w:r w:rsidR="006B0D9F" w:rsidRPr="00D33703">
              <w:t>bocian čierny (</w:t>
            </w:r>
            <w:r w:rsidR="006B0D9F" w:rsidRPr="00D33703">
              <w:rPr>
                <w:i/>
              </w:rPr>
              <w:t>Ciconia nigra</w:t>
            </w:r>
            <w:r w:rsidR="006B0D9F" w:rsidRPr="00D33703">
              <w:t>),</w:t>
            </w:r>
            <w:r w:rsidR="006B0D9F" w:rsidRPr="005721C4">
              <w:rPr>
                <w:i/>
              </w:rPr>
              <w:t xml:space="preserve"> </w:t>
            </w:r>
            <w:r w:rsidR="006B0D9F" w:rsidRPr="005721C4">
              <w:t>ďateľ bielochrbtý (</w:t>
            </w:r>
            <w:r w:rsidR="006B0D9F" w:rsidRPr="005721C4">
              <w:rPr>
                <w:i/>
              </w:rPr>
              <w:t>Dendrocopos leucotos</w:t>
            </w:r>
            <w:r w:rsidR="006B0D9F" w:rsidRPr="005721C4">
              <w:t>),</w:t>
            </w:r>
            <w:r w:rsidR="006B0D9F" w:rsidRPr="005721C4">
              <w:rPr>
                <w:i/>
              </w:rPr>
              <w:t xml:space="preserve"> </w:t>
            </w:r>
            <w:r w:rsidR="006B0D9F" w:rsidRPr="005721C4">
              <w:t>tesár čierny (</w:t>
            </w:r>
            <w:r w:rsidR="006B0D9F" w:rsidRPr="005721C4">
              <w:rPr>
                <w:i/>
              </w:rPr>
              <w:t>Dryocopus martius</w:t>
            </w:r>
            <w:r w:rsidR="006B0D9F" w:rsidRPr="005721C4">
              <w:t>), ďateľ trojprstý (</w:t>
            </w:r>
            <w:r w:rsidR="006B0D9F" w:rsidRPr="005721C4">
              <w:rPr>
                <w:i/>
              </w:rPr>
              <w:t>Picoides tridactylus</w:t>
            </w:r>
            <w:r w:rsidR="006B0D9F" w:rsidRPr="005721C4">
              <w:t>),</w:t>
            </w:r>
            <w:r w:rsidR="006B0D9F" w:rsidRPr="005721C4">
              <w:rPr>
                <w:i/>
              </w:rPr>
              <w:t xml:space="preserve"> </w:t>
            </w:r>
            <w:r w:rsidR="006B0D9F" w:rsidRPr="005721C4">
              <w:t>jariabok hôrny (</w:t>
            </w:r>
            <w:r w:rsidR="006B0D9F" w:rsidRPr="005721C4">
              <w:rPr>
                <w:i/>
              </w:rPr>
              <w:t>Tetrastes bonasia</w:t>
            </w:r>
            <w:r w:rsidR="006B0D9F" w:rsidRPr="005721C4">
              <w:t>),</w:t>
            </w:r>
            <w:r w:rsidR="006B0D9F" w:rsidRPr="005721C4">
              <w:rPr>
                <w:i/>
              </w:rPr>
              <w:t xml:space="preserve"> </w:t>
            </w:r>
            <w:r w:rsidR="006B0D9F" w:rsidRPr="005721C4">
              <w:t>kuvičok vrabčí (</w:t>
            </w:r>
            <w:r w:rsidR="006B0D9F" w:rsidRPr="005721C4">
              <w:rPr>
                <w:i/>
              </w:rPr>
              <w:t>Glaucidium passerinum</w:t>
            </w:r>
            <w:r w:rsidR="006B0D9F" w:rsidRPr="005721C4">
              <w:t>),</w:t>
            </w:r>
            <w:r w:rsidR="006B0D9F" w:rsidRPr="005721C4">
              <w:rPr>
                <w:i/>
              </w:rPr>
              <w:t xml:space="preserve"> </w:t>
            </w:r>
            <w:r w:rsidR="006B0D9F" w:rsidRPr="005721C4">
              <w:t>pôtik kapcavý (</w:t>
            </w:r>
            <w:r w:rsidR="006B0D9F" w:rsidRPr="005721C4">
              <w:rPr>
                <w:i/>
              </w:rPr>
              <w:t>Aegolius funereus</w:t>
            </w:r>
            <w:r w:rsidR="006B0D9F" w:rsidRPr="005721C4">
              <w:t>),</w:t>
            </w:r>
            <w:r w:rsidR="006B0D9F" w:rsidRPr="005721C4">
              <w:rPr>
                <w:i/>
              </w:rPr>
              <w:t xml:space="preserve"> </w:t>
            </w:r>
            <w:r w:rsidR="006B0D9F" w:rsidRPr="005721C4">
              <w:t>lelek lesný (</w:t>
            </w:r>
            <w:r w:rsidR="006B0D9F" w:rsidRPr="005721C4">
              <w:rPr>
                <w:i/>
              </w:rPr>
              <w:t>Caprimulgus europaeus</w:t>
            </w:r>
            <w:r w:rsidR="006B0D9F" w:rsidRPr="005721C4">
              <w:t>),</w:t>
            </w:r>
            <w:r w:rsidR="006B0D9F" w:rsidRPr="005721C4">
              <w:rPr>
                <w:i/>
              </w:rPr>
              <w:t xml:space="preserve"> </w:t>
            </w:r>
            <w:r w:rsidR="006B0D9F" w:rsidRPr="005721C4">
              <w:t>muchárik bielokrký</w:t>
            </w:r>
            <w:r w:rsidR="006B0D9F" w:rsidRPr="005721C4">
              <w:rPr>
                <w:i/>
              </w:rPr>
              <w:t xml:space="preserve"> </w:t>
            </w:r>
            <w:r w:rsidR="006B0D9F" w:rsidRPr="005721C4">
              <w:t>(</w:t>
            </w:r>
            <w:r w:rsidR="006B0D9F" w:rsidRPr="005721C4">
              <w:rPr>
                <w:i/>
              </w:rPr>
              <w:t>Ficedula albicollis</w:t>
            </w:r>
            <w:r w:rsidR="006B0D9F" w:rsidRPr="005721C4">
              <w:t>), muchárik malý (</w:t>
            </w:r>
            <w:r w:rsidR="006B0D9F" w:rsidRPr="005721C4">
              <w:rPr>
                <w:i/>
              </w:rPr>
              <w:t>Ficedula parva</w:t>
            </w:r>
            <w:r w:rsidR="006B0D9F" w:rsidRPr="005721C4">
              <w:t>),</w:t>
            </w:r>
            <w:r w:rsidR="006B0D9F" w:rsidRPr="005721C4">
              <w:rPr>
                <w:i/>
              </w:rPr>
              <w:t xml:space="preserve"> </w:t>
            </w:r>
            <w:r w:rsidR="006B0D9F" w:rsidRPr="005721C4">
              <w:t>orol skalný (</w:t>
            </w:r>
            <w:r w:rsidR="006B0D9F" w:rsidRPr="005721C4">
              <w:rPr>
                <w:i/>
              </w:rPr>
              <w:t>Aquila chrysaetos</w:t>
            </w:r>
            <w:r w:rsidR="006B0D9F" w:rsidRPr="005721C4">
              <w:t>),</w:t>
            </w:r>
            <w:r w:rsidR="006B0D9F" w:rsidRPr="005721C4">
              <w:rPr>
                <w:i/>
              </w:rPr>
              <w:t xml:space="preserve"> </w:t>
            </w:r>
            <w:r w:rsidR="006B0D9F" w:rsidRPr="005721C4">
              <w:t>sokol sťahovavý</w:t>
            </w:r>
            <w:r w:rsidR="006B0D9F" w:rsidRPr="005721C4">
              <w:rPr>
                <w:i/>
              </w:rPr>
              <w:t xml:space="preserve"> </w:t>
            </w:r>
            <w:r w:rsidR="006B0D9F" w:rsidRPr="005721C4">
              <w:t>(</w:t>
            </w:r>
            <w:r w:rsidR="006B0D9F" w:rsidRPr="005721C4">
              <w:rPr>
                <w:i/>
              </w:rPr>
              <w:t>Falco peregrinus</w:t>
            </w:r>
            <w:r w:rsidR="006B0D9F" w:rsidRPr="005721C4">
              <w:t>),</w:t>
            </w:r>
            <w:r w:rsidR="006B0D9F" w:rsidRPr="005721C4">
              <w:rPr>
                <w:i/>
              </w:rPr>
              <w:t xml:space="preserve"> </w:t>
            </w:r>
            <w:r w:rsidR="006B0D9F" w:rsidRPr="005721C4">
              <w:t>sova dlhochvostá (</w:t>
            </w:r>
            <w:r w:rsidR="006B0D9F" w:rsidRPr="005721C4">
              <w:rPr>
                <w:i/>
              </w:rPr>
              <w:t>Strix uralensis</w:t>
            </w:r>
            <w:r w:rsidR="006B0D9F" w:rsidRPr="005721C4">
              <w:t>), hlucháň hôrny</w:t>
            </w:r>
            <w:r w:rsidR="006B0D9F" w:rsidRPr="005721C4">
              <w:rPr>
                <w:i/>
              </w:rPr>
              <w:t xml:space="preserve"> </w:t>
            </w:r>
            <w:r w:rsidR="006B0D9F" w:rsidRPr="005721C4">
              <w:t>(</w:t>
            </w:r>
            <w:r w:rsidR="006B0D9F" w:rsidRPr="005721C4">
              <w:rPr>
                <w:i/>
              </w:rPr>
              <w:t>Tetrao urogallus</w:t>
            </w:r>
            <w:r w:rsidR="006B0D9F" w:rsidRPr="005721C4">
              <w:t>),</w:t>
            </w:r>
            <w:r w:rsidR="006B0D9F" w:rsidRPr="005721C4">
              <w:rPr>
                <w:i/>
              </w:rPr>
              <w:t xml:space="preserve"> </w:t>
            </w:r>
            <w:r w:rsidR="006B0D9F" w:rsidRPr="005721C4">
              <w:t>tetrov hoľniak (</w:t>
            </w:r>
            <w:r w:rsidR="006B0D9F" w:rsidRPr="005721C4">
              <w:rPr>
                <w:i/>
              </w:rPr>
              <w:t>Tetrao tetrix</w:t>
            </w:r>
            <w:r w:rsidR="006B0D9F" w:rsidRPr="005721C4">
              <w:t>),</w:t>
            </w:r>
            <w:r w:rsidR="006B0D9F" w:rsidRPr="005721C4">
              <w:rPr>
                <w:i/>
              </w:rPr>
              <w:t xml:space="preserve"> </w:t>
            </w:r>
            <w:r w:rsidR="006B0D9F" w:rsidRPr="005721C4">
              <w:t>včelár lesný</w:t>
            </w:r>
            <w:r w:rsidR="006B0D9F" w:rsidRPr="005721C4">
              <w:rPr>
                <w:i/>
              </w:rPr>
              <w:t xml:space="preserve"> </w:t>
            </w:r>
            <w:r w:rsidR="006B0D9F" w:rsidRPr="005721C4">
              <w:t>(</w:t>
            </w:r>
            <w:r w:rsidR="006B0D9F" w:rsidRPr="005721C4">
              <w:rPr>
                <w:i/>
              </w:rPr>
              <w:t>Pernis apivorus</w:t>
            </w:r>
            <w:r w:rsidR="006B0D9F" w:rsidRPr="005721C4">
              <w:t>),</w:t>
            </w:r>
            <w:r w:rsidR="006B0D9F" w:rsidRPr="005721C4">
              <w:rPr>
                <w:i/>
              </w:rPr>
              <w:t xml:space="preserve"> </w:t>
            </w:r>
            <w:r w:rsidR="006B0D9F" w:rsidRPr="005721C4">
              <w:t>výr skalný</w:t>
            </w:r>
            <w:r w:rsidR="006B0D9F" w:rsidRPr="005721C4">
              <w:rPr>
                <w:i/>
              </w:rPr>
              <w:t xml:space="preserve"> </w:t>
            </w:r>
            <w:r w:rsidR="006B0D9F" w:rsidRPr="005721C4">
              <w:t>(</w:t>
            </w:r>
            <w:r w:rsidR="006B0D9F" w:rsidRPr="005721C4">
              <w:rPr>
                <w:i/>
              </w:rPr>
              <w:t>Bubo bubo</w:t>
            </w:r>
            <w:r w:rsidR="006B0D9F" w:rsidRPr="005721C4">
              <w:t>), žlna sivá (</w:t>
            </w:r>
            <w:r w:rsidR="006B0D9F" w:rsidRPr="005721C4">
              <w:rPr>
                <w:i/>
              </w:rPr>
              <w:t>Picus canus</w:t>
            </w:r>
            <w:r w:rsidR="006B0D9F" w:rsidRPr="005721C4">
              <w:t>),</w:t>
            </w:r>
            <w:r w:rsidR="006B0D9F" w:rsidRPr="005721C4">
              <w:rPr>
                <w:i/>
              </w:rPr>
              <w:t xml:space="preserve"> </w:t>
            </w:r>
            <w:r w:rsidR="006B0D9F" w:rsidRPr="005721C4">
              <w:t>žltochvost hôrny (</w:t>
            </w:r>
            <w:r w:rsidR="006B0D9F" w:rsidRPr="005721C4">
              <w:rPr>
                <w:i/>
              </w:rPr>
              <w:t>Phoenicurus phoenicurus</w:t>
            </w:r>
            <w:r w:rsidR="006B0D9F" w:rsidRPr="005721C4">
              <w:t>)</w:t>
            </w:r>
            <w:r>
              <w:rPr>
                <w:bCs/>
              </w:rPr>
              <w:t xml:space="preserve">, </w:t>
            </w:r>
            <w:r w:rsidRPr="007C185C">
              <w:rPr>
                <w:bCs/>
              </w:rPr>
              <w:t xml:space="preserve">ako aj </w:t>
            </w:r>
            <w:r w:rsidRPr="002E4D28">
              <w:rPr>
                <w:bCs/>
                <w:u w:val="single"/>
              </w:rPr>
              <w:t>abiotické javy.</w:t>
            </w:r>
          </w:p>
          <w:p w:rsidR="001B5EEC" w:rsidRDefault="001F7966" w:rsidP="002737EC">
            <w:pPr>
              <w:spacing w:line="276" w:lineRule="auto"/>
              <w:jc w:val="both"/>
            </w:pPr>
            <w:r w:rsidRPr="00D346CF">
              <w:t xml:space="preserve">Vyhlásením </w:t>
            </w:r>
            <w:r w:rsidR="00095CDC">
              <w:t>CHA</w:t>
            </w:r>
            <w:r w:rsidR="00EF1EB7">
              <w:t xml:space="preserve"> </w:t>
            </w:r>
            <w:r w:rsidRPr="00D346CF">
              <w:t>budú pozitívne ovplyvnené aj ďalšie zložky životného prostredia</w:t>
            </w:r>
            <w:r w:rsidR="00BE192B">
              <w:t>,</w:t>
            </w:r>
            <w:r w:rsidRPr="00D346CF">
              <w:t xml:space="preserve"> napr. pôda, voda a ovzdušie.</w:t>
            </w:r>
          </w:p>
          <w:p w:rsidR="001F7966" w:rsidRPr="00D346CF" w:rsidRDefault="001F7966" w:rsidP="002737EC">
            <w:pPr>
              <w:spacing w:line="276" w:lineRule="auto"/>
              <w:jc w:val="both"/>
            </w:pPr>
          </w:p>
          <w:p w:rsidR="001B5EEC" w:rsidRPr="00D346CF" w:rsidRDefault="001B5EEC" w:rsidP="002737EC">
            <w:pPr>
              <w:spacing w:line="276" w:lineRule="auto"/>
              <w:jc w:val="both"/>
            </w:pPr>
            <w:r w:rsidRPr="00D346CF">
              <w:t>Hodnotenie vplyvov na jednotlivé zložky životného prostredia:</w:t>
            </w:r>
          </w:p>
          <w:p w:rsidR="00F330AF" w:rsidRPr="00D346CF" w:rsidRDefault="00F330AF" w:rsidP="002737EC">
            <w:pPr>
              <w:spacing w:line="276" w:lineRule="auto"/>
              <w:jc w:val="both"/>
            </w:pPr>
          </w:p>
          <w:p w:rsidR="001B5EEC" w:rsidRPr="00D346CF" w:rsidRDefault="001B5EEC" w:rsidP="002737EC">
            <w:pPr>
              <w:pStyle w:val="Odsekzoznamu"/>
              <w:numPr>
                <w:ilvl w:val="0"/>
                <w:numId w:val="7"/>
              </w:numPr>
              <w:spacing w:after="0"/>
              <w:jc w:val="both"/>
              <w:rPr>
                <w:rFonts w:ascii="Times New Roman" w:hAnsi="Times New Roman" w:cs="Times New Roman"/>
                <w:b/>
                <w:sz w:val="20"/>
                <w:szCs w:val="20"/>
                <w:u w:val="single"/>
              </w:rPr>
            </w:pPr>
            <w:r w:rsidRPr="00D346CF">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3561"/>
              <w:gridCol w:w="5365"/>
            </w:tblGrid>
            <w:tr w:rsidR="001B5EEC" w:rsidRPr="00D346CF" w:rsidTr="002737EC">
              <w:tc>
                <w:tcPr>
                  <w:tcW w:w="3561" w:type="dxa"/>
                </w:tcPr>
                <w:p w:rsidR="001B5EEC" w:rsidRPr="00D346CF" w:rsidRDefault="001B5EEC" w:rsidP="002737EC">
                  <w:pPr>
                    <w:spacing w:line="276" w:lineRule="auto"/>
                    <w:jc w:val="both"/>
                    <w:rPr>
                      <w:i/>
                    </w:rPr>
                  </w:pPr>
                  <w:r w:rsidRPr="00D346CF">
                    <w:rPr>
                      <w:i/>
                    </w:rPr>
                    <w:t>typ vplyvu</w:t>
                  </w:r>
                </w:p>
              </w:tc>
              <w:tc>
                <w:tcPr>
                  <w:tcW w:w="5365" w:type="dxa"/>
                </w:tcPr>
                <w:p w:rsidR="001B5EEC" w:rsidRPr="00D346CF" w:rsidRDefault="001B5EEC" w:rsidP="002737EC">
                  <w:pPr>
                    <w:spacing w:line="276" w:lineRule="auto"/>
                    <w:jc w:val="both"/>
                  </w:pPr>
                  <w:r w:rsidRPr="00D346CF">
                    <w:t>pozitívny, s</w:t>
                  </w:r>
                  <w:r w:rsidR="001466BF" w:rsidRPr="00D346CF">
                    <w:t xml:space="preserve"> </w:t>
                  </w:r>
                  <w:r w:rsidRPr="00D346CF">
                    <w:t xml:space="preserve">priamym environmentálnym </w:t>
                  </w:r>
                  <w:r w:rsidR="00BE192B">
                    <w:t>vplyvom</w:t>
                  </w:r>
                  <w:r w:rsidRPr="00D346CF">
                    <w:t>, trvalý</w:t>
                  </w:r>
                </w:p>
              </w:tc>
            </w:tr>
            <w:tr w:rsidR="001B5EEC" w:rsidRPr="00D346CF" w:rsidTr="002737EC">
              <w:tc>
                <w:tcPr>
                  <w:tcW w:w="3561" w:type="dxa"/>
                </w:tcPr>
                <w:p w:rsidR="001B5EEC" w:rsidRPr="00D346CF" w:rsidRDefault="001B5EEC" w:rsidP="002737EC">
                  <w:pPr>
                    <w:spacing w:line="276" w:lineRule="auto"/>
                    <w:jc w:val="both"/>
                    <w:rPr>
                      <w:i/>
                    </w:rPr>
                  </w:pPr>
                  <w:r w:rsidRPr="00D346CF">
                    <w:rPr>
                      <w:i/>
                    </w:rPr>
                    <w:t>veľkosť vplyvu</w:t>
                  </w:r>
                </w:p>
              </w:tc>
              <w:tc>
                <w:tcPr>
                  <w:tcW w:w="5365" w:type="dxa"/>
                </w:tcPr>
                <w:p w:rsidR="001B5EEC" w:rsidRPr="00D346CF" w:rsidRDefault="001B5EEC" w:rsidP="002737EC">
                  <w:pPr>
                    <w:spacing w:line="276" w:lineRule="auto"/>
                    <w:jc w:val="both"/>
                  </w:pPr>
                  <w:r w:rsidRPr="00D346CF">
                    <w:t>veľký</w:t>
                  </w:r>
                </w:p>
              </w:tc>
            </w:tr>
            <w:tr w:rsidR="001B5EEC" w:rsidRPr="00D346CF" w:rsidTr="002737EC">
              <w:tc>
                <w:tcPr>
                  <w:tcW w:w="3561" w:type="dxa"/>
                </w:tcPr>
                <w:p w:rsidR="001B5EEC" w:rsidRPr="00D346CF" w:rsidRDefault="001B5EEC" w:rsidP="002737EC">
                  <w:pPr>
                    <w:spacing w:line="276" w:lineRule="auto"/>
                    <w:jc w:val="both"/>
                    <w:rPr>
                      <w:i/>
                    </w:rPr>
                  </w:pPr>
                  <w:r w:rsidRPr="00D346CF">
                    <w:rPr>
                      <w:i/>
                    </w:rPr>
                    <w:t>rozsah vplyvu</w:t>
                  </w:r>
                </w:p>
              </w:tc>
              <w:tc>
                <w:tcPr>
                  <w:tcW w:w="5365" w:type="dxa"/>
                </w:tcPr>
                <w:p w:rsidR="001B5EEC" w:rsidRPr="00D346CF" w:rsidRDefault="003D19EF" w:rsidP="002737EC">
                  <w:pPr>
                    <w:spacing w:line="276" w:lineRule="auto"/>
                    <w:jc w:val="both"/>
                  </w:pPr>
                  <w:r>
                    <w:t>územie CHA,</w:t>
                  </w:r>
                  <w:r w:rsidR="00BC3339">
                    <w:t xml:space="preserve"> resp. okolie</w:t>
                  </w:r>
                </w:p>
              </w:tc>
            </w:tr>
            <w:tr w:rsidR="001B5EEC" w:rsidRPr="00D346CF" w:rsidTr="002737EC">
              <w:tc>
                <w:tcPr>
                  <w:tcW w:w="3561" w:type="dxa"/>
                </w:tcPr>
                <w:p w:rsidR="001B5EEC" w:rsidRPr="00D346CF" w:rsidRDefault="001B5EEC" w:rsidP="002737EC">
                  <w:pPr>
                    <w:spacing w:line="276" w:lineRule="auto"/>
                    <w:rPr>
                      <w:i/>
                    </w:rPr>
                  </w:pPr>
                  <w:r w:rsidRPr="00D346CF">
                    <w:rPr>
                      <w:i/>
                    </w:rPr>
                    <w:t>celkové hodnotenie environmentálnej významnosti vplyvu</w:t>
                  </w:r>
                </w:p>
              </w:tc>
              <w:tc>
                <w:tcPr>
                  <w:tcW w:w="5365" w:type="dxa"/>
                </w:tcPr>
                <w:p w:rsidR="001B5EEC" w:rsidRPr="00D346CF" w:rsidRDefault="001B5EEC" w:rsidP="002737EC">
                  <w:pPr>
                    <w:spacing w:line="276" w:lineRule="auto"/>
                    <w:jc w:val="both"/>
                  </w:pPr>
                  <w:r w:rsidRPr="00D346CF">
                    <w:t>veľmi významný, priaznivý</w:t>
                  </w:r>
                </w:p>
              </w:tc>
            </w:tr>
          </w:tbl>
          <w:p w:rsidR="00CB5541" w:rsidRPr="002737EC" w:rsidRDefault="006B72CC" w:rsidP="002737EC">
            <w:pPr>
              <w:pStyle w:val="Normlnywebov"/>
              <w:spacing w:line="276" w:lineRule="auto"/>
              <w:jc w:val="both"/>
              <w:rPr>
                <w:rFonts w:ascii="Times New Roman" w:eastAsia="Times New Roman" w:hAnsi="Times New Roman"/>
                <w:i/>
                <w:sz w:val="20"/>
                <w:szCs w:val="20"/>
                <w:lang w:eastAsia="sk-SK"/>
              </w:rPr>
            </w:pPr>
            <w:r w:rsidRPr="006B72CC">
              <w:rPr>
                <w:rFonts w:ascii="Times New Roman" w:eastAsia="Times New Roman" w:hAnsi="Times New Roman"/>
                <w:sz w:val="20"/>
                <w:szCs w:val="20"/>
                <w:lang w:eastAsia="sk-SK"/>
              </w:rPr>
              <w:lastRenderedPageBreak/>
              <w:t>Celé územi</w:t>
            </w:r>
            <w:r w:rsidR="00CB5541">
              <w:rPr>
                <w:rFonts w:ascii="Times New Roman" w:eastAsia="Times New Roman" w:hAnsi="Times New Roman"/>
                <w:sz w:val="20"/>
                <w:szCs w:val="20"/>
                <w:lang w:eastAsia="sk-SK"/>
              </w:rPr>
              <w:t>e</w:t>
            </w:r>
            <w:r w:rsidRPr="006B72CC">
              <w:rPr>
                <w:rFonts w:ascii="Times New Roman" w:eastAsia="Times New Roman" w:hAnsi="Times New Roman"/>
                <w:sz w:val="20"/>
                <w:szCs w:val="20"/>
                <w:lang w:eastAsia="sk-SK"/>
              </w:rPr>
              <w:t xml:space="preserve"> sa vyznačuje rozmanitosťou druhov živočíchov</w:t>
            </w:r>
            <w:r w:rsidR="00CB5541">
              <w:rPr>
                <w:rFonts w:ascii="Times New Roman" w:eastAsia="Times New Roman" w:hAnsi="Times New Roman"/>
                <w:sz w:val="20"/>
                <w:szCs w:val="20"/>
                <w:lang w:eastAsia="sk-SK"/>
              </w:rPr>
              <w:t xml:space="preserve"> a rastlín</w:t>
            </w:r>
            <w:r w:rsidRPr="006B72CC">
              <w:rPr>
                <w:rFonts w:ascii="Times New Roman" w:eastAsia="Times New Roman" w:hAnsi="Times New Roman"/>
                <w:sz w:val="20"/>
                <w:szCs w:val="20"/>
                <w:lang w:eastAsia="sk-SK"/>
              </w:rPr>
              <w:t xml:space="preserve">, medzi ktorými sú aj endemity </w:t>
            </w:r>
            <w:r w:rsidR="00CB5541">
              <w:rPr>
                <w:rFonts w:ascii="Times New Roman" w:eastAsia="Times New Roman" w:hAnsi="Times New Roman"/>
                <w:sz w:val="20"/>
                <w:szCs w:val="20"/>
                <w:lang w:eastAsia="sk-SK"/>
              </w:rPr>
              <w:t xml:space="preserve">(patria medzi ne druhy vyšších rastlín </w:t>
            </w:r>
            <w:r w:rsidR="00CB5541" w:rsidRPr="002737EC">
              <w:rPr>
                <w:rFonts w:ascii="Times New Roman" w:eastAsia="Times New Roman" w:hAnsi="Times New Roman"/>
                <w:i/>
                <w:sz w:val="20"/>
                <w:szCs w:val="20"/>
                <w:lang w:eastAsia="sk-SK"/>
              </w:rPr>
              <w:t>Aconitum moldavicum, Campanula carpatica</w:t>
            </w:r>
            <w:r w:rsidR="00CB5541" w:rsidRPr="00141E25">
              <w:rPr>
                <w:rFonts w:ascii="Times New Roman" w:eastAsia="Times New Roman" w:hAnsi="Times New Roman"/>
                <w:i/>
                <w:sz w:val="20"/>
                <w:szCs w:val="20"/>
                <w:lang w:eastAsia="sk-SK"/>
              </w:rPr>
              <w:t xml:space="preserve">, </w:t>
            </w:r>
            <w:r w:rsidR="00CB5541" w:rsidRPr="002E29CD">
              <w:rPr>
                <w:rFonts w:ascii="Times New Roman" w:hAnsi="Times New Roman"/>
                <w:i/>
                <w:sz w:val="20"/>
                <w:szCs w:val="20"/>
              </w:rPr>
              <w:t>Carduus glaucinus</w:t>
            </w:r>
            <w:r w:rsidR="00CB5541">
              <w:rPr>
                <w:i/>
                <w:sz w:val="20"/>
                <w:szCs w:val="20"/>
              </w:rPr>
              <w:t xml:space="preserve">, </w:t>
            </w:r>
            <w:r w:rsidR="00CB5541" w:rsidRPr="002737EC">
              <w:rPr>
                <w:rFonts w:ascii="Times New Roman" w:eastAsia="Times New Roman" w:hAnsi="Times New Roman"/>
                <w:i/>
                <w:sz w:val="20"/>
                <w:szCs w:val="20"/>
                <w:lang w:eastAsia="sk-SK"/>
              </w:rPr>
              <w:t xml:space="preserve">Cyclamen fatrense </w:t>
            </w:r>
            <w:r w:rsidR="00CB5541" w:rsidRPr="002737EC">
              <w:rPr>
                <w:rFonts w:ascii="Times New Roman" w:eastAsia="Times New Roman" w:hAnsi="Times New Roman"/>
                <w:sz w:val="20"/>
                <w:szCs w:val="20"/>
                <w:lang w:eastAsia="sk-SK"/>
              </w:rPr>
              <w:t>a </w:t>
            </w:r>
            <w:r w:rsidR="00CB5541" w:rsidRPr="002737EC">
              <w:rPr>
                <w:rFonts w:ascii="Times New Roman" w:eastAsia="Times New Roman" w:hAnsi="Times New Roman"/>
                <w:i/>
                <w:sz w:val="20"/>
                <w:szCs w:val="20"/>
                <w:lang w:eastAsia="sk-SK"/>
              </w:rPr>
              <w:t>Sesleria</w:t>
            </w:r>
            <w:r w:rsidR="00CB5541">
              <w:rPr>
                <w:rFonts w:ascii="Times New Roman" w:eastAsia="Times New Roman" w:hAnsi="Times New Roman"/>
                <w:i/>
                <w:sz w:val="20"/>
                <w:szCs w:val="20"/>
                <w:lang w:eastAsia="sk-SK"/>
              </w:rPr>
              <w:t xml:space="preserve"> </w:t>
            </w:r>
            <w:r w:rsidR="00CB5541" w:rsidRPr="002737EC">
              <w:rPr>
                <w:rFonts w:ascii="Times New Roman" w:eastAsia="Times New Roman" w:hAnsi="Times New Roman"/>
                <w:i/>
                <w:sz w:val="20"/>
                <w:szCs w:val="20"/>
                <w:lang w:eastAsia="sk-SK"/>
              </w:rPr>
              <w:t>heufleriana</w:t>
            </w:r>
            <w:r w:rsidR="00CB5541">
              <w:rPr>
                <w:rFonts w:ascii="Times New Roman" w:eastAsia="Times New Roman" w:hAnsi="Times New Roman"/>
                <w:i/>
                <w:sz w:val="20"/>
                <w:szCs w:val="20"/>
                <w:lang w:eastAsia="sk-SK"/>
              </w:rPr>
              <w:t>.</w:t>
            </w:r>
            <w:r w:rsidR="00CB5541">
              <w:rPr>
                <w:i/>
                <w:sz w:val="20"/>
                <w:szCs w:val="20"/>
              </w:rPr>
              <w:t>.</w:t>
            </w:r>
          </w:p>
          <w:p w:rsidR="00F84CD3" w:rsidRPr="00911663" w:rsidRDefault="002D0B1A" w:rsidP="002E29CD">
            <w:pPr>
              <w:pStyle w:val="Normlnywebov"/>
              <w:spacing w:line="276" w:lineRule="auto"/>
              <w:jc w:val="both"/>
            </w:pPr>
            <w:r w:rsidRPr="006B72CC">
              <w:rPr>
                <w:rFonts w:ascii="Times New Roman" w:eastAsia="Times New Roman" w:hAnsi="Times New Roman"/>
                <w:sz w:val="20"/>
                <w:szCs w:val="20"/>
                <w:lang w:eastAsia="sk-SK"/>
              </w:rPr>
              <w:t>Vyhlásen</w:t>
            </w:r>
            <w:r w:rsidR="00490B63" w:rsidRPr="006B72CC">
              <w:rPr>
                <w:rFonts w:ascii="Times New Roman" w:eastAsia="Times New Roman" w:hAnsi="Times New Roman"/>
                <w:sz w:val="20"/>
                <w:szCs w:val="20"/>
                <w:lang w:eastAsia="sk-SK"/>
              </w:rPr>
              <w:t>ie</w:t>
            </w:r>
            <w:r w:rsidR="003D19EF" w:rsidRPr="006B72CC">
              <w:rPr>
                <w:rFonts w:ascii="Times New Roman" w:eastAsia="Times New Roman" w:hAnsi="Times New Roman"/>
                <w:sz w:val="20"/>
                <w:szCs w:val="20"/>
                <w:lang w:eastAsia="sk-SK"/>
              </w:rPr>
              <w:t xml:space="preserve"> CHA Tisovský kras a </w:t>
            </w:r>
            <w:r w:rsidR="00490B63" w:rsidRPr="006B72CC">
              <w:rPr>
                <w:rFonts w:ascii="Times New Roman" w:eastAsia="Times New Roman" w:hAnsi="Times New Roman"/>
                <w:sz w:val="20"/>
                <w:szCs w:val="20"/>
                <w:lang w:eastAsia="sk-SK"/>
              </w:rPr>
              <w:t>jeho zonácia významn</w:t>
            </w:r>
            <w:r w:rsidR="0051256C" w:rsidRPr="006B72CC">
              <w:rPr>
                <w:rFonts w:ascii="Times New Roman" w:eastAsia="Times New Roman" w:hAnsi="Times New Roman"/>
                <w:sz w:val="20"/>
                <w:szCs w:val="20"/>
                <w:lang w:eastAsia="sk-SK"/>
              </w:rPr>
              <w:t xml:space="preserve">e </w:t>
            </w:r>
            <w:r w:rsidR="00490B63" w:rsidRPr="006B72CC">
              <w:rPr>
                <w:rFonts w:ascii="Times New Roman" w:eastAsia="Times New Roman" w:hAnsi="Times New Roman"/>
                <w:sz w:val="20"/>
                <w:szCs w:val="20"/>
                <w:lang w:eastAsia="sk-SK"/>
              </w:rPr>
              <w:t>prispeje k </w:t>
            </w:r>
            <w:r w:rsidRPr="006B72CC">
              <w:rPr>
                <w:rFonts w:ascii="Times New Roman" w:eastAsia="Times New Roman" w:hAnsi="Times New Roman"/>
                <w:sz w:val="20"/>
                <w:szCs w:val="20"/>
                <w:lang w:eastAsia="sk-SK"/>
              </w:rPr>
              <w:t xml:space="preserve"> </w:t>
            </w:r>
            <w:r w:rsidR="00024E4B" w:rsidRPr="006B72CC">
              <w:rPr>
                <w:rFonts w:ascii="Times New Roman" w:eastAsia="Times New Roman" w:hAnsi="Times New Roman"/>
                <w:sz w:val="20"/>
                <w:szCs w:val="20"/>
                <w:lang w:eastAsia="sk-SK"/>
              </w:rPr>
              <w:t>zachovani</w:t>
            </w:r>
            <w:r w:rsidR="00CD127B" w:rsidRPr="006B72CC">
              <w:rPr>
                <w:rFonts w:ascii="Times New Roman" w:eastAsia="Times New Roman" w:hAnsi="Times New Roman"/>
                <w:sz w:val="20"/>
                <w:szCs w:val="20"/>
                <w:lang w:eastAsia="sk-SK"/>
              </w:rPr>
              <w:t>u</w:t>
            </w:r>
            <w:r w:rsidR="00BE192B" w:rsidRPr="006B72CC">
              <w:rPr>
                <w:rFonts w:ascii="Times New Roman" w:eastAsia="Times New Roman" w:hAnsi="Times New Roman"/>
                <w:sz w:val="20"/>
                <w:szCs w:val="20"/>
                <w:lang w:eastAsia="sk-SK"/>
              </w:rPr>
              <w:t>,</w:t>
            </w:r>
            <w:r w:rsidR="00024E4B" w:rsidRPr="006B72CC">
              <w:rPr>
                <w:rFonts w:ascii="Times New Roman" w:eastAsia="Times New Roman" w:hAnsi="Times New Roman"/>
                <w:sz w:val="20"/>
                <w:szCs w:val="20"/>
                <w:lang w:eastAsia="sk-SK"/>
              </w:rPr>
              <w:t xml:space="preserve"> resp. </w:t>
            </w:r>
            <w:r w:rsidR="00A61513" w:rsidRPr="006B72CC">
              <w:rPr>
                <w:rFonts w:ascii="Times New Roman" w:eastAsia="Times New Roman" w:hAnsi="Times New Roman"/>
                <w:sz w:val="20"/>
                <w:szCs w:val="20"/>
                <w:lang w:eastAsia="sk-SK"/>
              </w:rPr>
              <w:t>obnoveni</w:t>
            </w:r>
            <w:r w:rsidR="00CD127B" w:rsidRPr="006B72CC">
              <w:rPr>
                <w:rFonts w:ascii="Times New Roman" w:eastAsia="Times New Roman" w:hAnsi="Times New Roman"/>
                <w:sz w:val="20"/>
                <w:szCs w:val="20"/>
                <w:lang w:eastAsia="sk-SK"/>
              </w:rPr>
              <w:t>u</w:t>
            </w:r>
            <w:r w:rsidRPr="006B72CC">
              <w:rPr>
                <w:rFonts w:ascii="Times New Roman" w:eastAsia="Times New Roman" w:hAnsi="Times New Roman"/>
                <w:sz w:val="20"/>
                <w:szCs w:val="20"/>
                <w:lang w:eastAsia="sk-SK"/>
              </w:rPr>
              <w:t xml:space="preserve"> </w:t>
            </w:r>
            <w:r w:rsidR="00BA1FA3" w:rsidRPr="006B72CC">
              <w:rPr>
                <w:rFonts w:ascii="Times New Roman" w:eastAsia="Times New Roman" w:hAnsi="Times New Roman"/>
                <w:sz w:val="20"/>
                <w:szCs w:val="20"/>
                <w:lang w:eastAsia="sk-SK"/>
              </w:rPr>
              <w:t xml:space="preserve">priaznivého </w:t>
            </w:r>
            <w:r w:rsidR="008D3422" w:rsidRPr="006B72CC">
              <w:rPr>
                <w:rFonts w:ascii="Times New Roman" w:eastAsia="Times New Roman" w:hAnsi="Times New Roman"/>
                <w:sz w:val="20"/>
                <w:szCs w:val="20"/>
                <w:lang w:eastAsia="sk-SK"/>
              </w:rPr>
              <w:t>stavu</w:t>
            </w:r>
            <w:r w:rsidR="00A1145C" w:rsidRPr="006B72CC">
              <w:rPr>
                <w:rFonts w:ascii="Times New Roman" w:eastAsia="Times New Roman" w:hAnsi="Times New Roman"/>
                <w:sz w:val="20"/>
                <w:szCs w:val="20"/>
                <w:lang w:eastAsia="sk-SK"/>
              </w:rPr>
              <w:t xml:space="preserve"> vyššie uvedených</w:t>
            </w:r>
            <w:r w:rsidR="008D3422" w:rsidRPr="006B72CC">
              <w:rPr>
                <w:rFonts w:ascii="Times New Roman" w:eastAsia="Times New Roman" w:hAnsi="Times New Roman"/>
                <w:sz w:val="20"/>
                <w:szCs w:val="20"/>
                <w:lang w:eastAsia="sk-SK"/>
              </w:rPr>
              <w:t xml:space="preserve"> </w:t>
            </w:r>
            <w:r w:rsidR="00F64F2D" w:rsidRPr="006B72CC">
              <w:rPr>
                <w:rFonts w:ascii="Times New Roman" w:eastAsia="Times New Roman" w:hAnsi="Times New Roman"/>
                <w:sz w:val="20"/>
                <w:szCs w:val="20"/>
                <w:lang w:eastAsia="sk-SK"/>
              </w:rPr>
              <w:t xml:space="preserve">biotopov európskeho </w:t>
            </w:r>
            <w:r w:rsidR="0051256C" w:rsidRPr="006B72CC">
              <w:rPr>
                <w:rFonts w:ascii="Times New Roman" w:eastAsia="Times New Roman" w:hAnsi="Times New Roman"/>
                <w:sz w:val="20"/>
                <w:szCs w:val="20"/>
                <w:lang w:eastAsia="sk-SK"/>
              </w:rPr>
              <w:t xml:space="preserve">i národného </w:t>
            </w:r>
            <w:r w:rsidR="00F64F2D" w:rsidRPr="006B72CC">
              <w:rPr>
                <w:rFonts w:ascii="Times New Roman" w:eastAsia="Times New Roman" w:hAnsi="Times New Roman"/>
                <w:sz w:val="20"/>
                <w:szCs w:val="20"/>
                <w:lang w:eastAsia="sk-SK"/>
              </w:rPr>
              <w:t xml:space="preserve">významu a  </w:t>
            </w:r>
            <w:r w:rsidR="00024E4B" w:rsidRPr="006B72CC">
              <w:rPr>
                <w:rFonts w:ascii="Times New Roman" w:eastAsia="Times New Roman" w:hAnsi="Times New Roman"/>
                <w:sz w:val="20"/>
                <w:szCs w:val="20"/>
                <w:lang w:eastAsia="sk-SK"/>
              </w:rPr>
              <w:t xml:space="preserve">druhov </w:t>
            </w:r>
            <w:r w:rsidR="004C47B7" w:rsidRPr="006B72CC">
              <w:rPr>
                <w:rFonts w:ascii="Times New Roman" w:eastAsia="Times New Roman" w:hAnsi="Times New Roman"/>
                <w:sz w:val="20"/>
                <w:szCs w:val="20"/>
                <w:lang w:eastAsia="sk-SK"/>
              </w:rPr>
              <w:t>živočíchov</w:t>
            </w:r>
            <w:r w:rsidR="00061135" w:rsidRPr="006B72CC">
              <w:rPr>
                <w:rFonts w:ascii="Times New Roman" w:eastAsia="Times New Roman" w:hAnsi="Times New Roman"/>
                <w:sz w:val="20"/>
                <w:szCs w:val="20"/>
                <w:lang w:eastAsia="sk-SK"/>
              </w:rPr>
              <w:t xml:space="preserve"> </w:t>
            </w:r>
            <w:r w:rsidR="00024E4B" w:rsidRPr="006B72CC">
              <w:rPr>
                <w:rFonts w:ascii="Times New Roman" w:eastAsia="Times New Roman" w:hAnsi="Times New Roman"/>
                <w:sz w:val="20"/>
                <w:szCs w:val="20"/>
                <w:lang w:eastAsia="sk-SK"/>
              </w:rPr>
              <w:t xml:space="preserve">európskeho </w:t>
            </w:r>
            <w:r w:rsidR="0051256C" w:rsidRPr="006B72CC">
              <w:rPr>
                <w:rFonts w:ascii="Times New Roman" w:eastAsia="Times New Roman" w:hAnsi="Times New Roman"/>
                <w:sz w:val="20"/>
                <w:szCs w:val="20"/>
                <w:lang w:eastAsia="sk-SK"/>
              </w:rPr>
              <w:t xml:space="preserve">i národného </w:t>
            </w:r>
            <w:r w:rsidR="00024E4B" w:rsidRPr="006B72CC">
              <w:rPr>
                <w:rFonts w:ascii="Times New Roman" w:eastAsia="Times New Roman" w:hAnsi="Times New Roman"/>
                <w:sz w:val="20"/>
                <w:szCs w:val="20"/>
                <w:lang w:eastAsia="sk-SK"/>
              </w:rPr>
              <w:t>významu, ktoré t</w:t>
            </w:r>
            <w:r w:rsidR="00F64F2D" w:rsidRPr="006B72CC">
              <w:rPr>
                <w:rFonts w:ascii="Times New Roman" w:eastAsia="Times New Roman" w:hAnsi="Times New Roman"/>
                <w:sz w:val="20"/>
                <w:szCs w:val="20"/>
                <w:lang w:eastAsia="sk-SK"/>
              </w:rPr>
              <w:t xml:space="preserve">voria predmet ochrany </w:t>
            </w:r>
            <w:r w:rsidR="00CD127B" w:rsidRPr="006B72CC">
              <w:rPr>
                <w:rFonts w:ascii="Times New Roman" w:eastAsia="Times New Roman" w:hAnsi="Times New Roman"/>
                <w:sz w:val="20"/>
                <w:szCs w:val="20"/>
                <w:lang w:eastAsia="sk-SK"/>
              </w:rPr>
              <w:t>navrhovaného CHA</w:t>
            </w:r>
            <w:r w:rsidR="008B01AF" w:rsidRPr="006B72CC">
              <w:rPr>
                <w:rFonts w:ascii="Times New Roman" w:eastAsia="Times New Roman" w:hAnsi="Times New Roman"/>
                <w:sz w:val="20"/>
                <w:szCs w:val="20"/>
                <w:lang w:eastAsia="sk-SK"/>
              </w:rPr>
              <w:t xml:space="preserve">. </w:t>
            </w:r>
            <w:r w:rsidR="00BC3339" w:rsidRPr="006B72CC">
              <w:rPr>
                <w:rFonts w:ascii="Times New Roman" w:eastAsia="Times New Roman" w:hAnsi="Times New Roman"/>
                <w:sz w:val="20"/>
                <w:szCs w:val="20"/>
                <w:lang w:eastAsia="sk-SK"/>
              </w:rPr>
              <w:t>Vý</w:t>
            </w:r>
            <w:r w:rsidR="007D084C" w:rsidRPr="006B72CC">
              <w:rPr>
                <w:rFonts w:ascii="Times New Roman" w:eastAsia="Times New Roman" w:hAnsi="Times New Roman"/>
                <w:sz w:val="20"/>
                <w:szCs w:val="20"/>
                <w:lang w:eastAsia="sk-SK"/>
              </w:rPr>
              <w:t xml:space="preserve">sledným </w:t>
            </w:r>
            <w:r w:rsidR="00490B63" w:rsidRPr="006B72CC">
              <w:rPr>
                <w:rFonts w:ascii="Times New Roman" w:eastAsia="Times New Roman" w:hAnsi="Times New Roman"/>
                <w:sz w:val="20"/>
                <w:szCs w:val="20"/>
                <w:lang w:eastAsia="sk-SK"/>
              </w:rPr>
              <w:t xml:space="preserve">prínosom </w:t>
            </w:r>
            <w:r w:rsidR="00BC3339" w:rsidRPr="006B72CC">
              <w:rPr>
                <w:rFonts w:ascii="Times New Roman" w:eastAsia="Times New Roman" w:hAnsi="Times New Roman"/>
                <w:sz w:val="20"/>
                <w:szCs w:val="20"/>
                <w:lang w:eastAsia="sk-SK"/>
              </w:rPr>
              <w:t xml:space="preserve">zonácie </w:t>
            </w:r>
            <w:r w:rsidR="007D084C" w:rsidRPr="006B72CC">
              <w:rPr>
                <w:rFonts w:ascii="Times New Roman" w:eastAsia="Times New Roman" w:hAnsi="Times New Roman"/>
                <w:sz w:val="20"/>
                <w:szCs w:val="20"/>
                <w:lang w:eastAsia="sk-SK"/>
              </w:rPr>
              <w:t xml:space="preserve">bude zachovanie alebo zlepšenie stavu </w:t>
            </w:r>
            <w:r w:rsidR="00BC3339" w:rsidRPr="006B72CC">
              <w:rPr>
                <w:rFonts w:ascii="Times New Roman" w:eastAsia="Times New Roman" w:hAnsi="Times New Roman"/>
                <w:sz w:val="20"/>
                <w:szCs w:val="20"/>
                <w:lang w:eastAsia="sk-SK"/>
              </w:rPr>
              <w:t xml:space="preserve">aj ďalších </w:t>
            </w:r>
            <w:r w:rsidR="00F64F2D" w:rsidRPr="006B72CC">
              <w:rPr>
                <w:rFonts w:ascii="Times New Roman" w:eastAsia="Times New Roman" w:hAnsi="Times New Roman"/>
                <w:sz w:val="20"/>
                <w:szCs w:val="20"/>
                <w:lang w:eastAsia="sk-SK"/>
              </w:rPr>
              <w:t xml:space="preserve">biotopov a </w:t>
            </w:r>
            <w:r w:rsidR="007D084C" w:rsidRPr="006B72CC">
              <w:rPr>
                <w:rFonts w:ascii="Times New Roman" w:eastAsia="Times New Roman" w:hAnsi="Times New Roman"/>
                <w:sz w:val="20"/>
                <w:szCs w:val="20"/>
                <w:lang w:eastAsia="sk-SK"/>
              </w:rPr>
              <w:t>druhov živých organizmov</w:t>
            </w:r>
            <w:r w:rsidR="004C47B7" w:rsidRPr="006B72CC">
              <w:rPr>
                <w:rFonts w:ascii="Times New Roman" w:eastAsia="Times New Roman" w:hAnsi="Times New Roman"/>
                <w:sz w:val="20"/>
                <w:szCs w:val="20"/>
                <w:lang w:eastAsia="sk-SK"/>
              </w:rPr>
              <w:t xml:space="preserve"> v danom území</w:t>
            </w:r>
            <w:r w:rsidR="00BC3339" w:rsidRPr="006B72CC">
              <w:rPr>
                <w:rFonts w:ascii="Times New Roman" w:eastAsia="Times New Roman" w:hAnsi="Times New Roman"/>
                <w:sz w:val="20"/>
                <w:szCs w:val="20"/>
                <w:lang w:eastAsia="sk-SK"/>
              </w:rPr>
              <w:t xml:space="preserve"> a jeho okolí</w:t>
            </w:r>
            <w:r w:rsidR="00274DFE" w:rsidRPr="006B72CC">
              <w:rPr>
                <w:rFonts w:ascii="Times New Roman" w:eastAsia="Times New Roman" w:hAnsi="Times New Roman"/>
                <w:sz w:val="20"/>
                <w:szCs w:val="20"/>
                <w:lang w:eastAsia="sk-SK"/>
              </w:rPr>
              <w:t xml:space="preserve"> a zachovanie biologickej diverzity, vrátane cenných lúk a pasienkov</w:t>
            </w:r>
            <w:r w:rsidR="007539B5" w:rsidRPr="006B72CC">
              <w:rPr>
                <w:rFonts w:ascii="Times New Roman" w:eastAsia="Times New Roman" w:hAnsi="Times New Roman"/>
                <w:sz w:val="20"/>
                <w:szCs w:val="20"/>
                <w:lang w:eastAsia="sk-SK"/>
              </w:rPr>
              <w:t>.</w:t>
            </w:r>
            <w:r w:rsidR="00141E25">
              <w:rPr>
                <w:rFonts w:ascii="Times New Roman" w:eastAsia="Times New Roman" w:hAnsi="Times New Roman"/>
                <w:sz w:val="20"/>
                <w:szCs w:val="20"/>
                <w:lang w:eastAsia="sk-SK"/>
              </w:rPr>
              <w:t xml:space="preserve"> Na niektorých lúkach a pasienkoch je potrebné pre zachovanie predmetov ochrany odstraňovať náletové dreviny a takýto spôsob obhospodarovania zodpovedá 3. stupňu ochrany podľa </w:t>
            </w:r>
            <w:r w:rsidR="00141E25" w:rsidRPr="002E29CD">
              <w:rPr>
                <w:rFonts w:ascii="Times New Roman" w:eastAsia="Times New Roman" w:hAnsi="Times New Roman"/>
                <w:sz w:val="20"/>
                <w:szCs w:val="20"/>
                <w:lang w:eastAsia="sk-SK"/>
              </w:rPr>
              <w:t>zákona č. 543/2002 Z. z. o ochrane prírody a krajiny v znení neskorších predpisov</w:t>
            </w:r>
            <w:r w:rsidR="00141E25">
              <w:rPr>
                <w:rFonts w:ascii="Times New Roman" w:eastAsia="Times New Roman" w:hAnsi="Times New Roman"/>
                <w:sz w:val="20"/>
                <w:szCs w:val="20"/>
                <w:lang w:eastAsia="sk-SK"/>
              </w:rPr>
              <w:t xml:space="preserve">. Zonáciou územia bude vytvorený adekvátny právny rámec. </w:t>
            </w:r>
          </w:p>
          <w:p w:rsidR="001B5EEC" w:rsidRPr="00C97DC8" w:rsidRDefault="001B5EEC" w:rsidP="002737EC">
            <w:pPr>
              <w:pStyle w:val="Odsekzoznamu"/>
              <w:numPr>
                <w:ilvl w:val="0"/>
                <w:numId w:val="7"/>
              </w:numPr>
              <w:spacing w:after="0"/>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3277"/>
              <w:gridCol w:w="5649"/>
            </w:tblGrid>
            <w:tr w:rsidR="001B5EEC" w:rsidRPr="00911663" w:rsidTr="002737EC">
              <w:tc>
                <w:tcPr>
                  <w:tcW w:w="3277" w:type="dxa"/>
                </w:tcPr>
                <w:p w:rsidR="001B5EEC" w:rsidRPr="00911663" w:rsidRDefault="001B5EEC" w:rsidP="002737EC">
                  <w:pPr>
                    <w:spacing w:line="276" w:lineRule="auto"/>
                    <w:jc w:val="both"/>
                    <w:rPr>
                      <w:i/>
                    </w:rPr>
                  </w:pPr>
                  <w:r w:rsidRPr="00911663">
                    <w:rPr>
                      <w:i/>
                    </w:rPr>
                    <w:t>typ vplyvu</w:t>
                  </w:r>
                </w:p>
              </w:tc>
              <w:tc>
                <w:tcPr>
                  <w:tcW w:w="5649" w:type="dxa"/>
                </w:tcPr>
                <w:p w:rsidR="001B5EEC" w:rsidRPr="00911663" w:rsidRDefault="001B5EEC" w:rsidP="002737EC">
                  <w:pPr>
                    <w:spacing w:line="276" w:lineRule="auto"/>
                    <w:jc w:val="both"/>
                  </w:pPr>
                  <w:r w:rsidRPr="00911663">
                    <w:t>pozitívny, s</w:t>
                  </w:r>
                  <w:r w:rsidR="001734DC">
                    <w:t xml:space="preserve"> </w:t>
                  </w:r>
                  <w:r w:rsidR="001F7966">
                    <w:t>nepriamym</w:t>
                  </w:r>
                  <w:r w:rsidRPr="00911663">
                    <w:t xml:space="preserve"> environmentálnym </w:t>
                  </w:r>
                  <w:r w:rsidR="00BE192B">
                    <w:t>vplyvom</w:t>
                  </w:r>
                  <w:r w:rsidRPr="00911663">
                    <w:t>, trvalý</w:t>
                  </w:r>
                </w:p>
              </w:tc>
            </w:tr>
            <w:tr w:rsidR="001B5EEC" w:rsidRPr="00911663" w:rsidTr="002737EC">
              <w:tc>
                <w:tcPr>
                  <w:tcW w:w="3277" w:type="dxa"/>
                </w:tcPr>
                <w:p w:rsidR="001B5EEC" w:rsidRPr="00911663" w:rsidRDefault="001B5EEC" w:rsidP="002737EC">
                  <w:pPr>
                    <w:spacing w:line="276" w:lineRule="auto"/>
                    <w:jc w:val="both"/>
                    <w:rPr>
                      <w:i/>
                    </w:rPr>
                  </w:pPr>
                  <w:r w:rsidRPr="00911663">
                    <w:rPr>
                      <w:i/>
                    </w:rPr>
                    <w:t>veľkosť vplyvu</w:t>
                  </w:r>
                </w:p>
              </w:tc>
              <w:tc>
                <w:tcPr>
                  <w:tcW w:w="5649" w:type="dxa"/>
                </w:tcPr>
                <w:p w:rsidR="001B5EEC" w:rsidRPr="00911663" w:rsidRDefault="001F7966" w:rsidP="002737EC">
                  <w:pPr>
                    <w:spacing w:line="276" w:lineRule="auto"/>
                    <w:jc w:val="both"/>
                  </w:pPr>
                  <w:r>
                    <w:t>malý</w:t>
                  </w:r>
                </w:p>
              </w:tc>
            </w:tr>
            <w:tr w:rsidR="001B5EEC" w:rsidRPr="00911663" w:rsidTr="002737EC">
              <w:tc>
                <w:tcPr>
                  <w:tcW w:w="3277" w:type="dxa"/>
                </w:tcPr>
                <w:p w:rsidR="001B5EEC" w:rsidRPr="00911663" w:rsidRDefault="001B5EEC" w:rsidP="002737EC">
                  <w:pPr>
                    <w:spacing w:line="276" w:lineRule="auto"/>
                    <w:jc w:val="both"/>
                    <w:rPr>
                      <w:i/>
                    </w:rPr>
                  </w:pPr>
                  <w:r w:rsidRPr="00911663">
                    <w:rPr>
                      <w:i/>
                    </w:rPr>
                    <w:t>rozsah vplyvu</w:t>
                  </w:r>
                </w:p>
              </w:tc>
              <w:tc>
                <w:tcPr>
                  <w:tcW w:w="5649" w:type="dxa"/>
                </w:tcPr>
                <w:p w:rsidR="001B5EEC" w:rsidRPr="00911663" w:rsidRDefault="003D19EF" w:rsidP="002737EC">
                  <w:pPr>
                    <w:spacing w:line="276" w:lineRule="auto"/>
                    <w:jc w:val="both"/>
                  </w:pPr>
                  <w:r>
                    <w:t>územie CHA, resp. okolie</w:t>
                  </w:r>
                </w:p>
              </w:tc>
            </w:tr>
            <w:tr w:rsidR="001B5EEC" w:rsidRPr="00911663" w:rsidTr="002737EC">
              <w:tc>
                <w:tcPr>
                  <w:tcW w:w="3277" w:type="dxa"/>
                </w:tcPr>
                <w:p w:rsidR="001B5EEC" w:rsidRPr="00911663" w:rsidRDefault="00457976" w:rsidP="002737EC">
                  <w:pPr>
                    <w:spacing w:line="276" w:lineRule="auto"/>
                    <w:rPr>
                      <w:i/>
                    </w:rPr>
                  </w:pPr>
                  <w:r>
                    <w:rPr>
                      <w:i/>
                    </w:rPr>
                    <w:t>c</w:t>
                  </w:r>
                  <w:r w:rsidR="001B5EEC" w:rsidRPr="00911663">
                    <w:rPr>
                      <w:i/>
                    </w:rPr>
                    <w:t>elkové hodnotenie environmentálnej významnosti vplyvu</w:t>
                  </w:r>
                </w:p>
              </w:tc>
              <w:tc>
                <w:tcPr>
                  <w:tcW w:w="5649" w:type="dxa"/>
                </w:tcPr>
                <w:p w:rsidR="001B5EEC" w:rsidRPr="00911663" w:rsidRDefault="001F7966" w:rsidP="002737EC">
                  <w:pPr>
                    <w:spacing w:line="276" w:lineRule="auto"/>
                    <w:jc w:val="both"/>
                  </w:pPr>
                  <w:r>
                    <w:t>málo významný</w:t>
                  </w:r>
                  <w:r w:rsidR="001B5EEC" w:rsidRPr="00911663">
                    <w:t>, priaznivý</w:t>
                  </w:r>
                </w:p>
              </w:tc>
            </w:tr>
          </w:tbl>
          <w:p w:rsidR="001B5EEC" w:rsidRDefault="001B5EEC" w:rsidP="002737EC">
            <w:pPr>
              <w:spacing w:line="276" w:lineRule="auto"/>
              <w:jc w:val="both"/>
            </w:pPr>
          </w:p>
          <w:p w:rsidR="00061135" w:rsidRDefault="00061135" w:rsidP="002737EC">
            <w:pPr>
              <w:spacing w:line="276" w:lineRule="auto"/>
              <w:jc w:val="both"/>
            </w:pPr>
            <w:r>
              <w:t>Cieľom predkladaného materiálu nie je ochrana vôd, ale zlepšenie a udržanie priaznivého stavu predmetov ochrany</w:t>
            </w:r>
            <w:r w:rsidR="003D19EF">
              <w:t xml:space="preserve"> CHA Tisovský kras</w:t>
            </w:r>
            <w:r w:rsidR="002B2B0A">
              <w:t>, čo v konečnom dôsledku</w:t>
            </w:r>
            <w:r w:rsidR="00490B63">
              <w:t xml:space="preserve"> </w:t>
            </w:r>
            <w:r>
              <w:t>pozitívne ovplyvní všetky zložky okolitého ekosystému vrátane vôd.</w:t>
            </w:r>
            <w:r w:rsidR="006B72CC">
              <w:t xml:space="preserve"> Krasové územia sú veľmi citlivé aj na znečistenie vody, preto je veľmi významné zachovanie súčasného obhospodarovania navrhovaného chráneného areálu, vrátane vodných tokov.</w:t>
            </w:r>
          </w:p>
          <w:p w:rsidR="00061135" w:rsidRDefault="00061135" w:rsidP="002737EC">
            <w:pPr>
              <w:spacing w:line="276" w:lineRule="auto"/>
              <w:jc w:val="both"/>
            </w:pPr>
          </w:p>
          <w:p w:rsidR="001B5EEC" w:rsidRPr="00C97DC8" w:rsidRDefault="001B5EEC" w:rsidP="002737EC">
            <w:pPr>
              <w:pStyle w:val="Odsekzoznamu"/>
              <w:numPr>
                <w:ilvl w:val="0"/>
                <w:numId w:val="7"/>
              </w:numPr>
              <w:tabs>
                <w:tab w:val="left" w:pos="1050"/>
              </w:tabs>
              <w:spacing w:after="0"/>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3277"/>
              <w:gridCol w:w="5649"/>
            </w:tblGrid>
            <w:tr w:rsidR="001B5EEC" w:rsidRPr="00911663" w:rsidTr="002737EC">
              <w:tc>
                <w:tcPr>
                  <w:tcW w:w="3277" w:type="dxa"/>
                </w:tcPr>
                <w:p w:rsidR="001B5EEC" w:rsidRPr="00911663" w:rsidRDefault="001B5EEC" w:rsidP="002737EC">
                  <w:pPr>
                    <w:spacing w:line="276" w:lineRule="auto"/>
                    <w:jc w:val="both"/>
                    <w:rPr>
                      <w:i/>
                    </w:rPr>
                  </w:pPr>
                  <w:r w:rsidRPr="00911663">
                    <w:rPr>
                      <w:i/>
                    </w:rPr>
                    <w:t>typ vplyvu</w:t>
                  </w:r>
                </w:p>
              </w:tc>
              <w:tc>
                <w:tcPr>
                  <w:tcW w:w="5649" w:type="dxa"/>
                </w:tcPr>
                <w:p w:rsidR="001B5EEC" w:rsidRPr="00911663" w:rsidRDefault="001B5EEC" w:rsidP="002737EC">
                  <w:pPr>
                    <w:spacing w:line="276" w:lineRule="auto"/>
                    <w:jc w:val="both"/>
                  </w:pPr>
                  <w:r w:rsidRPr="00911663">
                    <w:t>pozitívny, s</w:t>
                  </w:r>
                  <w:r w:rsidR="001734DC">
                    <w:t xml:space="preserve"> </w:t>
                  </w:r>
                  <w:r w:rsidR="00122E3C">
                    <w:t>ne</w:t>
                  </w:r>
                  <w:r w:rsidRPr="00911663">
                    <w:t xml:space="preserve">priamym environmentálnym </w:t>
                  </w:r>
                  <w:r w:rsidR="00BE192B">
                    <w:t>vplyvom</w:t>
                  </w:r>
                  <w:r w:rsidRPr="00911663">
                    <w:t>, trvalý</w:t>
                  </w:r>
                </w:p>
              </w:tc>
            </w:tr>
            <w:tr w:rsidR="001B5EEC" w:rsidRPr="00911663" w:rsidTr="002737EC">
              <w:tc>
                <w:tcPr>
                  <w:tcW w:w="3277" w:type="dxa"/>
                </w:tcPr>
                <w:p w:rsidR="001B5EEC" w:rsidRPr="00911663" w:rsidRDefault="001B5EEC" w:rsidP="002737EC">
                  <w:pPr>
                    <w:spacing w:line="276" w:lineRule="auto"/>
                    <w:jc w:val="both"/>
                    <w:rPr>
                      <w:i/>
                    </w:rPr>
                  </w:pPr>
                  <w:r w:rsidRPr="00911663">
                    <w:rPr>
                      <w:i/>
                    </w:rPr>
                    <w:t>veľkosť vplyvu</w:t>
                  </w:r>
                </w:p>
              </w:tc>
              <w:tc>
                <w:tcPr>
                  <w:tcW w:w="5649" w:type="dxa"/>
                </w:tcPr>
                <w:p w:rsidR="001B5EEC" w:rsidRPr="00911663" w:rsidRDefault="001B5EEC" w:rsidP="002737EC">
                  <w:pPr>
                    <w:spacing w:line="276" w:lineRule="auto"/>
                    <w:jc w:val="both"/>
                  </w:pPr>
                  <w:r w:rsidRPr="00911663">
                    <w:t>malý</w:t>
                  </w:r>
                </w:p>
              </w:tc>
            </w:tr>
            <w:tr w:rsidR="001B5EEC" w:rsidRPr="00911663" w:rsidTr="002737EC">
              <w:tc>
                <w:tcPr>
                  <w:tcW w:w="3277" w:type="dxa"/>
                </w:tcPr>
                <w:p w:rsidR="001B5EEC" w:rsidRPr="00911663" w:rsidRDefault="001B5EEC" w:rsidP="002737EC">
                  <w:pPr>
                    <w:spacing w:line="276" w:lineRule="auto"/>
                    <w:jc w:val="both"/>
                    <w:rPr>
                      <w:i/>
                    </w:rPr>
                  </w:pPr>
                  <w:r w:rsidRPr="00911663">
                    <w:rPr>
                      <w:i/>
                    </w:rPr>
                    <w:t>rozsah vplyvu</w:t>
                  </w:r>
                </w:p>
              </w:tc>
              <w:tc>
                <w:tcPr>
                  <w:tcW w:w="5649" w:type="dxa"/>
                </w:tcPr>
                <w:p w:rsidR="001B5EEC" w:rsidRPr="00911663" w:rsidRDefault="003D19EF" w:rsidP="002737EC">
                  <w:pPr>
                    <w:spacing w:line="276" w:lineRule="auto"/>
                    <w:jc w:val="both"/>
                  </w:pPr>
                  <w:r>
                    <w:t>územie CHA, resp. okolie</w:t>
                  </w:r>
                </w:p>
              </w:tc>
            </w:tr>
            <w:tr w:rsidR="001B5EEC" w:rsidRPr="00911663" w:rsidTr="002737EC">
              <w:tc>
                <w:tcPr>
                  <w:tcW w:w="3277" w:type="dxa"/>
                </w:tcPr>
                <w:p w:rsidR="001B5EEC" w:rsidRPr="00911663" w:rsidRDefault="00457976" w:rsidP="002737EC">
                  <w:pPr>
                    <w:spacing w:line="276" w:lineRule="auto"/>
                    <w:rPr>
                      <w:i/>
                    </w:rPr>
                  </w:pPr>
                  <w:r>
                    <w:rPr>
                      <w:i/>
                    </w:rPr>
                    <w:t>c</w:t>
                  </w:r>
                  <w:r w:rsidR="001B5EEC" w:rsidRPr="00911663">
                    <w:rPr>
                      <w:i/>
                    </w:rPr>
                    <w:t>elkové hodnotenie environmen</w:t>
                  </w:r>
                  <w:r w:rsidR="00A21FB9">
                    <w:rPr>
                      <w:i/>
                    </w:rPr>
                    <w:t>t</w:t>
                  </w:r>
                  <w:r w:rsidR="001B5EEC" w:rsidRPr="00911663">
                    <w:rPr>
                      <w:i/>
                    </w:rPr>
                    <w:t>álnej významnosti vplyvu</w:t>
                  </w:r>
                </w:p>
              </w:tc>
              <w:tc>
                <w:tcPr>
                  <w:tcW w:w="5649" w:type="dxa"/>
                </w:tcPr>
                <w:p w:rsidR="001B5EEC" w:rsidRPr="00911663" w:rsidRDefault="00122E3C" w:rsidP="002737EC">
                  <w:pPr>
                    <w:spacing w:line="276" w:lineRule="auto"/>
                    <w:jc w:val="both"/>
                  </w:pPr>
                  <w:r>
                    <w:t>málo významný</w:t>
                  </w:r>
                  <w:r w:rsidR="001B5EEC" w:rsidRPr="00911663">
                    <w:t>, priaznivý</w:t>
                  </w:r>
                </w:p>
              </w:tc>
            </w:tr>
          </w:tbl>
          <w:p w:rsidR="00C97DC8" w:rsidRDefault="00C97DC8" w:rsidP="002737EC">
            <w:pPr>
              <w:spacing w:line="276" w:lineRule="auto"/>
              <w:jc w:val="both"/>
            </w:pPr>
          </w:p>
          <w:p w:rsidR="006B72CC" w:rsidRDefault="00EC3C36" w:rsidP="002737EC">
            <w:pPr>
              <w:spacing w:line="276" w:lineRule="auto"/>
              <w:jc w:val="both"/>
            </w:pPr>
            <w:r>
              <w:t>Predkladaný materiál sa nezaoberá prob</w:t>
            </w:r>
            <w:r w:rsidR="001E5DE1">
              <w:t xml:space="preserve">lematikou ochrany hornín a pôdy, ale </w:t>
            </w:r>
            <w:r w:rsidR="002B2B0A">
              <w:t xml:space="preserve">zlepšením </w:t>
            </w:r>
            <w:r w:rsidR="001E5DE1">
              <w:t>a udržan</w:t>
            </w:r>
            <w:r w:rsidR="002B2B0A">
              <w:t>ím</w:t>
            </w:r>
            <w:r w:rsidR="001E5DE1">
              <w:t xml:space="preserve"> priaznivého stavu predmetov ochrany</w:t>
            </w:r>
            <w:r w:rsidR="003D19EF">
              <w:t xml:space="preserve"> CHA Tisovský kras</w:t>
            </w:r>
            <w:r w:rsidR="002B2B0A">
              <w:t>, čo</w:t>
            </w:r>
            <w:r w:rsidR="00490B63">
              <w:t xml:space="preserve"> </w:t>
            </w:r>
            <w:r w:rsidR="001E5DE1">
              <w:t>pozitívne ovplyvní vše</w:t>
            </w:r>
            <w:r w:rsidR="00AA0516">
              <w:t>tky zložky okolitého ekosystému vrátane pôd</w:t>
            </w:r>
            <w:r w:rsidR="00BE192B">
              <w:t>y</w:t>
            </w:r>
            <w:r w:rsidR="00AA0516">
              <w:t>.</w:t>
            </w:r>
            <w:r>
              <w:t xml:space="preserve"> </w:t>
            </w:r>
            <w:r w:rsidR="006B72CC">
              <w:t xml:space="preserve"> Z hľadiska geomorfologického členenia územie predstavuje juhozápadný výbežok Spišsko-gemerského krasu. Vo východnej časti veľmi bohatej na krasové javy vyvára malebnú krajinu nadväzujúcu na Národný park Muránska planina. Západná časť predstavuje prevažne zalesnený horský kras, ktorého vegetáciu tvoria najmä bukové a sutinové lesy. Ich obhospodarovanie prírode blízkym spôsobom prispeje k ochrane pôdy i horninového substrátu.</w:t>
            </w:r>
          </w:p>
          <w:p w:rsidR="00D67D8F" w:rsidRDefault="00D67D8F" w:rsidP="00D67D8F">
            <w:pPr>
              <w:spacing w:line="276" w:lineRule="auto"/>
              <w:jc w:val="both"/>
            </w:pPr>
          </w:p>
          <w:p w:rsidR="00D67D8F" w:rsidRPr="00867BA0" w:rsidRDefault="00D67D8F" w:rsidP="00D67D8F">
            <w:pPr>
              <w:spacing w:line="276" w:lineRule="auto"/>
              <w:jc w:val="both"/>
            </w:pPr>
            <w:r w:rsidRPr="00867BA0">
              <w:t>CHA Tisovský kras predstavuje najzápadnejší výbežok Muránskej planiny, ktorú po geologickej stránke zastupujú karbonátové horniny muránskeho príkrovu. Podložie tohto externého príkrovu budujú predovšetkým spodnotriasové kremence v pozícii sedimentárneho obalu veporských granitoidov. Vo vyčlenenom areáli Tisoveckého krasu sú v nadloží bridličnatého súvrstvia rozšírené strednotriasové steinalmské vápence a wettersteinské vápence a dolomity. Vrchné časti karbonátového komplexu tvoria vrchnotriasové dachsteinské vápence a dolomity s lokálnymi polohami tzv. tisovských a furmaneckých organogénnych vápencov. Náchylnosťou na procesy krasovatenia ako aj rozmanitosťou povrchových a podzemných krasových javov sa vyznačujú hlavne vápence steinalmského a dachsteinského typu.</w:t>
            </w:r>
          </w:p>
          <w:p w:rsidR="006B72CC" w:rsidRDefault="006B72CC" w:rsidP="002737EC">
            <w:pPr>
              <w:spacing w:line="276" w:lineRule="auto"/>
              <w:jc w:val="both"/>
            </w:pPr>
          </w:p>
          <w:p w:rsidR="009F17BF" w:rsidRPr="009F17BF" w:rsidRDefault="009F17BF" w:rsidP="002737EC">
            <w:pPr>
              <w:pStyle w:val="Odsekzoznamu"/>
              <w:numPr>
                <w:ilvl w:val="0"/>
                <w:numId w:val="7"/>
              </w:numPr>
              <w:spacing w:after="0"/>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17"/>
              <w:tblOverlap w:val="never"/>
              <w:tblW w:w="0" w:type="auto"/>
              <w:tblLook w:val="04A0" w:firstRow="1" w:lastRow="0" w:firstColumn="1" w:lastColumn="0" w:noHBand="0" w:noVBand="1"/>
            </w:tblPr>
            <w:tblGrid>
              <w:gridCol w:w="3256"/>
              <w:gridCol w:w="5670"/>
            </w:tblGrid>
            <w:tr w:rsidR="00915935" w:rsidRPr="00911663" w:rsidTr="00915935">
              <w:tc>
                <w:tcPr>
                  <w:tcW w:w="3256" w:type="dxa"/>
                </w:tcPr>
                <w:p w:rsidR="00915935" w:rsidRPr="00F330AF" w:rsidRDefault="00915935" w:rsidP="002737EC">
                  <w:pPr>
                    <w:spacing w:line="276" w:lineRule="auto"/>
                    <w:jc w:val="both"/>
                    <w:rPr>
                      <w:i/>
                    </w:rPr>
                  </w:pPr>
                  <w:r w:rsidRPr="00F330AF">
                    <w:rPr>
                      <w:i/>
                    </w:rPr>
                    <w:t>typ vplyvu</w:t>
                  </w:r>
                </w:p>
              </w:tc>
              <w:tc>
                <w:tcPr>
                  <w:tcW w:w="5670" w:type="dxa"/>
                </w:tcPr>
                <w:p w:rsidR="00915935" w:rsidRPr="00F330AF" w:rsidRDefault="00915935" w:rsidP="002737EC">
                  <w:pPr>
                    <w:spacing w:line="276" w:lineRule="auto"/>
                    <w:jc w:val="both"/>
                  </w:pPr>
                  <w:r w:rsidRPr="00F330AF">
                    <w:t xml:space="preserve">pozitívny, s nepriamym environmentálnym </w:t>
                  </w:r>
                  <w:r w:rsidR="00BE192B">
                    <w:t>vplyvom</w:t>
                  </w:r>
                  <w:r w:rsidRPr="00F330AF">
                    <w:t>, trvalý</w:t>
                  </w:r>
                </w:p>
              </w:tc>
            </w:tr>
            <w:tr w:rsidR="00915935" w:rsidRPr="00911663" w:rsidTr="00915935">
              <w:tc>
                <w:tcPr>
                  <w:tcW w:w="3256" w:type="dxa"/>
                </w:tcPr>
                <w:p w:rsidR="00915935" w:rsidRPr="00F330AF" w:rsidRDefault="00915935" w:rsidP="002737EC">
                  <w:pPr>
                    <w:spacing w:line="276" w:lineRule="auto"/>
                    <w:jc w:val="both"/>
                    <w:rPr>
                      <w:i/>
                    </w:rPr>
                  </w:pPr>
                  <w:r w:rsidRPr="00F330AF">
                    <w:rPr>
                      <w:i/>
                    </w:rPr>
                    <w:lastRenderedPageBreak/>
                    <w:t>veľkosť vplyvu</w:t>
                  </w:r>
                </w:p>
              </w:tc>
              <w:tc>
                <w:tcPr>
                  <w:tcW w:w="5670" w:type="dxa"/>
                </w:tcPr>
                <w:p w:rsidR="00915935" w:rsidRPr="00F330AF" w:rsidRDefault="00915935" w:rsidP="002737EC">
                  <w:pPr>
                    <w:spacing w:line="276" w:lineRule="auto"/>
                    <w:jc w:val="both"/>
                  </w:pPr>
                  <w:r w:rsidRPr="00F330AF">
                    <w:t>malý</w:t>
                  </w:r>
                </w:p>
              </w:tc>
            </w:tr>
            <w:tr w:rsidR="00915935" w:rsidRPr="00911663" w:rsidTr="00915935">
              <w:tc>
                <w:tcPr>
                  <w:tcW w:w="3256" w:type="dxa"/>
                </w:tcPr>
                <w:p w:rsidR="00915935" w:rsidRPr="00F330AF" w:rsidRDefault="00915935" w:rsidP="002737EC">
                  <w:pPr>
                    <w:spacing w:line="276" w:lineRule="auto"/>
                    <w:jc w:val="both"/>
                    <w:rPr>
                      <w:i/>
                    </w:rPr>
                  </w:pPr>
                  <w:r w:rsidRPr="00F330AF">
                    <w:rPr>
                      <w:i/>
                    </w:rPr>
                    <w:t>rozsah vplyvu</w:t>
                  </w:r>
                </w:p>
              </w:tc>
              <w:tc>
                <w:tcPr>
                  <w:tcW w:w="5670" w:type="dxa"/>
                </w:tcPr>
                <w:p w:rsidR="00915935" w:rsidRPr="00F330AF" w:rsidRDefault="003D19EF" w:rsidP="002737EC">
                  <w:pPr>
                    <w:spacing w:line="276" w:lineRule="auto"/>
                    <w:jc w:val="both"/>
                  </w:pPr>
                  <w:r>
                    <w:t>územie CHA, resp. okolie</w:t>
                  </w:r>
                </w:p>
              </w:tc>
            </w:tr>
            <w:tr w:rsidR="00915935" w:rsidRPr="00911663" w:rsidTr="00915935">
              <w:tc>
                <w:tcPr>
                  <w:tcW w:w="3256" w:type="dxa"/>
                </w:tcPr>
                <w:p w:rsidR="00915935" w:rsidRPr="00F330AF" w:rsidRDefault="00915935" w:rsidP="002737EC">
                  <w:pPr>
                    <w:spacing w:line="276" w:lineRule="auto"/>
                    <w:rPr>
                      <w:i/>
                    </w:rPr>
                  </w:pPr>
                  <w:r>
                    <w:rPr>
                      <w:i/>
                    </w:rPr>
                    <w:t>c</w:t>
                  </w:r>
                  <w:r w:rsidRPr="00F330AF">
                    <w:rPr>
                      <w:i/>
                    </w:rPr>
                    <w:t>elkové hodnotenie environmentálnej významnosti vplyvu</w:t>
                  </w:r>
                </w:p>
              </w:tc>
              <w:tc>
                <w:tcPr>
                  <w:tcW w:w="5670" w:type="dxa"/>
                </w:tcPr>
                <w:p w:rsidR="00915935" w:rsidRPr="00F330AF" w:rsidRDefault="00915935" w:rsidP="002737EC">
                  <w:pPr>
                    <w:spacing w:line="276" w:lineRule="auto"/>
                    <w:jc w:val="both"/>
                  </w:pPr>
                  <w:r w:rsidRPr="00F330AF">
                    <w:t>málo významný, priaznivý</w:t>
                  </w:r>
                </w:p>
              </w:tc>
            </w:tr>
          </w:tbl>
          <w:p w:rsidR="00C97DC8" w:rsidRDefault="00C97DC8" w:rsidP="002737EC">
            <w:pPr>
              <w:spacing w:line="276" w:lineRule="auto"/>
              <w:jc w:val="both"/>
              <w:rPr>
                <w:u w:val="single"/>
              </w:rPr>
            </w:pPr>
          </w:p>
          <w:p w:rsidR="001B5EEC" w:rsidRPr="00A86166" w:rsidRDefault="009F17BF" w:rsidP="005B56AF">
            <w:pPr>
              <w:spacing w:line="276" w:lineRule="auto"/>
              <w:jc w:val="both"/>
              <w:rPr>
                <w:sz w:val="16"/>
                <w:szCs w:val="24"/>
              </w:rPr>
            </w:pPr>
            <w:r>
              <w:t xml:space="preserve">Cieľom predkladaného materiálu nie je ochrana </w:t>
            </w:r>
            <w:r w:rsidR="00333C84">
              <w:t>ovzdušia</w:t>
            </w:r>
            <w:r>
              <w:t xml:space="preserve">, ale zlepšenie </w:t>
            </w:r>
            <w:r w:rsidR="001E5DE1">
              <w:t xml:space="preserve">a udržanie priaznivého </w:t>
            </w:r>
            <w:r>
              <w:t>stavu predmetov ochrany</w:t>
            </w:r>
            <w:r w:rsidR="003D19EF">
              <w:t xml:space="preserve"> CHA Tisovský kras</w:t>
            </w:r>
            <w:r w:rsidR="002B2B0A">
              <w:t>, ktoré</w:t>
            </w:r>
            <w:r w:rsidR="008D7785">
              <w:t xml:space="preserve"> </w:t>
            </w:r>
            <w:r w:rsidR="001E5DE1">
              <w:t>pozitívne</w:t>
            </w:r>
            <w:r>
              <w:t xml:space="preserve"> ovplyvní </w:t>
            </w:r>
            <w:r w:rsidR="00061135">
              <w:t>všetky</w:t>
            </w:r>
            <w:r w:rsidR="00AA0516">
              <w:t xml:space="preserve"> zložky okolitého ekosystému vrátane ovzdušia.</w:t>
            </w:r>
          </w:p>
        </w:tc>
      </w:tr>
      <w:tr w:rsidR="001B5EEC" w:rsidRPr="002E32C0" w:rsidTr="00F330AF">
        <w:trPr>
          <w:trHeight w:val="404"/>
        </w:trPr>
        <w:tc>
          <w:tcPr>
            <w:tcW w:w="9464" w:type="dxa"/>
            <w:shd w:val="clear" w:color="auto" w:fill="D9D9D9"/>
            <w:vAlign w:val="center"/>
            <w:hideMark/>
          </w:tcPr>
          <w:p w:rsidR="001B5EEC" w:rsidRPr="002E32C0" w:rsidRDefault="001B5EEC" w:rsidP="002737EC">
            <w:pPr>
              <w:spacing w:line="276" w:lineRule="auto"/>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rsidTr="00F330AF">
        <w:trPr>
          <w:trHeight w:val="987"/>
        </w:trPr>
        <w:tc>
          <w:tcPr>
            <w:tcW w:w="9464" w:type="dxa"/>
          </w:tcPr>
          <w:p w:rsidR="009C1BDA" w:rsidRDefault="00CD127B" w:rsidP="002737EC">
            <w:pPr>
              <w:spacing w:line="276" w:lineRule="auto"/>
              <w:jc w:val="both"/>
            </w:pPr>
            <w:r>
              <w:t xml:space="preserve">Navrhovaný </w:t>
            </w:r>
            <w:r w:rsidR="003D19EF">
              <w:t xml:space="preserve">CHA Tisovský kras </w:t>
            </w:r>
            <w:r w:rsidR="00EF70D1">
              <w:t>sa prekrýva s 2 existujúcimi územiami národnej sústavy chránených území (</w:t>
            </w:r>
            <w:r w:rsidR="00BE192B">
              <w:t>podľa</w:t>
            </w:r>
            <w:r w:rsidR="00EF70D1">
              <w:t xml:space="preserve"> § 17 ods. 1 zákona č. 543/2002 Z. z.</w:t>
            </w:r>
            <w:r w:rsidR="008D7785">
              <w:t xml:space="preserve"> o ochrane prírody a krajiny v znení neskorších predpisov</w:t>
            </w:r>
            <w:r w:rsidR="00EF70D1">
              <w:t>)</w:t>
            </w:r>
            <w:r w:rsidR="002E5351">
              <w:t>,</w:t>
            </w:r>
            <w:r w:rsidR="00EF70D1">
              <w:t xml:space="preserve"> a to </w:t>
            </w:r>
            <w:r w:rsidR="003D19EF">
              <w:t>2</w:t>
            </w:r>
            <w:r w:rsidR="00EF70D1" w:rsidRPr="004B3243">
              <w:t xml:space="preserve"> prírodný</w:t>
            </w:r>
            <w:r w:rsidR="00EF70D1">
              <w:t>mi</w:t>
            </w:r>
            <w:r w:rsidR="00EF70D1" w:rsidRPr="004B3243">
              <w:t xml:space="preserve"> rezerváci</w:t>
            </w:r>
            <w:r w:rsidR="00EF70D1">
              <w:t>ami</w:t>
            </w:r>
            <w:r w:rsidR="003D19EF">
              <w:t xml:space="preserve">. </w:t>
            </w:r>
            <w:r w:rsidR="00EF70D1">
              <w:t xml:space="preserve">Celková výmera týchto maloplošných chránených území predstavuje </w:t>
            </w:r>
            <w:r w:rsidR="003D19EF">
              <w:t>291,87 ha</w:t>
            </w:r>
            <w:r>
              <w:t xml:space="preserve"> a stanú sa súčasťou zóny A a zóny C</w:t>
            </w:r>
            <w:r w:rsidR="003D19EF">
              <w:t>.</w:t>
            </w:r>
            <w:r>
              <w:t xml:space="preserve"> Po schválení zonácie CHA Tisovský kras budú tieto 2 chránené územia zrušené.</w:t>
            </w:r>
            <w:r w:rsidR="00D67D8F">
              <w:t xml:space="preserve"> </w:t>
            </w:r>
            <w:r w:rsidR="009C1BDA">
              <w:t xml:space="preserve">Zaberá takmer celú výmeru </w:t>
            </w:r>
            <w:r w:rsidR="00BC3339">
              <w:t>územia európskeho významu</w:t>
            </w:r>
            <w:r w:rsidR="009C1BDA">
              <w:t xml:space="preserve"> </w:t>
            </w:r>
            <w:r w:rsidR="00C73D6D" w:rsidDel="00C73D6D">
              <w:t xml:space="preserve"> </w:t>
            </w:r>
            <w:r w:rsidR="009C1BDA">
              <w:t xml:space="preserve">SKUEV0282 Tisovský kras, prekrýva sa tiež s Chráneným vtáčím územím SKCHVU017 Muránska planina – Stolica. </w:t>
            </w:r>
          </w:p>
          <w:p w:rsidR="00C73D6D" w:rsidRDefault="00C73D6D" w:rsidP="002737EC">
            <w:pPr>
              <w:spacing w:line="276" w:lineRule="auto"/>
              <w:jc w:val="both"/>
            </w:pPr>
            <w:r w:rsidRPr="00C73D6D">
              <w:rPr>
                <w:color w:val="000000"/>
              </w:rPr>
              <w:t xml:space="preserve">Podiel území s 5. stupňom ochrany (podľa projektu ochrany) dosahuje 37,72 ha (2,42 %), s 3. stupňom ochrany 368,03 ha (23,62 %) a s 2. stupňom ochrany zvyšných 1 152,41 ha (73,96 % z celkovej výmery </w:t>
            </w:r>
            <w:r w:rsidR="00CD127B">
              <w:rPr>
                <w:color w:val="000000"/>
              </w:rPr>
              <w:t xml:space="preserve">navrhovaného </w:t>
            </w:r>
            <w:r w:rsidRPr="00C73D6D">
              <w:rPr>
                <w:color w:val="000000"/>
              </w:rPr>
              <w:t>CHA).</w:t>
            </w:r>
          </w:p>
          <w:p w:rsidR="008B01AF" w:rsidRPr="00911663" w:rsidRDefault="008B01AF" w:rsidP="002737EC">
            <w:pPr>
              <w:spacing w:line="276" w:lineRule="auto"/>
              <w:jc w:val="both"/>
            </w:pPr>
          </w:p>
          <w:tbl>
            <w:tblPr>
              <w:tblStyle w:val="Mriekatabuky"/>
              <w:tblW w:w="0" w:type="auto"/>
              <w:tblLook w:val="04A0" w:firstRow="1" w:lastRow="0" w:firstColumn="1" w:lastColumn="0" w:noHBand="0" w:noVBand="1"/>
            </w:tblPr>
            <w:tblGrid>
              <w:gridCol w:w="3256"/>
              <w:gridCol w:w="5670"/>
            </w:tblGrid>
            <w:tr w:rsidR="001B5EEC" w:rsidRPr="00911663" w:rsidTr="006B0C15">
              <w:tc>
                <w:tcPr>
                  <w:tcW w:w="3256" w:type="dxa"/>
                </w:tcPr>
                <w:p w:rsidR="001B5EEC" w:rsidRPr="00911663" w:rsidRDefault="001B5EEC" w:rsidP="002737EC">
                  <w:pPr>
                    <w:spacing w:line="276" w:lineRule="auto"/>
                    <w:jc w:val="both"/>
                    <w:rPr>
                      <w:i/>
                    </w:rPr>
                  </w:pPr>
                  <w:r w:rsidRPr="00911663">
                    <w:rPr>
                      <w:i/>
                    </w:rPr>
                    <w:t>typ vplyvu</w:t>
                  </w:r>
                </w:p>
              </w:tc>
              <w:tc>
                <w:tcPr>
                  <w:tcW w:w="5670" w:type="dxa"/>
                </w:tcPr>
                <w:p w:rsidR="001B5EEC" w:rsidRPr="00911663" w:rsidRDefault="001B5EEC" w:rsidP="002737EC">
                  <w:pPr>
                    <w:spacing w:line="276" w:lineRule="auto"/>
                    <w:jc w:val="both"/>
                  </w:pPr>
                  <w:r w:rsidRPr="00911663">
                    <w:t>pozitívny, s</w:t>
                  </w:r>
                  <w:r w:rsidR="002C1D45">
                    <w:t xml:space="preserve"> </w:t>
                  </w:r>
                  <w:r w:rsidRPr="00911663">
                    <w:t xml:space="preserve">priamym environmentálnym </w:t>
                  </w:r>
                  <w:r w:rsidR="00BE192B">
                    <w:t>vplyvom</w:t>
                  </w:r>
                  <w:r w:rsidRPr="00911663">
                    <w:t>, trvalý</w:t>
                  </w:r>
                </w:p>
              </w:tc>
            </w:tr>
            <w:tr w:rsidR="001B5EEC" w:rsidRPr="00911663" w:rsidTr="006B0C15">
              <w:tc>
                <w:tcPr>
                  <w:tcW w:w="3256" w:type="dxa"/>
                </w:tcPr>
                <w:p w:rsidR="001B5EEC" w:rsidRPr="00911663" w:rsidRDefault="001B5EEC" w:rsidP="002737EC">
                  <w:pPr>
                    <w:spacing w:line="276" w:lineRule="auto"/>
                    <w:jc w:val="both"/>
                    <w:rPr>
                      <w:i/>
                    </w:rPr>
                  </w:pPr>
                  <w:r w:rsidRPr="00911663">
                    <w:rPr>
                      <w:i/>
                    </w:rPr>
                    <w:t>veľkosť vplyvu</w:t>
                  </w:r>
                </w:p>
              </w:tc>
              <w:tc>
                <w:tcPr>
                  <w:tcW w:w="5670" w:type="dxa"/>
                </w:tcPr>
                <w:p w:rsidR="001B5EEC" w:rsidRPr="00911663" w:rsidRDefault="0093047F" w:rsidP="002737EC">
                  <w:pPr>
                    <w:spacing w:line="276" w:lineRule="auto"/>
                    <w:jc w:val="both"/>
                  </w:pPr>
                  <w:r>
                    <w:t>v</w:t>
                  </w:r>
                  <w:r w:rsidR="001B5EEC" w:rsidRPr="00911663">
                    <w:t>eľký</w:t>
                  </w:r>
                </w:p>
              </w:tc>
            </w:tr>
            <w:tr w:rsidR="001B5EEC" w:rsidRPr="00911663" w:rsidTr="006B0C15">
              <w:tc>
                <w:tcPr>
                  <w:tcW w:w="3256" w:type="dxa"/>
                </w:tcPr>
                <w:p w:rsidR="001B5EEC" w:rsidRPr="00911663" w:rsidRDefault="001B5EEC" w:rsidP="002737EC">
                  <w:pPr>
                    <w:spacing w:line="276" w:lineRule="auto"/>
                    <w:jc w:val="both"/>
                    <w:rPr>
                      <w:i/>
                    </w:rPr>
                  </w:pPr>
                  <w:r w:rsidRPr="00911663">
                    <w:rPr>
                      <w:i/>
                    </w:rPr>
                    <w:t>rozsah vplyvu</w:t>
                  </w:r>
                </w:p>
              </w:tc>
              <w:tc>
                <w:tcPr>
                  <w:tcW w:w="5670" w:type="dxa"/>
                </w:tcPr>
                <w:p w:rsidR="001B5EEC" w:rsidRPr="00911663" w:rsidRDefault="003D19EF" w:rsidP="002737EC">
                  <w:pPr>
                    <w:spacing w:line="276" w:lineRule="auto"/>
                    <w:jc w:val="both"/>
                  </w:pPr>
                  <w:r>
                    <w:t>CHA</w:t>
                  </w:r>
                  <w:r w:rsidR="005B56AF">
                    <w:t>, Národný park Muránska planina a prekrývajúce sa/susediace územia európskej sústavy chránených území Natura 2000</w:t>
                  </w:r>
                </w:p>
              </w:tc>
            </w:tr>
            <w:tr w:rsidR="001B5EEC" w:rsidRPr="00911663" w:rsidTr="006B0C15">
              <w:tc>
                <w:tcPr>
                  <w:tcW w:w="3256" w:type="dxa"/>
                </w:tcPr>
                <w:p w:rsidR="001B5EEC" w:rsidRPr="00911663" w:rsidRDefault="001B5EEC" w:rsidP="002737EC">
                  <w:pPr>
                    <w:spacing w:line="276" w:lineRule="auto"/>
                    <w:rPr>
                      <w:i/>
                    </w:rPr>
                  </w:pPr>
                  <w:r w:rsidRPr="00911663">
                    <w:rPr>
                      <w:i/>
                    </w:rPr>
                    <w:t>celkové hodnotenie environmen</w:t>
                  </w:r>
                  <w:r w:rsidR="00E06E04">
                    <w:rPr>
                      <w:i/>
                    </w:rPr>
                    <w:t>t</w:t>
                  </w:r>
                  <w:r w:rsidRPr="00911663">
                    <w:rPr>
                      <w:i/>
                    </w:rPr>
                    <w:t>álnej významnosti vplyvu</w:t>
                  </w:r>
                </w:p>
              </w:tc>
              <w:tc>
                <w:tcPr>
                  <w:tcW w:w="5670" w:type="dxa"/>
                </w:tcPr>
                <w:p w:rsidR="001B5EEC" w:rsidRPr="00911663" w:rsidRDefault="001B5EEC" w:rsidP="002737EC">
                  <w:pPr>
                    <w:spacing w:line="276" w:lineRule="auto"/>
                    <w:jc w:val="both"/>
                  </w:pPr>
                  <w:r w:rsidRPr="00911663">
                    <w:t>veľmi významný, priaznivý</w:t>
                  </w:r>
                </w:p>
              </w:tc>
            </w:tr>
          </w:tbl>
          <w:p w:rsidR="001B5EEC" w:rsidRPr="00841720" w:rsidRDefault="001B5EEC" w:rsidP="002737EC">
            <w:pPr>
              <w:spacing w:line="276" w:lineRule="auto"/>
              <w:jc w:val="both"/>
            </w:pPr>
          </w:p>
        </w:tc>
      </w:tr>
      <w:tr w:rsidR="001B5EEC" w:rsidRPr="002E32C0" w:rsidTr="00F330AF">
        <w:trPr>
          <w:trHeight w:val="698"/>
        </w:trPr>
        <w:tc>
          <w:tcPr>
            <w:tcW w:w="9464" w:type="dxa"/>
            <w:shd w:val="clear" w:color="auto" w:fill="D9D9D9"/>
            <w:vAlign w:val="center"/>
          </w:tcPr>
          <w:p w:rsidR="001B5EEC" w:rsidRPr="002E32C0" w:rsidRDefault="001B5EEC" w:rsidP="002737EC">
            <w:pPr>
              <w:spacing w:line="276" w:lineRule="auto"/>
              <w:rPr>
                <w:b/>
                <w:sz w:val="24"/>
                <w:szCs w:val="24"/>
              </w:rPr>
            </w:pPr>
            <w:r w:rsidRPr="002E32C0">
              <w:rPr>
                <w:b/>
                <w:sz w:val="24"/>
                <w:szCs w:val="24"/>
              </w:rPr>
              <w:t>5.3 Bude mať predkladaný materiál vplyvy na životné prostredie presahujúce štátne hranice? (ktoré zložky a ako budú najviac ovplyvnené)?</w:t>
            </w:r>
          </w:p>
        </w:tc>
      </w:tr>
      <w:tr w:rsidR="001B5EEC" w:rsidRPr="002E32C0" w:rsidTr="00237420">
        <w:trPr>
          <w:trHeight w:val="452"/>
        </w:trPr>
        <w:tc>
          <w:tcPr>
            <w:tcW w:w="9464" w:type="dxa"/>
          </w:tcPr>
          <w:p w:rsidR="00611BCD" w:rsidRPr="00D25992" w:rsidRDefault="00CD127B" w:rsidP="002737EC">
            <w:pPr>
              <w:spacing w:line="276" w:lineRule="auto"/>
              <w:jc w:val="both"/>
              <w:rPr>
                <w:b/>
                <w:sz w:val="24"/>
                <w:szCs w:val="24"/>
              </w:rPr>
            </w:pPr>
            <w:r>
              <w:t xml:space="preserve">Navrhovaný </w:t>
            </w:r>
            <w:r w:rsidR="003D19EF">
              <w:t xml:space="preserve">CHA Tisovský kras </w:t>
            </w:r>
            <w:r w:rsidR="00085401">
              <w:t>sa prekrýva s vyššie uvedenými územiami európskej sústavy chránených území Natura 2000 a spolu s ďalšími územiami Natura 2000 vytvára podmienky pre naplnenie jej hlavného cieľa, ktorým je zachovanie prírodného dedičstva, významného nielen pre územia Slovenska, ale pre Európsku úniu ako celok.</w:t>
            </w:r>
          </w:p>
        </w:tc>
      </w:tr>
      <w:tr w:rsidR="001B5EEC" w:rsidRPr="002E32C0" w:rsidTr="00F330AF">
        <w:trPr>
          <w:trHeight w:val="713"/>
        </w:trPr>
        <w:tc>
          <w:tcPr>
            <w:tcW w:w="9464" w:type="dxa"/>
            <w:shd w:val="clear" w:color="auto" w:fill="D9D9D9"/>
            <w:vAlign w:val="center"/>
          </w:tcPr>
          <w:p w:rsidR="001B5EEC" w:rsidRPr="002E32C0" w:rsidRDefault="001B5EEC" w:rsidP="002737EC">
            <w:pPr>
              <w:spacing w:line="276" w:lineRule="auto"/>
              <w:rPr>
                <w:b/>
                <w:sz w:val="24"/>
                <w:szCs w:val="24"/>
              </w:rPr>
            </w:pPr>
            <w:r w:rsidRPr="002E32C0">
              <w:rPr>
                <w:b/>
                <w:sz w:val="24"/>
                <w:szCs w:val="24"/>
              </w:rPr>
              <w:t>5.4 Aké opatrenia budú prijaté na zmiernenie negatívneho vplyvu na životné prostredie?</w:t>
            </w:r>
          </w:p>
        </w:tc>
      </w:tr>
      <w:tr w:rsidR="001B5EEC" w:rsidRPr="002E32C0" w:rsidTr="00F330AF">
        <w:trPr>
          <w:trHeight w:val="520"/>
        </w:trPr>
        <w:tc>
          <w:tcPr>
            <w:tcW w:w="9464" w:type="dxa"/>
            <w:shd w:val="clear" w:color="auto" w:fill="FFFFFF"/>
          </w:tcPr>
          <w:p w:rsidR="00DB2F1B" w:rsidRPr="006B0C15" w:rsidRDefault="001B5EEC" w:rsidP="002737EC">
            <w:pPr>
              <w:spacing w:line="276" w:lineRule="auto"/>
              <w:jc w:val="both"/>
            </w:pPr>
            <w:r w:rsidRPr="00911663">
              <w:t>Opatrenia na zmiernenie negatívneho vplyvu na životné prostredie nie sú potrebné, keďže predkladaný materiál navrhuje činnosti iba s pozitívnym vplyvom na životné prostredie.</w:t>
            </w:r>
          </w:p>
        </w:tc>
      </w:tr>
    </w:tbl>
    <w:p w:rsidR="00374EDB" w:rsidRPr="002E32C0" w:rsidRDefault="00374EDB" w:rsidP="002E5351">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FFF4C" w16cex:dateUtc="2021-04-01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2A3EE" w16cid:durableId="240FFF4C"/>
  <w16cid:commentId w16cid:paraId="5760C9F3" w16cid:durableId="240FF01F"/>
  <w16cid:commentId w16cid:paraId="413F4E72" w16cid:durableId="240FF020"/>
  <w16cid:commentId w16cid:paraId="2C2D2207" w16cid:durableId="240FF021"/>
  <w16cid:commentId w16cid:paraId="4557CB84" w16cid:durableId="23711915"/>
  <w16cid:commentId w16cid:paraId="35C686E3" w16cid:durableId="23711916"/>
  <w16cid:commentId w16cid:paraId="7E8D3A5C" w16cid:durableId="23711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75" w:rsidRDefault="00A45475" w:rsidP="00374EDB">
      <w:r>
        <w:separator/>
      </w:r>
    </w:p>
  </w:endnote>
  <w:endnote w:type="continuationSeparator" w:id="0">
    <w:p w:rsidR="00A45475" w:rsidRDefault="00A45475"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rsidR="00D25992" w:rsidRDefault="00D25992">
        <w:pPr>
          <w:pStyle w:val="Pta"/>
          <w:jc w:val="right"/>
        </w:pPr>
        <w:r>
          <w:fldChar w:fldCharType="begin"/>
        </w:r>
        <w:r>
          <w:instrText>PAGE   \* MERGEFORMAT</w:instrText>
        </w:r>
        <w:r>
          <w:fldChar w:fldCharType="separate"/>
        </w:r>
        <w:r w:rsidR="00044236">
          <w:rPr>
            <w:noProof/>
          </w:rPr>
          <w:t>3</w:t>
        </w:r>
        <w:r>
          <w:fldChar w:fldCharType="end"/>
        </w:r>
      </w:p>
    </w:sdtContent>
  </w:sdt>
  <w:p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75" w:rsidRDefault="00A45475" w:rsidP="00374EDB">
      <w:r>
        <w:separator/>
      </w:r>
    </w:p>
  </w:footnote>
  <w:footnote w:type="continuationSeparator" w:id="0">
    <w:p w:rsidR="00A45475" w:rsidRDefault="00A45475"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2" w:rsidRPr="000A15AE" w:rsidRDefault="00D25992" w:rsidP="00D25992">
    <w:pPr>
      <w:pStyle w:val="Hlavika"/>
      <w:jc w:val="right"/>
      <w:rPr>
        <w:sz w:val="24"/>
        <w:szCs w:val="24"/>
      </w:rPr>
    </w:pPr>
    <w:r>
      <w:tab/>
    </w:r>
    <w:r>
      <w:rPr>
        <w:sz w:val="24"/>
        <w:szCs w:val="24"/>
      </w:rPr>
      <w:t>Príloha č. 5</w:t>
    </w:r>
  </w:p>
  <w:p w:rsidR="00D25992" w:rsidRDefault="00D25992" w:rsidP="00D25992">
    <w:pPr>
      <w:pStyle w:val="Hlavika"/>
      <w:tabs>
        <w:tab w:val="clear" w:pos="4536"/>
        <w:tab w:val="clear" w:pos="9072"/>
        <w:tab w:val="left" w:pos="1605"/>
      </w:tabs>
    </w:pPr>
  </w:p>
  <w:p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B0C"/>
    <w:rsid w:val="00010023"/>
    <w:rsid w:val="000130BD"/>
    <w:rsid w:val="00021A2A"/>
    <w:rsid w:val="00024E4B"/>
    <w:rsid w:val="00030246"/>
    <w:rsid w:val="000403A2"/>
    <w:rsid w:val="00044236"/>
    <w:rsid w:val="000564F2"/>
    <w:rsid w:val="00060013"/>
    <w:rsid w:val="00061135"/>
    <w:rsid w:val="000631A4"/>
    <w:rsid w:val="000649EE"/>
    <w:rsid w:val="00065608"/>
    <w:rsid w:val="000727C2"/>
    <w:rsid w:val="00085401"/>
    <w:rsid w:val="0009096A"/>
    <w:rsid w:val="00095CDC"/>
    <w:rsid w:val="000B15AB"/>
    <w:rsid w:val="000C5587"/>
    <w:rsid w:val="000E6057"/>
    <w:rsid w:val="000F2A8C"/>
    <w:rsid w:val="000F62F5"/>
    <w:rsid w:val="00116DE1"/>
    <w:rsid w:val="001213F0"/>
    <w:rsid w:val="00122E3C"/>
    <w:rsid w:val="00126852"/>
    <w:rsid w:val="0013154B"/>
    <w:rsid w:val="00131A6B"/>
    <w:rsid w:val="00141E25"/>
    <w:rsid w:val="001466BF"/>
    <w:rsid w:val="00155579"/>
    <w:rsid w:val="001734DC"/>
    <w:rsid w:val="00176FD2"/>
    <w:rsid w:val="00182ECA"/>
    <w:rsid w:val="001A5344"/>
    <w:rsid w:val="001A6857"/>
    <w:rsid w:val="001A78B7"/>
    <w:rsid w:val="001B5EEC"/>
    <w:rsid w:val="001C2D84"/>
    <w:rsid w:val="001D2553"/>
    <w:rsid w:val="001E5DE1"/>
    <w:rsid w:val="001F7966"/>
    <w:rsid w:val="0022267E"/>
    <w:rsid w:val="00224BAB"/>
    <w:rsid w:val="00227FE6"/>
    <w:rsid w:val="00230BC3"/>
    <w:rsid w:val="002320F1"/>
    <w:rsid w:val="00232BF4"/>
    <w:rsid w:val="002334BC"/>
    <w:rsid w:val="00234A24"/>
    <w:rsid w:val="00237420"/>
    <w:rsid w:val="00237FEC"/>
    <w:rsid w:val="00246AC0"/>
    <w:rsid w:val="00247303"/>
    <w:rsid w:val="0024763C"/>
    <w:rsid w:val="002518A3"/>
    <w:rsid w:val="00252140"/>
    <w:rsid w:val="00272EC3"/>
    <w:rsid w:val="002737EC"/>
    <w:rsid w:val="00274DFE"/>
    <w:rsid w:val="00284929"/>
    <w:rsid w:val="0028795C"/>
    <w:rsid w:val="002A03FF"/>
    <w:rsid w:val="002B2B0A"/>
    <w:rsid w:val="002C1D45"/>
    <w:rsid w:val="002C26F5"/>
    <w:rsid w:val="002D0B1A"/>
    <w:rsid w:val="002D1123"/>
    <w:rsid w:val="002D6FD9"/>
    <w:rsid w:val="002E29CD"/>
    <w:rsid w:val="002E3163"/>
    <w:rsid w:val="002E32C0"/>
    <w:rsid w:val="002E4D28"/>
    <w:rsid w:val="002E5351"/>
    <w:rsid w:val="002F08FC"/>
    <w:rsid w:val="00306101"/>
    <w:rsid w:val="00312C6B"/>
    <w:rsid w:val="00316F6C"/>
    <w:rsid w:val="0032226A"/>
    <w:rsid w:val="003244E9"/>
    <w:rsid w:val="00330D6F"/>
    <w:rsid w:val="0033283B"/>
    <w:rsid w:val="00333C84"/>
    <w:rsid w:val="00337A38"/>
    <w:rsid w:val="003478D4"/>
    <w:rsid w:val="003529C8"/>
    <w:rsid w:val="00362FC0"/>
    <w:rsid w:val="00363282"/>
    <w:rsid w:val="00372357"/>
    <w:rsid w:val="00374C61"/>
    <w:rsid w:val="00374EDB"/>
    <w:rsid w:val="00390E8B"/>
    <w:rsid w:val="003924B3"/>
    <w:rsid w:val="003A6B84"/>
    <w:rsid w:val="003B5D81"/>
    <w:rsid w:val="003C230E"/>
    <w:rsid w:val="003C3556"/>
    <w:rsid w:val="003D19EF"/>
    <w:rsid w:val="003D24E1"/>
    <w:rsid w:val="003E01EE"/>
    <w:rsid w:val="004011D0"/>
    <w:rsid w:val="00402E53"/>
    <w:rsid w:val="00406C11"/>
    <w:rsid w:val="00412CB6"/>
    <w:rsid w:val="00413E9A"/>
    <w:rsid w:val="00416EB8"/>
    <w:rsid w:val="00426EBC"/>
    <w:rsid w:val="0044200B"/>
    <w:rsid w:val="00455634"/>
    <w:rsid w:val="0045679E"/>
    <w:rsid w:val="00457976"/>
    <w:rsid w:val="00474C19"/>
    <w:rsid w:val="00490B63"/>
    <w:rsid w:val="00491D7D"/>
    <w:rsid w:val="004A46A0"/>
    <w:rsid w:val="004B330E"/>
    <w:rsid w:val="004C47B7"/>
    <w:rsid w:val="004D4509"/>
    <w:rsid w:val="004D7407"/>
    <w:rsid w:val="00501F88"/>
    <w:rsid w:val="00505FD9"/>
    <w:rsid w:val="00511203"/>
    <w:rsid w:val="0051256C"/>
    <w:rsid w:val="00512FCC"/>
    <w:rsid w:val="00515556"/>
    <w:rsid w:val="00520832"/>
    <w:rsid w:val="0052120A"/>
    <w:rsid w:val="00525116"/>
    <w:rsid w:val="00531658"/>
    <w:rsid w:val="00537322"/>
    <w:rsid w:val="00550B14"/>
    <w:rsid w:val="005662D4"/>
    <w:rsid w:val="00573B95"/>
    <w:rsid w:val="00576DB3"/>
    <w:rsid w:val="00582A57"/>
    <w:rsid w:val="005842DA"/>
    <w:rsid w:val="005A1401"/>
    <w:rsid w:val="005A162C"/>
    <w:rsid w:val="005B56AF"/>
    <w:rsid w:val="005C5360"/>
    <w:rsid w:val="005C7704"/>
    <w:rsid w:val="005D2D1A"/>
    <w:rsid w:val="005D583C"/>
    <w:rsid w:val="005E30D0"/>
    <w:rsid w:val="005E503B"/>
    <w:rsid w:val="0060322F"/>
    <w:rsid w:val="00603BB0"/>
    <w:rsid w:val="006042E9"/>
    <w:rsid w:val="006044C8"/>
    <w:rsid w:val="00611BCD"/>
    <w:rsid w:val="00654C02"/>
    <w:rsid w:val="0065681F"/>
    <w:rsid w:val="00660868"/>
    <w:rsid w:val="0066638B"/>
    <w:rsid w:val="00671A1E"/>
    <w:rsid w:val="00671FEC"/>
    <w:rsid w:val="0068737F"/>
    <w:rsid w:val="00690EB6"/>
    <w:rsid w:val="006B0C15"/>
    <w:rsid w:val="006B0D9F"/>
    <w:rsid w:val="006B1F62"/>
    <w:rsid w:val="006B72CC"/>
    <w:rsid w:val="006D75BA"/>
    <w:rsid w:val="006E6316"/>
    <w:rsid w:val="0070044C"/>
    <w:rsid w:val="00702CAB"/>
    <w:rsid w:val="00710632"/>
    <w:rsid w:val="007179ED"/>
    <w:rsid w:val="00721E15"/>
    <w:rsid w:val="00743D90"/>
    <w:rsid w:val="0075319E"/>
    <w:rsid w:val="00753487"/>
    <w:rsid w:val="007539B5"/>
    <w:rsid w:val="007604EE"/>
    <w:rsid w:val="007675E2"/>
    <w:rsid w:val="007812C4"/>
    <w:rsid w:val="00781990"/>
    <w:rsid w:val="007A0323"/>
    <w:rsid w:val="007A3CF1"/>
    <w:rsid w:val="007C67D5"/>
    <w:rsid w:val="007D084C"/>
    <w:rsid w:val="007E2E4D"/>
    <w:rsid w:val="007E6EBB"/>
    <w:rsid w:val="007F3674"/>
    <w:rsid w:val="008108E7"/>
    <w:rsid w:val="00822E39"/>
    <w:rsid w:val="00825C66"/>
    <w:rsid w:val="00830034"/>
    <w:rsid w:val="00841720"/>
    <w:rsid w:val="008475D2"/>
    <w:rsid w:val="00850231"/>
    <w:rsid w:val="00854D4F"/>
    <w:rsid w:val="00855D8C"/>
    <w:rsid w:val="00864E2C"/>
    <w:rsid w:val="00867427"/>
    <w:rsid w:val="0087058B"/>
    <w:rsid w:val="00875A83"/>
    <w:rsid w:val="0088179E"/>
    <w:rsid w:val="00881815"/>
    <w:rsid w:val="0089671F"/>
    <w:rsid w:val="008A5DC9"/>
    <w:rsid w:val="008A7A83"/>
    <w:rsid w:val="008B01AF"/>
    <w:rsid w:val="008B0F16"/>
    <w:rsid w:val="008B7E80"/>
    <w:rsid w:val="008C1142"/>
    <w:rsid w:val="008D17C9"/>
    <w:rsid w:val="008D3422"/>
    <w:rsid w:val="008D7785"/>
    <w:rsid w:val="00903D22"/>
    <w:rsid w:val="0090462E"/>
    <w:rsid w:val="00914FB7"/>
    <w:rsid w:val="009151DD"/>
    <w:rsid w:val="00915935"/>
    <w:rsid w:val="00915B29"/>
    <w:rsid w:val="0093047F"/>
    <w:rsid w:val="009333AF"/>
    <w:rsid w:val="00935483"/>
    <w:rsid w:val="0095007B"/>
    <w:rsid w:val="00974C70"/>
    <w:rsid w:val="00980570"/>
    <w:rsid w:val="009B45A6"/>
    <w:rsid w:val="009B573E"/>
    <w:rsid w:val="009C1BDA"/>
    <w:rsid w:val="009E71E3"/>
    <w:rsid w:val="009F03AB"/>
    <w:rsid w:val="009F0CD9"/>
    <w:rsid w:val="009F17BF"/>
    <w:rsid w:val="009F3255"/>
    <w:rsid w:val="00A02E49"/>
    <w:rsid w:val="00A02F34"/>
    <w:rsid w:val="00A03FD7"/>
    <w:rsid w:val="00A0451D"/>
    <w:rsid w:val="00A1145C"/>
    <w:rsid w:val="00A12002"/>
    <w:rsid w:val="00A21FB9"/>
    <w:rsid w:val="00A305BD"/>
    <w:rsid w:val="00A316DA"/>
    <w:rsid w:val="00A3602C"/>
    <w:rsid w:val="00A3790A"/>
    <w:rsid w:val="00A4435F"/>
    <w:rsid w:val="00A44B6E"/>
    <w:rsid w:val="00A45475"/>
    <w:rsid w:val="00A462C6"/>
    <w:rsid w:val="00A53E7A"/>
    <w:rsid w:val="00A61513"/>
    <w:rsid w:val="00A63042"/>
    <w:rsid w:val="00A82916"/>
    <w:rsid w:val="00A86166"/>
    <w:rsid w:val="00A96EDF"/>
    <w:rsid w:val="00AA0516"/>
    <w:rsid w:val="00AB3B88"/>
    <w:rsid w:val="00AC1350"/>
    <w:rsid w:val="00AD297E"/>
    <w:rsid w:val="00AD6DB0"/>
    <w:rsid w:val="00AF3AB6"/>
    <w:rsid w:val="00AF3C7A"/>
    <w:rsid w:val="00B1080B"/>
    <w:rsid w:val="00B45CE7"/>
    <w:rsid w:val="00B46AD8"/>
    <w:rsid w:val="00B4795E"/>
    <w:rsid w:val="00B52908"/>
    <w:rsid w:val="00B6641D"/>
    <w:rsid w:val="00B7174E"/>
    <w:rsid w:val="00B80CBE"/>
    <w:rsid w:val="00B81125"/>
    <w:rsid w:val="00B877D2"/>
    <w:rsid w:val="00B91B87"/>
    <w:rsid w:val="00BA1FA3"/>
    <w:rsid w:val="00BA5080"/>
    <w:rsid w:val="00BB5DFE"/>
    <w:rsid w:val="00BC1508"/>
    <w:rsid w:val="00BC3339"/>
    <w:rsid w:val="00BE192B"/>
    <w:rsid w:val="00BE391E"/>
    <w:rsid w:val="00BE3BEC"/>
    <w:rsid w:val="00BE70AD"/>
    <w:rsid w:val="00C01B19"/>
    <w:rsid w:val="00C05EFA"/>
    <w:rsid w:val="00C07F23"/>
    <w:rsid w:val="00C10D28"/>
    <w:rsid w:val="00C15822"/>
    <w:rsid w:val="00C35DD5"/>
    <w:rsid w:val="00C47EF1"/>
    <w:rsid w:val="00C55636"/>
    <w:rsid w:val="00C5658D"/>
    <w:rsid w:val="00C65770"/>
    <w:rsid w:val="00C72B3A"/>
    <w:rsid w:val="00C73D6D"/>
    <w:rsid w:val="00C97DC8"/>
    <w:rsid w:val="00CB1021"/>
    <w:rsid w:val="00CB3623"/>
    <w:rsid w:val="00CB3DAC"/>
    <w:rsid w:val="00CB5541"/>
    <w:rsid w:val="00CB6A0C"/>
    <w:rsid w:val="00CC330C"/>
    <w:rsid w:val="00CC6BFA"/>
    <w:rsid w:val="00CD0F30"/>
    <w:rsid w:val="00CD127B"/>
    <w:rsid w:val="00CE6242"/>
    <w:rsid w:val="00CF3F25"/>
    <w:rsid w:val="00D016CB"/>
    <w:rsid w:val="00D1291B"/>
    <w:rsid w:val="00D20709"/>
    <w:rsid w:val="00D22815"/>
    <w:rsid w:val="00D25992"/>
    <w:rsid w:val="00D26E6C"/>
    <w:rsid w:val="00D312CF"/>
    <w:rsid w:val="00D346CF"/>
    <w:rsid w:val="00D37E8F"/>
    <w:rsid w:val="00D47147"/>
    <w:rsid w:val="00D52D2E"/>
    <w:rsid w:val="00D53EF3"/>
    <w:rsid w:val="00D67D8F"/>
    <w:rsid w:val="00DA097A"/>
    <w:rsid w:val="00DA6872"/>
    <w:rsid w:val="00DA6F02"/>
    <w:rsid w:val="00DB2F1B"/>
    <w:rsid w:val="00DD0028"/>
    <w:rsid w:val="00DD15AF"/>
    <w:rsid w:val="00DF3370"/>
    <w:rsid w:val="00E02159"/>
    <w:rsid w:val="00E06E04"/>
    <w:rsid w:val="00E076FA"/>
    <w:rsid w:val="00E239E3"/>
    <w:rsid w:val="00E426CB"/>
    <w:rsid w:val="00E43C25"/>
    <w:rsid w:val="00E440E6"/>
    <w:rsid w:val="00E63452"/>
    <w:rsid w:val="00E72FB1"/>
    <w:rsid w:val="00E74B39"/>
    <w:rsid w:val="00E776FF"/>
    <w:rsid w:val="00E829CE"/>
    <w:rsid w:val="00EA0219"/>
    <w:rsid w:val="00EC3C36"/>
    <w:rsid w:val="00EF1EB7"/>
    <w:rsid w:val="00EF4598"/>
    <w:rsid w:val="00EF70D1"/>
    <w:rsid w:val="00EF743B"/>
    <w:rsid w:val="00F13E8D"/>
    <w:rsid w:val="00F13F9E"/>
    <w:rsid w:val="00F330AF"/>
    <w:rsid w:val="00F64F2D"/>
    <w:rsid w:val="00F65BF4"/>
    <w:rsid w:val="00F671BB"/>
    <w:rsid w:val="00F67200"/>
    <w:rsid w:val="00F77158"/>
    <w:rsid w:val="00F84CD3"/>
    <w:rsid w:val="00F85ABB"/>
    <w:rsid w:val="00F93423"/>
    <w:rsid w:val="00FA5639"/>
    <w:rsid w:val="00FB0363"/>
    <w:rsid w:val="00FB242B"/>
    <w:rsid w:val="00FB47A6"/>
    <w:rsid w:val="00FB54CD"/>
    <w:rsid w:val="00FC4756"/>
    <w:rsid w:val="00FC6AC2"/>
    <w:rsid w:val="00FC70ED"/>
    <w:rsid w:val="00FE2C29"/>
    <w:rsid w:val="00FE6F71"/>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8AEB"/>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 w:type="character" w:styleId="Odkaznakomentr">
    <w:name w:val="annotation reference"/>
    <w:basedOn w:val="Predvolenpsmoodseku"/>
    <w:uiPriority w:val="99"/>
    <w:semiHidden/>
    <w:unhideWhenUsed/>
    <w:rsid w:val="0066638B"/>
    <w:rPr>
      <w:sz w:val="16"/>
      <w:szCs w:val="16"/>
    </w:rPr>
  </w:style>
  <w:style w:type="paragraph" w:styleId="Textkomentra">
    <w:name w:val="annotation text"/>
    <w:basedOn w:val="Normlny"/>
    <w:link w:val="TextkomentraChar"/>
    <w:uiPriority w:val="99"/>
    <w:semiHidden/>
    <w:unhideWhenUsed/>
    <w:rsid w:val="0066638B"/>
  </w:style>
  <w:style w:type="character" w:customStyle="1" w:styleId="TextkomentraChar">
    <w:name w:val="Text komentára Char"/>
    <w:basedOn w:val="Predvolenpsmoodseku"/>
    <w:link w:val="Textkomentra"/>
    <w:uiPriority w:val="99"/>
    <w:semiHidden/>
    <w:rsid w:val="006663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6638B"/>
    <w:rPr>
      <w:b/>
      <w:bCs/>
    </w:rPr>
  </w:style>
  <w:style w:type="character" w:customStyle="1" w:styleId="PredmetkomentraChar">
    <w:name w:val="Predmet komentára Char"/>
    <w:basedOn w:val="TextkomentraChar"/>
    <w:link w:val="Predmetkomentra"/>
    <w:uiPriority w:val="99"/>
    <w:semiHidden/>
    <w:rsid w:val="0066638B"/>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6B72CC"/>
    <w:pPr>
      <w:spacing w:before="100" w:beforeAutospacing="1" w:after="100" w:afterAutospacing="1"/>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analýza-vplyvov-na-životné-prostredia_CHA_Tisovský_kras"/>
    <f:field ref="objsubject" par="" edit="true" text=""/>
    <f:field ref="objcreatedby" par="" text="Lojková, Silvia, JUDr."/>
    <f:field ref="objcreatedat" par="" text="6.12.2022 12:19:45"/>
    <f:field ref="objchangedby" par="" text="Administrator, System"/>
    <f:field ref="objmodifiedat" par="" text="6.12.2022 12:19: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2.xml><?xml version="1.0" encoding="utf-8"?>
<ds:datastoreItem xmlns:ds="http://schemas.openxmlformats.org/officeDocument/2006/customXml" ds:itemID="{D970F1A4-AEA8-4093-9E41-5B3D2766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5.xml><?xml version="1.0" encoding="utf-8"?>
<ds:datastoreItem xmlns:ds="http://schemas.openxmlformats.org/officeDocument/2006/customXml" ds:itemID="{4B176869-417E-4406-8CD6-9D996BA5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8132</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Lojková Silvia</cp:lastModifiedBy>
  <cp:revision>2</cp:revision>
  <cp:lastPrinted>2022-10-06T08:00:00Z</cp:lastPrinted>
  <dcterms:created xsi:type="dcterms:W3CDTF">2023-01-25T13:56:00Z</dcterms:created>
  <dcterms:modified xsi:type="dcterms:W3CDTF">2023-01-25T13:56:00Z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Tisovský kras bol oznámený Okresným úradom Banská Bystrica dotknutým subjektom v&amp;nbsp;súlade § 50 ods. 1 a 2 zákona č. 543/2002 Z. z. o ochrane prírody a krajiny v znení neskorších predpisov.&lt;/</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chránený areál Tisovský kras</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Článok 4 ods. 4 smernice Rady _x000d_
92/43/EHS z 21. mája 1992 o ochrane prirodzených biotopov a voľne žijúcich živočíchov a rastlín_x000d_
_x000d_
§ 21 ods. 1 a 4 zákona č. 543/2002 Z. z o ochrane prírody a krajiny v znení neskorších predpisov_x000d_
</vt:lpwstr>
  </property>
  <property fmtid="{D5CDD505-2E9C-101B-9397-08002B2CF9AE}" pid="23" name="FSC#SKEDITIONSLOVLEX@103.510:plnynazovpredpis">
    <vt:lpwstr> Nariadenie vlády  Slovenskej republiky, ktorým sa vyhlasuje chránený areál Tisovský kras</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13772/2022-1.15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LP/2022/834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 zv. 2) v platnom znení         gestor: Ministerstvo životného prostredia Slo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2"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21. 10. 2022</vt:lpwstr>
  </property>
  <property fmtid="{D5CDD505-2E9C-101B-9397-08002B2CF9AE}" pid="59" name="FSC#SKEDITIONSLOVLEX@103.510:AttrDateDocPropUkonceniePKK">
    <vt:lpwstr>31. 10. 2022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&lt;p&gt;Takmer celé územie CHA Tisovský kras je súčasťou európskej sústavy chránených území Natura 2000 – územia európskeho významu SKUEV0282 Tisovský kras a&amp;nbsp;Chráneného vtáčieho územia Muránska planina – Stolica.&lt;/p&gt;&lt;p&gt;Na území navrhovaného CHA Tisovský k</vt:lpwstr>
  </property>
  <property fmtid="{D5CDD505-2E9C-101B-9397-08002B2CF9AE}" pid="66" name="FSC#SKEDITIONSLOVLEX@103.510:AttrStrListDocPropAltRiesenia">
    <vt:lpwstr>Vyhlásenie územia za CHA podľa zákona č. 543/2002 Z. z o ochrane prírody a krajiny v znení neskorších predpisov (ďalej len „zákon č. 543/2002 Z. z.“) zabezpečí priaznivý stav predmetov ochrany navrhovaného CHA Tisovský kras, ktorými sú biotopy a druhy eur</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(MŽP SR) predkladá podľa § 21 ods. 1 a&amp;nbsp;4 a § 30 ods. 7 zákona č. 543/2002 Z. z. o&amp;nbsp;ochrane prírody a&amp;nbsp;krajiny v&amp;nbsp;znení neskorších predpisov (ďalej len </vt:lpwstr>
  </property>
  <property fmtid="{D5CDD505-2E9C-101B-9397-08002B2CF9AE}" pid="150" name="FSC#COOSYSTEM@1.1:Container">
    <vt:lpwstr>COO.2145.1000.3.5396009</vt:lpwstr>
  </property>
  <property fmtid="{D5CDD505-2E9C-101B-9397-08002B2CF9AE}" pid="151" name="FSC#FSCFOLIO@1.1001:docpropproject">
    <vt:lpwstr/>
  </property>
  <property fmtid="{D5CDD505-2E9C-101B-9397-08002B2CF9AE}" pid="152" name="ContentTypeId">
    <vt:lpwstr>0x0101007BF2E88B3F78A349989BFD1CB9544B3E</vt:lpwstr>
  </property>
  <property fmtid="{D5CDD505-2E9C-101B-9397-08002B2CF9AE}" pid="153" name="FSC#SKEDITIONSLOVLEX@103.510:vytvorenedna">
    <vt:lpwstr>6. 12. 2022</vt:lpwstr>
  </property>
</Properties>
</file>