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A1C76" w:rsidRPr="00FA1C76" w:rsidRDefault="00FA1C76" w:rsidP="00FA1C76">
            <w:pPr>
              <w:contextualSpacing/>
              <w:rPr>
                <w:rFonts w:ascii="Times New Roman" w:eastAsia="Calibri" w:hAnsi="Times New Roman" w:cs="Times New Roman"/>
                <w:bCs/>
                <w:sz w:val="20"/>
                <w:szCs w:val="20"/>
                <w:lang w:eastAsia="sk-SK"/>
              </w:rPr>
            </w:pPr>
            <w:r w:rsidRPr="00FA1C76">
              <w:rPr>
                <w:rFonts w:ascii="Times New Roman" w:eastAsia="Calibri" w:hAnsi="Times New Roman" w:cs="Times New Roman"/>
                <w:bCs/>
                <w:sz w:val="20"/>
                <w:szCs w:val="20"/>
                <w:lang w:eastAsia="sk-SK"/>
              </w:rPr>
              <w:t>Vlastníci nehnuteľností</w:t>
            </w:r>
          </w:p>
          <w:p w:rsidR="005D57DB" w:rsidRPr="00FA1C76" w:rsidRDefault="00B80C37" w:rsidP="005D57DB">
            <w:pPr>
              <w:pStyle w:val="Odsekzoznamu"/>
              <w:numPr>
                <w:ilvl w:val="0"/>
                <w:numId w:val="15"/>
              </w:numPr>
              <w:ind w:left="284" w:hanging="284"/>
              <w:contextualSpacing/>
              <w:rPr>
                <w:rFonts w:eastAsia="Calibri" w:cs="Times New Roman"/>
                <w:bCs/>
                <w:sz w:val="20"/>
                <w:szCs w:val="20"/>
                <w:lang w:eastAsia="sk-SK"/>
              </w:rPr>
            </w:pPr>
            <w:r w:rsidRPr="00FA1C76">
              <w:rPr>
                <w:rFonts w:eastAsia="Calibri" w:cs="Times New Roman"/>
                <w:bCs/>
                <w:sz w:val="20"/>
                <w:szCs w:val="20"/>
                <w:lang w:eastAsia="sk-SK"/>
              </w:rPr>
              <w:t xml:space="preserve">poskytovanie primeranej náhrady vlastníkovi </w:t>
            </w:r>
            <w:r w:rsidR="005D57DB" w:rsidRPr="00FA1C76">
              <w:rPr>
                <w:rFonts w:eastAsia="Calibri" w:cs="Times New Roman"/>
                <w:bCs/>
                <w:sz w:val="20"/>
                <w:szCs w:val="20"/>
                <w:lang w:eastAsia="sk-SK"/>
              </w:rPr>
              <w:t xml:space="preserve">nehnuteľnosti za obmedzenie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 </w:t>
            </w:r>
          </w:p>
          <w:p w:rsidR="005D57DB" w:rsidRPr="00FA1C76" w:rsidRDefault="005D57DB" w:rsidP="005D57DB">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bCs/>
                <w:sz w:val="20"/>
                <w:szCs w:val="20"/>
                <w:lang w:eastAsia="sk-SK"/>
              </w:rPr>
              <w:t xml:space="preserve">poskytovanie primeranej náhrady vlastníkovi nehnuteľnosti za vyvlastnenie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 </w:t>
            </w:r>
          </w:p>
          <w:p w:rsidR="005D57DB" w:rsidRPr="00FA1C76" w:rsidRDefault="005D57DB" w:rsidP="00032BD5">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bCs/>
                <w:sz w:val="20"/>
                <w:szCs w:val="20"/>
                <w:lang w:eastAsia="sk-SK"/>
              </w:rPr>
              <w:t>poskytovanie primeranej náhrady vlastníkovi nehnuteľnosti za obmedzenie vlastníckeho práva k nehnuteľnosti v nevyhnutnom rozsahu a vo verejnom záujme</w:t>
            </w:r>
            <w:r w:rsidR="0059313D" w:rsidRPr="00FA1C76">
              <w:rPr>
                <w:rFonts w:eastAsia="Calibri" w:cs="Times New Roman"/>
                <w:bCs/>
                <w:sz w:val="20"/>
                <w:szCs w:val="20"/>
                <w:lang w:eastAsia="sk-SK"/>
              </w:rPr>
              <w:t xml:space="preserve"> </w:t>
            </w:r>
            <w:r w:rsidR="0059313D" w:rsidRPr="00FA1C76">
              <w:rPr>
                <w:rFonts w:eastAsia="Calibri" w:cs="Times New Roman"/>
                <w:sz w:val="20"/>
                <w:szCs w:val="20"/>
                <w:lang w:eastAsia="sk-SK"/>
              </w:rPr>
              <w:t>(zhotovovanie a prevádzkovanie stavieb pre špeciálne letecké pozemné zariadenia na cudzej nehnuteľnosti, vstupovanie v súvislosti so zhotovovaním, prevádzkovaním, opravami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údržbou špeciálnych leteckých pozemných zariadení alebo stavieb pre špeciálne letecké pozemné zariadenia na cudziu nehnuteľnosť, vykonávanie nevyhnutných úprav pôdy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jej porastu, najmä odstraňovanie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okliesňovanie stromov a iných porastov ohrozujúcich bezpečnosť a spoľahlivosť prevádzky špeciálnych leteckých pozemných zariadení a</w:t>
            </w:r>
            <w:r w:rsidR="009B7ECA" w:rsidRPr="00FA1C76">
              <w:rPr>
                <w:rFonts w:eastAsia="Calibri" w:cs="Times New Roman"/>
                <w:sz w:val="20"/>
                <w:szCs w:val="20"/>
                <w:lang w:eastAsia="sk-SK"/>
              </w:rPr>
              <w:t> </w:t>
            </w:r>
            <w:r w:rsidR="0059313D" w:rsidRPr="00FA1C76">
              <w:rPr>
                <w:rFonts w:eastAsia="Calibri" w:cs="Times New Roman"/>
                <w:sz w:val="20"/>
                <w:szCs w:val="20"/>
                <w:lang w:eastAsia="sk-SK"/>
              </w:rPr>
              <w:t xml:space="preserve">súvisiacich stavieb) </w:t>
            </w:r>
            <w:r w:rsidRPr="00FA1C76">
              <w:rPr>
                <w:rFonts w:eastAsia="Calibri" w:cs="Times New Roman"/>
                <w:bCs/>
                <w:sz w:val="20"/>
                <w:szCs w:val="20"/>
                <w:lang w:eastAsia="sk-SK"/>
              </w:rPr>
              <w:t>z</w:t>
            </w:r>
            <w:r w:rsidRPr="00FA1C76">
              <w:rPr>
                <w:rFonts w:eastAsia="Calibri" w:cs="Times New Roman"/>
                <w:sz w:val="20"/>
                <w:szCs w:val="20"/>
                <w:lang w:eastAsia="sk-SK"/>
              </w:rPr>
              <w:t xml:space="preserve"> dôvodu zriadenia alebo prevádzkovania </w:t>
            </w:r>
            <w:r w:rsidR="006B4A2C" w:rsidRPr="00FA1C76">
              <w:rPr>
                <w:rFonts w:eastAsia="Calibri" w:cs="Times New Roman"/>
                <w:sz w:val="20"/>
                <w:szCs w:val="20"/>
                <w:lang w:eastAsia="sk-SK"/>
              </w:rPr>
              <w:t xml:space="preserve">špeciálnych leteckých pozemných zariadení, t. j. </w:t>
            </w:r>
            <w:r w:rsidRPr="00FA1C76">
              <w:rPr>
                <w:rFonts w:eastAsia="Calibri" w:cs="Times New Roman"/>
                <w:sz w:val="20"/>
                <w:szCs w:val="20"/>
                <w:lang w:eastAsia="sk-SK"/>
              </w:rPr>
              <w:t xml:space="preserve">leteckých pozemných zariadení určených na poskytovanie leteckých navigačných služieb najviac </w:t>
            </w:r>
            <w:r w:rsidR="0059313D" w:rsidRPr="00FA1C76">
              <w:rPr>
                <w:rFonts w:eastAsia="Calibri" w:cs="Times New Roman"/>
                <w:sz w:val="20"/>
                <w:szCs w:val="20"/>
                <w:lang w:eastAsia="sk-SK"/>
              </w:rPr>
              <w:t>v rozsahu ich ochranných pásem</w:t>
            </w:r>
          </w:p>
          <w:p w:rsidR="00FA1C76" w:rsidRPr="00FA1C76" w:rsidRDefault="00FA1C76" w:rsidP="00FA1C76">
            <w:pPr>
              <w:contextualSpacing/>
              <w:rPr>
                <w:rFonts w:ascii="Times New Roman" w:eastAsia="Calibri" w:hAnsi="Times New Roman" w:cs="Times New Roman"/>
                <w:sz w:val="20"/>
                <w:szCs w:val="20"/>
                <w:lang w:eastAsia="sk-SK"/>
              </w:rPr>
            </w:pPr>
          </w:p>
          <w:p w:rsidR="00FA1C76" w:rsidRPr="00FA1C76" w:rsidRDefault="00FA1C76" w:rsidP="00FA1C76">
            <w:pPr>
              <w:contextualSpacing/>
              <w:jc w:val="both"/>
              <w:rPr>
                <w:rFonts w:ascii="Times New Roman" w:eastAsia="Calibri" w:hAnsi="Times New Roman" w:cs="Times New Roman"/>
                <w:sz w:val="20"/>
                <w:szCs w:val="20"/>
                <w:lang w:eastAsia="sk-SK"/>
              </w:rPr>
            </w:pPr>
            <w:r w:rsidRPr="00FA1C76">
              <w:rPr>
                <w:rFonts w:ascii="Times New Roman" w:eastAsia="Calibri" w:hAnsi="Times New Roman" w:cs="Times New Roman"/>
                <w:sz w:val="20"/>
                <w:szCs w:val="20"/>
                <w:lang w:eastAsia="sk-SK"/>
              </w:rPr>
              <w:t>Vlastníci stavieb a zariadení nestavebnej povahy v ochranných pásmach už prevádzkovaného letiska, heliportu, heliportu HEMS, miesta verejného záujmu alebo osobitného letiska</w:t>
            </w:r>
          </w:p>
          <w:p w:rsidR="00FA1C76" w:rsidRPr="00FA1C76" w:rsidRDefault="00FA1C76" w:rsidP="00FA1C76">
            <w:pPr>
              <w:pStyle w:val="Odsekzoznamu"/>
              <w:numPr>
                <w:ilvl w:val="0"/>
                <w:numId w:val="15"/>
              </w:numPr>
              <w:ind w:left="284" w:hanging="284"/>
              <w:contextualSpacing/>
              <w:rPr>
                <w:rFonts w:eastAsia="Calibri" w:cs="Times New Roman"/>
                <w:sz w:val="20"/>
                <w:szCs w:val="20"/>
                <w:lang w:eastAsia="sk-SK"/>
              </w:rPr>
            </w:pPr>
            <w:r w:rsidRPr="00FA1C76">
              <w:rPr>
                <w:rFonts w:eastAsia="Calibri" w:cs="Times New Roman"/>
                <w:sz w:val="20"/>
                <w:szCs w:val="20"/>
                <w:lang w:eastAsia="sk-SK"/>
              </w:rPr>
              <w:t>náklady na umiestnenie a udržiavanie dodatočného leteckého prekážkového značenia z dôvodu určenia nových ochranných pásem alebo zmeny ochranných pásem už prevádzkovaného letiska, heliportu, heliportu HEMS, miesta verejného záujmu alebo osobitného letiska, náklady znáša prevádzkovateľ letiska, heliportu, heliportu HEMS, miesta verejného záujmu alebo osobitného letisk</w:t>
            </w:r>
            <w:r>
              <w:rPr>
                <w:rFonts w:eastAsia="Calibri" w:cs="Times New Roman"/>
                <w:sz w:val="20"/>
                <w:szCs w:val="20"/>
                <w:lang w:eastAsia="sk-SK"/>
              </w:rPr>
              <w:t>a</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B80C37" w:rsidRDefault="005D57DB" w:rsidP="009B7ECA">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vlastníci </w:t>
            </w:r>
            <w:r w:rsidR="00FA1C76">
              <w:rPr>
                <w:rFonts w:ascii="Times New Roman" w:eastAsia="Calibri" w:hAnsi="Times New Roman" w:cs="Times New Roman"/>
                <w:sz w:val="20"/>
                <w:szCs w:val="20"/>
                <w:lang w:eastAsia="sk-SK"/>
              </w:rPr>
              <w:t xml:space="preserve">nehnuteľností, vlastníci stavieb a zariadení nestavebnej povahy v ochranných pásmach </w:t>
            </w:r>
            <w:r w:rsidR="00FA1C76" w:rsidRPr="00FA1C76">
              <w:rPr>
                <w:rFonts w:ascii="Times New Roman" w:eastAsia="Calibri" w:hAnsi="Times New Roman" w:cs="Times New Roman"/>
                <w:sz w:val="20"/>
                <w:szCs w:val="20"/>
                <w:lang w:eastAsia="sk-SK"/>
              </w:rPr>
              <w:t>už prevádzkovaného letiska, heliportu, heliportu HEMS, miesta verejného záujmu alebo osobitného letiska</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Default="009B7ECA" w:rsidP="009B7ECA">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skutočnosť, že v súčasnosti nie je možné predpokladať, koľko</w:t>
            </w:r>
            <w:r w:rsidRPr="005D57DB">
              <w:rPr>
                <w:rFonts w:ascii="Times New Roman" w:eastAsia="Calibri" w:hAnsi="Times New Roman" w:cs="Times New Roman"/>
                <w:bCs/>
                <w:sz w:val="20"/>
                <w:szCs w:val="20"/>
                <w:lang w:eastAsia="sk-SK"/>
              </w:rPr>
              <w:t xml:space="preserve"> verejných letísk, verejných heliportov, heliportov HEMS, miest verejného záujmu určených na vzlety a pristátia vrtuľníkov používaných na prevádzku HEMS</w:t>
            </w:r>
            <w:r>
              <w:rPr>
                <w:rFonts w:ascii="Times New Roman" w:eastAsia="Calibri" w:hAnsi="Times New Roman" w:cs="Times New Roman"/>
                <w:bCs/>
                <w:sz w:val="20"/>
                <w:szCs w:val="20"/>
                <w:lang w:eastAsia="sk-SK"/>
              </w:rPr>
              <w:t>, leteckých pozemných zariadení a</w:t>
            </w:r>
            <w:r w:rsidR="006B4A2C">
              <w:rPr>
                <w:rFonts w:ascii="Times New Roman" w:eastAsia="Calibri" w:hAnsi="Times New Roman" w:cs="Times New Roman"/>
                <w:bCs/>
                <w:sz w:val="20"/>
                <w:szCs w:val="20"/>
                <w:lang w:eastAsia="sk-SK"/>
              </w:rPr>
              <w:t> </w:t>
            </w:r>
            <w:r w:rsidR="006B4A2C">
              <w:rPr>
                <w:rFonts w:ascii="Times New Roman" w:eastAsia="Calibri" w:hAnsi="Times New Roman" w:cs="Times New Roman"/>
                <w:sz w:val="20"/>
                <w:szCs w:val="20"/>
                <w:lang w:eastAsia="sk-SK"/>
              </w:rPr>
              <w:t xml:space="preserve">špeciálnych leteckých zariadení bude zriadených, nie je možné kvantifikovať </w:t>
            </w:r>
            <w:r w:rsidR="006B4A2C" w:rsidRPr="006B4A2C">
              <w:rPr>
                <w:rFonts w:ascii="Times New Roman" w:eastAsia="Calibri" w:hAnsi="Times New Roman" w:cs="Times New Roman"/>
                <w:sz w:val="20"/>
                <w:szCs w:val="20"/>
                <w:lang w:eastAsia="sk-SK"/>
              </w:rPr>
              <w:t>rast príjmov alebo pokles výdavkov za jednotlivé ovplyvnené skupiny domácností / skupiny jednotlivcov a počet obyvateľstva/domácností ovplyvnených predkladaným návrhom</w:t>
            </w:r>
            <w:r w:rsidR="006B4A2C">
              <w:rPr>
                <w:rFonts w:ascii="Times New Roman" w:eastAsia="Calibri" w:hAnsi="Times New Roman" w:cs="Times New Roman"/>
                <w:sz w:val="20"/>
                <w:szCs w:val="20"/>
                <w:lang w:eastAsia="sk-SK"/>
              </w:rPr>
              <w:t>.</w:t>
            </w:r>
          </w:p>
          <w:p w:rsidR="006B4A2C" w:rsidRDefault="006B4A2C" w:rsidP="009B7ECA">
            <w:pPr>
              <w:jc w:val="both"/>
              <w:rPr>
                <w:rFonts w:ascii="Times New Roman" w:eastAsia="Calibri" w:hAnsi="Times New Roman" w:cs="Times New Roman"/>
                <w:sz w:val="20"/>
                <w:szCs w:val="20"/>
                <w:lang w:eastAsia="sk-SK"/>
              </w:rPr>
            </w:pPr>
          </w:p>
          <w:p w:rsidR="006B4A2C" w:rsidRDefault="006B4A2C" w:rsidP="006B4A2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Kvantifikáciu nie je možné vykonať aj z dôvodu, že ministerstvo nevie predpokladať možnú výšku </w:t>
            </w:r>
            <w:r w:rsidRPr="006B4A2C">
              <w:rPr>
                <w:rFonts w:ascii="Times New Roman" w:eastAsia="Calibri" w:hAnsi="Times New Roman" w:cs="Times New Roman"/>
                <w:sz w:val="20"/>
                <w:szCs w:val="20"/>
                <w:lang w:eastAsia="sk-SK"/>
              </w:rPr>
              <w:t>primeran</w:t>
            </w:r>
            <w:r>
              <w:rPr>
                <w:rFonts w:ascii="Times New Roman" w:eastAsia="Calibri" w:hAnsi="Times New Roman" w:cs="Times New Roman"/>
                <w:sz w:val="20"/>
                <w:szCs w:val="20"/>
                <w:lang w:eastAsia="sk-SK"/>
              </w:rPr>
              <w:t>ej</w:t>
            </w:r>
            <w:r w:rsidRPr="006B4A2C">
              <w:rPr>
                <w:rFonts w:ascii="Times New Roman" w:eastAsia="Calibri" w:hAnsi="Times New Roman" w:cs="Times New Roman"/>
                <w:sz w:val="20"/>
                <w:szCs w:val="20"/>
                <w:lang w:eastAsia="sk-SK"/>
              </w:rPr>
              <w:t xml:space="preserve"> náhrad</w:t>
            </w:r>
            <w:r>
              <w:rPr>
                <w:rFonts w:ascii="Times New Roman" w:eastAsia="Calibri" w:hAnsi="Times New Roman" w:cs="Times New Roman"/>
                <w:sz w:val="20"/>
                <w:szCs w:val="20"/>
                <w:lang w:eastAsia="sk-SK"/>
              </w:rPr>
              <w:t>y</w:t>
            </w:r>
            <w:r w:rsidRPr="006B4A2C">
              <w:rPr>
                <w:rFonts w:ascii="Times New Roman" w:eastAsia="Calibri" w:hAnsi="Times New Roman" w:cs="Times New Roman"/>
                <w:sz w:val="20"/>
                <w:szCs w:val="20"/>
                <w:lang w:eastAsia="sk-SK"/>
              </w:rPr>
              <w:t xml:space="preserve"> zodpovedajúc</w:t>
            </w:r>
            <w:r>
              <w:rPr>
                <w:rFonts w:ascii="Times New Roman" w:eastAsia="Calibri" w:hAnsi="Times New Roman" w:cs="Times New Roman"/>
                <w:sz w:val="20"/>
                <w:szCs w:val="20"/>
                <w:lang w:eastAsia="sk-SK"/>
              </w:rPr>
              <w:t>ej</w:t>
            </w:r>
            <w:r w:rsidRPr="006B4A2C">
              <w:rPr>
                <w:rFonts w:ascii="Times New Roman" w:eastAsia="Calibri" w:hAnsi="Times New Roman" w:cs="Times New Roman"/>
                <w:sz w:val="20"/>
                <w:szCs w:val="20"/>
                <w:lang w:eastAsia="sk-SK"/>
              </w:rPr>
              <w:t xml:space="preserve"> miere obmedzenia využívania nehnuteľnosti</w:t>
            </w:r>
            <w:r>
              <w:rPr>
                <w:rFonts w:ascii="Times New Roman" w:eastAsia="Calibri" w:hAnsi="Times New Roman" w:cs="Times New Roman"/>
                <w:sz w:val="20"/>
                <w:szCs w:val="20"/>
                <w:lang w:eastAsia="sk-SK"/>
              </w:rPr>
              <w:t>, pretože môže byť stanovená na základe vzájomnej dohody, na základe znaleckého posudku alebo a</w:t>
            </w:r>
            <w:r w:rsidRPr="006B4A2C">
              <w:rPr>
                <w:rFonts w:ascii="Times New Roman" w:eastAsia="Calibri" w:hAnsi="Times New Roman" w:cs="Times New Roman"/>
                <w:sz w:val="20"/>
                <w:szCs w:val="20"/>
                <w:lang w:eastAsia="sk-SK"/>
              </w:rPr>
              <w:t>k vlastník nehnuteľnosti s výškou primeranej náhrady nesúhlasí, môže podať súdu návrh na rozhodnutie.</w:t>
            </w:r>
          </w:p>
          <w:p w:rsidR="00FA1C76" w:rsidRDefault="00FA1C76" w:rsidP="006B4A2C">
            <w:pPr>
              <w:jc w:val="both"/>
              <w:rPr>
                <w:rFonts w:ascii="Times New Roman" w:eastAsia="Calibri" w:hAnsi="Times New Roman" w:cs="Times New Roman"/>
                <w:sz w:val="20"/>
                <w:szCs w:val="20"/>
                <w:lang w:eastAsia="sk-SK"/>
              </w:rPr>
            </w:pPr>
          </w:p>
          <w:p w:rsidR="00FA1C76" w:rsidRPr="002644DE" w:rsidRDefault="00FA1C76" w:rsidP="006B4A2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Keďže v súčasnosti nie je možné predpokladať v koľkých prípadoch bude potrebné zmeniť ochranné pásma a</w:t>
            </w:r>
            <w:bookmarkStart w:id="0" w:name="_GoBack"/>
            <w:bookmarkEnd w:id="0"/>
            <w:r>
              <w:rPr>
                <w:rFonts w:ascii="Times New Roman" w:eastAsia="Calibri" w:hAnsi="Times New Roman" w:cs="Times New Roman"/>
                <w:sz w:val="20"/>
                <w:szCs w:val="20"/>
                <w:lang w:eastAsia="sk-SK"/>
              </w:rPr>
              <w:t>lebo zriadiť nové ochranné pásma, nie je nie je možné vykonať</w:t>
            </w:r>
            <w:r w:rsidR="000E37FF">
              <w:rPr>
                <w:rFonts w:ascii="Times New Roman" w:eastAsia="Calibri" w:hAnsi="Times New Roman" w:cs="Times New Roman"/>
                <w:sz w:val="20"/>
                <w:szCs w:val="20"/>
                <w:lang w:eastAsia="sk-SK"/>
              </w:rPr>
              <w:t xml:space="preserve"> požadovanú kvantifikáciu.</w:t>
            </w:r>
            <w:r>
              <w:rPr>
                <w:rFonts w:ascii="Times New Roman" w:eastAsia="Calibri" w:hAnsi="Times New Roman" w:cs="Times New Roman"/>
                <w:sz w:val="20"/>
                <w:szCs w:val="20"/>
                <w:lang w:eastAsia="sk-SK"/>
              </w:rPr>
              <w:t xml:space="preserve"> </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E0DC9" w:rsidP="00CE0DC9">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lastRenderedPageBreak/>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E0DC9" w:rsidRPr="002644DE" w:rsidRDefault="00B80C37" w:rsidP="002644DE">
            <w:pPr>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E0DC9" w:rsidRPr="002644DE" w:rsidRDefault="00B80C37"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E0DC9" w:rsidRPr="002644DE" w:rsidRDefault="00CE0DC9" w:rsidP="002644DE">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185A34" w:rsidRPr="00185A34" w:rsidRDefault="00185A34" w:rsidP="00C1627C">
            <w:pPr>
              <w:jc w:val="both"/>
              <w:rPr>
                <w:rFonts w:ascii="Times New Roman" w:eastAsia="Calibri" w:hAnsi="Times New Roman" w:cs="Times New Roman"/>
                <w:bCs/>
                <w:sz w:val="20"/>
                <w:szCs w:val="20"/>
                <w:lang w:eastAsia="sk-SK"/>
              </w:rPr>
            </w:pPr>
            <w:r w:rsidRPr="00185A34">
              <w:rPr>
                <w:rFonts w:ascii="Times New Roman" w:eastAsia="Calibri" w:hAnsi="Times New Roman" w:cs="Times New Roman"/>
                <w:bCs/>
                <w:sz w:val="20"/>
                <w:szCs w:val="20"/>
                <w:lang w:eastAsia="sk-SK"/>
              </w:rPr>
              <w:t>Vplyvy na vlastníkov nehnuteľností</w:t>
            </w:r>
            <w:r w:rsidR="00C1627C">
              <w:rPr>
                <w:rFonts w:ascii="Times New Roman" w:eastAsia="Calibri" w:hAnsi="Times New Roman" w:cs="Times New Roman"/>
                <w:bCs/>
                <w:sz w:val="20"/>
                <w:szCs w:val="20"/>
                <w:lang w:eastAsia="sk-SK"/>
              </w:rPr>
              <w:t xml:space="preserve"> (už existujúci podľa platnej legislatívy)</w:t>
            </w:r>
          </w:p>
          <w:p w:rsidR="00185A34" w:rsidRPr="00185A34" w:rsidRDefault="00185A34" w:rsidP="00185A34">
            <w:pPr>
              <w:pStyle w:val="Odsekzoznamu"/>
              <w:numPr>
                <w:ilvl w:val="0"/>
                <w:numId w:val="9"/>
              </w:numPr>
              <w:ind w:left="284" w:hanging="284"/>
              <w:rPr>
                <w:rFonts w:eastAsia="Calibri" w:cs="Times New Roman"/>
                <w:bCs/>
                <w:sz w:val="20"/>
                <w:szCs w:val="20"/>
                <w:lang w:eastAsia="sk-SK"/>
              </w:rPr>
            </w:pPr>
            <w:r w:rsidRPr="00185A34">
              <w:rPr>
                <w:rFonts w:eastAsia="Calibri" w:cs="Times New Roman"/>
                <w:bCs/>
                <w:sz w:val="20"/>
                <w:szCs w:val="20"/>
                <w:lang w:eastAsia="sk-SK"/>
              </w:rPr>
              <w:t>obmedzenie vlastníckeho práva k nehnuteľnosti z dôvodu zriadenia alebo prevádzkovania verejných letísk, verejných heliportov, heliportov HEMS, miest verejného záujmu určených na vzlety a pristátia vrtuľníkov používaných na prevádzku HEMS a s tým súvisiace činnosti a leteckých pozemných zariadení vrátane ich ochranných pásem</w:t>
            </w:r>
          </w:p>
          <w:p w:rsidR="002644DE" w:rsidRPr="00185A34" w:rsidRDefault="005D57DB" w:rsidP="00185A34">
            <w:pPr>
              <w:pStyle w:val="Odsekzoznamu"/>
              <w:numPr>
                <w:ilvl w:val="0"/>
                <w:numId w:val="9"/>
              </w:numPr>
              <w:ind w:left="284" w:hanging="284"/>
              <w:rPr>
                <w:rFonts w:eastAsia="Calibri" w:cs="Times New Roman"/>
                <w:sz w:val="20"/>
                <w:szCs w:val="20"/>
                <w:lang w:eastAsia="sk-SK"/>
              </w:rPr>
            </w:pPr>
            <w:r w:rsidRPr="00185A34">
              <w:rPr>
                <w:rFonts w:eastAsia="Calibri" w:cs="Times New Roman"/>
                <w:bCs/>
                <w:sz w:val="20"/>
                <w:szCs w:val="20"/>
                <w:lang w:eastAsia="sk-SK"/>
              </w:rPr>
              <w:t>obmedzenie vlastníckeho práva k</w:t>
            </w:r>
            <w:r w:rsidR="006B4A2C" w:rsidRPr="00185A34">
              <w:rPr>
                <w:rFonts w:eastAsia="Calibri" w:cs="Times New Roman"/>
                <w:bCs/>
                <w:sz w:val="20"/>
                <w:szCs w:val="20"/>
                <w:lang w:eastAsia="sk-SK"/>
              </w:rPr>
              <w:t> </w:t>
            </w:r>
            <w:r w:rsidRPr="00185A34">
              <w:rPr>
                <w:rFonts w:eastAsia="Calibri" w:cs="Times New Roman"/>
                <w:bCs/>
                <w:sz w:val="20"/>
                <w:szCs w:val="20"/>
                <w:lang w:eastAsia="sk-SK"/>
              </w:rPr>
              <w:t>nehnuteľnosti</w:t>
            </w:r>
            <w:r w:rsidR="006B4A2C" w:rsidRPr="00185A34">
              <w:rPr>
                <w:rFonts w:eastAsia="Calibri" w:cs="Times New Roman"/>
                <w:bCs/>
                <w:sz w:val="20"/>
                <w:szCs w:val="20"/>
                <w:lang w:eastAsia="sk-SK"/>
              </w:rPr>
              <w:t xml:space="preserve"> </w:t>
            </w:r>
            <w:r w:rsidR="00185A34" w:rsidRPr="00185A34">
              <w:rPr>
                <w:rFonts w:eastAsia="Calibri" w:cs="Times New Roman"/>
                <w:bCs/>
                <w:sz w:val="20"/>
                <w:szCs w:val="20"/>
                <w:lang w:eastAsia="sk-SK"/>
              </w:rPr>
              <w:t xml:space="preserve">- </w:t>
            </w:r>
            <w:r w:rsidR="006B4A2C" w:rsidRPr="00185A34">
              <w:rPr>
                <w:rFonts w:eastAsia="Calibri" w:cs="Times New Roman"/>
                <w:sz w:val="20"/>
                <w:szCs w:val="20"/>
                <w:lang w:eastAsia="sk-SK"/>
              </w:rPr>
              <w:t>zhotovovanie a</w:t>
            </w:r>
            <w:r w:rsidR="00185A34" w:rsidRPr="00185A34">
              <w:rPr>
                <w:rFonts w:eastAsia="Calibri" w:cs="Times New Roman"/>
                <w:sz w:val="20"/>
                <w:szCs w:val="20"/>
                <w:lang w:eastAsia="sk-SK"/>
              </w:rPr>
              <w:t> </w:t>
            </w:r>
            <w:r w:rsidR="006B4A2C" w:rsidRPr="00185A34">
              <w:rPr>
                <w:rFonts w:eastAsia="Calibri" w:cs="Times New Roman"/>
                <w:sz w:val="20"/>
                <w:szCs w:val="20"/>
                <w:lang w:eastAsia="sk-SK"/>
              </w:rPr>
              <w:t>prevádzkovanie</w:t>
            </w:r>
            <w:r w:rsidR="00185A34" w:rsidRPr="00185A34">
              <w:rPr>
                <w:rFonts w:eastAsia="Calibri" w:cs="Times New Roman"/>
                <w:sz w:val="20"/>
                <w:szCs w:val="20"/>
                <w:lang w:eastAsia="sk-SK"/>
              </w:rPr>
              <w:t xml:space="preserve"> </w:t>
            </w:r>
            <w:r w:rsidR="006B4A2C" w:rsidRPr="00185A34">
              <w:rPr>
                <w:rFonts w:eastAsia="Calibri" w:cs="Times New Roman"/>
                <w:sz w:val="20"/>
                <w:szCs w:val="20"/>
                <w:lang w:eastAsia="sk-SK"/>
              </w:rPr>
              <w:t>stavieb pre špeciálne letecké pozemné zariadenia na cudzej nehnuteľnosti, vstupovanie v súvislosti so zhotovovaním, prevádzkovaním, opravami a údržbou špeciálnych leteckých pozemných zariadení alebo stavieb pre špeciálne letecké pozemné zariadenia na cudziu nehnuteľnosť, vykonávanie nevyhnutných úprav pôdy a jej porastu, najmä odstraňovanie a okliesňovanie stromov a iných porastov ohrozujúcich bezpečnosť a spoľahlivosť prevádzky špeciálnych leteckých pozemných zariadení a súvisiacich stavieb</w:t>
            </w:r>
          </w:p>
          <w:p w:rsidR="00185A34" w:rsidRPr="00185A34" w:rsidRDefault="00185A34" w:rsidP="00185A34">
            <w:pPr>
              <w:pStyle w:val="Odsekzoznamu"/>
              <w:rPr>
                <w:rFonts w:eastAsia="Calibri" w:cs="Times New Roman"/>
                <w:bCs/>
                <w:sz w:val="20"/>
                <w:szCs w:val="20"/>
                <w:lang w:eastAsia="sk-SK"/>
              </w:rPr>
            </w:pPr>
          </w:p>
          <w:p w:rsidR="00C1627C" w:rsidRPr="00185A34" w:rsidRDefault="00185A34" w:rsidP="00C1627C">
            <w:pPr>
              <w:jc w:val="both"/>
              <w:rPr>
                <w:rFonts w:ascii="Times New Roman" w:eastAsia="Calibri" w:hAnsi="Times New Roman" w:cs="Times New Roman"/>
                <w:bCs/>
                <w:sz w:val="20"/>
                <w:szCs w:val="20"/>
                <w:lang w:eastAsia="sk-SK"/>
              </w:rPr>
            </w:pPr>
            <w:r w:rsidRPr="00185A34">
              <w:rPr>
                <w:rFonts w:ascii="Times New Roman" w:eastAsia="Calibri" w:hAnsi="Times New Roman" w:cs="Times New Roman"/>
                <w:bCs/>
                <w:sz w:val="20"/>
                <w:szCs w:val="20"/>
                <w:lang w:eastAsia="sk-SK"/>
              </w:rPr>
              <w:t>Vplyvy na používateľov vzdušného priestoru</w:t>
            </w:r>
            <w:r w:rsidR="00C1627C">
              <w:rPr>
                <w:rFonts w:ascii="Times New Roman" w:eastAsia="Calibri" w:hAnsi="Times New Roman" w:cs="Times New Roman"/>
                <w:bCs/>
                <w:sz w:val="20"/>
                <w:szCs w:val="20"/>
                <w:lang w:eastAsia="sk-SK"/>
              </w:rPr>
              <w:t xml:space="preserve"> (už existujúci podľa platnej legislatívy)</w:t>
            </w:r>
          </w:p>
          <w:p w:rsidR="00185A34" w:rsidRPr="00185A34" w:rsidRDefault="00185A34" w:rsidP="00185A34">
            <w:pPr>
              <w:pStyle w:val="Odsekzoznamu"/>
              <w:numPr>
                <w:ilvl w:val="0"/>
                <w:numId w:val="9"/>
              </w:numPr>
              <w:ind w:left="284" w:hanging="284"/>
              <w:rPr>
                <w:rFonts w:eastAsia="Calibri" w:cs="Times New Roman"/>
                <w:sz w:val="20"/>
                <w:szCs w:val="20"/>
                <w:lang w:eastAsia="sk-SK"/>
              </w:rPr>
            </w:pPr>
            <w:r w:rsidRPr="00185A34">
              <w:rPr>
                <w:rFonts w:eastAsia="Calibri" w:cs="Times New Roman"/>
                <w:sz w:val="20"/>
                <w:szCs w:val="20"/>
                <w:lang w:eastAsia="sk-SK"/>
              </w:rPr>
              <w:t>obmedzenie alebo zákaz vykonávania určených civilných letov v určenej časti vzdušného priestoru z obranných a bezpečnostných dôvodov, z dôvodov bezpečnosti civilného letectva alebo pri ohrození verejného zdravia</w:t>
            </w:r>
          </w:p>
          <w:p w:rsidR="00185A34" w:rsidRPr="00185A34" w:rsidRDefault="00185A34" w:rsidP="00185A34">
            <w:pPr>
              <w:rPr>
                <w:rFonts w:ascii="Times New Roman" w:eastAsia="Calibri" w:hAnsi="Times New Roman" w:cs="Times New Roman"/>
                <w:sz w:val="20"/>
                <w:szCs w:val="20"/>
                <w:lang w:eastAsia="sk-SK"/>
              </w:rPr>
            </w:pPr>
          </w:p>
          <w:p w:rsidR="00C1627C" w:rsidRPr="00185A34" w:rsidRDefault="00C1627C" w:rsidP="00C1627C">
            <w:pPr>
              <w:jc w:val="both"/>
              <w:rPr>
                <w:rFonts w:ascii="Times New Roman" w:eastAsia="Calibri" w:hAnsi="Times New Roman" w:cs="Times New Roman"/>
                <w:bCs/>
                <w:sz w:val="20"/>
                <w:szCs w:val="20"/>
                <w:lang w:eastAsia="sk-SK"/>
              </w:rPr>
            </w:pPr>
            <w:r w:rsidRPr="00C1627C">
              <w:rPr>
                <w:rFonts w:ascii="Times New Roman" w:eastAsia="Calibri" w:hAnsi="Times New Roman" w:cs="Times New Roman"/>
                <w:sz w:val="20"/>
                <w:szCs w:val="20"/>
                <w:lang w:eastAsia="sk-SK"/>
              </w:rPr>
              <w:t>Vplyvy na letecký personál</w:t>
            </w:r>
            <w:r>
              <w:rPr>
                <w:rFonts w:ascii="Times New Roman" w:eastAsia="Calibri" w:hAnsi="Times New Roman" w:cs="Times New Roman"/>
                <w:sz w:val="20"/>
                <w:szCs w:val="20"/>
                <w:lang w:eastAsia="sk-SK"/>
              </w:rPr>
              <w:t xml:space="preserve"> </w:t>
            </w:r>
            <w:r>
              <w:rPr>
                <w:rFonts w:ascii="Times New Roman" w:eastAsia="Calibri" w:hAnsi="Times New Roman" w:cs="Times New Roman"/>
                <w:bCs/>
                <w:sz w:val="20"/>
                <w:szCs w:val="20"/>
                <w:lang w:eastAsia="sk-SK"/>
              </w:rPr>
              <w:t>(už existujúci podľa platnej legislatívy)</w:t>
            </w:r>
          </w:p>
          <w:p w:rsidR="00C1627C" w:rsidRPr="00C1627C" w:rsidRDefault="00C1627C" w:rsidP="00C1627C">
            <w:pPr>
              <w:pStyle w:val="Odsekzoznamu"/>
              <w:numPr>
                <w:ilvl w:val="0"/>
                <w:numId w:val="9"/>
              </w:numPr>
              <w:ind w:left="284" w:hanging="284"/>
              <w:rPr>
                <w:rFonts w:eastAsia="Calibri" w:cs="Times New Roman"/>
                <w:sz w:val="20"/>
                <w:szCs w:val="20"/>
                <w:lang w:eastAsia="sk-SK"/>
              </w:rPr>
            </w:pPr>
            <w:r w:rsidRPr="00C1627C">
              <w:rPr>
                <w:rFonts w:eastAsia="Calibri" w:cs="Times New Roman"/>
                <w:sz w:val="20"/>
                <w:szCs w:val="20"/>
                <w:lang w:eastAsia="sk-SK"/>
              </w:rPr>
              <w:t xml:space="preserve">vekové obmedzenie na vykonávanie jednotlivých druhov letov alebo činností </w:t>
            </w:r>
          </w:p>
          <w:p w:rsidR="00C1627C" w:rsidRDefault="00C1627C" w:rsidP="00C1627C">
            <w:pPr>
              <w:rPr>
                <w:rFonts w:ascii="Times New Roman" w:eastAsia="Calibri" w:hAnsi="Times New Roman" w:cs="Times New Roman"/>
                <w:sz w:val="20"/>
                <w:szCs w:val="20"/>
                <w:lang w:eastAsia="sk-SK"/>
              </w:rPr>
            </w:pPr>
          </w:p>
          <w:p w:rsidR="00C1627C" w:rsidRPr="00C1627C" w:rsidRDefault="00C1627C" w:rsidP="00C1627C">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Vplyv na vlastníkov nehnuteľností alebo hnuteľností </w:t>
            </w:r>
            <w:r>
              <w:rPr>
                <w:rFonts w:ascii="Times New Roman" w:eastAsia="Calibri" w:hAnsi="Times New Roman" w:cs="Times New Roman"/>
                <w:bCs/>
                <w:sz w:val="20"/>
                <w:szCs w:val="20"/>
                <w:lang w:eastAsia="sk-SK"/>
              </w:rPr>
              <w:t>(už existujúci podľa platnej legislatívy)</w:t>
            </w:r>
          </w:p>
          <w:p w:rsidR="00C1627C" w:rsidRDefault="00C1627C" w:rsidP="00C1627C">
            <w:pPr>
              <w:pStyle w:val="Odsekzoznamu"/>
              <w:numPr>
                <w:ilvl w:val="0"/>
                <w:numId w:val="9"/>
              </w:numPr>
              <w:rPr>
                <w:rFonts w:eastAsia="Calibri" w:cs="Times New Roman"/>
                <w:sz w:val="20"/>
                <w:szCs w:val="20"/>
                <w:lang w:eastAsia="sk-SK"/>
              </w:rPr>
            </w:pPr>
            <w:r>
              <w:rPr>
                <w:rFonts w:eastAsia="Calibri" w:cs="Times New Roman"/>
                <w:sz w:val="20"/>
                <w:szCs w:val="20"/>
                <w:lang w:eastAsia="sk-SK"/>
              </w:rPr>
              <w:t>potrebný súhlas Dopravného úradu na umiestnenie určených stavieb alebo zariadení nestavebnej povahy,</w:t>
            </w:r>
            <w:r w:rsidRPr="00C1627C">
              <w:rPr>
                <w:rFonts w:eastAsia="Calibri" w:cs="Times New Roman"/>
                <w:sz w:val="20"/>
                <w:szCs w:val="20"/>
                <w:lang w:eastAsia="sk-SK"/>
              </w:rPr>
              <w:t xml:space="preserve"> vykonávanie činností alebo využívanie územia mimo ochranných pásem, ktoré by svojimi vlastnosťami mohli ohroziť bezpečnosť leteckej prevádzky</w:t>
            </w:r>
          </w:p>
          <w:p w:rsidR="005B219F" w:rsidRPr="005B219F" w:rsidRDefault="005B219F" w:rsidP="005B219F">
            <w:pPr>
              <w:rPr>
                <w:rFonts w:ascii="Times New Roman" w:eastAsia="Calibri" w:hAnsi="Times New Roman" w:cs="Times New Roman"/>
                <w:sz w:val="20"/>
                <w:szCs w:val="20"/>
                <w:lang w:eastAsia="sk-SK"/>
              </w:rPr>
            </w:pPr>
          </w:p>
          <w:p w:rsidR="005B219F" w:rsidRPr="005B219F" w:rsidRDefault="005B219F" w:rsidP="005B219F">
            <w:pPr>
              <w:jc w:val="both"/>
              <w:rPr>
                <w:rFonts w:ascii="Times New Roman" w:eastAsia="Calibri" w:hAnsi="Times New Roman" w:cs="Times New Roman"/>
                <w:sz w:val="20"/>
                <w:szCs w:val="20"/>
                <w:lang w:eastAsia="sk-SK"/>
              </w:rPr>
            </w:pPr>
            <w:r w:rsidRPr="005B219F">
              <w:rPr>
                <w:rFonts w:ascii="Times New Roman" w:eastAsia="Calibri" w:hAnsi="Times New Roman" w:cs="Times New Roman"/>
                <w:sz w:val="20"/>
                <w:szCs w:val="20"/>
                <w:lang w:eastAsia="sk-SK"/>
              </w:rPr>
              <w:t>Vplyv na stavebníkov a</w:t>
            </w:r>
            <w:r>
              <w:rPr>
                <w:rFonts w:ascii="Times New Roman" w:eastAsia="Calibri" w:hAnsi="Times New Roman" w:cs="Times New Roman"/>
                <w:sz w:val="20"/>
                <w:szCs w:val="20"/>
                <w:lang w:eastAsia="sk-SK"/>
              </w:rPr>
              <w:t> </w:t>
            </w:r>
            <w:r w:rsidRPr="005B219F">
              <w:rPr>
                <w:rFonts w:ascii="Times New Roman" w:eastAsia="Calibri" w:hAnsi="Times New Roman" w:cs="Times New Roman"/>
                <w:sz w:val="20"/>
                <w:szCs w:val="20"/>
                <w:lang w:eastAsia="sk-SK"/>
              </w:rPr>
              <w:t xml:space="preserve">vlastníkov stavieb alebo zariadení nestavebnej povahy v ochranných pásmach letísk, heliportov, heliportov HEMS, miest verejného záujmu alebo v ochranných pásmach osobitných letísk a stavebníkov a vlastníkov stavieb alebo zariadení nestavebnej povahy mimo ochranných pásem </w:t>
            </w:r>
          </w:p>
          <w:p w:rsidR="00185A34" w:rsidRPr="00185A34" w:rsidRDefault="005B219F" w:rsidP="008921FC">
            <w:pPr>
              <w:pStyle w:val="Odsekzoznamu"/>
              <w:numPr>
                <w:ilvl w:val="0"/>
                <w:numId w:val="9"/>
              </w:numPr>
              <w:rPr>
                <w:rFonts w:eastAsia="Calibri" w:cs="Times New Roman"/>
                <w:sz w:val="20"/>
                <w:szCs w:val="20"/>
                <w:lang w:eastAsia="sk-SK"/>
              </w:rPr>
            </w:pPr>
            <w:r>
              <w:rPr>
                <w:rFonts w:eastAsia="Calibri" w:cs="Times New Roman"/>
                <w:sz w:val="20"/>
                <w:szCs w:val="20"/>
                <w:lang w:eastAsia="sk-SK"/>
              </w:rPr>
              <w:t xml:space="preserve">povinnosť </w:t>
            </w:r>
            <w:r w:rsidRPr="005B219F">
              <w:rPr>
                <w:rFonts w:eastAsia="Calibri" w:cs="Times New Roman"/>
                <w:sz w:val="20"/>
                <w:szCs w:val="20"/>
                <w:lang w:eastAsia="sk-SK"/>
              </w:rPr>
              <w:t xml:space="preserve">na vlastné náklady umiestniť a udržiavať na takýchto stavbách alebo zariadeniach nestavebnej povahy funkčné letecké prekážkové značenie a bez zbytočného odkladu oznámiť Dopravnému úradu zmenu jeho </w:t>
            </w:r>
            <w:r>
              <w:rPr>
                <w:rFonts w:eastAsia="Calibri" w:cs="Times New Roman"/>
                <w:sz w:val="20"/>
                <w:szCs w:val="20"/>
                <w:lang w:eastAsia="sk-SK"/>
              </w:rPr>
              <w:t>prevádzkyschopnosti</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domácnosti s nízkym príjmom (napr. žijúce iba zo sociálnych príjmov, alebo z príjmov </w:t>
            </w:r>
            <w:r w:rsidRPr="002644DE">
              <w:rPr>
                <w:rFonts w:ascii="Times New Roman" w:eastAsia="Calibri" w:hAnsi="Times New Roman" w:cs="Times New Roman"/>
                <w:i/>
                <w:sz w:val="18"/>
                <w:szCs w:val="18"/>
                <w:lang w:eastAsia="sk-SK"/>
              </w:rPr>
              <w:lastRenderedPageBreak/>
              <w:t>pod hranicou rizika chudoby, alebo s príjmom pod životným minimom, alebo patriace medzi 25% domácností s najnižším príjmom),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CE0DC9" w:rsidP="002644DE">
            <w:pPr>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rPr>
                <w:rFonts w:ascii="Times New Roman" w:eastAsia="Calibri" w:hAnsi="Times New Roman" w:cs="Times New Roman"/>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p w:rsidR="002644DE" w:rsidRPr="002644DE" w:rsidRDefault="002644DE" w:rsidP="002644DE">
            <w:pPr>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CE0DC9" w:rsidP="002644DE">
            <w:pPr>
              <w:rPr>
                <w:rFonts w:ascii="Times New Roman" w:eastAsia="Calibri" w:hAnsi="Times New Roman" w:cs="Times New Roman"/>
                <w:i/>
                <w:sz w:val="20"/>
              </w:rPr>
            </w:pPr>
            <w:r>
              <w:rPr>
                <w:rFonts w:ascii="Times New Roman" w:eastAsia="Calibri" w:hAnsi="Times New Roman" w:cs="Times New Roman"/>
                <w:i/>
                <w:sz w:val="20"/>
              </w:rPr>
              <w:t>-</w:t>
            </w:r>
          </w:p>
          <w:p w:rsidR="002644DE" w:rsidRPr="002644DE" w:rsidRDefault="002644DE" w:rsidP="002644DE">
            <w:pPr>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CE0DC9" w:rsidP="002644DE">
            <w:pPr>
              <w:jc w:val="both"/>
              <w:rPr>
                <w:rFonts w:ascii="Times New Roman" w:eastAsia="Calibri" w:hAnsi="Times New Roman" w:cs="Times New Roman"/>
                <w:sz w:val="20"/>
              </w:rPr>
            </w:pPr>
            <w:r>
              <w:rPr>
                <w:rFonts w:ascii="Times New Roman" w:eastAsia="Calibri" w:hAnsi="Times New Roman" w:cs="Times New Roman"/>
                <w:sz w:val="20"/>
              </w:rPr>
              <w:t>-</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CE0DC9" w:rsidP="002644DE">
            <w:pPr>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CE0DC9" w:rsidP="002644DE">
            <w:pPr>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E0DC9" w:rsidP="002644DE">
            <w:pPr>
              <w:rPr>
                <w:rFonts w:ascii="Times New Roman" w:eastAsia="Calibri" w:hAnsi="Times New Roman" w:cs="Times New Roman"/>
                <w:sz w:val="20"/>
              </w:rPr>
            </w:pPr>
            <w:r>
              <w:rPr>
                <w:rFonts w:ascii="Times New Roman" w:eastAsia="Calibri" w:hAnsi="Times New Roman" w:cs="Times New Roman"/>
                <w:sz w:val="20"/>
              </w:rPr>
              <w:t>-</w:t>
            </w:r>
          </w:p>
        </w:tc>
      </w:tr>
    </w:tbl>
    <w:p w:rsidR="002644DE" w:rsidRPr="002644DE" w:rsidRDefault="002644DE" w:rsidP="002644DE">
      <w:pPr>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9B5BB6" w:rsidP="009B5BB6">
            <w:pPr>
              <w:jc w:val="both"/>
              <w:rPr>
                <w:rFonts w:ascii="Times New Roman" w:eastAsia="Calibri" w:hAnsi="Times New Roman" w:cs="Times New Roman"/>
                <w:sz w:val="20"/>
                <w:szCs w:val="18"/>
              </w:rPr>
            </w:pPr>
            <w:r>
              <w:rPr>
                <w:rFonts w:ascii="Times New Roman" w:eastAsia="Calibri" w:hAnsi="Times New Roman" w:cs="Times New Roman"/>
                <w:sz w:val="20"/>
                <w:szCs w:val="18"/>
              </w:rPr>
              <w:t>Vytvorením legislatívnych podmienok, v niektorých prípadoch zjednodušených v porovnaní s právne záväznými aktmi Európskej únie, vytvorením „chýbajúcich“ podmienok na výkon činnosti v civilnom letectve by mohli vznikať nové pracovné miesta v oblasti civilného letectva ako takého. Ako príklad možno uviesť v oblasti výkonu činností prostredníctvom bezpilotných lietadiel, bezpilotných leteckých systémov, v oblasti výroby a údržby. Avšak akýkoľvek vznik pracovných miest je silno ovplyvnený aktuálnymi podmienkami na trhu, pričom možno uviesť, že oblasť civilného letectva je jednou z najviac ovplyvnených oblastí hospodárstva pri akomkoľvek „výkyve“ na trhu, napr. ceny ropných produktov, obmedzenia alebo zákazy prijaté štátmi vo vzťahu k vykonávaniu letov a pod.</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8921FC" w:rsidP="00CE0DC9">
            <w:pPr>
              <w:jc w:val="both"/>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E0DC9" w:rsidP="002644DE">
            <w:pPr>
              <w:rPr>
                <w:rFonts w:ascii="Times New Roman" w:eastAsia="Calibri" w:hAnsi="Times New Roman" w:cs="Times New Roman"/>
                <w:sz w:val="20"/>
                <w:szCs w:val="18"/>
              </w:rPr>
            </w:pPr>
            <w:r>
              <w:rPr>
                <w:rFonts w:ascii="Times New Roman" w:eastAsia="Calibri" w:hAnsi="Times New Roman" w:cs="Times New Roman"/>
                <w:sz w:val="20"/>
                <w:szCs w:val="18"/>
              </w:rPr>
              <w:t>-</w:t>
            </w:r>
          </w:p>
        </w:tc>
      </w:tr>
    </w:tbl>
    <w:p w:rsidR="00274130" w:rsidRDefault="00CE5012" w:rsidP="00741252">
      <w:pPr>
        <w:outlineLvl w:val="0"/>
      </w:pPr>
    </w:p>
    <w:sectPr w:rsidR="00274130" w:rsidSect="00741252">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12" w:rsidRDefault="00CE5012" w:rsidP="002644DE">
      <w:r>
        <w:separator/>
      </w:r>
    </w:p>
  </w:endnote>
  <w:endnote w:type="continuationSeparator" w:id="0">
    <w:p w:rsidR="00CE5012" w:rsidRDefault="00CE5012" w:rsidP="002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8138F">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8138F">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12" w:rsidRDefault="00CE5012" w:rsidP="002644DE">
      <w:r>
        <w:separator/>
      </w:r>
    </w:p>
  </w:footnote>
  <w:footnote w:type="continuationSeparator" w:id="0">
    <w:p w:rsidR="00CE5012" w:rsidRDefault="00CE5012" w:rsidP="0026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CB25467"/>
    <w:multiLevelType w:val="hybridMultilevel"/>
    <w:tmpl w:val="0526E2EC"/>
    <w:lvl w:ilvl="0" w:tplc="1582915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56C04C5"/>
    <w:multiLevelType w:val="hybridMultilevel"/>
    <w:tmpl w:val="EB92EE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3"/>
  </w:num>
  <w:num w:numId="5">
    <w:abstractNumId w:val="9"/>
  </w:num>
  <w:num w:numId="6">
    <w:abstractNumId w:val="10"/>
  </w:num>
  <w:num w:numId="7">
    <w:abstractNumId w:val="4"/>
  </w:num>
  <w:num w:numId="8">
    <w:abstractNumId w:val="8"/>
  </w:num>
  <w:num w:numId="9">
    <w:abstractNumId w:val="6"/>
  </w:num>
  <w:num w:numId="10">
    <w:abstractNumId w:val="0"/>
  </w:num>
  <w:num w:numId="11">
    <w:abstractNumId w:val="11"/>
  </w:num>
  <w:num w:numId="12">
    <w:abstractNumId w:val="12"/>
  </w:num>
  <w:num w:numId="13">
    <w:abstractNumId w:val="14"/>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E37FF"/>
    <w:rsid w:val="000F6D6F"/>
    <w:rsid w:val="00185A34"/>
    <w:rsid w:val="002644DE"/>
    <w:rsid w:val="00382021"/>
    <w:rsid w:val="0040256B"/>
    <w:rsid w:val="00433C47"/>
    <w:rsid w:val="00445234"/>
    <w:rsid w:val="0059313D"/>
    <w:rsid w:val="005B219F"/>
    <w:rsid w:val="005D2201"/>
    <w:rsid w:val="005D57DB"/>
    <w:rsid w:val="00636449"/>
    <w:rsid w:val="006B4A2C"/>
    <w:rsid w:val="00741252"/>
    <w:rsid w:val="007E57E7"/>
    <w:rsid w:val="007F58AE"/>
    <w:rsid w:val="007F6319"/>
    <w:rsid w:val="008801B5"/>
    <w:rsid w:val="008921FC"/>
    <w:rsid w:val="0095188C"/>
    <w:rsid w:val="009B5BB6"/>
    <w:rsid w:val="009B7ECA"/>
    <w:rsid w:val="009E09F7"/>
    <w:rsid w:val="00AC222C"/>
    <w:rsid w:val="00B80C37"/>
    <w:rsid w:val="00BD141A"/>
    <w:rsid w:val="00C1627C"/>
    <w:rsid w:val="00CC42AE"/>
    <w:rsid w:val="00CE0DC9"/>
    <w:rsid w:val="00CE5012"/>
    <w:rsid w:val="00DD3CE8"/>
    <w:rsid w:val="00E8138F"/>
    <w:rsid w:val="00F16414"/>
    <w:rsid w:val="00FA1C76"/>
    <w:rsid w:val="00FE1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67D1"/>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2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2644DE"/>
    <w:rPr>
      <w:sz w:val="20"/>
      <w:szCs w:val="20"/>
    </w:rPr>
  </w:style>
  <w:style w:type="character" w:customStyle="1" w:styleId="TextpoznmkypodiarouChar">
    <w:name w:val="Text poznámky pod čiarou Char"/>
    <w:basedOn w:val="Predvolenpsmoodseku"/>
    <w:link w:val="Textpoznmkypodiarou"/>
    <w:uiPriority w:val="99"/>
    <w:rsid w:val="002644DE"/>
    <w:rPr>
      <w:sz w:val="20"/>
      <w:szCs w:val="20"/>
    </w:rPr>
  </w:style>
  <w:style w:type="paragraph" w:styleId="Pta">
    <w:name w:val="footer"/>
    <w:basedOn w:val="Normlny"/>
    <w:link w:val="PtaChar"/>
    <w:uiPriority w:val="99"/>
    <w:unhideWhenUsed/>
    <w:rsid w:val="002644DE"/>
    <w:pPr>
      <w:tabs>
        <w:tab w:val="center" w:pos="4536"/>
        <w:tab w:val="right" w:pos="9072"/>
      </w:tabs>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uiPriority w:val="99"/>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pPr>
  </w:style>
  <w:style w:type="character" w:customStyle="1" w:styleId="HlavikaChar">
    <w:name w:val="Hlavička Char"/>
    <w:basedOn w:val="Predvolenpsmoodseku"/>
    <w:link w:val="Hlavika"/>
    <w:uiPriority w:val="99"/>
    <w:rsid w:val="0095188C"/>
  </w:style>
  <w:style w:type="paragraph" w:styleId="Odsekzoznamu">
    <w:name w:val="List Paragraph"/>
    <w:aliases w:val="body,Odsek zoznamu2,Odsek zoznamu1,Odsek,List Paragraph,Table of contents numbered"/>
    <w:basedOn w:val="Normlny"/>
    <w:link w:val="OdsekzoznamuChar"/>
    <w:uiPriority w:val="34"/>
    <w:qFormat/>
    <w:rsid w:val="005D57DB"/>
    <w:pPr>
      <w:ind w:left="567" w:hanging="567"/>
      <w:jc w:val="both"/>
    </w:pPr>
    <w:rPr>
      <w:rFonts w:ascii="Times New Roman" w:hAnsi="Times New Roman"/>
      <w:sz w:val="24"/>
    </w:rPr>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5D57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2580</Words>
  <Characters>14706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13</cp:revision>
  <dcterms:created xsi:type="dcterms:W3CDTF">2021-06-01T09:16:00Z</dcterms:created>
  <dcterms:modified xsi:type="dcterms:W3CDTF">2023-02-01T19:02:00Z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