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84037" w:rsidRDefault="00684037">
      <w:pPr>
        <w:jc w:val="center"/>
        <w:divId w:val="1992715535"/>
        <w:rPr>
          <w:rFonts w:ascii="Times" w:hAnsi="Times" w:cs="Times"/>
          <w:sz w:val="25"/>
          <w:szCs w:val="25"/>
        </w:rPr>
      </w:pPr>
      <w:r>
        <w:rPr>
          <w:rFonts w:ascii="Times" w:hAnsi="Times" w:cs="Times"/>
          <w:sz w:val="25"/>
          <w:szCs w:val="25"/>
        </w:rPr>
        <w:t xml:space="preserve">Zákon,ktorým sa mení a dopĺňa zákon č. 566/2001 Z. z. o cenných papieroch a investičných službách a o zmene a doplnení niektorých zákonov (zákon o cenných papieroch) v znení neskorších predpisov a ktorým sa </w:t>
      </w:r>
      <w:r w:rsidR="002F6FFF">
        <w:rPr>
          <w:rFonts w:ascii="Times" w:hAnsi="Times" w:cs="Times"/>
          <w:sz w:val="25"/>
          <w:szCs w:val="25"/>
        </w:rPr>
        <w:t>menia a dopĺňajú niektoré zákony</w:t>
      </w:r>
      <w:bookmarkStart w:id="0" w:name="_GoBack"/>
      <w:bookmarkEnd w:id="0"/>
      <w:r>
        <w:rPr>
          <w:rFonts w:ascii="Times" w:hAnsi="Times" w:cs="Times"/>
          <w:sz w:val="25"/>
          <w:szCs w:val="25"/>
        </w:rPr>
        <w:t xml:space="preserve">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84037" w:rsidP="00684037">
            <w:pPr>
              <w:spacing w:after="0" w:line="240" w:lineRule="auto"/>
              <w:rPr>
                <w:rFonts w:ascii="Times New Roman" w:hAnsi="Times New Roman" w:cs="Calibri"/>
                <w:sz w:val="20"/>
                <w:szCs w:val="20"/>
              </w:rPr>
            </w:pPr>
            <w:r>
              <w:rPr>
                <w:rFonts w:ascii="Times" w:hAnsi="Times" w:cs="Times"/>
                <w:sz w:val="25"/>
                <w:szCs w:val="25"/>
              </w:rPr>
              <w:t>11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84037" w:rsidP="00684037">
            <w:pPr>
              <w:spacing w:after="0" w:line="240" w:lineRule="auto"/>
              <w:rPr>
                <w:rFonts w:ascii="Times New Roman" w:hAnsi="Times New Roman" w:cs="Calibri"/>
                <w:sz w:val="20"/>
                <w:szCs w:val="20"/>
              </w:rPr>
            </w:pPr>
            <w:r>
              <w:rPr>
                <w:rFonts w:ascii="Times" w:hAnsi="Times" w:cs="Times"/>
                <w:sz w:val="25"/>
                <w:szCs w:val="25"/>
              </w:rPr>
              <w:t>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84037" w:rsidP="00684037">
            <w:pPr>
              <w:spacing w:after="0" w:line="240" w:lineRule="auto"/>
              <w:rPr>
                <w:rFonts w:ascii="Times New Roman" w:hAnsi="Times New Roman" w:cs="Calibri"/>
                <w:sz w:val="20"/>
                <w:szCs w:val="20"/>
              </w:rPr>
            </w:pPr>
            <w:r>
              <w:rPr>
                <w:rFonts w:ascii="Times" w:hAnsi="Times" w:cs="Times"/>
                <w:sz w:val="25"/>
                <w:szCs w:val="25"/>
              </w:rPr>
              <w:t>8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84037" w:rsidP="00684037">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84037" w:rsidP="00684037">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84037" w:rsidRDefault="0068403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84037">
        <w:trPr>
          <w:divId w:val="40923409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Vôbec nezaslali</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Burza cenných papierov v Bratislave, a.s.</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sz w:val="20"/>
                <w:szCs w:val="20"/>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sz w:val="20"/>
                <w:szCs w:val="20"/>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8 (6o,2z)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sz w:val="20"/>
                <w:szCs w:val="20"/>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x</w:t>
            </w:r>
          </w:p>
        </w:tc>
      </w:tr>
      <w:tr w:rsidR="00684037">
        <w:trPr>
          <w:divId w:val="409234091"/>
          <w:jc w:val="center"/>
        </w:trPr>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11 (9o,2z)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84037" w:rsidRDefault="0068403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lastRenderedPageBreak/>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84037" w:rsidRDefault="0068403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Spôsob vyhodnotenia</w:t>
            </w: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BCPB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BCPB si dovoľuje vzniesť zásadnú pripomienku k navrhovanému zneniu zákona. BCPB navrhuje v súvislosti s novelou zákona č. 566/2001 Z.z. o cenných papieroch a investičných službách a o zmene a doplnení niektorých zákonov v znení neskorších predpisov (ďalej len „ZoCP“) aj širšie zmeny v legislatíve kapitálového trhu, týkajúce sa konkrétne zákona č. 429/2002 Z.z. o burze cenných papierov v znení neskorších predpisov (ďalej len „zákon o burze“). Pandémia ochorenia COVID-19, vojna na Ukrajine a s nimi spojená rastúca inflácia a energetická kríza vytvárajú silný nákladový tlak aj na podnikateľov pôsobiacich na kapitálovom trhu. Preto máme za to, že je vhodné odstrániť z legislatívy tie požiadavky na subjekty kapitálového trhu, ktoré možno vzhľadom na ich obsah a povahu považovať za gold plating. Nižšie navrhované paragrafové znenie obsahuje dve zásadné zmeny. Prvá zmena zavádza možnosť burzy obchodovať s cennými papiermi s nízkym rizikovým profilom, ktoré sa neobchodujú na regulovanom trhu alebo mnohostrannom obchodnom systéme organizovanom touto burzou. Dôvodom tejto zmeny je naplnenie požiadavky zákona č. 513/1991 Zb., Obchodný zákonník v znení neskorších predpisov, podľa ktorej je štatutárny orgán spoločnosti zodpovedný za hospodárenie spoločnosti vrátane efektívneho nakladania a zhodnocovania vlastného majetku spoločnosti. Druhá zmena a na ňu nadväzujúce vyvolané zmeny zákona o burze zrušuje inštitucionalizované </w:t>
            </w:r>
            <w:r>
              <w:rPr>
                <w:rFonts w:ascii="Times" w:hAnsi="Times" w:cs="Times"/>
                <w:sz w:val="25"/>
                <w:szCs w:val="25"/>
              </w:rPr>
              <w:lastRenderedPageBreak/>
              <w:t xml:space="preserve">zakotvenie kontroly burzových obchodov v podobe útvaru inšpekcie burzových obchodov a zavádza nový flexibilnejší systém určenia zamestnancov, ktorí sú zodpovední za výkon kontrolnej činnosti. Nový navrhovaný systém organizačného zabezpečenia kontroly/inšpekcie burzových obchodov je v súlade s požiadavkami európskej legislatívy (najmä delegované nariadenie 2017/584) a rovnako naďalej zabezpečuje vysokú úroveň informovanosti NBS ako orgánu dohľadu o výsledkoch inšpekčnej činnosti. No robí tak spôsobom, ktorý rešpektuje objem obchodov, rozsah a povahu slovenského kapitálového trhu a zabezpečuje konkurencieschopnosť BCPB voči iným burzám ako napr. BCPP, ktoré nemajú obdobne inštitucionalizovaný systém kontroly/inšpekcie burzových obchodov. Návrh legislatívneho znenia: Čl. II 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zákona č. 177/2018 Z. z., zákona č. 373/2018 Z. z., zákona č. 340/2020 Z. z., zákona č. 209/2021 Z. z., zákona č. 310/2021 Z. z., a zákona č. 208/2022 Z. z. sa mení a dopĺňa takto: 1. V § 2 ods. 5 sa na konci pripájajú tieto vety: „Zákaz obchodovania s cennými papiermi sa nevzťahuje na obchodovanie s vysoko likvidnými finančnými nástrojmi s minimálnym trhovým a </w:t>
            </w:r>
            <w:r>
              <w:rPr>
                <w:rFonts w:ascii="Times" w:hAnsi="Times" w:cs="Times"/>
                <w:sz w:val="25"/>
                <w:szCs w:val="25"/>
              </w:rPr>
              <w:lastRenderedPageBreak/>
              <w:t xml:space="preserve">úverovým rizikom, ktoré sú nadobúdané na účely správy vlastného majetku burzy, ak tieto finančné nástroje nie sú obchodované na regulovanom trhu alebo mnohostrannom obchodnom systéme, ktoré organizuje burza. Burza nesmie vykonávať pokyny klientov voči vlastnému kapitálu alebo zapojiť sa do obchodovania párovaním voči vlastnému účtu na žiadnom z regulovaných trhov, ktoré organizuje.“. 2. V § 4 ods. 2 písm. d), § 4 ods. 3 písm. h) a § 4 ods. 4 písm. d) sa čiarka za slovami „dozornej rady“ nahrádza slovom „a“ a vypúšťajú sa slová „a za vedúceho útvaru inšpekcie burzových obchodov“. 3. V § 4 ods. 8 sa vypúšťajú slová „a za vedúceho útvaru inšpekcie burzových obchodov“. 4. V § 6 ods. 1 písm. b) sa čiarka za slovom „burzy“ nahrádza slovom „a“ a vypúšťajú sa slová „a za vedúceho útvaru inšpekcie burzových obchodov“. 5. V § 10 ods. 1 sa vypúšťa písmeno c). Doterajšie písmená d) až h) sa označujú ako písmená c) až g). 6. Nadpis § 13 znie „Kontrola burzových obchodov“. 7. V § 13 ods. 1 znie: „(1) Burza je povinná zabezpečiť kontrolu burzových obchodov podľa osobitného predpisu.19a“. Poznámka pod čiarou k odkazu 19a znie: „19a) Delegované nariadenie (EÚ) 2017/584 zo 14. júla 2016, ktorým sa dopĺňa smernica Európskeho parlamentu a Rady 2014/65/EÚ, pokiaľ ide o regulačné technické predpisy bližšie určujúce organizačné požiadavky na obchodné miesta (Ú. v. EÚ L 87, 31.3.2017).“. 8. V § 13 ods. 2 sa slová „Útvar inšpekcie burzových obchodov“ nahrádzajú slovami „Zamestnanec zodpovedný za výkon činností podľa ods. 1“ a slová „útvaru inšpekcie burzových obchodov“ sa nahrádzajú slovom „burzy“. 9. V § 13 od. 3 prvej vete sa slová „útvaru inšpekcie burzových obchodov“ nahrádzajú slovami </w:t>
            </w:r>
            <w:r>
              <w:rPr>
                <w:rFonts w:ascii="Times" w:hAnsi="Times" w:cs="Times"/>
                <w:sz w:val="25"/>
                <w:szCs w:val="25"/>
              </w:rPr>
              <w:lastRenderedPageBreak/>
              <w:t xml:space="preserve">„zamestnancom zodpovedným za výkon činností podľa ods. 1“ a v druhej vete sa slová „útvaru inšpekcie burzových obchodov“ nahrádzajú slovom „podľa odseku 1“. 10. Doterajšie odseky 4 a 5 sa vypúšťajú. Doterajšie odseky 6 až 11 sa označujú ako odseky 4 až 9. 11. V § 13 ods. 4 prvej vete sa slová „útvar inšpekcie burzových obchodov“ nahrádzajú slovami „zamestnanec zodpovedný za výkon činností podľa ods. 1“, v druhej vete sa slová „Útvar inšpekcie burzových obchodov“ nahrádzajú slovami „Zamestnanec zodpovedný za výkon činností podľa ods. 1“. 12. V § 13 ods. 5 sa slová „Útvar inšpekcie burzových obchodov“ nahrádzajú slovami „Zamestnanec zodpovedný za výkon činností podľa ods. 1“ a vypúšťajú sa slová „a vedúci útvaru inšpekcie burzových obchodov“. 13. V § 13 ods. 6 sa slová „útvar inšpekcie burzových obchodov“ nahrádzajú slovami „zamestnanec zodpovedný za výkon činností podľa ods. 1“. 14. V § 13 ods. 7 sa slová „Útvar inšpekcie burzových obchodov“ nahrádzajú slovami „Zamestnanec zodpovedný za výkon činností podľa ods. 1“. 15. V § 13 ods. 8 sa slová „útvaru inšpekcie burzových obchodov“ nahrádzajú slovami „Zamestnanec zodpovedný za výkon činností podľa ods. 1“. 16. V § 13 ods. 9 sa slová „útvaru inšpekcie burzových obchodov sa“ nahrádzajú slovami „zamestnanca zodpovedného za výkon činností podľa ods. 1 sa primerane“ a číslo „10“ sa nahrádza číslom „8“. 17. V § 14 ods. 1 sa čiarka za slovami „dozornej rady“ nahrádza slovom „a“ a vypúšťajú sa slová „a za vedúcim útvaru inšpekcie burzových obchodov“. 18. V § 14 ods. 2 sa druhá veta nahrádza vetou, ktorá znie: „Burza je povinná mať vo svojej organizačnej štruktúre zamestnanca alebo zamestnancov alebo organizačný útvar zodpovedajúcich za výkon </w:t>
            </w:r>
            <w:r>
              <w:rPr>
                <w:rFonts w:ascii="Times" w:hAnsi="Times" w:cs="Times"/>
                <w:sz w:val="25"/>
                <w:szCs w:val="25"/>
              </w:rPr>
              <w:lastRenderedPageBreak/>
              <w:t>činností podľa § 13 ods. 1.“. 19. V § 17 ods. 3 písmeno b) znie: „b) zamestnancom burzy zodpovedným za výkon činností podľa § 13 ods. 1.“. 20. V § 17 ods. 4 sa slová „útvaru inšpekcie burzových obchodov“ nahrádzajú slovami „zamestnancom burzy zodpovedným za výkon činností podľa § 13 ods. 1“, slová „útvar inšpekcie burzových obchodov“ sa nahrádzajú slovom „burzu“, a slová „ods. 7“ sa nahrádzajú slovami „ods. 5“. 21. V § 21 ods. 3 a § 21 ods. 4 sa slová „útvaru inšpekcie burzových obchodov“ nahrádzajú slovami „zamestnancom zodpovedným za výkon činností podľa § 13 ods. 1“. 22. V § 38 ods. 3 druhej vete sa slová „Útvar inšpekcie burzových obchodov“ nahrádzajú slovom „ Burza“. 23. V § 52 ods. 3 písm. e) sa slová „13 ods. 6“ nahrádzajú slovami „13 ods. 3“. 24. V § 59 ods. 2 sa slová „vedúceho útvar inšpekcie burzových obchodov“ nahrádzajú slovom „burzu“ a slová „podľa § 13 ods. 3“ sa nahrádzajú slovami „slúžiaceho na kontrolu obchodov“. 25. V § 60 ods. 3 prvej vete sa čiarka za slovami „generálnemu riaditeľovi“ nahrádza slovom „alebo“ a vypúšťajú sa slová „alebo vedúcemu útvaru inšpekcie burzových obchodov“.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zvážiť možnosť registrovania práva požadovať nadobudnutie akcií obdobne, ako je to v prípade práva požadovať prevod akcií pri jednoduchej spoločnosti na akcie. Odôvodnenie: Zákon č. 513/1991 Zb. Obchodný zákonník v znení neskorších predpisov v § 220w umožňuje v prípade jednoduchej spoločnosti na akcie dojednať právo pridať sa k prevodu akcií, právo požadovať prevod akcií a právo požadovať nadobudnutie akcií. </w:t>
            </w:r>
            <w:r>
              <w:rPr>
                <w:rFonts w:ascii="Times" w:hAnsi="Times" w:cs="Times"/>
                <w:sz w:val="25"/>
                <w:szCs w:val="25"/>
              </w:rPr>
              <w:lastRenderedPageBreak/>
              <w:t>Právo pridať sa k prevodu akcií a právo požadovať prevod akcií môžu byť dohodnuté aj ako registrované, aj ako neregistrované. Registrácia práv sa vykonáva podľa ustanovení § 107j a nasl. zákona č. 566/2001 Z. z. o cenných papieroch a investičných službách a o zmene a doplnení niektorých zákonov (zákon o cenných papieroch) v znení neskorších predpisov. Registrácia priznáva týmto právam vecno-právny charakter, pôsobia pri prevode akcií na základe zmluvy aj voči právnym nástupcom majiteľa akcií, s ktorými je spojená povinnosť zodpovedajúca týmto právam. Ak ich oprávnený nevykoná, zostávajú mu zachované aj voči právnemu nástupcovi majiteľa akcií, s ktorými je spojená povinnosť zodpovedajúca týmto právam. Na strane druhej, právo požadovať nadobudnutie akcií môže byť dojednané len ako neregistrované. Z tohto dôvodu za účelom zvýšenia právnej istoty a priznania tomuto právu obdobné vecno-právne účinky, ako majú práva registrované, navrhujeme zvážiť doplnenie možnosti registrovať aj právo požadovať nadobudnutie akcií. Uvedeným návrhom by sa zároveň splnila úloha C. 57. z uznesenia vlády SR č. 79/2022.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sz w:val="25"/>
                <w:szCs w:val="25"/>
              </w:rPr>
              <w:t>Uvedená pripomienka je nad rámec návrhu zákona. Uvedená problematika sa týka Obchodného zákonníka, ktorý je v gescii Ministerstva spravodlivosti SR ako aj uvedená úloha C.57. uznesenia vlády SR č. 79/2022.</w:t>
            </w: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súlade s Jednotnou metodikou na posudzovanie vybraných vplyvov odporúčame Doložku vybraných vplyvov vyplniť vo všetkých povinných častiach (v časti 8. Preskúmanie účelnosti - uviesť termín, kedy by malo dôjsť k preskúmaniu účinnosti a účelnosti predkladaného materiálu a kritériá, na základe ktorých bude preskúmanie vykonané, v časti 12. Zdroje - uviesť zdroje údajov potrebných pri vypracovaní Doložky vybraných vplyvov a </w:t>
            </w:r>
            <w:r>
              <w:rPr>
                <w:rFonts w:ascii="Times" w:hAnsi="Times" w:cs="Times"/>
                <w:sz w:val="25"/>
                <w:szCs w:val="25"/>
              </w:rPr>
              <w:lastRenderedPageBreak/>
              <w:t>príslušných analýz a v časti 13. Stanovisko Komisie pre posudzovanie vybraných vplyvov z PPK - doplniť toto stanovisko spolu s číslom stanoviska, zároveň je potrebné vyznačiť aké stanovisko bolo Komisiou vydané).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Čl. III k účinnosti čl. I bodov 1 a 15</w:t>
            </w:r>
            <w:r>
              <w:rPr>
                <w:rFonts w:ascii="Times" w:hAnsi="Times" w:cs="Times"/>
                <w:sz w:val="25"/>
                <w:szCs w:val="25"/>
              </w:rPr>
              <w:br/>
              <w:t>Návrh zákona v čl. III ustanovuje vo vzťahu k čl. I bodom 1 a 15 ako účinnosť deň vyhlásenia v Zbierke zákonov SR, napriek skutočnosti, že čl. 18 ods. 2 nariadenia Európskeho parlamentu a Rady (EÚ) 2022/858 z 30. mája 2022 o pilotnom režime pre trhové infraštruktúry založené na technológii distribuovanej databázy transakcií a o zmene nariadení (EÚ) č. 600/2014 a (EÚ) č. 909/2014 a smernice 2014/65/EÚ (ďalej len „nariadenie“) ustanovuje ako najskorší možný dátum účinnosti (uplatňovania) navrhovaných ustanovení 23. marec 2023, nie však skorší dátum. V nadväznosti na potrebu zosúladiť navrhovanú účinnosť implementovaných ustanovení navrhujeme upraviť dátum účinnosti čl. I bodov 1 a 15 na 23. marec 2023. V prípade, ak nebude možné dodržať termín prijatia a účinnosti implementovaných ustanovení (23. marec 2023), čl. 18 ods. 2 nariadenia umožňuje využiť predĺženie tejto lehoty, najviac však o šesť mesiacov od 23. marca 2023 za predpokladu, že Slovenská republika oznámi Európskej komisii potrebu využiť toto predĺženie, a to do 23. marca 2023. Odôvodnenie: Ide o pripomienku, ktorou sa zosúlaďuje navrhovaná účinnosť implementovaných ustanovení (čl. I body 1 a 15 návrhu) s ustanovením čl. 18 ods. 2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sz w:val="25"/>
                <w:szCs w:val="25"/>
              </w:rPr>
              <w:t xml:space="preserve">Vzhľadom na dĺžku legislatívneho procesu predpokladáme zverejnenie predmetného návrhu zákona v Zbierke zákonov SR po 23. marci 2023. </w:t>
            </w: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Čl. I nad rámec návrhu (doplnenie nových novelizačných bodov)</w:t>
            </w:r>
            <w:r>
              <w:rPr>
                <w:rFonts w:ascii="Times" w:hAnsi="Times" w:cs="Times"/>
                <w:sz w:val="25"/>
                <w:szCs w:val="25"/>
              </w:rPr>
              <w:br/>
              <w:t>V čl. I navrhujeme doplniť nové novelizačné body 4 a 5, ktoré znejú: „4. V § 71n ods. 11 prvej vete sa slová „vytvárania finančných nástrojov“ nahrádzajú slovami „správy produktov“. 5. V § 71n ods. 13 úvodnej vete sa za slovom „povinností“ vypúšťa čiarka a slová „ktoré sa týkajú vytvárania finančného nástroja“ sa nahrádzajú slovami „pri správe produktov“.“. Odôvodnenie: Ide o pripomienky, ktoré vyplynuli z aplikačnej praxe a z potreby zosúladenia znenia príslušných ustanovení zákona s ustanovením čl. 10 ods. 8 a 10 delegovanej smernice Komisie (EÚ) 2017/593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keďže platné a účinné znenie príslušných ustanovení je mätúce pre dotknuté subjekty, pretože ustanovená povinnosť sa má týkať všetkých povinností (činností) pri správe produktov (t. j. pri ich vytváraní a súčasne aj distribúcii, nielen pri vytváraní).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Čl. I nad rámec návrhu (doplnenie nového novelizačného bodu)</w:t>
            </w:r>
            <w:r>
              <w:rPr>
                <w:rFonts w:ascii="Times" w:hAnsi="Times" w:cs="Times"/>
                <w:sz w:val="25"/>
                <w:szCs w:val="25"/>
              </w:rPr>
              <w:br/>
              <w:t xml:space="preserve">V čl. I navrhujeme doplniť nový novelizačný bod 3, ktorý znie: „3. V § 13 ods. 1 sa na konci bodka nahrádza čiarkou a pripájajú sa tieto slová: „a to vrátane prípadov, ak sa stane majetkom emitenta alebo ak je v prípade zaknihovaného cenného papiera </w:t>
            </w:r>
            <w:r>
              <w:rPr>
                <w:rFonts w:ascii="Times" w:hAnsi="Times" w:cs="Times"/>
                <w:sz w:val="25"/>
                <w:szCs w:val="25"/>
              </w:rPr>
              <w:lastRenderedPageBreak/>
              <w:t>pripísaný na účet emitenta.“.“. Účinnosť tohto novelizačného bodu navrhujeme ustanoviť dňom vyhlásenia zákona v Zbierke zákonov SR. Odôvodnenie: Účelom návrhu úpravy platného a účinného znenia ustanovenia o vydaní cenného papiera (§ 13 ods. 1) je spresnenie reagujúce na súčasnú prax vydávania cenných papierov, ktorá sa realizuje s cieľom rýchlosti a jednoduchosti procesu vydávania cenných papierov. Navrhované spresnenie Národná banka Slovenska považuje za nevyhnutné pre dosiahnutie právnej istoty pri vydávaní cenných papierov v záujme vylúčenia interpretačných problémov a výkladových nejasností.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Čl. II nad rámec návrhu</w:t>
            </w:r>
            <w:r>
              <w:rPr>
                <w:rFonts w:ascii="Times" w:hAnsi="Times" w:cs="Times"/>
                <w:sz w:val="25"/>
                <w:szCs w:val="25"/>
              </w:rPr>
              <w:br/>
              <w:t>V čl. II navrhujeme doplniť nový novelizačný bod 1, ktorý znie: „1. V § 8b ods. 2 písm. c) sa nad slovom „predpisu” odkaz „26)” a v § 38 ods. 5 druhej vete sa nad slovom „predpisu” odkaz „26a)” nahrádzajú odkazom „44f)”. Poznámka pod čiarou k odkazu 44f znie: „44f) § 68 ods. 4 písm. d) Obchodného zákonníka.”.”. Doterajší novelizačný bod je potrebné v nadväznosti na to označiť ako bod 2. Odôvodnenie: Pripomienkou sa navrhuje nahradiť vecne nesprávne odkazy vecne správnym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Čl. I, bod 13</w:t>
            </w:r>
            <w:r>
              <w:rPr>
                <w:rFonts w:ascii="Times" w:hAnsi="Times" w:cs="Times"/>
                <w:sz w:val="25"/>
                <w:szCs w:val="25"/>
              </w:rPr>
              <w:br/>
              <w:t>V novelizačnom bode 13 je potrebné za slová „ods. 2 sa“ vložiť slová „pred doterajšie písmeno a)“.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sz w:val="25"/>
                <w:szCs w:val="25"/>
              </w:rPr>
              <w:t xml:space="preserve">Zvolenú legislatívnu techniku považujeme za vhodnejšiu. </w:t>
            </w: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Čl. I, bod 5</w:t>
            </w:r>
            <w:r>
              <w:rPr>
                <w:rFonts w:ascii="Times" w:hAnsi="Times" w:cs="Times"/>
                <w:sz w:val="25"/>
                <w:szCs w:val="25"/>
              </w:rPr>
              <w:br/>
              <w:t>V novelizačnom bode 5 je potrebné na konci za slovom „eur“ bodku nahradiť čiarkou.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Čl. II</w:t>
            </w:r>
            <w:r>
              <w:rPr>
                <w:rFonts w:ascii="Times" w:hAnsi="Times" w:cs="Times"/>
                <w:sz w:val="25"/>
                <w:szCs w:val="25"/>
              </w:rPr>
              <w:br/>
              <w:t>V novelizačnom bode je potrebné citované odkazy v súlade s bodom 39.1. prílohy č. 1 k Legislatívnym pravidlám vlády Slovenskej republiky uvádzať prostredníctvom horného indexu.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p>
        </w:tc>
      </w:tr>
      <w:tr w:rsidR="00684037">
        <w:trPr>
          <w:divId w:val="10556613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znení novej vety v § 10 ods. 3 navrhujeme v písmene b) vypustiť čiarku a na konci pripojiť slovo „alebo“, súčasne navrhujeme znenie písmena c) nahradiť novým znením takto: „c) dlhopisy imobilizované u centrálneho depozitára alebo zahraničného centrálneho depozitára pri ich vydaní“ a vypustiť písmená d) a e). Odôvodnenie: Na účely efektívneho dohľadu je potrebné mať k dispozícii relevantné množstvo informácií, preto je nevyhnutné, aby bola výnimka z povinnosti vydávať dlhopisy v zaknihovanej podobe čo najužšia, a teda aby čo najmenej dlhopisov mohlo byť vydávaných v listinnej podobe. Zároveň požiadavka na riešenie úlohy C.24 z uznesenia vlády Slovenskej republiky č. 8 z 12. januára 2022 k Akčnému plánu boja proti legalizácii výnosov z trestnej činnosti, financovaniu terorizmu a financovaniu proliferácie zbraní hromadného ničenia s výhľadom do roku 2024, v rámci ktorej vyplýva Ministerstvu financií Slovenskej republiky v spolupráci s Ministerstvom vnútra Slovenskej republiky vykonať opatrenia na zníženie rizika v </w:t>
            </w:r>
            <w:r>
              <w:rPr>
                <w:rFonts w:ascii="Times" w:hAnsi="Times" w:cs="Times"/>
                <w:sz w:val="25"/>
                <w:szCs w:val="25"/>
              </w:rPr>
              <w:lastRenderedPageBreak/>
              <w:t>oblasti legalizácie výnosov z trestnej činnosti a financovania terorizmu pri emitovaní dlhopisov nevyžadujúcich predloženie prospektu takou právnickou osobou, ktorá nie je regulovaným subjektom alebo subjektom, ktorého akcie nie sú verejne obchodovateľné, by takýmto spôsobom (zúžením výnimky) bola splnená nad rámec požiadaviek z tohto Akčného plánu. Vzhľadom na existujúcu prax navrhujeme zároveň doplniť výnimku pre imobilizované dlhopisy centrálnymi depozitármi pri ich vydaní.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84037" w:rsidRDefault="0068403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30" w:rsidRDefault="00317130" w:rsidP="000A67D5">
      <w:pPr>
        <w:spacing w:after="0" w:line="240" w:lineRule="auto"/>
      </w:pPr>
      <w:r>
        <w:separator/>
      </w:r>
    </w:p>
  </w:endnote>
  <w:endnote w:type="continuationSeparator" w:id="0">
    <w:p w:rsidR="00317130" w:rsidRDefault="0031713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30" w:rsidRDefault="00317130" w:rsidP="000A67D5">
      <w:pPr>
        <w:spacing w:after="0" w:line="240" w:lineRule="auto"/>
      </w:pPr>
      <w:r>
        <w:separator/>
      </w:r>
    </w:p>
  </w:footnote>
  <w:footnote w:type="continuationSeparator" w:id="0">
    <w:p w:rsidR="00317130" w:rsidRDefault="0031713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87BF9"/>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F6FFF"/>
    <w:rsid w:val="00310A55"/>
    <w:rsid w:val="00317130"/>
    <w:rsid w:val="00322014"/>
    <w:rsid w:val="0039526D"/>
    <w:rsid w:val="003B435B"/>
    <w:rsid w:val="003D101C"/>
    <w:rsid w:val="003D5E45"/>
    <w:rsid w:val="003E4226"/>
    <w:rsid w:val="004075B2"/>
    <w:rsid w:val="00436C44"/>
    <w:rsid w:val="00474A9D"/>
    <w:rsid w:val="00532574"/>
    <w:rsid w:val="0059081C"/>
    <w:rsid w:val="005B1EF4"/>
    <w:rsid w:val="005E7C53"/>
    <w:rsid w:val="00642FB8"/>
    <w:rsid w:val="00684037"/>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E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4091">
      <w:bodyDiv w:val="1"/>
      <w:marLeft w:val="0"/>
      <w:marRight w:val="0"/>
      <w:marTop w:val="0"/>
      <w:marBottom w:val="0"/>
      <w:divBdr>
        <w:top w:val="none" w:sz="0" w:space="0" w:color="auto"/>
        <w:left w:val="none" w:sz="0" w:space="0" w:color="auto"/>
        <w:bottom w:val="none" w:sz="0" w:space="0" w:color="auto"/>
        <w:right w:val="none" w:sz="0" w:space="0" w:color="auto"/>
      </w:divBdr>
    </w:div>
    <w:div w:id="442846891">
      <w:bodyDiv w:val="1"/>
      <w:marLeft w:val="0"/>
      <w:marRight w:val="0"/>
      <w:marTop w:val="0"/>
      <w:marBottom w:val="0"/>
      <w:divBdr>
        <w:top w:val="none" w:sz="0" w:space="0" w:color="auto"/>
        <w:left w:val="none" w:sz="0" w:space="0" w:color="auto"/>
        <w:bottom w:val="none" w:sz="0" w:space="0" w:color="auto"/>
        <w:right w:val="none" w:sz="0" w:space="0" w:color="auto"/>
      </w:divBdr>
    </w:div>
    <w:div w:id="1055661391">
      <w:bodyDiv w:val="1"/>
      <w:marLeft w:val="0"/>
      <w:marRight w:val="0"/>
      <w:marTop w:val="0"/>
      <w:marBottom w:val="0"/>
      <w:divBdr>
        <w:top w:val="none" w:sz="0" w:space="0" w:color="auto"/>
        <w:left w:val="none" w:sz="0" w:space="0" w:color="auto"/>
        <w:bottom w:val="none" w:sz="0" w:space="0" w:color="auto"/>
        <w:right w:val="none" w:sz="0" w:space="0" w:color="auto"/>
      </w:divBdr>
    </w:div>
    <w:div w:id="1307977059">
      <w:bodyDiv w:val="1"/>
      <w:marLeft w:val="0"/>
      <w:marRight w:val="0"/>
      <w:marTop w:val="0"/>
      <w:marBottom w:val="0"/>
      <w:divBdr>
        <w:top w:val="none" w:sz="0" w:space="0" w:color="auto"/>
        <w:left w:val="none" w:sz="0" w:space="0" w:color="auto"/>
        <w:bottom w:val="none" w:sz="0" w:space="0" w:color="auto"/>
        <w:right w:val="none" w:sz="0" w:space="0" w:color="auto"/>
      </w:divBdr>
    </w:div>
    <w:div w:id="1410808126">
      <w:bodyDiv w:val="1"/>
      <w:marLeft w:val="0"/>
      <w:marRight w:val="0"/>
      <w:marTop w:val="0"/>
      <w:marBottom w:val="0"/>
      <w:divBdr>
        <w:top w:val="none" w:sz="0" w:space="0" w:color="auto"/>
        <w:left w:val="none" w:sz="0" w:space="0" w:color="auto"/>
        <w:bottom w:val="none" w:sz="0" w:space="0" w:color="auto"/>
        <w:right w:val="none" w:sz="0" w:space="0" w:color="auto"/>
      </w:divBdr>
    </w:div>
    <w:div w:id="1522546105">
      <w:bodyDiv w:val="1"/>
      <w:marLeft w:val="0"/>
      <w:marRight w:val="0"/>
      <w:marTop w:val="0"/>
      <w:marBottom w:val="0"/>
      <w:divBdr>
        <w:top w:val="none" w:sz="0" w:space="0" w:color="auto"/>
        <w:left w:val="none" w:sz="0" w:space="0" w:color="auto"/>
        <w:bottom w:val="none" w:sz="0" w:space="0" w:color="auto"/>
        <w:right w:val="none" w:sz="0" w:space="0" w:color="auto"/>
      </w:divBdr>
    </w:div>
    <w:div w:id="1992715535">
      <w:bodyDiv w:val="1"/>
      <w:marLeft w:val="0"/>
      <w:marRight w:val="0"/>
      <w:marTop w:val="0"/>
      <w:marBottom w:val="0"/>
      <w:divBdr>
        <w:top w:val="none" w:sz="0" w:space="0" w:color="auto"/>
        <w:left w:val="none" w:sz="0" w:space="0" w:color="auto"/>
        <w:bottom w:val="none" w:sz="0" w:space="0" w:color="auto"/>
        <w:right w:val="none" w:sz="0" w:space="0" w:color="auto"/>
      </w:divBdr>
    </w:div>
    <w:div w:id="21155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12.2022 17:09:41"/>
    <f:field ref="objchangedby" par="" text="Administrator, System"/>
    <f:field ref="objmodifiedat" par="" text="8.12.2022 17:09: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3178</Words>
  <Characters>18120</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2022-12-08T16:11:00Z</dcterms:created>
  <dcterms:modified xsi:type="dcterms:W3CDTF">2022-12-08T16:16:00Z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Georgína Prečuchová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,ktorým sa mení a dopĺňa zákon č. 566/2001 Z. z. o cenných papieroch a investičných službách a o zmene a doplnení niektorých zákonov (zákon o cenných papieroch) v znení neskorších predpisov a ktorým sa mení zákon č. 371/2014 Z. z. o riešení krízových sit</vt:lpwstr>
  </property>
  <property fmtid="{D5CDD505-2E9C-101B-9397-08002B2CF9AE}" pid="14" name="FSC#SKEDITIONSLOVLEX@103.510:nazovpredpis1">
    <vt:lpwstr>uácií na finančnom trhu a o zmene a doplnení niektorých zákonov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SR č. 8/2022 úloha C.24</vt:lpwstr>
  </property>
  <property fmtid="{D5CDD505-2E9C-101B-9397-08002B2CF9AE}" pid="22" name="FSC#SKEDITIONSLOVLEX@103.510:plnynazovpredpis">
    <vt:lpwstr> Zákon,ktorým sa mení a dopĺňa zákon č. 566/2001 Z. z. o cenných papieroch a investičných službách a o zmene a doplnení niektorých zákonov (zákon o cenných papieroch) v znení neskorších predpisov a ktorým sa mení zákon č. 371/2014 Z. z. o riešení krízovýc</vt:lpwstr>
  </property>
  <property fmtid="{D5CDD505-2E9C-101B-9397-08002B2CF9AE}" pid="23" name="FSC#SKEDITIONSLOVLEX@103.510:plnynazovpredpis1">
    <vt:lpwstr>h situácií na finančnom trhu a o zmene a doplnení niektorých zákonov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MF/014489/2022-61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LP/2022/763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na rokovanie vlády Slovenskej republiky návrh zákona, ktorým sa mení a dopĺňa zákon č. 566/2001 Z. z. o cenných papieroch a investičných službách a o zmene a doplnení nie</vt:lpwstr>
  </property>
  <property fmtid="{D5CDD505-2E9C-101B-9397-08002B2CF9AE}" pid="149" name="FSC#COOSYSTEM@1.1:Container">
    <vt:lpwstr>COO.2145.1000.3.5410129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8. 12. 2022</vt:lpwstr>
  </property>
</Properties>
</file>