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D150E" w:rsidRDefault="00927118" w:rsidP="00927118">
      <w:pPr>
        <w:adjustRightInd w:val="0"/>
        <w:spacing w:after="0" w:line="240" w:lineRule="auto"/>
        <w:jc w:val="center"/>
        <w:rPr>
          <w:rFonts w:ascii="Times New Roman" w:eastAsia="Times New Roman" w:hAnsi="Times New Roman" w:cs="Times New Roman"/>
          <w:b/>
          <w:caps/>
          <w:sz w:val="24"/>
          <w:szCs w:val="24"/>
        </w:rPr>
      </w:pPr>
      <w:r w:rsidRPr="00BD150E">
        <w:rPr>
          <w:rFonts w:ascii="Times New Roman" w:eastAsia="Times New Roman" w:hAnsi="Times New Roman" w:cs="Times New Roman"/>
          <w:b/>
          <w:caps/>
          <w:sz w:val="24"/>
          <w:szCs w:val="24"/>
        </w:rPr>
        <w:t>Vyhodnotenie medzirezortného pripomienkového konania</w:t>
      </w:r>
    </w:p>
    <w:p w:rsidR="00927118" w:rsidRPr="00BD150E" w:rsidRDefault="00927118" w:rsidP="00927118">
      <w:pPr>
        <w:jc w:val="center"/>
        <w:rPr>
          <w:rFonts w:ascii="Times New Roman" w:hAnsi="Times New Roman" w:cs="Times New Roman"/>
          <w:sz w:val="24"/>
          <w:szCs w:val="24"/>
        </w:rPr>
      </w:pPr>
    </w:p>
    <w:p w:rsidR="005C60EE" w:rsidRPr="00BD150E" w:rsidRDefault="005C60EE">
      <w:pPr>
        <w:jc w:val="center"/>
        <w:divId w:val="644167360"/>
        <w:rPr>
          <w:rFonts w:ascii="Times New Roman" w:hAnsi="Times New Roman" w:cs="Times New Roman"/>
          <w:sz w:val="24"/>
          <w:szCs w:val="24"/>
        </w:rPr>
      </w:pPr>
      <w:r w:rsidRPr="00BD150E">
        <w:rPr>
          <w:rFonts w:ascii="Times New Roman" w:hAnsi="Times New Roman" w:cs="Times New Roman"/>
          <w:sz w:val="24"/>
          <w:szCs w:val="24"/>
        </w:rPr>
        <w:t>Nariadenie vlády Slovenskej republiky, ktorým sa mení a dopĺňa nariadenie vlády Slovenskej republiky č. 195/2018 Z. z., ktorým sa ustanovujú podmienky na poskytnutie investičnej pomoci, maximálna intenzita investičnej pomoci a maximálna výška investičnej pomoci v regiónoch Slovenskej republiky v znení neskorších predpisov</w:t>
      </w:r>
    </w:p>
    <w:p w:rsidR="00927118" w:rsidRPr="00BD150E"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 </w:t>
            </w:r>
          </w:p>
        </w:tc>
      </w:tr>
      <w:tr w:rsidR="00A251BF" w:rsidRPr="00BD150E" w:rsidTr="00B76589">
        <w:tc>
          <w:tcPr>
            <w:tcW w:w="7797" w:type="dxa"/>
            <w:tcBorders>
              <w:top w:val="nil"/>
              <w:left w:val="nil"/>
              <w:bottom w:val="nil"/>
              <w:right w:val="nil"/>
            </w:tcBorders>
          </w:tcPr>
          <w:p w:rsidR="00A251BF" w:rsidRPr="00BD150E" w:rsidRDefault="00A251BF"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BD150E" w:rsidRDefault="005C60EE" w:rsidP="005C60EE">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8 /0</w:t>
            </w: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BD150E" w:rsidRDefault="005C60EE" w:rsidP="005C60EE">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8</w:t>
            </w: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BD150E" w:rsidRDefault="005C60EE" w:rsidP="005C60EE">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5 /0</w:t>
            </w: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BD150E" w:rsidRDefault="005C60EE" w:rsidP="005C60EE">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1 /0</w:t>
            </w: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BD150E" w:rsidRDefault="005C60EE" w:rsidP="005C60EE">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2 /0</w:t>
            </w: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roofErr w:type="spellStart"/>
            <w:r w:rsidRPr="00BD150E">
              <w:rPr>
                <w:rFonts w:ascii="Times New Roman" w:hAnsi="Times New Roman" w:cs="Times New Roman"/>
                <w:bCs/>
                <w:sz w:val="24"/>
                <w:szCs w:val="24"/>
              </w:rPr>
              <w:t>Rozporové</w:t>
            </w:r>
            <w:proofErr w:type="spellEnd"/>
            <w:r w:rsidRPr="00BD150E">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bCs/>
                <w:sz w:val="24"/>
                <w:szCs w:val="24"/>
              </w:rPr>
            </w:pPr>
            <w:r w:rsidRPr="00BD150E">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r>
      <w:tr w:rsidR="00927118" w:rsidRPr="00BD150E" w:rsidTr="00B76589">
        <w:tc>
          <w:tcPr>
            <w:tcW w:w="7797"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bCs/>
                <w:sz w:val="24"/>
                <w:szCs w:val="24"/>
              </w:rPr>
            </w:pPr>
            <w:r w:rsidRPr="00BD150E">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BD150E" w:rsidRDefault="00927118" w:rsidP="00E165A9">
            <w:pPr>
              <w:spacing w:after="0" w:line="240" w:lineRule="auto"/>
              <w:rPr>
                <w:rFonts w:ascii="Times New Roman" w:hAnsi="Times New Roman" w:cs="Times New Roman"/>
                <w:sz w:val="24"/>
                <w:szCs w:val="24"/>
              </w:rPr>
            </w:pPr>
          </w:p>
        </w:tc>
      </w:tr>
    </w:tbl>
    <w:p w:rsidR="00927118" w:rsidRPr="00BD150E" w:rsidRDefault="00927118" w:rsidP="00927118">
      <w:pPr>
        <w:spacing w:after="0" w:line="240" w:lineRule="auto"/>
        <w:rPr>
          <w:rFonts w:ascii="Times New Roman" w:hAnsi="Times New Roman" w:cs="Times New Roman"/>
          <w:b/>
          <w:sz w:val="24"/>
          <w:szCs w:val="24"/>
        </w:rPr>
      </w:pPr>
    </w:p>
    <w:p w:rsidR="00927118" w:rsidRPr="00BD150E" w:rsidRDefault="00927118" w:rsidP="00927118">
      <w:pPr>
        <w:spacing w:after="0" w:line="240" w:lineRule="auto"/>
        <w:rPr>
          <w:rFonts w:ascii="Times New Roman" w:hAnsi="Times New Roman" w:cs="Times New Roman"/>
          <w:sz w:val="24"/>
          <w:szCs w:val="24"/>
        </w:rPr>
      </w:pPr>
      <w:r w:rsidRPr="00BD150E">
        <w:rPr>
          <w:rFonts w:ascii="Times New Roman" w:hAnsi="Times New Roman" w:cs="Times New Roman"/>
          <w:sz w:val="24"/>
          <w:szCs w:val="24"/>
        </w:rPr>
        <w:t>Sumarizácia vznesených pripomienok podľa subjektov</w:t>
      </w:r>
    </w:p>
    <w:p w:rsidR="005C60EE" w:rsidRPr="00BD150E" w:rsidRDefault="005C60EE"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5C60EE" w:rsidRPr="00BD150E">
        <w:trPr>
          <w:divId w:val="124888060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Vôbec nezaslali</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 xml:space="preserve">Odbor aproximácie práva sekcie vládnej legislatívy Úradu vlády </w:t>
            </w:r>
            <w:bookmarkStart w:id="0" w:name="_GoBack"/>
            <w:bookmarkEnd w:id="0"/>
            <w:r w:rsidRPr="00BD150E">
              <w:rPr>
                <w:rFonts w:ascii="Times New Roman" w:hAnsi="Times New Roman" w:cs="Times New Roman"/>
                <w:sz w:val="24"/>
                <w:szCs w:val="24"/>
              </w:rPr>
              <w:t>SR</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 xml:space="preserve">Asociácia </w:t>
            </w:r>
            <w:proofErr w:type="spellStart"/>
            <w:r w:rsidRPr="00BD150E">
              <w:rPr>
                <w:rFonts w:ascii="Times New Roman" w:hAnsi="Times New Roman" w:cs="Times New Roman"/>
                <w:sz w:val="24"/>
                <w:szCs w:val="24"/>
              </w:rPr>
              <w:t>zamestnávatelských</w:t>
            </w:r>
            <w:proofErr w:type="spellEnd"/>
            <w:r w:rsidRPr="00BD150E">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x</w:t>
            </w:r>
          </w:p>
        </w:tc>
      </w:tr>
      <w:tr w:rsidR="005C60EE" w:rsidRPr="00BD150E">
        <w:trPr>
          <w:divId w:val="1248880607"/>
          <w:jc w:val="center"/>
        </w:trPr>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C60EE" w:rsidRPr="00BD150E" w:rsidRDefault="005C60EE">
            <w:pPr>
              <w:jc w:val="center"/>
              <w:rPr>
                <w:rFonts w:ascii="Times New Roman" w:hAnsi="Times New Roman" w:cs="Times New Roman"/>
                <w:sz w:val="24"/>
                <w:szCs w:val="24"/>
              </w:rPr>
            </w:pPr>
          </w:p>
        </w:tc>
      </w:tr>
    </w:tbl>
    <w:p w:rsidR="00BF7CE0" w:rsidRPr="00BD150E" w:rsidRDefault="00BF7CE0" w:rsidP="00841FA6">
      <w:pPr>
        <w:rPr>
          <w:rFonts w:ascii="Times New Roman" w:hAnsi="Times New Roman" w:cs="Times New Roman"/>
          <w:b/>
          <w:bCs/>
          <w:color w:val="000000"/>
          <w:sz w:val="24"/>
          <w:szCs w:val="24"/>
        </w:rPr>
      </w:pPr>
      <w:r w:rsidRPr="00BD150E">
        <w:rPr>
          <w:rFonts w:ascii="Times New Roman" w:eastAsia="Times New Roman" w:hAnsi="Times New Roman" w:cs="Times New Roman"/>
          <w:bCs/>
          <w:color w:val="000000"/>
          <w:sz w:val="24"/>
          <w:szCs w:val="24"/>
          <w:lang w:eastAsia="sk-SK"/>
        </w:rPr>
        <w:t>Vyhodnotenie vecných pripomienok je uvedené v tabuľkovej časti.</w:t>
      </w:r>
    </w:p>
    <w:p w:rsidR="00BF7CE0" w:rsidRPr="00BD150E"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BD150E" w:rsidTr="00943EB2">
        <w:trPr>
          <w:cantSplit/>
        </w:trPr>
        <w:tc>
          <w:tcPr>
            <w:tcW w:w="4928" w:type="dxa"/>
            <w:gridSpan w:val="2"/>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Vysvetlivky  k použitým skratkám v tabuľke:</w:t>
            </w:r>
          </w:p>
        </w:tc>
      </w:tr>
      <w:tr w:rsidR="00BF7CE0" w:rsidRPr="00BD150E" w:rsidTr="00943EB2">
        <w:trPr>
          <w:cantSplit/>
        </w:trPr>
        <w:tc>
          <w:tcPr>
            <w:tcW w:w="180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O – obyčajná</w:t>
            </w:r>
          </w:p>
        </w:tc>
        <w:tc>
          <w:tcPr>
            <w:tcW w:w="311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A – akceptovaná</w:t>
            </w:r>
          </w:p>
        </w:tc>
      </w:tr>
      <w:tr w:rsidR="00BF7CE0" w:rsidRPr="00BD150E" w:rsidTr="00943EB2">
        <w:trPr>
          <w:cantSplit/>
        </w:trPr>
        <w:tc>
          <w:tcPr>
            <w:tcW w:w="180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Z – zásadná</w:t>
            </w:r>
          </w:p>
        </w:tc>
        <w:tc>
          <w:tcPr>
            <w:tcW w:w="311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N – neakceptovaná</w:t>
            </w:r>
          </w:p>
        </w:tc>
      </w:tr>
      <w:tr w:rsidR="00BF7CE0" w:rsidRPr="00BD150E" w:rsidTr="00943EB2">
        <w:trPr>
          <w:cantSplit/>
        </w:trPr>
        <w:tc>
          <w:tcPr>
            <w:tcW w:w="180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BD150E" w:rsidRDefault="00BF7CE0" w:rsidP="00342C19">
            <w:pPr>
              <w:pStyle w:val="Zkladntext"/>
              <w:widowControl/>
              <w:jc w:val="both"/>
              <w:rPr>
                <w:b w:val="0"/>
                <w:color w:val="000000"/>
                <w:sz w:val="24"/>
                <w:szCs w:val="24"/>
              </w:rPr>
            </w:pPr>
            <w:r w:rsidRPr="00BD150E">
              <w:rPr>
                <w:b w:val="0"/>
                <w:color w:val="000000"/>
                <w:sz w:val="24"/>
                <w:szCs w:val="24"/>
              </w:rPr>
              <w:t>ČA – čiastočne akceptovaná</w:t>
            </w:r>
          </w:p>
        </w:tc>
      </w:tr>
    </w:tbl>
    <w:p w:rsidR="00E85710" w:rsidRPr="00BD150E" w:rsidRDefault="00E85710">
      <w:pPr>
        <w:rPr>
          <w:rFonts w:ascii="Times New Roman" w:hAnsi="Times New Roman" w:cs="Times New Roman"/>
          <w:sz w:val="24"/>
          <w:szCs w:val="24"/>
        </w:rPr>
      </w:pPr>
      <w:r w:rsidRPr="00BD150E">
        <w:rPr>
          <w:rFonts w:ascii="Times New Roman" w:hAnsi="Times New Roman" w:cs="Times New Roman"/>
          <w:sz w:val="24"/>
          <w:szCs w:val="24"/>
        </w:rPr>
        <w:br w:type="page"/>
      </w:r>
    </w:p>
    <w:p w:rsidR="005C60EE" w:rsidRPr="00BD150E" w:rsidRDefault="005C60EE"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proofErr w:type="spellStart"/>
            <w:r w:rsidRPr="00BD150E">
              <w:rPr>
                <w:rFonts w:ascii="Times New Roman" w:hAnsi="Times New Roman" w:cs="Times New Roman"/>
                <w:b/>
                <w:bCs/>
                <w:sz w:val="24"/>
                <w:szCs w:val="24"/>
              </w:rPr>
              <w:t>Vyh</w:t>
            </w:r>
            <w:proofErr w:type="spellEnd"/>
            <w:r w:rsidRPr="00BD150E">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Spôsob vyhodnotenia</w:t>
            </w: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proofErr w:type="spellStart"/>
            <w:r w:rsidRPr="00BD150E">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dôvodovej správe</w:t>
            </w:r>
            <w:r w:rsidRPr="00BD150E">
              <w:rPr>
                <w:rFonts w:ascii="Times New Roman" w:hAnsi="Times New Roman" w:cs="Times New Roman"/>
                <w:sz w:val="24"/>
                <w:szCs w:val="24"/>
              </w:rPr>
              <w:br/>
              <w:t>V osobitnej časti dôvodovej správy k bodu 2 odporúčame slová „ustanovenia § 11f súvisia“ nahradiť slovami „ustanovenie § 11f súvisí“, slovo „týkajú“ nahradiť slovom „týka“ a za slovami „§ 8 písm. c) zákona č. 57/2018 Z. z. o regionálnej investičnej pomoci a o zmene a doplnení niektorých zákonov“ vložiť slová „v znení zákona č. 420/2020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proofErr w:type="spellStart"/>
            <w:r w:rsidRPr="00BD150E">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predkladacej správe a dôvodovej správe</w:t>
            </w:r>
            <w:r w:rsidRPr="00BD150E">
              <w:rPr>
                <w:rFonts w:ascii="Times New Roman" w:hAnsi="Times New Roman" w:cs="Times New Roman"/>
                <w:sz w:val="24"/>
                <w:szCs w:val="24"/>
              </w:rPr>
              <w:br/>
              <w:t>V predkladacej správe, všeobecnej časti dôvodovej správy a v osobitnej časti dôvodovej správy k bodu 1 odporúčame za slovami „doplnení niektorých zákonov“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Celému materiálu</w:t>
            </w:r>
            <w:r w:rsidRPr="00BD150E">
              <w:rPr>
                <w:rFonts w:ascii="Times New Roman" w:hAnsi="Times New Roman" w:cs="Times New Roman"/>
                <w:sz w:val="24"/>
                <w:szCs w:val="24"/>
              </w:rPr>
              <w:br/>
              <w:t>Návrh je potrebné zosúladiť s prílohou č. 1 Legislatívnych pravidiel vlády SR (napríklad v bode 1 § 2 ods. 4 na konci úvodnej vety doplniť dvojbodku, poznámky pod čiarou k odkazom 2 a 3 uvedené na konci bodu 1 vypustiť, pretože tieto poznámky pod čiarou sa už v rovnakom znení nachádzajú v platnom znení nariadenia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Celému materiálu</w:t>
            </w:r>
            <w:r w:rsidRPr="00BD150E">
              <w:rPr>
                <w:rFonts w:ascii="Times New Roman" w:hAnsi="Times New Roman" w:cs="Times New Roman"/>
                <w:sz w:val="24"/>
                <w:szCs w:val="24"/>
              </w:rPr>
              <w:br/>
              <w:t xml:space="preserve">V predloženom materiáli chýba detailnejšia analýza, ktorá by precíznejšie zdôvodnila dočasné zmierenie minimálnych hodnôt niektorých podmienok na poskytnutie regionálnej investičnej pomoci a úpravu zaradenia investičných zámerov do prioritných oblastí z titulu negatívnych vplyvov energetickej krízy na </w:t>
            </w:r>
            <w:r w:rsidRPr="00BD150E">
              <w:rPr>
                <w:rFonts w:ascii="Times New Roman" w:hAnsi="Times New Roman" w:cs="Times New Roman"/>
                <w:sz w:val="24"/>
                <w:szCs w:val="24"/>
              </w:rPr>
              <w:lastRenderedPageBreak/>
              <w:t>investičnú aktivitu v podnikateľskom sektore. Do predloženého materiálu preto žiadame doplniť číselný odhad účelnosti navrhovaných zmien, t. j. aký objem investícií prinesie navrhované zmiernenie podmienok v porovnaní s ponechaním platnej právnej úpravy. Upozorňujeme, že riešenie negatívnych vplyvov energetickej krízy na podniky už má za cieľ riešiť schéma štátnej pomoci predstavená vládou Slovenskej republiky. Je preto dôležité, aby akákoľvek ďalšia nepriama pomoc pre podniky v podobe dočasného uvoľnenia podmienok bola podložená presvedčivou argumentáciou.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 xml:space="preserve">Navrhovaná právna úprava nadväzuje na právnu úpravu prijatú v súvislosti s pandémiou COVID-19. Číselný odhad účelnosti navrhovaných zmien nie je k dispozícii. Podľa informácií uvedených v bode 8. Doložky vybraných vplyvov: </w:t>
            </w:r>
            <w:r w:rsidRPr="00BD150E">
              <w:rPr>
                <w:rFonts w:ascii="Times New Roman" w:hAnsi="Times New Roman" w:cs="Times New Roman"/>
                <w:sz w:val="24"/>
                <w:szCs w:val="24"/>
              </w:rPr>
              <w:lastRenderedPageBreak/>
              <w:t>„Preskúmanie účelnosti bude možné vykonať po tom čo odznie energetická kríza a jej negatívne dôsledky, a to prostredníctvom identifikácie a porovnania koľko zo žiadostí o regionálnu investičnú pomoc podaných v rozhodnom období a podporených investičnou pomocou by spĺňalo podmienky na poskytnutie pomoci na základe súčasnej právnej úpravy (t. j. v prípade ponechania súčasného stavu; viď alternatíva 0 v bode 5. doložky) a koľko z predmetných žiadostí bude spĺňať podmienky na poskytnutie pomoci výlučne vďaka dočasnému zmierneniu podmienok.".</w:t>
            </w: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doložke vybraných vplyvov</w:t>
            </w:r>
            <w:r w:rsidRPr="00BD150E">
              <w:rPr>
                <w:rFonts w:ascii="Times New Roman" w:hAnsi="Times New Roman" w:cs="Times New Roman"/>
                <w:sz w:val="24"/>
                <w:szCs w:val="24"/>
              </w:rPr>
              <w:br/>
              <w:t>Prijatím predmetného materiálu v porovnaní so súčasným stavom dôjde k zmene v oblasti posudzovania podmienok na poskytnutie investičnej pomoci. Okrem iného sa predpokladá, že „Minimálny počet vytvorených nových pracovných miest podľa príloh č. 1 až 3 sa znižuje na polovicu“. Z daného vyplýva, že v porovnaní so súčasným stavom prijatím materiálu dôjde k zmene v oblasti zamestnanosti, t. j. predmetný materiál zakladá sociálne vplyvy, ktoré je potrebné korektne identifikovať v bode 9 doložky vybraných vplyvov ako aj zhodnotiť v separátnej analýze sociálnych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sz w:val="24"/>
                <w:szCs w:val="24"/>
              </w:rPr>
              <w:t xml:space="preserve">Prijatie návrhu nariadenia nespôsobí, že všetci investori, ktorí na MH SR podajú žiadosť o investičnú pomoc v roku 2023 budú automaticky v daných žiadostiach deklarovať investičné zámery s parametrami rovnajúcimi sa zníženým minimálnym hodnotám ustanovených nariadením vlády. Navrhovaná úprava umožňuje potenciálnemu investorovi požiadať o podporu investičného zámeru s takýmito parametrami ale zároveň mu umožňuje tieto parametre presiahnuť, a to tak pri podaní žiadosti o investičnú pomoc, ako aj následne </w:t>
            </w:r>
            <w:r w:rsidRPr="00BD150E">
              <w:rPr>
                <w:rFonts w:ascii="Times New Roman" w:hAnsi="Times New Roman" w:cs="Times New Roman"/>
                <w:sz w:val="24"/>
                <w:szCs w:val="24"/>
              </w:rPr>
              <w:lastRenderedPageBreak/>
              <w:t xml:space="preserve">počas skutočnej realizácie podporeného investičného zámeru. Preto napriek zníženiu minimálnych hodnôt podmienok na poskytnutie investičnej pomoci v konečnom dôsledku k (napr.) k vytvoreniu nižšieho počtu pracovných miest vôbec nemusí dôjsť. </w:t>
            </w: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sprievodným dokumentom:</w:t>
            </w:r>
            <w:r w:rsidRPr="00BD150E">
              <w:rPr>
                <w:rFonts w:ascii="Times New Roman" w:hAnsi="Times New Roman" w:cs="Times New Roman"/>
                <w:sz w:val="24"/>
                <w:szCs w:val="24"/>
              </w:rPr>
              <w:br/>
              <w:t>1. V druhom bode doložky zlučiteľnosti a v prvom odseku všeobecnej časti dôvodovej správy žiadame za slovo „návrh“ doplniť slovo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sprievodným dokumentom:</w:t>
            </w:r>
            <w:r w:rsidRPr="00BD150E">
              <w:rPr>
                <w:rFonts w:ascii="Times New Roman" w:hAnsi="Times New Roman" w:cs="Times New Roman"/>
                <w:sz w:val="24"/>
                <w:szCs w:val="24"/>
              </w:rPr>
              <w:br/>
              <w:t>2. V deviatom, desiatom a jedenástom odseku všeobecnej časti dôvodovej správy, ako aj v osobitnej časti dôvodovej správy k Čl. II, žiadame slovo „zákona“ nahradiť slovami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r w:rsidR="005C60EE" w:rsidRPr="00BD150E">
        <w:trPr>
          <w:divId w:val="83677168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b/>
                <w:bCs/>
                <w:sz w:val="24"/>
                <w:szCs w:val="24"/>
              </w:rPr>
            </w:pPr>
            <w:r w:rsidRPr="00BD150E">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rPr>
                <w:rFonts w:ascii="Times New Roman" w:hAnsi="Times New Roman" w:cs="Times New Roman"/>
                <w:sz w:val="24"/>
                <w:szCs w:val="24"/>
              </w:rPr>
            </w:pPr>
            <w:r w:rsidRPr="00BD150E">
              <w:rPr>
                <w:rFonts w:ascii="Times New Roman" w:hAnsi="Times New Roman" w:cs="Times New Roman"/>
                <w:b/>
                <w:bCs/>
                <w:sz w:val="24"/>
                <w:szCs w:val="24"/>
              </w:rPr>
              <w:t>K sprievodným dokumentom:</w:t>
            </w:r>
            <w:r w:rsidRPr="00BD150E">
              <w:rPr>
                <w:rFonts w:ascii="Times New Roman" w:hAnsi="Times New Roman" w:cs="Times New Roman"/>
                <w:sz w:val="24"/>
                <w:szCs w:val="24"/>
              </w:rPr>
              <w:br/>
              <w:t xml:space="preserve">3. V predkladacej správe žiadame v súlade s čl. 18 ods. 1 písm. c) Legislatívnych pravidiel vlády Slovenskej republiky v platnom znení uviesť informáciu týkajúcu sa </w:t>
            </w:r>
            <w:proofErr w:type="spellStart"/>
            <w:r w:rsidRPr="00BD150E">
              <w:rPr>
                <w:rFonts w:ascii="Times New Roman" w:hAnsi="Times New Roman" w:cs="Times New Roman"/>
                <w:sz w:val="24"/>
                <w:szCs w:val="24"/>
              </w:rPr>
              <w:t>vnútrokomunitárneho</w:t>
            </w:r>
            <w:proofErr w:type="spellEnd"/>
            <w:r w:rsidRPr="00BD150E">
              <w:rPr>
                <w:rFonts w:ascii="Times New Roman" w:hAnsi="Times New Roman" w:cs="Times New Roman"/>
                <w:sz w:val="24"/>
                <w:szCs w:val="24"/>
              </w:rPr>
              <w:t xml:space="preserve">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r w:rsidRPr="00BD150E">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0EE" w:rsidRPr="00BD150E" w:rsidRDefault="005C60EE">
            <w:pPr>
              <w:jc w:val="center"/>
              <w:rPr>
                <w:rFonts w:ascii="Times New Roman" w:hAnsi="Times New Roman" w:cs="Times New Roman"/>
                <w:sz w:val="24"/>
                <w:szCs w:val="24"/>
              </w:rPr>
            </w:pPr>
          </w:p>
        </w:tc>
      </w:tr>
    </w:tbl>
    <w:p w:rsidR="00154A91" w:rsidRPr="00BD150E" w:rsidRDefault="00154A91" w:rsidP="00CE47A6">
      <w:pPr>
        <w:rPr>
          <w:rFonts w:ascii="Times New Roman" w:hAnsi="Times New Roman" w:cs="Times New Roman"/>
          <w:sz w:val="24"/>
          <w:szCs w:val="24"/>
        </w:rPr>
      </w:pPr>
    </w:p>
    <w:p w:rsidR="00154A91" w:rsidRPr="00BD150E" w:rsidRDefault="00154A91" w:rsidP="00CE47A6">
      <w:pPr>
        <w:rPr>
          <w:rFonts w:ascii="Times New Roman" w:hAnsi="Times New Roman" w:cs="Times New Roman"/>
          <w:sz w:val="24"/>
          <w:szCs w:val="24"/>
        </w:rPr>
      </w:pPr>
    </w:p>
    <w:sectPr w:rsidR="00154A91" w:rsidRPr="00BD150E" w:rsidSect="00674786">
      <w:footerReference w:type="default" r:id="rId7"/>
      <w:footerReference w:type="first" r:id="rId8"/>
      <w:pgSz w:w="15840" w:h="12240" w:orient="landscape"/>
      <w:pgMar w:top="993" w:right="1417"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23697"/>
      <w:docPartObj>
        <w:docPartGallery w:val="Page Numbers (Bottom of Page)"/>
        <w:docPartUnique/>
      </w:docPartObj>
    </w:sdtPr>
    <w:sdtEndPr>
      <w:rPr>
        <w:rFonts w:ascii="Times New Roman" w:hAnsi="Times New Roman" w:cs="Times New Roman"/>
      </w:rPr>
    </w:sdtEndPr>
    <w:sdtContent>
      <w:p w:rsidR="00674786" w:rsidRPr="00674786" w:rsidRDefault="00674786">
        <w:pPr>
          <w:pStyle w:val="Pta"/>
          <w:jc w:val="center"/>
          <w:rPr>
            <w:rFonts w:ascii="Times New Roman" w:hAnsi="Times New Roman" w:cs="Times New Roman"/>
          </w:rPr>
        </w:pPr>
        <w:r w:rsidRPr="00674786">
          <w:rPr>
            <w:rFonts w:ascii="Times New Roman" w:hAnsi="Times New Roman" w:cs="Times New Roman"/>
          </w:rPr>
          <w:fldChar w:fldCharType="begin"/>
        </w:r>
        <w:r w:rsidRPr="00674786">
          <w:rPr>
            <w:rFonts w:ascii="Times New Roman" w:hAnsi="Times New Roman" w:cs="Times New Roman"/>
          </w:rPr>
          <w:instrText>PAGE   \* MERGEFORMAT</w:instrText>
        </w:r>
        <w:r w:rsidRPr="00674786">
          <w:rPr>
            <w:rFonts w:ascii="Times New Roman" w:hAnsi="Times New Roman" w:cs="Times New Roman"/>
          </w:rPr>
          <w:fldChar w:fldCharType="separate"/>
        </w:r>
        <w:r>
          <w:rPr>
            <w:rFonts w:ascii="Times New Roman" w:hAnsi="Times New Roman" w:cs="Times New Roman"/>
            <w:noProof/>
          </w:rPr>
          <w:t>7</w:t>
        </w:r>
        <w:r w:rsidRPr="00674786">
          <w:rPr>
            <w:rFonts w:ascii="Times New Roman" w:hAnsi="Times New Roman" w:cs="Times New Roman"/>
          </w:rPr>
          <w:fldChar w:fldCharType="end"/>
        </w:r>
      </w:p>
    </w:sdtContent>
  </w:sdt>
  <w:p w:rsidR="00BD150E" w:rsidRDefault="00BD15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21274"/>
      <w:docPartObj>
        <w:docPartGallery w:val="Page Numbers (Bottom of Page)"/>
        <w:docPartUnique/>
      </w:docPartObj>
    </w:sdtPr>
    <w:sdtEndPr>
      <w:rPr>
        <w:rFonts w:ascii="Times New Roman" w:hAnsi="Times New Roman" w:cs="Times New Roman"/>
      </w:rPr>
    </w:sdtEndPr>
    <w:sdtContent>
      <w:p w:rsidR="00674786" w:rsidRPr="00674786" w:rsidRDefault="00674786">
        <w:pPr>
          <w:pStyle w:val="Pta"/>
          <w:jc w:val="center"/>
          <w:rPr>
            <w:rFonts w:ascii="Times New Roman" w:hAnsi="Times New Roman" w:cs="Times New Roman"/>
          </w:rPr>
        </w:pPr>
        <w:r w:rsidRPr="00674786">
          <w:rPr>
            <w:rFonts w:ascii="Times New Roman" w:hAnsi="Times New Roman" w:cs="Times New Roman"/>
          </w:rPr>
          <w:fldChar w:fldCharType="begin"/>
        </w:r>
        <w:r w:rsidRPr="00674786">
          <w:rPr>
            <w:rFonts w:ascii="Times New Roman" w:hAnsi="Times New Roman" w:cs="Times New Roman"/>
          </w:rPr>
          <w:instrText>PAGE   \* MERGEFORMAT</w:instrText>
        </w:r>
        <w:r w:rsidRPr="00674786">
          <w:rPr>
            <w:rFonts w:ascii="Times New Roman" w:hAnsi="Times New Roman" w:cs="Times New Roman"/>
          </w:rPr>
          <w:fldChar w:fldCharType="separate"/>
        </w:r>
        <w:r>
          <w:rPr>
            <w:rFonts w:ascii="Times New Roman" w:hAnsi="Times New Roman" w:cs="Times New Roman"/>
            <w:noProof/>
          </w:rPr>
          <w:t>1</w:t>
        </w:r>
        <w:r w:rsidRPr="00674786">
          <w:rPr>
            <w:rFonts w:ascii="Times New Roman" w:hAnsi="Times New Roman" w:cs="Times New Roman"/>
          </w:rPr>
          <w:fldChar w:fldCharType="end"/>
        </w:r>
      </w:p>
    </w:sdtContent>
  </w:sdt>
  <w:p w:rsidR="00674786" w:rsidRDefault="006747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230D"/>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C60EE"/>
    <w:rsid w:val="005E7C53"/>
    <w:rsid w:val="00642FB8"/>
    <w:rsid w:val="00674786"/>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50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633">
      <w:bodyDiv w:val="1"/>
      <w:marLeft w:val="0"/>
      <w:marRight w:val="0"/>
      <w:marTop w:val="0"/>
      <w:marBottom w:val="0"/>
      <w:divBdr>
        <w:top w:val="none" w:sz="0" w:space="0" w:color="auto"/>
        <w:left w:val="none" w:sz="0" w:space="0" w:color="auto"/>
        <w:bottom w:val="none" w:sz="0" w:space="0" w:color="auto"/>
        <w:right w:val="none" w:sz="0" w:space="0" w:color="auto"/>
      </w:divBdr>
    </w:div>
    <w:div w:id="206188148">
      <w:bodyDiv w:val="1"/>
      <w:marLeft w:val="0"/>
      <w:marRight w:val="0"/>
      <w:marTop w:val="0"/>
      <w:marBottom w:val="0"/>
      <w:divBdr>
        <w:top w:val="none" w:sz="0" w:space="0" w:color="auto"/>
        <w:left w:val="none" w:sz="0" w:space="0" w:color="auto"/>
        <w:bottom w:val="none" w:sz="0" w:space="0" w:color="auto"/>
        <w:right w:val="none" w:sz="0" w:space="0" w:color="auto"/>
      </w:divBdr>
    </w:div>
    <w:div w:id="612327290">
      <w:bodyDiv w:val="1"/>
      <w:marLeft w:val="0"/>
      <w:marRight w:val="0"/>
      <w:marTop w:val="0"/>
      <w:marBottom w:val="0"/>
      <w:divBdr>
        <w:top w:val="none" w:sz="0" w:space="0" w:color="auto"/>
        <w:left w:val="none" w:sz="0" w:space="0" w:color="auto"/>
        <w:bottom w:val="none" w:sz="0" w:space="0" w:color="auto"/>
        <w:right w:val="none" w:sz="0" w:space="0" w:color="auto"/>
      </w:divBdr>
    </w:div>
    <w:div w:id="644167360">
      <w:bodyDiv w:val="1"/>
      <w:marLeft w:val="0"/>
      <w:marRight w:val="0"/>
      <w:marTop w:val="0"/>
      <w:marBottom w:val="0"/>
      <w:divBdr>
        <w:top w:val="none" w:sz="0" w:space="0" w:color="auto"/>
        <w:left w:val="none" w:sz="0" w:space="0" w:color="auto"/>
        <w:bottom w:val="none" w:sz="0" w:space="0" w:color="auto"/>
        <w:right w:val="none" w:sz="0" w:space="0" w:color="auto"/>
      </w:divBdr>
    </w:div>
    <w:div w:id="836771687">
      <w:bodyDiv w:val="1"/>
      <w:marLeft w:val="0"/>
      <w:marRight w:val="0"/>
      <w:marTop w:val="0"/>
      <w:marBottom w:val="0"/>
      <w:divBdr>
        <w:top w:val="none" w:sz="0" w:space="0" w:color="auto"/>
        <w:left w:val="none" w:sz="0" w:space="0" w:color="auto"/>
        <w:bottom w:val="none" w:sz="0" w:space="0" w:color="auto"/>
        <w:right w:val="none" w:sz="0" w:space="0" w:color="auto"/>
      </w:divBdr>
    </w:div>
    <w:div w:id="1164780458">
      <w:bodyDiv w:val="1"/>
      <w:marLeft w:val="0"/>
      <w:marRight w:val="0"/>
      <w:marTop w:val="0"/>
      <w:marBottom w:val="0"/>
      <w:divBdr>
        <w:top w:val="none" w:sz="0" w:space="0" w:color="auto"/>
        <w:left w:val="none" w:sz="0" w:space="0" w:color="auto"/>
        <w:bottom w:val="none" w:sz="0" w:space="0" w:color="auto"/>
        <w:right w:val="none" w:sz="0" w:space="0" w:color="auto"/>
      </w:divBdr>
    </w:div>
    <w:div w:id="1248880607">
      <w:bodyDiv w:val="1"/>
      <w:marLeft w:val="0"/>
      <w:marRight w:val="0"/>
      <w:marTop w:val="0"/>
      <w:marBottom w:val="0"/>
      <w:divBdr>
        <w:top w:val="none" w:sz="0" w:space="0" w:color="auto"/>
        <w:left w:val="none" w:sz="0" w:space="0" w:color="auto"/>
        <w:bottom w:val="none" w:sz="0" w:space="0" w:color="auto"/>
        <w:right w:val="none" w:sz="0" w:space="0" w:color="auto"/>
      </w:divBdr>
    </w:div>
    <w:div w:id="15434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1.2022 10:08:51"/>
    <f:field ref="objchangedby" par="" text="Administrator, System"/>
    <f:field ref="objmodifiedat" par="" text="29.11.2022 10:08: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8322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2022-11-29T09:10:00Z</dcterms:created>
  <dcterms:modified xsi:type="dcterms:W3CDTF">2022-12-06T11:47:00Z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Karel Hirman</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195/2018 Z. z., ktorým sa ustanovujú podmienky na poskytnutie investičnej pomoci, maximálna intenzita investičnej pomoci a maximálna výška investičnej pomoci v regiónoch Slovenskej republ</vt:lpwstr>
  </property>
  <property fmtid="{D5CDD505-2E9C-101B-9397-08002B2CF9AE}" pid="14" name="FSC#SKEDITIONSLOVLEX@103.510:nazovpredpis1">
    <vt:lpwstr>iky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195/2018 Z. z., ktorým sa ustanovujú podmienky na poskytnutie investičnej pomoci, maximálna intenzita investičnej pomoci a maximálna výška investične</vt:lpwstr>
  </property>
  <property fmtid="{D5CDD505-2E9C-101B-9397-08002B2CF9AE}" pid="23" name="FSC#SKEDITIONSLOVLEX@103.510:plnynazovpredpis1">
    <vt:lpwstr>j pomoci v regiónoch Slovenskej republiky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44606/2022-2062-100623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LP/2022/709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Karel Hirman</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COO.2145.1000.3.5377694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29. 11. 2022</vt:lpwstr>
  </property>
</Properties>
</file>