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AF90C28" w:rsidR="00054C41" w:rsidRPr="006E07E3"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6E07E3" w:rsidRPr="006E07E3">
        <w:t xml:space="preserve"> </w:t>
      </w:r>
      <w:r w:rsidR="006E07E3" w:rsidRPr="006E07E3">
        <w:rPr>
          <w:rFonts w:ascii="Times New Roman" w:eastAsia="Calibri" w:hAnsi="Times New Roman" w:cs="Times New Roman"/>
          <w:sz w:val="24"/>
          <w:szCs w:val="24"/>
        </w:rPr>
        <w:t>Návrh zákona, ktorým sa mení a dopĺňa zákon č. 282/2020 Z. z. o ekologickej poľnohospodárskej výrobe v znení zákona č. 350/2020 Z. z.</w:t>
      </w:r>
    </w:p>
    <w:p w14:paraId="77F96BF6" w14:textId="2EC4BF3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6E07E3">
        <w:rPr>
          <w:rFonts w:ascii="Times New Roman" w:eastAsia="Calibri" w:hAnsi="Times New Roman" w:cs="Times New Roman"/>
          <w:b/>
          <w:sz w:val="24"/>
          <w:szCs w:val="24"/>
        </w:rPr>
        <w:t xml:space="preserve"> </w:t>
      </w:r>
      <w:r w:rsidR="006E07E3" w:rsidRPr="006E07E3">
        <w:rPr>
          <w:rFonts w:ascii="Times New Roman" w:eastAsia="Calibri" w:hAnsi="Times New Roman" w:cs="Times New Roman"/>
          <w:sz w:val="24"/>
          <w:szCs w:val="24"/>
        </w:rPr>
        <w:t>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79307989" w14:textId="77777777" w:rsidR="00225296" w:rsidRDefault="006010C0" w:rsidP="00054C41">
      <w:pPr>
        <w:spacing w:after="0"/>
        <w:jc w:val="both"/>
        <w:rPr>
          <w:rFonts w:ascii="Times New Roman" w:eastAsia="Calibri" w:hAnsi="Times New Roman" w:cs="Times New Roman"/>
          <w:sz w:val="24"/>
          <w:szCs w:val="24"/>
        </w:rPr>
      </w:pPr>
      <w:r w:rsidRPr="006010C0">
        <w:rPr>
          <w:rFonts w:ascii="Times New Roman" w:eastAsia="Calibri" w:hAnsi="Times New Roman" w:cs="Times New Roman"/>
          <w:sz w:val="24"/>
          <w:szCs w:val="24"/>
        </w:rPr>
        <w:t>Ustanovenie dodatočných údajov a príloh k žiadosti o vykonanie vstupného preverenia na účely vykonávania ekologickej poľnohospodárskej výroby</w:t>
      </w:r>
      <w:r>
        <w:rPr>
          <w:rFonts w:ascii="Times New Roman" w:eastAsia="Calibri" w:hAnsi="Times New Roman" w:cs="Times New Roman"/>
          <w:sz w:val="24"/>
          <w:szCs w:val="24"/>
        </w:rPr>
        <w:t xml:space="preserve"> vo vzťahu k</w:t>
      </w:r>
      <w:r w:rsidRPr="006010C0">
        <w:t xml:space="preserve"> </w:t>
      </w:r>
      <w:r w:rsidRPr="006010C0">
        <w:rPr>
          <w:rFonts w:ascii="Times New Roman" w:eastAsia="Calibri" w:hAnsi="Times New Roman" w:cs="Times New Roman"/>
          <w:sz w:val="24"/>
          <w:szCs w:val="24"/>
        </w:rPr>
        <w:t>zberu voľne rastúcich rastlín alebo ich častí</w:t>
      </w:r>
      <w:r>
        <w:rPr>
          <w:rFonts w:ascii="Times New Roman" w:eastAsia="Calibri" w:hAnsi="Times New Roman" w:cs="Times New Roman"/>
          <w:sz w:val="24"/>
          <w:szCs w:val="24"/>
        </w:rPr>
        <w:t xml:space="preserve"> alebo k výrobe potravín, so sebou prináša dodatočné činnosti pri príprave týchto žiadostí len pre osoby, ktoré sa chcú stať prevádzkovateľmi registrovanými v registri prevádzkovateľov, teda len pre osoby, ktoré chcú začať vykonávať ekologickú poľnohospodársku výrobu. Vypracovanie je teda len jednorazovou činnosťou na účely absolvovania vstupného preverenia a prvej registrácie v registri prevádzkovateľov. Aj keby tieto údaje a prílohy neboli ustanovené ako povinné priamo v zákone, inšpekčná organizácia by ich od pr</w:t>
      </w:r>
      <w:r w:rsidR="00267966">
        <w:rPr>
          <w:rFonts w:ascii="Times New Roman" w:eastAsia="Calibri" w:hAnsi="Times New Roman" w:cs="Times New Roman"/>
          <w:sz w:val="24"/>
          <w:szCs w:val="24"/>
        </w:rPr>
        <w:t>íslušných žiadateľov požadovala</w:t>
      </w:r>
      <w:r>
        <w:rPr>
          <w:rFonts w:ascii="Times New Roman" w:eastAsia="Calibri" w:hAnsi="Times New Roman" w:cs="Times New Roman"/>
          <w:sz w:val="24"/>
          <w:szCs w:val="24"/>
        </w:rPr>
        <w:t xml:space="preserve"> už len z toho dôvodu, aby bola požadované vstupné preverenie schopná </w:t>
      </w:r>
      <w:r w:rsidR="00267966">
        <w:rPr>
          <w:rFonts w:ascii="Times New Roman" w:eastAsia="Calibri" w:hAnsi="Times New Roman" w:cs="Times New Roman"/>
          <w:sz w:val="24"/>
          <w:szCs w:val="24"/>
        </w:rPr>
        <w:t xml:space="preserve">riadne </w:t>
      </w:r>
      <w:r>
        <w:rPr>
          <w:rFonts w:ascii="Times New Roman" w:eastAsia="Calibri" w:hAnsi="Times New Roman" w:cs="Times New Roman"/>
          <w:sz w:val="24"/>
          <w:szCs w:val="24"/>
        </w:rPr>
        <w:t xml:space="preserve">vykonať. </w:t>
      </w:r>
      <w:r w:rsidR="00267966">
        <w:rPr>
          <w:rFonts w:ascii="Times New Roman" w:eastAsia="Calibri" w:hAnsi="Times New Roman" w:cs="Times New Roman"/>
          <w:sz w:val="24"/>
          <w:szCs w:val="24"/>
        </w:rPr>
        <w:t xml:space="preserve">Nejedná sa teda o vyslovene novú administratívnu záťaž, ale len o zákonné ukotvenie už existujúcich vzťahov medzi inšpekčnými organizáciami a žiadateľmi. </w:t>
      </w:r>
    </w:p>
    <w:p w14:paraId="1A9742EF" w14:textId="657D179D" w:rsidR="006010C0" w:rsidRDefault="00972089"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Vstupné preverenie žiadateľov, prípadne prevádzkovateľov ekologickej poľnohospodárskej výroby na základe nového </w:t>
      </w:r>
      <w:r w:rsidR="003A6B55">
        <w:rPr>
          <w:rFonts w:ascii="Times New Roman" w:eastAsia="Calibri" w:hAnsi="Times New Roman" w:cs="Times New Roman"/>
          <w:sz w:val="24"/>
          <w:szCs w:val="24"/>
        </w:rPr>
        <w:t>ustanovenia v zákone nebude potrebné vykonávať v prípade, ak príde k prevodu alebo prechodu vlastníctva celého chovu hospodárskych zvierat</w:t>
      </w:r>
      <w:r w:rsidR="003A6B55" w:rsidRPr="003A6B55">
        <w:t xml:space="preserve"> </w:t>
      </w:r>
      <w:r w:rsidR="003A6B55" w:rsidRPr="003A6B55">
        <w:rPr>
          <w:rFonts w:ascii="Times New Roman" w:eastAsia="Calibri" w:hAnsi="Times New Roman" w:cs="Times New Roman"/>
          <w:sz w:val="24"/>
          <w:szCs w:val="24"/>
        </w:rPr>
        <w:t>a následného nadobudnutia ďalších hospodárskych zvierat rovnakého druhu z ekologickej poľnohospodárskej výroby s</w:t>
      </w:r>
      <w:r w:rsidR="003A6B55">
        <w:rPr>
          <w:rFonts w:ascii="Times New Roman" w:eastAsia="Calibri" w:hAnsi="Times New Roman" w:cs="Times New Roman"/>
          <w:sz w:val="24"/>
          <w:szCs w:val="24"/>
        </w:rPr>
        <w:t> </w:t>
      </w:r>
      <w:r w:rsidR="003A6B55" w:rsidRPr="003A6B55">
        <w:rPr>
          <w:rFonts w:ascii="Times New Roman" w:eastAsia="Calibri" w:hAnsi="Times New Roman" w:cs="Times New Roman"/>
          <w:sz w:val="24"/>
          <w:szCs w:val="24"/>
        </w:rPr>
        <w:t>certifikátom</w:t>
      </w:r>
      <w:r w:rsidR="003A6B55">
        <w:rPr>
          <w:rFonts w:ascii="Times New Roman" w:eastAsia="Calibri" w:hAnsi="Times New Roman" w:cs="Times New Roman"/>
          <w:sz w:val="24"/>
          <w:szCs w:val="24"/>
        </w:rPr>
        <w:t>. Rovnako to bude aj v prípade, ak sa prevádzkovateľ ekologickej poľnohospodárskej výroby stane užívateľom dielov pôdnych blokov, ktoré boli zapísané v registri ekologickej poľnohospodárskej výroby doteraz u iného prevádzkovateľa. Odstráni sa tak zby</w:t>
      </w:r>
      <w:r w:rsidR="00225296">
        <w:rPr>
          <w:rFonts w:ascii="Times New Roman" w:eastAsia="Calibri" w:hAnsi="Times New Roman" w:cs="Times New Roman"/>
          <w:sz w:val="24"/>
          <w:szCs w:val="24"/>
        </w:rPr>
        <w:t>točná záťaž pre prevádzkovateľa, ktorý by musel žiadať a hradiť  vstupné preverenie už registrovaného chovu/registrovaných pôdnych blokov v ekologickej poľnohospodárskej výrobe.</w:t>
      </w:r>
      <w:r w:rsidR="00752AD0">
        <w:rPr>
          <w:rFonts w:ascii="Times New Roman" w:eastAsia="Calibri" w:hAnsi="Times New Roman" w:cs="Times New Roman"/>
          <w:sz w:val="24"/>
          <w:szCs w:val="24"/>
        </w:rPr>
        <w:t xml:space="preserve"> Naopak ak má prevádzkovateľ záujem o registráciu nového miesta výkonu činnosti, ktoré nie je registrované v ekologickej poľnohospodárskej výrobe musí požiadať o vstupné preverenie inšpekčnú organizáciu. Následne môže byť registrovaný na kontrolnom ústave.</w:t>
      </w:r>
      <w:r w:rsidR="00611012">
        <w:rPr>
          <w:rFonts w:ascii="Times New Roman" w:eastAsia="Calibri" w:hAnsi="Times New Roman" w:cs="Times New Roman"/>
          <w:sz w:val="24"/>
          <w:szCs w:val="24"/>
        </w:rPr>
        <w:t xml:space="preserve"> </w:t>
      </w:r>
    </w:p>
    <w:p w14:paraId="0AFFC2C5" w14:textId="1EFD723E" w:rsidR="00611012" w:rsidRDefault="00611012"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Prevádzkovatelia ekologickej poľnohospodárskej výroby zaoberajúci sa činnosťou dovoz, vopred oznámia kontrolnému ústavu príchod </w:t>
      </w:r>
      <w:r w:rsidRPr="00611012">
        <w:rPr>
          <w:rFonts w:ascii="Times New Roman" w:eastAsia="Calibri" w:hAnsi="Times New Roman" w:cs="Times New Roman"/>
          <w:sz w:val="24"/>
          <w:szCs w:val="24"/>
        </w:rPr>
        <w:t>zásielky na hraničnú kontrolnú stanicu alebo miesto prepustenia do voľného obehu tak, že v obchodnom kontrolnom a expertnom systéme (TRACES)</w:t>
      </w:r>
      <w:r>
        <w:rPr>
          <w:rFonts w:ascii="Times New Roman" w:eastAsia="Calibri" w:hAnsi="Times New Roman" w:cs="Times New Roman"/>
          <w:sz w:val="24"/>
          <w:szCs w:val="24"/>
        </w:rPr>
        <w:t xml:space="preserve"> vyplnia a predložia</w:t>
      </w:r>
      <w:r w:rsidRPr="00611012">
        <w:rPr>
          <w:rFonts w:ascii="Times New Roman" w:eastAsia="Calibri" w:hAnsi="Times New Roman" w:cs="Times New Roman"/>
          <w:sz w:val="24"/>
          <w:szCs w:val="24"/>
        </w:rPr>
        <w:t xml:space="preserve"> príslušnú časť certifikátu o</w:t>
      </w:r>
      <w:r>
        <w:rPr>
          <w:rFonts w:ascii="Times New Roman" w:eastAsia="Calibri" w:hAnsi="Times New Roman" w:cs="Times New Roman"/>
          <w:sz w:val="24"/>
          <w:szCs w:val="24"/>
        </w:rPr>
        <w:t> </w:t>
      </w:r>
      <w:r w:rsidRPr="00611012">
        <w:rPr>
          <w:rFonts w:ascii="Times New Roman" w:eastAsia="Calibri" w:hAnsi="Times New Roman" w:cs="Times New Roman"/>
          <w:sz w:val="24"/>
          <w:szCs w:val="24"/>
        </w:rPr>
        <w:t>inšpekcii</w:t>
      </w:r>
      <w:r>
        <w:rPr>
          <w:rFonts w:ascii="Times New Roman" w:eastAsia="Calibri" w:hAnsi="Times New Roman" w:cs="Times New Roman"/>
          <w:sz w:val="24"/>
          <w:szCs w:val="24"/>
        </w:rPr>
        <w:t>.</w:t>
      </w:r>
    </w:p>
    <w:p w14:paraId="6F01741E" w14:textId="77777777" w:rsidR="006010C0" w:rsidRPr="006010C0" w:rsidRDefault="006010C0" w:rsidP="00054C41">
      <w:pPr>
        <w:spacing w:after="0"/>
        <w:jc w:val="both"/>
        <w:rPr>
          <w:rFonts w:ascii="Times New Roman" w:eastAsia="Calibri" w:hAnsi="Times New Roman" w:cs="Times New Roman"/>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Style w:val="Mriekatabuky2"/>
        <w:tblW w:w="11187" w:type="dxa"/>
        <w:tblLook w:val="04A0" w:firstRow="1" w:lastRow="0" w:firstColumn="1" w:lastColumn="0" w:noHBand="0" w:noVBand="1"/>
      </w:tblPr>
      <w:tblGrid>
        <w:gridCol w:w="3681"/>
        <w:gridCol w:w="2693"/>
        <w:gridCol w:w="2693"/>
        <w:gridCol w:w="1060"/>
        <w:gridCol w:w="1060"/>
      </w:tblGrid>
      <w:tr w:rsidR="00155255" w:rsidRPr="00895898" w14:paraId="46C3A70D" w14:textId="77777777" w:rsidTr="001E7098">
        <w:trPr>
          <w:gridAfter w:val="2"/>
          <w:wAfter w:w="2120" w:type="dxa"/>
        </w:trPr>
        <w:tc>
          <w:tcPr>
            <w:tcW w:w="3681" w:type="dxa"/>
          </w:tcPr>
          <w:p w14:paraId="36607CA1" w14:textId="77777777" w:rsidR="00155255" w:rsidRPr="00895898" w:rsidRDefault="00155255" w:rsidP="00983150">
            <w:pPr>
              <w:rPr>
                <w:rFonts w:ascii="Times New Roman" w:eastAsia="Calibri" w:hAnsi="Times New Roman" w:cs="Times New Roman"/>
                <w:b/>
                <w:bCs/>
                <w:i/>
                <w:sz w:val="20"/>
              </w:rPr>
            </w:pPr>
            <w:r w:rsidRPr="00895898">
              <w:rPr>
                <w:rFonts w:ascii="Times New Roman" w:eastAsia="Calibri" w:hAnsi="Times New Roman" w:cs="Times New Roman"/>
                <w:b/>
                <w:bCs/>
                <w:i/>
                <w:sz w:val="20"/>
              </w:rPr>
              <w:lastRenderedPageBreak/>
              <w:t>TYP NÁKLADOV</w:t>
            </w:r>
          </w:p>
        </w:tc>
        <w:tc>
          <w:tcPr>
            <w:tcW w:w="2693" w:type="dxa"/>
            <w:shd w:val="clear" w:color="auto" w:fill="FFC000"/>
          </w:tcPr>
          <w:p w14:paraId="2E9A0FC5" w14:textId="77777777" w:rsidR="00155255" w:rsidRPr="00895898" w:rsidRDefault="00155255" w:rsidP="00983150">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675BC5E4" w14:textId="77777777" w:rsidR="00155255" w:rsidRPr="00895898" w:rsidRDefault="00155255" w:rsidP="00983150">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1E7098" w:rsidRPr="00895898" w14:paraId="2BDC79E9" w14:textId="77777777" w:rsidTr="001E7098">
        <w:trPr>
          <w:gridAfter w:val="2"/>
          <w:wAfter w:w="2120" w:type="dxa"/>
          <w:trHeight w:val="227"/>
        </w:trPr>
        <w:tc>
          <w:tcPr>
            <w:tcW w:w="3681" w:type="dxa"/>
          </w:tcPr>
          <w:p w14:paraId="5AEC74CA" w14:textId="77777777" w:rsidR="001E7098" w:rsidRPr="00895898" w:rsidRDefault="001E7098" w:rsidP="001E7098">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3C4945C5" w14:textId="36BD8ABB" w:rsidR="001E7098" w:rsidRPr="001E7098" w:rsidRDefault="001E7098" w:rsidP="001E7098">
            <w:pPr>
              <w:jc w:val="center"/>
              <w:rPr>
                <w:rFonts w:ascii="Times New Roman" w:eastAsia="Calibri" w:hAnsi="Times New Roman" w:cs="Times New Roman"/>
                <w:bCs/>
                <w:i/>
                <w:sz w:val="20"/>
              </w:rPr>
            </w:pPr>
            <w:r w:rsidRPr="001E7098">
              <w:rPr>
                <w:rFonts w:ascii="Times New Roman" w:eastAsia="Calibri" w:hAnsi="Times New Roman" w:cs="Times New Roman"/>
                <w:bCs/>
                <w:i/>
                <w:sz w:val="20"/>
              </w:rPr>
              <w:t>0</w:t>
            </w:r>
          </w:p>
        </w:tc>
        <w:tc>
          <w:tcPr>
            <w:tcW w:w="2693" w:type="dxa"/>
            <w:shd w:val="clear" w:color="auto" w:fill="92D050"/>
          </w:tcPr>
          <w:p w14:paraId="62066EFB" w14:textId="10061E29" w:rsidR="001E7098" w:rsidRPr="00155255" w:rsidRDefault="001E7098" w:rsidP="001E7098">
            <w:pPr>
              <w:jc w:val="center"/>
              <w:rPr>
                <w:rFonts w:ascii="Times New Roman" w:eastAsia="Calibri" w:hAnsi="Times New Roman" w:cs="Times New Roman"/>
                <w:i/>
                <w:sz w:val="20"/>
              </w:rPr>
            </w:pPr>
            <w:r w:rsidRPr="00155255">
              <w:rPr>
                <w:rFonts w:ascii="Times New Roman" w:eastAsia="Calibri" w:hAnsi="Times New Roman" w:cs="Times New Roman"/>
                <w:bCs/>
                <w:i/>
                <w:sz w:val="20"/>
              </w:rPr>
              <w:t>0</w:t>
            </w:r>
          </w:p>
        </w:tc>
      </w:tr>
      <w:tr w:rsidR="001E7098" w:rsidRPr="00895898" w14:paraId="46F76E10" w14:textId="77777777" w:rsidTr="001E7098">
        <w:trPr>
          <w:gridAfter w:val="2"/>
          <w:wAfter w:w="2120" w:type="dxa"/>
        </w:trPr>
        <w:tc>
          <w:tcPr>
            <w:tcW w:w="3681" w:type="dxa"/>
          </w:tcPr>
          <w:p w14:paraId="443DBA9C" w14:textId="77777777" w:rsidR="001E7098" w:rsidRPr="00895898" w:rsidRDefault="001E7098" w:rsidP="001E7098">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0F2CB9C8" w14:textId="6610C5CB" w:rsidR="001E7098" w:rsidRPr="001E7098" w:rsidRDefault="001E7098" w:rsidP="001E7098">
            <w:pPr>
              <w:jc w:val="center"/>
              <w:rPr>
                <w:rFonts w:ascii="Times New Roman" w:eastAsia="Calibri" w:hAnsi="Times New Roman" w:cs="Times New Roman"/>
                <w:bCs/>
                <w:i/>
                <w:sz w:val="20"/>
              </w:rPr>
            </w:pPr>
            <w:r w:rsidRPr="001E7098">
              <w:rPr>
                <w:rFonts w:ascii="Times New Roman" w:eastAsia="Calibri" w:hAnsi="Times New Roman" w:cs="Times New Roman"/>
                <w:bCs/>
                <w:i/>
                <w:sz w:val="20"/>
              </w:rPr>
              <w:t>0</w:t>
            </w:r>
          </w:p>
        </w:tc>
        <w:tc>
          <w:tcPr>
            <w:tcW w:w="2693" w:type="dxa"/>
            <w:shd w:val="clear" w:color="auto" w:fill="92D050"/>
          </w:tcPr>
          <w:p w14:paraId="41DFEF98" w14:textId="37C63662" w:rsidR="001E7098" w:rsidRPr="00155255" w:rsidRDefault="001E7098" w:rsidP="001E7098">
            <w:pPr>
              <w:jc w:val="center"/>
              <w:rPr>
                <w:rFonts w:ascii="Times New Roman" w:eastAsia="Calibri" w:hAnsi="Times New Roman" w:cs="Times New Roman"/>
                <w:i/>
                <w:sz w:val="20"/>
              </w:rPr>
            </w:pPr>
            <w:r w:rsidRPr="00155255">
              <w:rPr>
                <w:rFonts w:ascii="Times New Roman" w:eastAsia="Calibri" w:hAnsi="Times New Roman" w:cs="Times New Roman"/>
                <w:bCs/>
                <w:i/>
                <w:sz w:val="20"/>
              </w:rPr>
              <w:t>0</w:t>
            </w:r>
          </w:p>
        </w:tc>
      </w:tr>
      <w:tr w:rsidR="001E7098" w:rsidRPr="00895898" w14:paraId="7F28CA6C" w14:textId="77777777" w:rsidTr="001E7098">
        <w:trPr>
          <w:gridAfter w:val="2"/>
          <w:wAfter w:w="2120" w:type="dxa"/>
        </w:trPr>
        <w:tc>
          <w:tcPr>
            <w:tcW w:w="3681" w:type="dxa"/>
          </w:tcPr>
          <w:p w14:paraId="1D463F78" w14:textId="77777777" w:rsidR="001E7098" w:rsidRPr="00895898" w:rsidRDefault="001E7098" w:rsidP="001E7098">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2AFDA866" w14:textId="6AB150BE" w:rsidR="001E7098" w:rsidRPr="001E7098" w:rsidRDefault="001E7098" w:rsidP="001E7098">
            <w:pPr>
              <w:jc w:val="center"/>
              <w:rPr>
                <w:rFonts w:ascii="Times New Roman" w:eastAsia="Calibri" w:hAnsi="Times New Roman" w:cs="Times New Roman"/>
                <w:bCs/>
                <w:i/>
                <w:sz w:val="20"/>
              </w:rPr>
            </w:pPr>
            <w:r w:rsidRPr="001E7098">
              <w:rPr>
                <w:rFonts w:ascii="Times New Roman" w:eastAsia="Calibri" w:hAnsi="Times New Roman" w:cs="Times New Roman"/>
                <w:bCs/>
                <w:i/>
                <w:sz w:val="20"/>
              </w:rPr>
              <w:t>0</w:t>
            </w:r>
          </w:p>
        </w:tc>
        <w:tc>
          <w:tcPr>
            <w:tcW w:w="2693" w:type="dxa"/>
            <w:shd w:val="clear" w:color="auto" w:fill="92D050"/>
          </w:tcPr>
          <w:p w14:paraId="603227AC" w14:textId="73E1D801" w:rsidR="001E7098" w:rsidRPr="00155255" w:rsidRDefault="001E7098" w:rsidP="001E7098">
            <w:pPr>
              <w:jc w:val="center"/>
              <w:rPr>
                <w:rFonts w:ascii="Times New Roman" w:eastAsia="Calibri" w:hAnsi="Times New Roman" w:cs="Times New Roman"/>
                <w:i/>
                <w:sz w:val="20"/>
              </w:rPr>
            </w:pPr>
            <w:r w:rsidRPr="00155255">
              <w:rPr>
                <w:rFonts w:ascii="Times New Roman" w:eastAsia="Calibri" w:hAnsi="Times New Roman" w:cs="Times New Roman"/>
                <w:bCs/>
                <w:i/>
                <w:sz w:val="20"/>
              </w:rPr>
              <w:t>0</w:t>
            </w:r>
          </w:p>
        </w:tc>
      </w:tr>
      <w:tr w:rsidR="001E7098" w:rsidRPr="00895898" w14:paraId="43536DF7" w14:textId="77777777" w:rsidTr="001E7098">
        <w:trPr>
          <w:gridAfter w:val="2"/>
          <w:wAfter w:w="2120" w:type="dxa"/>
        </w:trPr>
        <w:tc>
          <w:tcPr>
            <w:tcW w:w="3681" w:type="dxa"/>
          </w:tcPr>
          <w:p w14:paraId="5AEA8260" w14:textId="77777777" w:rsidR="001E7098" w:rsidRPr="00895898" w:rsidRDefault="001E7098" w:rsidP="001E7098">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71988180" w14:textId="0BD31570" w:rsidR="001E7098" w:rsidRPr="001E7098" w:rsidRDefault="00B5120B" w:rsidP="001E7098">
            <w:pPr>
              <w:jc w:val="center"/>
              <w:rPr>
                <w:rFonts w:ascii="Times New Roman" w:eastAsia="Calibri" w:hAnsi="Times New Roman" w:cs="Times New Roman"/>
                <w:bCs/>
                <w:i/>
                <w:sz w:val="20"/>
              </w:rPr>
            </w:pPr>
            <w:r>
              <w:rPr>
                <w:rFonts w:ascii="Times New Roman" w:eastAsia="Calibri" w:hAnsi="Times New Roman" w:cs="Times New Roman"/>
                <w:bCs/>
                <w:i/>
                <w:sz w:val="20"/>
              </w:rPr>
              <w:t>497</w:t>
            </w:r>
          </w:p>
        </w:tc>
        <w:tc>
          <w:tcPr>
            <w:tcW w:w="2693" w:type="dxa"/>
            <w:shd w:val="clear" w:color="auto" w:fill="92D050"/>
          </w:tcPr>
          <w:p w14:paraId="02AD0989" w14:textId="3165F983" w:rsidR="001E7098" w:rsidRPr="00155255" w:rsidRDefault="00B5120B" w:rsidP="001E7098">
            <w:pPr>
              <w:jc w:val="center"/>
              <w:rPr>
                <w:rFonts w:ascii="Times New Roman" w:eastAsia="Calibri" w:hAnsi="Times New Roman" w:cs="Times New Roman"/>
                <w:i/>
                <w:sz w:val="20"/>
              </w:rPr>
            </w:pPr>
            <w:r>
              <w:rPr>
                <w:rFonts w:ascii="Times New Roman" w:eastAsia="Calibri" w:hAnsi="Times New Roman" w:cs="Times New Roman"/>
                <w:i/>
                <w:sz w:val="20"/>
              </w:rPr>
              <w:t>164</w:t>
            </w:r>
          </w:p>
        </w:tc>
      </w:tr>
      <w:tr w:rsidR="001E7098" w:rsidRPr="00895898" w14:paraId="2C9D1188" w14:textId="77777777" w:rsidTr="001E7098">
        <w:trPr>
          <w:gridAfter w:val="2"/>
          <w:wAfter w:w="2120" w:type="dxa"/>
        </w:trPr>
        <w:tc>
          <w:tcPr>
            <w:tcW w:w="3681" w:type="dxa"/>
          </w:tcPr>
          <w:p w14:paraId="72AE621D" w14:textId="77777777" w:rsidR="001E7098" w:rsidRPr="00895898" w:rsidRDefault="001E7098" w:rsidP="001E7098">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26F6EB06" w14:textId="2C94E400" w:rsidR="001E7098" w:rsidRPr="001E7098" w:rsidRDefault="00B5120B" w:rsidP="001E7098">
            <w:pPr>
              <w:jc w:val="center"/>
              <w:rPr>
                <w:rFonts w:ascii="Times New Roman" w:eastAsia="Calibri" w:hAnsi="Times New Roman" w:cs="Times New Roman"/>
                <w:b/>
                <w:bCs/>
                <w:i/>
                <w:sz w:val="20"/>
              </w:rPr>
            </w:pPr>
            <w:r>
              <w:rPr>
                <w:rFonts w:ascii="Times New Roman" w:eastAsia="Calibri" w:hAnsi="Times New Roman" w:cs="Times New Roman"/>
                <w:b/>
                <w:bCs/>
                <w:i/>
                <w:sz w:val="20"/>
              </w:rPr>
              <w:t>497</w:t>
            </w:r>
          </w:p>
        </w:tc>
        <w:tc>
          <w:tcPr>
            <w:tcW w:w="2693" w:type="dxa"/>
            <w:shd w:val="clear" w:color="auto" w:fill="92D050"/>
          </w:tcPr>
          <w:p w14:paraId="69A2FBA6" w14:textId="6E3EB21E" w:rsidR="001E7098" w:rsidRPr="00155255" w:rsidRDefault="00B5120B" w:rsidP="001E7098">
            <w:pPr>
              <w:jc w:val="center"/>
              <w:rPr>
                <w:rFonts w:ascii="Times New Roman" w:eastAsia="Calibri" w:hAnsi="Times New Roman" w:cs="Times New Roman"/>
                <w:b/>
                <w:i/>
                <w:sz w:val="20"/>
              </w:rPr>
            </w:pPr>
            <w:r>
              <w:rPr>
                <w:rFonts w:ascii="Times New Roman" w:eastAsia="Calibri" w:hAnsi="Times New Roman" w:cs="Times New Roman"/>
                <w:b/>
                <w:bCs/>
                <w:i/>
                <w:sz w:val="20"/>
              </w:rPr>
              <w:t>164</w:t>
            </w:r>
          </w:p>
        </w:tc>
      </w:tr>
      <w:tr w:rsidR="001E7098" w:rsidRPr="00895898" w14:paraId="5201FCCB" w14:textId="77777777" w:rsidTr="001E7098">
        <w:trPr>
          <w:gridAfter w:val="2"/>
          <w:wAfter w:w="2120" w:type="dxa"/>
        </w:trPr>
        <w:tc>
          <w:tcPr>
            <w:tcW w:w="3681" w:type="dxa"/>
          </w:tcPr>
          <w:p w14:paraId="20B65C69" w14:textId="77777777" w:rsidR="001E7098" w:rsidRPr="00895898" w:rsidRDefault="001E7098" w:rsidP="001E7098">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0F03DEFF" w14:textId="31334555" w:rsidR="001E7098" w:rsidRPr="001E7098" w:rsidRDefault="001E7098" w:rsidP="001E7098">
            <w:pPr>
              <w:jc w:val="center"/>
              <w:rPr>
                <w:rFonts w:ascii="Times New Roman" w:eastAsia="Calibri" w:hAnsi="Times New Roman" w:cs="Times New Roman"/>
                <w:bCs/>
                <w:i/>
                <w:sz w:val="20"/>
              </w:rPr>
            </w:pPr>
            <w:r w:rsidRPr="001E7098">
              <w:rPr>
                <w:rFonts w:ascii="Times New Roman" w:eastAsia="Calibri" w:hAnsi="Times New Roman" w:cs="Times New Roman"/>
                <w:bCs/>
                <w:i/>
                <w:sz w:val="20"/>
              </w:rPr>
              <w:t> </w:t>
            </w:r>
          </w:p>
        </w:tc>
        <w:tc>
          <w:tcPr>
            <w:tcW w:w="2693" w:type="dxa"/>
            <w:shd w:val="clear" w:color="auto" w:fill="92D050"/>
          </w:tcPr>
          <w:p w14:paraId="228E8E9E" w14:textId="3CB60403" w:rsidR="001E7098" w:rsidRPr="00155255" w:rsidRDefault="001E7098" w:rsidP="001E7098">
            <w:pPr>
              <w:jc w:val="center"/>
              <w:rPr>
                <w:rFonts w:ascii="Times New Roman" w:eastAsia="Calibri" w:hAnsi="Times New Roman" w:cs="Times New Roman"/>
                <w:i/>
                <w:sz w:val="20"/>
              </w:rPr>
            </w:pPr>
            <w:r w:rsidRPr="00155255">
              <w:rPr>
                <w:rFonts w:ascii="Times New Roman" w:eastAsia="Calibri" w:hAnsi="Times New Roman" w:cs="Times New Roman"/>
                <w:bCs/>
                <w:i/>
                <w:sz w:val="20"/>
              </w:rPr>
              <w:t> </w:t>
            </w:r>
          </w:p>
        </w:tc>
      </w:tr>
      <w:tr w:rsidR="001E7098" w:rsidRPr="00895898" w14:paraId="35E571B9" w14:textId="77777777" w:rsidTr="001E7098">
        <w:trPr>
          <w:gridAfter w:val="2"/>
          <w:wAfter w:w="2120" w:type="dxa"/>
        </w:trPr>
        <w:tc>
          <w:tcPr>
            <w:tcW w:w="3681" w:type="dxa"/>
          </w:tcPr>
          <w:p w14:paraId="314BD6D5" w14:textId="77777777" w:rsidR="001E7098" w:rsidRPr="00895898" w:rsidRDefault="001E7098" w:rsidP="001E7098">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457D701C" w14:textId="34A463EF" w:rsidR="001E7098" w:rsidRPr="001E7098" w:rsidRDefault="00B5120B" w:rsidP="001E7098">
            <w:pPr>
              <w:jc w:val="center"/>
              <w:rPr>
                <w:rFonts w:ascii="Times New Roman" w:eastAsia="Calibri" w:hAnsi="Times New Roman" w:cs="Times New Roman"/>
                <w:bCs/>
                <w:i/>
                <w:sz w:val="20"/>
              </w:rPr>
            </w:pPr>
            <w:r>
              <w:rPr>
                <w:rFonts w:ascii="Times New Roman" w:eastAsia="Calibri" w:hAnsi="Times New Roman" w:cs="Times New Roman"/>
                <w:bCs/>
                <w:i/>
                <w:sz w:val="20"/>
              </w:rPr>
              <w:t>497</w:t>
            </w:r>
          </w:p>
        </w:tc>
        <w:tc>
          <w:tcPr>
            <w:tcW w:w="2693" w:type="dxa"/>
            <w:shd w:val="clear" w:color="auto" w:fill="92D050"/>
          </w:tcPr>
          <w:p w14:paraId="7842CDFE" w14:textId="15BAD2CA" w:rsidR="001E7098" w:rsidRPr="00155255" w:rsidRDefault="00B5120B" w:rsidP="001E7098">
            <w:pPr>
              <w:jc w:val="center"/>
              <w:rPr>
                <w:rFonts w:ascii="Times New Roman" w:eastAsia="Calibri" w:hAnsi="Times New Roman" w:cs="Times New Roman"/>
                <w:i/>
                <w:sz w:val="20"/>
              </w:rPr>
            </w:pPr>
            <w:r>
              <w:rPr>
                <w:rFonts w:ascii="Times New Roman" w:eastAsia="Calibri" w:hAnsi="Times New Roman" w:cs="Times New Roman"/>
                <w:bCs/>
                <w:i/>
                <w:sz w:val="20"/>
              </w:rPr>
              <w:t>164</w:t>
            </w:r>
          </w:p>
        </w:tc>
      </w:tr>
      <w:tr w:rsidR="001E7098" w:rsidRPr="00895898" w14:paraId="28B791BC" w14:textId="77777777" w:rsidTr="001E7098">
        <w:trPr>
          <w:gridAfter w:val="2"/>
          <w:wAfter w:w="2120" w:type="dxa"/>
        </w:trPr>
        <w:tc>
          <w:tcPr>
            <w:tcW w:w="3681" w:type="dxa"/>
          </w:tcPr>
          <w:p w14:paraId="3E48A824" w14:textId="77777777" w:rsidR="001E7098" w:rsidRPr="00895898" w:rsidRDefault="001E7098" w:rsidP="001E7098">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14:paraId="04673011" w14:textId="3CACA4F5" w:rsidR="001E7098" w:rsidRPr="001E7098" w:rsidRDefault="001E7098" w:rsidP="001E7098">
            <w:pPr>
              <w:jc w:val="center"/>
              <w:rPr>
                <w:rFonts w:ascii="Times New Roman" w:eastAsia="Calibri" w:hAnsi="Times New Roman" w:cs="Times New Roman"/>
                <w:bCs/>
                <w:i/>
                <w:sz w:val="20"/>
              </w:rPr>
            </w:pPr>
            <w:r w:rsidRPr="001E7098">
              <w:rPr>
                <w:rFonts w:ascii="Times New Roman" w:eastAsia="Calibri" w:hAnsi="Times New Roman" w:cs="Times New Roman"/>
                <w:bCs/>
                <w:i/>
                <w:sz w:val="20"/>
              </w:rPr>
              <w:t>0</w:t>
            </w:r>
          </w:p>
        </w:tc>
        <w:tc>
          <w:tcPr>
            <w:tcW w:w="2693" w:type="dxa"/>
            <w:shd w:val="clear" w:color="auto" w:fill="92D050"/>
          </w:tcPr>
          <w:p w14:paraId="05ABBE7E" w14:textId="78D60D85" w:rsidR="001E7098" w:rsidRPr="00155255" w:rsidRDefault="001E7098" w:rsidP="001E7098">
            <w:pPr>
              <w:jc w:val="center"/>
              <w:rPr>
                <w:rFonts w:ascii="Times New Roman" w:eastAsia="Calibri" w:hAnsi="Times New Roman" w:cs="Times New Roman"/>
                <w:i/>
                <w:sz w:val="20"/>
              </w:rPr>
            </w:pPr>
            <w:r w:rsidRPr="00155255">
              <w:rPr>
                <w:rFonts w:ascii="Times New Roman" w:eastAsia="Calibri" w:hAnsi="Times New Roman" w:cs="Times New Roman"/>
                <w:bCs/>
                <w:i/>
                <w:sz w:val="20"/>
              </w:rPr>
              <w:t>0</w:t>
            </w:r>
          </w:p>
        </w:tc>
      </w:tr>
      <w:tr w:rsidR="001E7098" w:rsidRPr="00895898" w14:paraId="3B6D2A03" w14:textId="4641327B" w:rsidTr="001E7098">
        <w:tc>
          <w:tcPr>
            <w:tcW w:w="9067" w:type="dxa"/>
            <w:gridSpan w:val="3"/>
            <w:shd w:val="clear" w:color="auto" w:fill="auto"/>
          </w:tcPr>
          <w:p w14:paraId="255EA859" w14:textId="77777777" w:rsidR="001E7098" w:rsidRPr="001E7098" w:rsidRDefault="001E7098" w:rsidP="001E7098">
            <w:pPr>
              <w:jc w:val="center"/>
              <w:rPr>
                <w:rFonts w:ascii="Times New Roman" w:eastAsia="Calibri" w:hAnsi="Times New Roman" w:cs="Times New Roman"/>
                <w:bCs/>
                <w:i/>
                <w:sz w:val="20"/>
              </w:rPr>
            </w:pPr>
          </w:p>
        </w:tc>
        <w:tc>
          <w:tcPr>
            <w:tcW w:w="1060" w:type="dxa"/>
            <w:tcBorders>
              <w:top w:val="nil"/>
              <w:left w:val="nil"/>
              <w:bottom w:val="nil"/>
              <w:right w:val="nil"/>
            </w:tcBorders>
            <w:shd w:val="clear" w:color="auto" w:fill="auto"/>
            <w:vAlign w:val="center"/>
          </w:tcPr>
          <w:p w14:paraId="4E3A6C9A" w14:textId="77777777" w:rsidR="001E7098" w:rsidRPr="00895898" w:rsidRDefault="001E7098" w:rsidP="001E7098"/>
        </w:tc>
        <w:tc>
          <w:tcPr>
            <w:tcW w:w="1060" w:type="dxa"/>
            <w:tcBorders>
              <w:top w:val="nil"/>
              <w:left w:val="nil"/>
              <w:bottom w:val="nil"/>
              <w:right w:val="nil"/>
            </w:tcBorders>
            <w:shd w:val="clear" w:color="auto" w:fill="auto"/>
            <w:vAlign w:val="center"/>
          </w:tcPr>
          <w:p w14:paraId="32653A92" w14:textId="77777777" w:rsidR="001E7098" w:rsidRPr="00895898" w:rsidRDefault="001E7098" w:rsidP="001E7098"/>
        </w:tc>
      </w:tr>
      <w:tr w:rsidR="001E7098" w:rsidRPr="00895898" w14:paraId="6CD9DDF4" w14:textId="77777777" w:rsidTr="001E7098">
        <w:trPr>
          <w:gridAfter w:val="2"/>
          <w:wAfter w:w="2120" w:type="dxa"/>
        </w:trPr>
        <w:tc>
          <w:tcPr>
            <w:tcW w:w="3681" w:type="dxa"/>
          </w:tcPr>
          <w:p w14:paraId="65F17A19" w14:textId="77777777" w:rsidR="001E7098" w:rsidRPr="00895898" w:rsidRDefault="001E7098" w:rsidP="001E7098">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tcBorders>
              <w:top w:val="single" w:sz="8" w:space="0" w:color="auto"/>
              <w:left w:val="single" w:sz="4" w:space="0" w:color="auto"/>
              <w:bottom w:val="single" w:sz="4" w:space="0" w:color="auto"/>
              <w:right w:val="single" w:sz="4" w:space="0" w:color="auto"/>
            </w:tcBorders>
            <w:shd w:val="clear" w:color="000000" w:fill="FFC000"/>
            <w:vAlign w:val="center"/>
          </w:tcPr>
          <w:p w14:paraId="7BE5F615" w14:textId="2EAF6833" w:rsidR="001E7098" w:rsidRPr="001E7098" w:rsidRDefault="001E7098" w:rsidP="001E7098">
            <w:pPr>
              <w:jc w:val="center"/>
              <w:rPr>
                <w:rFonts w:ascii="Times New Roman" w:eastAsia="Calibri" w:hAnsi="Times New Roman" w:cs="Times New Roman"/>
                <w:b/>
                <w:bCs/>
                <w:i/>
                <w:sz w:val="20"/>
              </w:rPr>
            </w:pPr>
            <w:r w:rsidRPr="001E7098">
              <w:rPr>
                <w:rFonts w:ascii="Times New Roman" w:eastAsia="Calibri" w:hAnsi="Times New Roman" w:cs="Times New Roman"/>
                <w:b/>
                <w:bCs/>
                <w:i/>
                <w:sz w:val="20"/>
              </w:rPr>
              <w:t>IN</w:t>
            </w:r>
          </w:p>
        </w:tc>
        <w:tc>
          <w:tcPr>
            <w:tcW w:w="2693" w:type="dxa"/>
            <w:shd w:val="clear" w:color="auto" w:fill="92D050"/>
          </w:tcPr>
          <w:p w14:paraId="401E7E23" w14:textId="270F8F60" w:rsidR="001E7098" w:rsidRPr="00895898" w:rsidRDefault="001E7098" w:rsidP="001E7098">
            <w:pPr>
              <w:jc w:val="center"/>
              <w:rPr>
                <w:rFonts w:ascii="Times New Roman" w:eastAsia="Calibri" w:hAnsi="Times New Roman" w:cs="Times New Roman"/>
                <w:b/>
                <w:bCs/>
                <w:i/>
                <w:sz w:val="20"/>
              </w:rPr>
            </w:pPr>
            <w:r w:rsidRPr="00225296">
              <w:rPr>
                <w:rFonts w:ascii="Times New Roman" w:eastAsia="Calibri" w:hAnsi="Times New Roman" w:cs="Times New Roman"/>
                <w:b/>
                <w:bCs/>
                <w:i/>
                <w:sz w:val="20"/>
              </w:rPr>
              <w:t>OUT</w:t>
            </w:r>
          </w:p>
        </w:tc>
      </w:tr>
      <w:tr w:rsidR="001E7098" w:rsidRPr="00895898" w14:paraId="37071B54" w14:textId="77777777" w:rsidTr="001E7098">
        <w:trPr>
          <w:gridAfter w:val="2"/>
          <w:wAfter w:w="2120" w:type="dxa"/>
        </w:trPr>
        <w:tc>
          <w:tcPr>
            <w:tcW w:w="3681" w:type="dxa"/>
          </w:tcPr>
          <w:p w14:paraId="7D24C04A" w14:textId="77777777" w:rsidR="001E7098" w:rsidRPr="00895898" w:rsidRDefault="001E7098" w:rsidP="001E7098">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14:paraId="05F1D165" w14:textId="22FD7351" w:rsidR="001E7098" w:rsidRPr="001E7098" w:rsidRDefault="00B5120B" w:rsidP="001E7098">
            <w:pPr>
              <w:jc w:val="center"/>
              <w:rPr>
                <w:rFonts w:ascii="Times New Roman" w:eastAsia="Calibri" w:hAnsi="Times New Roman" w:cs="Times New Roman"/>
                <w:b/>
                <w:bCs/>
                <w:i/>
                <w:sz w:val="20"/>
              </w:rPr>
            </w:pPr>
            <w:r>
              <w:rPr>
                <w:rFonts w:ascii="Times New Roman" w:eastAsia="Calibri" w:hAnsi="Times New Roman" w:cs="Times New Roman"/>
                <w:b/>
                <w:bCs/>
                <w:i/>
                <w:sz w:val="20"/>
              </w:rPr>
              <w:t>497</w:t>
            </w:r>
          </w:p>
        </w:tc>
        <w:tc>
          <w:tcPr>
            <w:tcW w:w="2693" w:type="dxa"/>
            <w:shd w:val="clear" w:color="auto" w:fill="92D050"/>
          </w:tcPr>
          <w:p w14:paraId="28FAC292" w14:textId="48B2A94C" w:rsidR="001E7098" w:rsidRPr="00895898" w:rsidRDefault="00B5120B" w:rsidP="001E7098">
            <w:pPr>
              <w:jc w:val="center"/>
              <w:rPr>
                <w:rFonts w:ascii="Times New Roman" w:eastAsia="Calibri" w:hAnsi="Times New Roman" w:cs="Times New Roman"/>
                <w:b/>
                <w:bCs/>
                <w:i/>
                <w:sz w:val="20"/>
              </w:rPr>
            </w:pPr>
            <w:r>
              <w:rPr>
                <w:rFonts w:ascii="Times New Roman" w:eastAsia="Calibri" w:hAnsi="Times New Roman" w:cs="Times New Roman"/>
                <w:b/>
                <w:bCs/>
                <w:i/>
                <w:sz w:val="20"/>
              </w:rPr>
              <w:t>164</w:t>
            </w:r>
          </w:p>
        </w:tc>
      </w:tr>
    </w:tbl>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D71321">
          <w:footerReference w:type="default" r:id="rId10"/>
          <w:pgSz w:w="11906" w:h="16838"/>
          <w:pgMar w:top="993" w:right="1417" w:bottom="1417" w:left="1417" w:header="708" w:footer="708" w:gutter="0"/>
          <w:pgNumType w:start="17"/>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50E4EE4F" w14:textId="1B35118B" w:rsidR="003A6B55"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301"/>
        <w:gridCol w:w="1024"/>
        <w:gridCol w:w="1129"/>
        <w:gridCol w:w="1286"/>
        <w:gridCol w:w="934"/>
        <w:gridCol w:w="1677"/>
        <w:gridCol w:w="974"/>
        <w:gridCol w:w="974"/>
        <w:gridCol w:w="982"/>
        <w:gridCol w:w="992"/>
        <w:gridCol w:w="1094"/>
      </w:tblGrid>
      <w:tr w:rsidR="00B010DA" w:rsidRPr="00B010DA" w14:paraId="594F3057" w14:textId="77777777" w:rsidTr="00155255">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BF23C" w14:textId="77777777" w:rsidR="00B010DA" w:rsidRPr="00225296" w:rsidRDefault="00B010DA" w:rsidP="00B010DA">
            <w:pPr>
              <w:spacing w:after="0" w:line="240" w:lineRule="auto"/>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P.č.</w:t>
            </w:r>
          </w:p>
        </w:tc>
        <w:tc>
          <w:tcPr>
            <w:tcW w:w="3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8AF21" w14:textId="77777777"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 xml:space="preserve">Zrozumiteľný a stručný opis regulácie </w:t>
            </w:r>
            <w:r w:rsidRPr="00225296">
              <w:rPr>
                <w:rFonts w:ascii="Times New Roman" w:eastAsia="Times New Roman" w:hAnsi="Times New Roman" w:cs="Times New Roman"/>
                <w:b/>
                <w:sz w:val="20"/>
                <w:szCs w:val="20"/>
                <w:lang w:eastAsia="sk-SK"/>
              </w:rPr>
              <w:br/>
              <w:t>(dôvod zvýšenia/zníženia nákladov na PP)</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35BD4" w14:textId="77777777"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Číslo normy</w:t>
            </w:r>
            <w:r w:rsidRPr="00225296">
              <w:rPr>
                <w:rFonts w:ascii="Times New Roman" w:eastAsia="Times New Roman" w:hAnsi="Times New Roman" w:cs="Times New Roman"/>
                <w:b/>
                <w:sz w:val="20"/>
                <w:szCs w:val="20"/>
                <w:lang w:eastAsia="sk-SK"/>
              </w:rPr>
              <w:br/>
            </w:r>
            <w:r w:rsidRPr="00225296">
              <w:rPr>
                <w:rFonts w:ascii="Times New Roman" w:eastAsia="Times New Roman" w:hAnsi="Times New Roman" w:cs="Times New Roman"/>
                <w:sz w:val="20"/>
                <w:szCs w:val="20"/>
                <w:lang w:eastAsia="sk-SK"/>
              </w:rPr>
              <w:t>(zákona, vyhlášky a pod.)</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6C1DD" w14:textId="77777777"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Lokalizácia</w:t>
            </w:r>
            <w:r w:rsidRPr="00225296">
              <w:rPr>
                <w:rFonts w:ascii="Times New Roman" w:eastAsia="Times New Roman" w:hAnsi="Times New Roman" w:cs="Times New Roman"/>
                <w:b/>
                <w:sz w:val="20"/>
                <w:szCs w:val="20"/>
                <w:lang w:eastAsia="sk-SK"/>
              </w:rPr>
              <w:br/>
            </w:r>
            <w:r w:rsidRPr="00225296">
              <w:rPr>
                <w:rFonts w:ascii="Times New Roman" w:eastAsia="Times New Roman" w:hAnsi="Times New Roman" w:cs="Times New Roman"/>
                <w:sz w:val="20"/>
                <w:szCs w:val="20"/>
                <w:lang w:eastAsia="sk-SK"/>
              </w:rPr>
              <w:t>(§, ods.)</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67F9B2" w14:textId="77777777" w:rsidR="00B010DA" w:rsidRPr="00225296" w:rsidRDefault="00B010DA" w:rsidP="00155255">
            <w:pPr>
              <w:spacing w:after="0" w:line="240" w:lineRule="auto"/>
              <w:jc w:val="center"/>
              <w:rPr>
                <w:rFonts w:ascii="Times New Roman" w:eastAsia="Times New Roman" w:hAnsi="Times New Roman" w:cs="Times New Roman"/>
                <w:b/>
                <w:color w:val="000000"/>
                <w:sz w:val="20"/>
                <w:szCs w:val="20"/>
                <w:lang w:eastAsia="sk-SK"/>
              </w:rPr>
            </w:pPr>
            <w:r w:rsidRPr="00225296">
              <w:rPr>
                <w:rFonts w:ascii="Times New Roman" w:eastAsia="Times New Roman" w:hAnsi="Times New Roman" w:cs="Times New Roman"/>
                <w:b/>
                <w:color w:val="000000"/>
                <w:sz w:val="20"/>
                <w:szCs w:val="20"/>
                <w:lang w:eastAsia="sk-SK"/>
              </w:rPr>
              <w:t xml:space="preserve">Pôvod regulácie: </w:t>
            </w:r>
            <w:r w:rsidRPr="00225296">
              <w:rPr>
                <w:rFonts w:ascii="Times New Roman" w:eastAsia="Times New Roman" w:hAnsi="Times New Roman" w:cs="Times New Roman"/>
                <w:b/>
                <w:color w:val="000000"/>
                <w:sz w:val="20"/>
                <w:szCs w:val="20"/>
                <w:lang w:eastAsia="sk-SK"/>
              </w:rPr>
              <w:br/>
            </w:r>
            <w:r w:rsidRPr="00225296">
              <w:rPr>
                <w:rFonts w:ascii="Times New Roman" w:eastAsia="Times New Roman" w:hAnsi="Times New Roman" w:cs="Times New Roman"/>
                <w:color w:val="000000"/>
                <w:sz w:val="20"/>
                <w:szCs w:val="20"/>
                <w:lang w:eastAsia="sk-SK"/>
              </w:rPr>
              <w:t>SR/EÚ úplná harm./EÚ harm.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E32DA1" w14:textId="77777777" w:rsidR="00B010DA" w:rsidRPr="00225296" w:rsidRDefault="00B010DA" w:rsidP="00155255">
            <w:pPr>
              <w:spacing w:after="0" w:line="240" w:lineRule="auto"/>
              <w:jc w:val="center"/>
              <w:rPr>
                <w:rFonts w:ascii="Times New Roman" w:eastAsia="Times New Roman" w:hAnsi="Times New Roman" w:cs="Times New Roman"/>
                <w:b/>
                <w:color w:val="000000"/>
                <w:sz w:val="20"/>
                <w:szCs w:val="20"/>
                <w:lang w:eastAsia="sk-SK"/>
              </w:rPr>
            </w:pPr>
            <w:r w:rsidRPr="00225296">
              <w:rPr>
                <w:rFonts w:ascii="Times New Roman" w:eastAsia="Times New Roman" w:hAnsi="Times New Roman" w:cs="Times New Roman"/>
                <w:b/>
                <w:color w:val="000000"/>
                <w:sz w:val="20"/>
                <w:szCs w:val="20"/>
                <w:lang w:eastAsia="sk-SK"/>
              </w:rPr>
              <w:t>Účinnosť regulácie</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A5F05" w14:textId="77777777"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Kategória dotk. subjektov</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FBFB16" w14:textId="7DC1D41D"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Počet subjektov spolu</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DDC64A3" w14:textId="77777777" w:rsidR="00B010DA" w:rsidRPr="00225296" w:rsidRDefault="00B010DA" w:rsidP="00155255">
            <w:pPr>
              <w:spacing w:after="0" w:line="240" w:lineRule="auto"/>
              <w:jc w:val="center"/>
              <w:rPr>
                <w:rFonts w:ascii="Times New Roman" w:eastAsia="Times New Roman" w:hAnsi="Times New Roman" w:cs="Times New Roman"/>
                <w:b/>
                <w:color w:val="000000"/>
                <w:sz w:val="20"/>
                <w:szCs w:val="20"/>
                <w:lang w:eastAsia="sk-SK"/>
              </w:rPr>
            </w:pPr>
            <w:r w:rsidRPr="00225296">
              <w:rPr>
                <w:rFonts w:ascii="Times New Roman" w:eastAsia="Times New Roman" w:hAnsi="Times New Roman" w:cs="Times New Roman"/>
                <w:b/>
                <w:color w:val="000000"/>
                <w:sz w:val="20"/>
                <w:szCs w:val="20"/>
                <w:lang w:eastAsia="sk-SK"/>
              </w:rPr>
              <w:t>Počet subjektov MSP</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0DC5C3" w14:textId="77777777" w:rsidR="00B010DA" w:rsidRPr="00225296" w:rsidRDefault="00B010DA" w:rsidP="00155255">
            <w:pPr>
              <w:spacing w:after="0" w:line="240" w:lineRule="auto"/>
              <w:jc w:val="center"/>
              <w:rPr>
                <w:rFonts w:ascii="Times New Roman" w:eastAsia="Times New Roman" w:hAnsi="Times New Roman" w:cs="Times New Roman"/>
                <w:b/>
                <w:color w:val="000000"/>
                <w:sz w:val="20"/>
                <w:szCs w:val="20"/>
                <w:lang w:eastAsia="sk-SK"/>
              </w:rPr>
            </w:pPr>
            <w:r w:rsidRPr="00225296">
              <w:rPr>
                <w:rFonts w:ascii="Times New Roman" w:eastAsia="Times New Roman" w:hAnsi="Times New Roman" w:cs="Times New Roman"/>
                <w:b/>
                <w:color w:val="000000"/>
                <w:sz w:val="20"/>
                <w:szCs w:val="20"/>
                <w:lang w:eastAsia="sk-SK"/>
              </w:rPr>
              <w:t>Vplyv na 1 podnik. v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68B01F" w14:textId="77777777" w:rsidR="00B010DA" w:rsidRPr="00225296" w:rsidRDefault="00B010DA" w:rsidP="00155255">
            <w:pPr>
              <w:spacing w:after="0" w:line="240" w:lineRule="auto"/>
              <w:jc w:val="center"/>
              <w:rPr>
                <w:rFonts w:ascii="Times New Roman" w:eastAsia="Times New Roman" w:hAnsi="Times New Roman" w:cs="Times New Roman"/>
                <w:b/>
                <w:color w:val="000000"/>
                <w:sz w:val="20"/>
                <w:szCs w:val="20"/>
                <w:lang w:eastAsia="sk-SK"/>
              </w:rPr>
            </w:pPr>
            <w:r w:rsidRPr="00225296">
              <w:rPr>
                <w:rFonts w:ascii="Times New Roman" w:eastAsia="Times New Roman" w:hAnsi="Times New Roman" w:cs="Times New Roman"/>
                <w:b/>
                <w:color w:val="000000"/>
                <w:sz w:val="20"/>
                <w:szCs w:val="20"/>
                <w:lang w:eastAsia="sk-SK"/>
              </w:rPr>
              <w:t>Vplyv na kategóriu dotk. subjektov v €</w:t>
            </w: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9466A" w14:textId="77777777" w:rsidR="00B010DA" w:rsidRPr="00225296" w:rsidRDefault="00B010DA" w:rsidP="00155255">
            <w:pPr>
              <w:spacing w:after="0" w:line="240" w:lineRule="auto"/>
              <w:jc w:val="center"/>
              <w:rPr>
                <w:rFonts w:ascii="Times New Roman" w:eastAsia="Times New Roman" w:hAnsi="Times New Roman" w:cs="Times New Roman"/>
                <w:b/>
                <w:sz w:val="20"/>
                <w:szCs w:val="20"/>
                <w:lang w:eastAsia="sk-SK"/>
              </w:rPr>
            </w:pPr>
            <w:r w:rsidRPr="00225296">
              <w:rPr>
                <w:rFonts w:ascii="Times New Roman" w:eastAsia="Times New Roman" w:hAnsi="Times New Roman" w:cs="Times New Roman"/>
                <w:b/>
                <w:sz w:val="20"/>
                <w:szCs w:val="20"/>
                <w:lang w:eastAsia="sk-SK"/>
              </w:rPr>
              <w:t>Druh vplyvu</w:t>
            </w:r>
            <w:r w:rsidRPr="00225296">
              <w:rPr>
                <w:rFonts w:ascii="Times New Roman" w:eastAsia="Times New Roman" w:hAnsi="Times New Roman" w:cs="Times New Roman"/>
                <w:b/>
                <w:sz w:val="20"/>
                <w:szCs w:val="20"/>
                <w:lang w:eastAsia="sk-SK"/>
              </w:rPr>
              <w:br/>
            </w:r>
            <w:r w:rsidRPr="00225296">
              <w:rPr>
                <w:rFonts w:ascii="Times New Roman" w:eastAsia="Times New Roman" w:hAnsi="Times New Roman" w:cs="Times New Roman"/>
                <w:sz w:val="20"/>
                <w:szCs w:val="20"/>
                <w:lang w:eastAsia="sk-SK"/>
              </w:rPr>
              <w:t xml:space="preserve">In (zvyšuje náklady) / </w:t>
            </w:r>
            <w:r w:rsidRPr="00225296">
              <w:rPr>
                <w:rFonts w:ascii="Times New Roman" w:eastAsia="Times New Roman" w:hAnsi="Times New Roman" w:cs="Times New Roman"/>
                <w:sz w:val="20"/>
                <w:szCs w:val="20"/>
                <w:lang w:eastAsia="sk-SK"/>
              </w:rPr>
              <w:br/>
              <w:t>Out (znižuje náklady)</w:t>
            </w:r>
          </w:p>
        </w:tc>
      </w:tr>
      <w:tr w:rsidR="00B5120B" w:rsidRPr="00B5120B" w14:paraId="40F9CFC1"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77F35B98"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1</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4E0DC21D"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Žiadateľ o vstupné preverenie činnosti zber voľne rastúcich rastlín a ich častí je povinný predložiť podrobné informácie o mieste výkonu činnosti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0DCC1F5"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0098B4D"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§6 ods. 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7931E4C2"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1DF61" w14:textId="73055480" w:rsidR="00B5120B" w:rsidRPr="00B5120B" w:rsidRDefault="007521F9" w:rsidP="007521F9">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0832F87" w14:textId="618CCF26" w:rsidR="00B5120B" w:rsidRPr="00B5120B" w:rsidRDefault="00B5120B" w:rsidP="00110229">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záujemcovia o vykonávanie ekologickej poľnohospodárskej výroby, ktorý ešte nie sú registrovan</w:t>
            </w:r>
            <w:r w:rsidR="00110229">
              <w:rPr>
                <w:rFonts w:ascii="Times New Roman" w:eastAsia="Times New Roman" w:hAnsi="Times New Roman" w:cs="Times New Roman"/>
                <w:sz w:val="20"/>
                <w:szCs w:val="20"/>
                <w:lang w:eastAsia="sk-SK"/>
              </w:rPr>
              <w:t>í</w:t>
            </w:r>
            <w:r w:rsidRPr="00B5120B">
              <w:rPr>
                <w:rFonts w:ascii="Times New Roman" w:eastAsia="Times New Roman" w:hAnsi="Times New Roman" w:cs="Times New Roman"/>
                <w:sz w:val="20"/>
                <w:szCs w:val="20"/>
                <w:lang w:eastAsia="sk-SK"/>
              </w:rPr>
              <w:t xml:space="preserve"> v registri prevádzkovateľov</w:t>
            </w:r>
            <w:r w:rsidR="00355182">
              <w:rPr>
                <w:rFonts w:ascii="Times New Roman" w:eastAsia="Times New Roman" w:hAnsi="Times New Roman" w:cs="Times New Roman"/>
                <w:sz w:val="20"/>
                <w:szCs w:val="20"/>
                <w:lang w:eastAsia="sk-SK"/>
              </w:rPr>
              <w:t xml:space="preserve"> (činnosť zber voľne rastúcich rastlín a ich častí)</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33D16"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562E"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1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C661"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83C67"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8C1E1A1"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In (zvyšuje náklady)</w:t>
            </w:r>
          </w:p>
        </w:tc>
      </w:tr>
      <w:tr w:rsidR="00B5120B" w:rsidRPr="00B5120B" w14:paraId="7931DFE0"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4AA3F91A"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0F983A0F"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Žiadateľ o vstupné preverenie činnosti výroba potravín, podľa novely predkladá aj opis technologického postupu výroby potravín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DF7FC3B"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D9458C6"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§6 ods. 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F1E68A4"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124B6" w14:textId="6C5CDEC1" w:rsidR="00B5120B" w:rsidRPr="00B5120B" w:rsidRDefault="007521F9" w:rsidP="00B5120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D0A1861" w14:textId="186BB756" w:rsidR="00B5120B" w:rsidRPr="00B5120B" w:rsidRDefault="00B5120B" w:rsidP="00110229">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záujemcovia o vykonávanie ekologickej poľnohospodárskej výroby, ktorý ešte nie sú registrovan</w:t>
            </w:r>
            <w:r w:rsidR="00110229">
              <w:rPr>
                <w:rFonts w:ascii="Times New Roman" w:eastAsia="Times New Roman" w:hAnsi="Times New Roman" w:cs="Times New Roman"/>
                <w:sz w:val="20"/>
                <w:szCs w:val="20"/>
                <w:lang w:eastAsia="sk-SK"/>
              </w:rPr>
              <w:t>í</w:t>
            </w:r>
            <w:r w:rsidRPr="00B5120B">
              <w:rPr>
                <w:rFonts w:ascii="Times New Roman" w:eastAsia="Times New Roman" w:hAnsi="Times New Roman" w:cs="Times New Roman"/>
                <w:sz w:val="20"/>
                <w:szCs w:val="20"/>
                <w:lang w:eastAsia="sk-SK"/>
              </w:rPr>
              <w:t xml:space="preserve"> v registri prevádzkovateľov</w:t>
            </w:r>
            <w:r w:rsidR="00527FAF">
              <w:rPr>
                <w:rFonts w:ascii="Times New Roman" w:eastAsia="Times New Roman" w:hAnsi="Times New Roman" w:cs="Times New Roman"/>
                <w:sz w:val="20"/>
                <w:szCs w:val="20"/>
                <w:lang w:eastAsia="sk-SK"/>
              </w:rPr>
              <w:t xml:space="preserve"> (činnosť výroba potra</w:t>
            </w:r>
            <w:r w:rsidR="00355182">
              <w:rPr>
                <w:rFonts w:ascii="Times New Roman" w:eastAsia="Times New Roman" w:hAnsi="Times New Roman" w:cs="Times New Roman"/>
                <w:sz w:val="20"/>
                <w:szCs w:val="20"/>
                <w:lang w:eastAsia="sk-SK"/>
              </w:rPr>
              <w:t>vín)</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63F45"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                 10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601A1"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10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1C83"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88B7"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20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71484A7"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In (zvyšuje náklady)</w:t>
            </w:r>
          </w:p>
        </w:tc>
      </w:tr>
      <w:tr w:rsidR="00B5120B" w:rsidRPr="00B5120B" w14:paraId="5E42AD1F"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0966854C"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3</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3D145DE5"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Vstupné preverenie nie je potrebné vykonať pri prevode alebo prechode vlastníctva celého chovu hospodárskych zvierat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162F740"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CB44304"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§6 ods. 11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A7BD875"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BB87A" w14:textId="0B8DD64A" w:rsidR="00B5120B" w:rsidRPr="00B5120B" w:rsidRDefault="007521F9" w:rsidP="00B5120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450EE19" w14:textId="1E20183B" w:rsidR="00B5120B" w:rsidRPr="00B5120B" w:rsidRDefault="00B5120B" w:rsidP="00110229">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záujemcovia o vykonávanie ekologickej poľnohospodárskej výroby, ktorý ešte nie sú registrovan</w:t>
            </w:r>
            <w:r w:rsidR="00110229">
              <w:rPr>
                <w:rFonts w:ascii="Times New Roman" w:eastAsia="Times New Roman" w:hAnsi="Times New Roman" w:cs="Times New Roman"/>
                <w:sz w:val="20"/>
                <w:szCs w:val="20"/>
                <w:lang w:eastAsia="sk-SK"/>
              </w:rPr>
              <w:t>í</w:t>
            </w:r>
            <w:r w:rsidRPr="00B5120B">
              <w:rPr>
                <w:rFonts w:ascii="Times New Roman" w:eastAsia="Times New Roman" w:hAnsi="Times New Roman" w:cs="Times New Roman"/>
                <w:sz w:val="20"/>
                <w:szCs w:val="20"/>
                <w:lang w:eastAsia="sk-SK"/>
              </w:rPr>
              <w:t xml:space="preserve"> v registri </w:t>
            </w:r>
            <w:r w:rsidRPr="00B5120B">
              <w:rPr>
                <w:rFonts w:ascii="Times New Roman" w:eastAsia="Times New Roman" w:hAnsi="Times New Roman" w:cs="Times New Roman"/>
                <w:sz w:val="20"/>
                <w:szCs w:val="20"/>
                <w:lang w:eastAsia="sk-SK"/>
              </w:rPr>
              <w:lastRenderedPageBreak/>
              <w:t xml:space="preserve">prevádzkovateľov/ registrovaní prevádzkovatelia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AFD63"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lastRenderedPageBreak/>
              <w:t xml:space="preserve">                   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7A3AB"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B5C1"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F96C4"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82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7C97952C"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Out (znižuje náklady)</w:t>
            </w:r>
          </w:p>
        </w:tc>
      </w:tr>
      <w:tr w:rsidR="00B5120B" w:rsidRPr="00B5120B" w14:paraId="1EF264C6"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3EF87878"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4</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5D32773F"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Vstupné preverenie nie je potrebné pre prevádzkovateľa, ktorý sa stane užívateľom registrovaných dielov pôdnych blokov a v registri má zapísanú činnosť rastlinná výroba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4159C0D"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C109BB3"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§8 ods. 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4322155"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84BC" w14:textId="731BB7FB" w:rsidR="00B5120B" w:rsidRPr="00B5120B" w:rsidRDefault="007521F9" w:rsidP="00B5120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A31E561"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9A635"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                   5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A35A3"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8AE1F"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C9123"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82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178B631"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Out (znižuje náklady)</w:t>
            </w:r>
          </w:p>
        </w:tc>
      </w:tr>
      <w:tr w:rsidR="00B5120B" w:rsidRPr="00B5120B" w14:paraId="4767A11B"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5410B3C7"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5</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1FCDCDCF"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Pri zápise nového neregistrovaného miesta výkonu činnosti musí mať prevádzkovateľ vykonané vstupné preverenie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55D42FC"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5DF8DA5"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§8 ods. 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7C49D372"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1BAD2" w14:textId="6FACF6B4" w:rsidR="00B5120B" w:rsidRPr="00B5120B" w:rsidRDefault="007521F9" w:rsidP="00B5120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FA8CE3F"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3D6D"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                 20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A3FDC"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20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BCC7"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00AD"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327</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25A1B348"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In (zvyšuje náklady)</w:t>
            </w:r>
          </w:p>
        </w:tc>
      </w:tr>
      <w:tr w:rsidR="00B5120B" w:rsidRPr="00B5120B" w14:paraId="25E05329" w14:textId="77777777" w:rsidTr="00B5120B">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6D9C5B61"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6</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226A7886" w14:textId="77777777" w:rsidR="00B5120B" w:rsidRPr="00B5120B" w:rsidRDefault="00B5120B" w:rsidP="00B5120B">
            <w:pPr>
              <w:spacing w:after="0" w:line="240" w:lineRule="auto"/>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Nová oznamovacia povinnosť pre prevádzkovateľa pri príchode zásielky na hraničnú kontrolnú stanicu alebo miesto prepustenia do voľného obehu</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99E6FE3"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282/2020 Z.z.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E37550B"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§10 ods. 1 písm. e)</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BC67152"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62709" w14:textId="358346DD" w:rsidR="00B5120B" w:rsidRPr="00B5120B" w:rsidRDefault="007521F9" w:rsidP="00B5120B">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1.1.2023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C4472B6"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registrovaní prevádzkovatelia v ekologickej poľnohospodárskej výrobe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1A66E"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 xml:space="preserve">                 62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A9C87"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 xml:space="preserve">                       62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3EDB0"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6284" w14:textId="77777777" w:rsidR="00B5120B" w:rsidRPr="00B5120B" w:rsidRDefault="00B5120B" w:rsidP="00B5120B">
            <w:pPr>
              <w:spacing w:after="0" w:line="240" w:lineRule="auto"/>
              <w:jc w:val="center"/>
              <w:rPr>
                <w:rFonts w:ascii="Times New Roman" w:eastAsia="Times New Roman" w:hAnsi="Times New Roman" w:cs="Times New Roman"/>
                <w:color w:val="000000"/>
                <w:sz w:val="20"/>
                <w:szCs w:val="20"/>
                <w:lang w:eastAsia="sk-SK"/>
              </w:rPr>
            </w:pPr>
            <w:r w:rsidRPr="00B5120B">
              <w:rPr>
                <w:rFonts w:ascii="Times New Roman" w:eastAsia="Times New Roman" w:hAnsi="Times New Roman" w:cs="Times New Roman"/>
                <w:color w:val="000000"/>
                <w:sz w:val="20"/>
                <w:szCs w:val="20"/>
                <w:lang w:eastAsia="sk-SK"/>
              </w:rPr>
              <w:t>148</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63EA12CE" w14:textId="77777777" w:rsidR="00B5120B" w:rsidRPr="00B5120B" w:rsidRDefault="00B5120B" w:rsidP="00B5120B">
            <w:pPr>
              <w:spacing w:after="0" w:line="240" w:lineRule="auto"/>
              <w:jc w:val="center"/>
              <w:rPr>
                <w:rFonts w:ascii="Times New Roman" w:eastAsia="Times New Roman" w:hAnsi="Times New Roman" w:cs="Times New Roman"/>
                <w:sz w:val="20"/>
                <w:szCs w:val="20"/>
                <w:lang w:eastAsia="sk-SK"/>
              </w:rPr>
            </w:pPr>
            <w:r w:rsidRPr="00B5120B">
              <w:rPr>
                <w:rFonts w:ascii="Times New Roman" w:eastAsia="Times New Roman" w:hAnsi="Times New Roman" w:cs="Times New Roman"/>
                <w:sz w:val="20"/>
                <w:szCs w:val="20"/>
                <w:lang w:eastAsia="sk-SK"/>
              </w:rPr>
              <w:t>In (zvyšuje náklady)</w:t>
            </w:r>
          </w:p>
        </w:tc>
      </w:tr>
      <w:tr w:rsidR="00611012" w:rsidRPr="00B010DA" w14:paraId="0F5098D2" w14:textId="77777777" w:rsidTr="00B010DA">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68313E33" w14:textId="77777777" w:rsidR="00611012" w:rsidRPr="00B010DA" w:rsidRDefault="00611012" w:rsidP="00611012">
            <w:pPr>
              <w:spacing w:after="0" w:line="240" w:lineRule="auto"/>
              <w:rPr>
                <w:rFonts w:ascii="Times New Roman" w:eastAsia="Times New Roman" w:hAnsi="Times New Roman" w:cs="Times New Roman"/>
                <w:sz w:val="20"/>
                <w:szCs w:val="20"/>
                <w:lang w:eastAsia="sk-SK"/>
              </w:rPr>
            </w:pPr>
            <w:r w:rsidRPr="00B010DA">
              <w:rPr>
                <w:rFonts w:ascii="Times New Roman" w:eastAsia="Times New Roman" w:hAnsi="Times New Roman" w:cs="Times New Roman"/>
                <w:sz w:val="20"/>
                <w:szCs w:val="20"/>
                <w:lang w:eastAsia="sk-SK"/>
              </w:rPr>
              <w:t>7</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442C1DC4" w14:textId="4842BE96"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B7ECFFA" w14:textId="5A3F44E4"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FD999C" w14:textId="21E49BF2"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DFAF62C" w14:textId="6C520708"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2E39B" w14:textId="7DFCF50E"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02A28143" w14:textId="37421A6F"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938D" w14:textId="2140351B"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4226" w14:textId="1CDB39AC"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85F95" w14:textId="14DA7C32"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9E4F" w14:textId="273AC669"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F912BF8" w14:textId="78FD4486" w:rsidR="00611012" w:rsidRPr="00B010DA" w:rsidRDefault="00611012" w:rsidP="00611012">
            <w:pPr>
              <w:spacing w:after="0" w:line="240" w:lineRule="auto"/>
              <w:rPr>
                <w:rFonts w:ascii="Times New Roman" w:eastAsia="Times New Roman" w:hAnsi="Times New Roman" w:cs="Times New Roman"/>
                <w:sz w:val="20"/>
                <w:szCs w:val="20"/>
                <w:lang w:eastAsia="sk-SK"/>
              </w:rPr>
            </w:pPr>
          </w:p>
        </w:tc>
      </w:tr>
      <w:tr w:rsidR="00611012" w:rsidRPr="00B010DA" w14:paraId="399D4884" w14:textId="77777777" w:rsidTr="00B010DA">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22036DF5" w14:textId="77777777" w:rsidR="00611012" w:rsidRPr="00B010DA" w:rsidRDefault="00611012" w:rsidP="00611012">
            <w:pPr>
              <w:spacing w:after="0" w:line="240" w:lineRule="auto"/>
              <w:rPr>
                <w:rFonts w:ascii="Times New Roman" w:eastAsia="Times New Roman" w:hAnsi="Times New Roman" w:cs="Times New Roman"/>
                <w:sz w:val="20"/>
                <w:szCs w:val="20"/>
                <w:lang w:eastAsia="sk-SK"/>
              </w:rPr>
            </w:pPr>
            <w:r w:rsidRPr="00B010DA">
              <w:rPr>
                <w:rFonts w:ascii="Times New Roman" w:eastAsia="Times New Roman" w:hAnsi="Times New Roman" w:cs="Times New Roman"/>
                <w:sz w:val="20"/>
                <w:szCs w:val="20"/>
                <w:lang w:eastAsia="sk-SK"/>
              </w:rPr>
              <w:t>8</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789E1649" w14:textId="277DE2D3"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3C9D6E5" w14:textId="466B8FF1"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145EA14" w14:textId="5902405A"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231E7C6" w14:textId="76C4050A"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536A0" w14:textId="7C1CC525"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2A5D6B99" w14:textId="440E854D"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5A466" w14:textId="0EE6B731"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B266" w14:textId="759C5587"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8C89F" w14:textId="1D3E2EF6"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663B" w14:textId="7ADD777F"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4B5FE9E8" w14:textId="43965F94" w:rsidR="00611012" w:rsidRPr="00B010DA" w:rsidRDefault="00611012" w:rsidP="00611012">
            <w:pPr>
              <w:spacing w:after="0" w:line="240" w:lineRule="auto"/>
              <w:rPr>
                <w:rFonts w:ascii="Times New Roman" w:eastAsia="Times New Roman" w:hAnsi="Times New Roman" w:cs="Times New Roman"/>
                <w:sz w:val="20"/>
                <w:szCs w:val="20"/>
                <w:lang w:eastAsia="sk-SK"/>
              </w:rPr>
            </w:pPr>
          </w:p>
        </w:tc>
      </w:tr>
      <w:tr w:rsidR="00611012" w:rsidRPr="00B010DA" w14:paraId="1A0A07DB" w14:textId="77777777" w:rsidTr="00B010DA">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61F3C49F" w14:textId="77777777" w:rsidR="00611012" w:rsidRPr="00B010DA" w:rsidRDefault="00611012" w:rsidP="00611012">
            <w:pPr>
              <w:spacing w:after="0" w:line="240" w:lineRule="auto"/>
              <w:rPr>
                <w:rFonts w:ascii="Times New Roman" w:eastAsia="Times New Roman" w:hAnsi="Times New Roman" w:cs="Times New Roman"/>
                <w:sz w:val="20"/>
                <w:szCs w:val="20"/>
                <w:lang w:eastAsia="sk-SK"/>
              </w:rPr>
            </w:pPr>
            <w:r w:rsidRPr="00B010DA">
              <w:rPr>
                <w:rFonts w:ascii="Times New Roman" w:eastAsia="Times New Roman" w:hAnsi="Times New Roman" w:cs="Times New Roman"/>
                <w:sz w:val="20"/>
                <w:szCs w:val="20"/>
                <w:lang w:eastAsia="sk-SK"/>
              </w:rPr>
              <w:t>9</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5FCAEB57" w14:textId="5C8D6AA1"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6B351CF" w14:textId="44E33C4F"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8562693" w14:textId="35597B7D"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C12ADF9" w14:textId="7E1CE3BB"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8D165" w14:textId="0B6A0A61"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3E75E26A" w14:textId="3C545C69"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BC45D" w14:textId="08AEFE09"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9050A" w14:textId="4879EE12"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347FE" w14:textId="0E114B14"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DC2AD" w14:textId="2091A26F"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2C8233CD" w14:textId="23737D10" w:rsidR="00611012" w:rsidRPr="00B010DA" w:rsidRDefault="00611012" w:rsidP="00611012">
            <w:pPr>
              <w:spacing w:after="0" w:line="240" w:lineRule="auto"/>
              <w:rPr>
                <w:rFonts w:ascii="Times New Roman" w:eastAsia="Times New Roman" w:hAnsi="Times New Roman" w:cs="Times New Roman"/>
                <w:sz w:val="20"/>
                <w:szCs w:val="20"/>
                <w:lang w:eastAsia="sk-SK"/>
              </w:rPr>
            </w:pPr>
          </w:p>
        </w:tc>
      </w:tr>
      <w:tr w:rsidR="00611012" w:rsidRPr="00B010DA" w14:paraId="5BE39B8C" w14:textId="77777777" w:rsidTr="00B010DA">
        <w:trPr>
          <w:trHeight w:val="57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0DDC21DF" w14:textId="77777777" w:rsidR="00611012" w:rsidRPr="00B010DA" w:rsidRDefault="00611012" w:rsidP="00611012">
            <w:pPr>
              <w:spacing w:after="0" w:line="240" w:lineRule="auto"/>
              <w:rPr>
                <w:rFonts w:ascii="Times New Roman" w:eastAsia="Times New Roman" w:hAnsi="Times New Roman" w:cs="Times New Roman"/>
                <w:sz w:val="20"/>
                <w:szCs w:val="20"/>
                <w:lang w:eastAsia="sk-SK"/>
              </w:rPr>
            </w:pPr>
            <w:r w:rsidRPr="00B010DA">
              <w:rPr>
                <w:rFonts w:ascii="Times New Roman" w:eastAsia="Times New Roman" w:hAnsi="Times New Roman" w:cs="Times New Roman"/>
                <w:sz w:val="20"/>
                <w:szCs w:val="20"/>
                <w:lang w:eastAsia="sk-SK"/>
              </w:rPr>
              <w:t>10</w:t>
            </w:r>
          </w:p>
        </w:tc>
        <w:tc>
          <w:tcPr>
            <w:tcW w:w="3301" w:type="dxa"/>
            <w:tcBorders>
              <w:top w:val="single" w:sz="4" w:space="0" w:color="auto"/>
              <w:left w:val="single" w:sz="4" w:space="0" w:color="auto"/>
              <w:bottom w:val="single" w:sz="4" w:space="0" w:color="auto"/>
              <w:right w:val="single" w:sz="4" w:space="0" w:color="auto"/>
            </w:tcBorders>
            <w:shd w:val="clear" w:color="auto" w:fill="auto"/>
            <w:vAlign w:val="center"/>
          </w:tcPr>
          <w:p w14:paraId="510C1C29" w14:textId="6CC916AB"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58A13AEB" w14:textId="0D28AEDD"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5E2409" w14:textId="62630E4E"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2993EDF" w14:textId="4759FD9B"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9D12" w14:textId="66578A1A"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14F8DE3" w14:textId="6E26ECCE"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1FD9" w14:textId="0C212220" w:rsidR="00611012" w:rsidRPr="00B010DA" w:rsidRDefault="00611012" w:rsidP="00611012">
            <w:pPr>
              <w:spacing w:after="0" w:line="240" w:lineRule="auto"/>
              <w:rPr>
                <w:rFonts w:ascii="Times New Roman" w:eastAsia="Times New Roman" w:hAnsi="Times New Roman" w:cs="Times New Roman"/>
                <w:sz w:val="20"/>
                <w:szCs w:val="20"/>
                <w:lang w:eastAsia="sk-SK"/>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98E44" w14:textId="3309702C"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96A6" w14:textId="37BB99D6"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573D" w14:textId="1F165B5C" w:rsidR="00611012" w:rsidRPr="00B010DA" w:rsidRDefault="00611012" w:rsidP="00611012">
            <w:pPr>
              <w:spacing w:after="0" w:line="240" w:lineRule="auto"/>
              <w:rPr>
                <w:rFonts w:ascii="Times New Roman" w:eastAsia="Times New Roman" w:hAnsi="Times New Roman" w:cs="Times New Roman"/>
                <w:color w:val="000000"/>
                <w:sz w:val="20"/>
                <w:szCs w:val="20"/>
                <w:lang w:eastAsia="sk-SK"/>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99A9F72" w14:textId="38408AB7" w:rsidR="00611012" w:rsidRPr="00B010DA" w:rsidRDefault="00611012" w:rsidP="00611012">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016655B9" w14:textId="77777777" w:rsidR="005D1325" w:rsidRDefault="00054C41" w:rsidP="005D1325">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4697BFCA" w14:textId="77777777" w:rsidR="005D1325" w:rsidRDefault="005D1325" w:rsidP="005D1325">
      <w:pPr>
        <w:ind w:left="360" w:hanging="360"/>
        <w:jc w:val="both"/>
        <w:rPr>
          <w:rFonts w:ascii="Times New Roman" w:eastAsia="Calibri" w:hAnsi="Times New Roman" w:cs="Times New Roman"/>
          <w:b/>
          <w:bCs/>
          <w:i/>
          <w:sz w:val="24"/>
          <w:szCs w:val="24"/>
          <w:u w:val="single"/>
        </w:rPr>
      </w:pPr>
      <w:r w:rsidRPr="005D1325">
        <w:rPr>
          <w:rFonts w:ascii="Times New Roman" w:eastAsia="Calibri" w:hAnsi="Times New Roman" w:cs="Times New Roman"/>
          <w:bCs/>
          <w:sz w:val="24"/>
          <w:szCs w:val="24"/>
        </w:rPr>
        <w:t>1.</w:t>
      </w:r>
      <w:r>
        <w:rPr>
          <w:rFonts w:ascii="Times New Roman" w:eastAsia="Calibri" w:hAnsi="Times New Roman" w:cs="Times New Roman"/>
          <w:b/>
          <w:bCs/>
          <w:i/>
          <w:sz w:val="24"/>
          <w:szCs w:val="24"/>
        </w:rPr>
        <w:tab/>
      </w:r>
      <w:r w:rsidR="00472BD2" w:rsidRPr="005D1325">
        <w:rPr>
          <w:rFonts w:ascii="Times New Roman" w:eastAsia="Calibri" w:hAnsi="Times New Roman" w:cs="Times New Roman"/>
          <w:bCs/>
          <w:iCs/>
          <w:color w:val="000000"/>
          <w:sz w:val="24"/>
          <w:szCs w:val="24"/>
        </w:rPr>
        <w:t>Na účely vstupného preverenia, ktoré je predpokladom pre registráciu v registri prevádzkovateľov, a tým aj legálne vykonávanie ekologickej poľnohospodárskej výroby v SR, je potrebné podať žiadosť o vykonanie tohto vstupného preverenia inšpekčnej organizácii. Táto žiadosť má svoje osobitosti v závislosti od toho, akú činnosť ekologickej poľnohospodárskej výroby chce žiadateľ konkrétne vykonávať. V prípade zberu voľne rastúcich rastlín alebo ich častí je podľa účinného znenia zákona o ekologickej poľnohospodárskej výrobe v žiadosti potrebné uviesť parcelné číslo pozemku, na ktorom sa má činnosť vykonávať a číslo listu vlastníctva, na ktorom je zapísaný. Podľa znenia tohto zákona v znení navrhovaného zákona sa tieto údaje v žiadosti uvádzajú tiež, avšak okrem nich sa má uvádzať aj názov katastrálneho územia, a samotná žiadosť má mať ako prílohu grafické vyznačenie pozemku, na ktorom sa má činnosť vykonávať, a ako ďalšiu prílohu má mať vyhlásenie vlastníka alebo užívateľa pozemku o tom, že za posledné tri roky na tomto pozemku neboli použité iné prípravky, ako sú povolené v ekologickej poľnohospodárskej výrobe.</w:t>
      </w:r>
    </w:p>
    <w:p w14:paraId="003292FE" w14:textId="77777777" w:rsidR="005D1325" w:rsidRDefault="005D1325" w:rsidP="005D1325">
      <w:pPr>
        <w:ind w:left="360" w:hanging="360"/>
        <w:jc w:val="both"/>
        <w:rPr>
          <w:rFonts w:ascii="Times New Roman" w:eastAsia="Calibri" w:hAnsi="Times New Roman" w:cs="Times New Roman"/>
          <w:b/>
          <w:bCs/>
          <w:i/>
          <w:sz w:val="24"/>
          <w:szCs w:val="24"/>
          <w:u w:val="single"/>
        </w:rPr>
      </w:pPr>
      <w:r>
        <w:rPr>
          <w:rFonts w:ascii="Times New Roman" w:eastAsia="Calibri" w:hAnsi="Times New Roman" w:cs="Times New Roman"/>
          <w:bCs/>
          <w:iCs/>
          <w:color w:val="000000"/>
          <w:sz w:val="24"/>
          <w:szCs w:val="24"/>
        </w:rPr>
        <w:t xml:space="preserve">2. </w:t>
      </w:r>
      <w:r>
        <w:rPr>
          <w:rFonts w:ascii="Times New Roman" w:eastAsia="Calibri" w:hAnsi="Times New Roman" w:cs="Times New Roman"/>
          <w:bCs/>
          <w:iCs/>
          <w:color w:val="000000"/>
          <w:sz w:val="24"/>
          <w:szCs w:val="24"/>
        </w:rPr>
        <w:tab/>
      </w:r>
      <w:r w:rsidR="00B123A8" w:rsidRPr="005D1325">
        <w:rPr>
          <w:rFonts w:ascii="Times New Roman" w:eastAsia="Calibri" w:hAnsi="Times New Roman" w:cs="Times New Roman"/>
          <w:bCs/>
          <w:iCs/>
          <w:color w:val="000000"/>
          <w:sz w:val="24"/>
          <w:szCs w:val="24"/>
        </w:rPr>
        <w:t>Pokiaľ ide o žiadosť o vykonanie vstupného preverenia vo vzťahu k výrobe potravín, tak po novom musí táto žiadosť obsahovať aj technologický opis postupu výroby potravín.</w:t>
      </w:r>
    </w:p>
    <w:p w14:paraId="656E9DB9" w14:textId="1D4DEA23" w:rsidR="004D1FC4" w:rsidRPr="005D1325" w:rsidRDefault="005D1325" w:rsidP="005D1325">
      <w:pPr>
        <w:ind w:left="360" w:hanging="360"/>
        <w:jc w:val="both"/>
        <w:rPr>
          <w:rFonts w:ascii="Times New Roman" w:eastAsia="Calibri" w:hAnsi="Times New Roman" w:cs="Times New Roman"/>
          <w:b/>
          <w:bCs/>
          <w:i/>
          <w:sz w:val="24"/>
          <w:szCs w:val="24"/>
          <w:u w:val="single"/>
        </w:rPr>
      </w:pPr>
      <w:r w:rsidRPr="005D1325">
        <w:rPr>
          <w:rFonts w:ascii="Times New Roman" w:eastAsia="Calibri" w:hAnsi="Times New Roman" w:cs="Times New Roman"/>
          <w:bCs/>
          <w:sz w:val="24"/>
          <w:szCs w:val="24"/>
        </w:rPr>
        <w:t>6.</w:t>
      </w:r>
      <w:r w:rsidRPr="005D1325">
        <w:rPr>
          <w:rFonts w:ascii="Times New Roman" w:eastAsia="Calibri" w:hAnsi="Times New Roman" w:cs="Times New Roman"/>
          <w:bCs/>
          <w:sz w:val="24"/>
          <w:szCs w:val="24"/>
        </w:rPr>
        <w:tab/>
      </w:r>
      <w:r w:rsidR="004D1FC4" w:rsidRPr="005D1325">
        <w:rPr>
          <w:rFonts w:ascii="Times New Roman" w:eastAsia="Calibri" w:hAnsi="Times New Roman" w:cs="Times New Roman"/>
          <w:bCs/>
          <w:iCs/>
          <w:color w:val="000000"/>
          <w:sz w:val="24"/>
          <w:szCs w:val="24"/>
        </w:rPr>
        <w:t>Na základe modelového príkladu</w:t>
      </w:r>
      <w:r w:rsidR="004D7A39" w:rsidRPr="005D1325">
        <w:rPr>
          <w:rFonts w:ascii="Times New Roman" w:eastAsia="Calibri" w:hAnsi="Times New Roman" w:cs="Times New Roman"/>
          <w:bCs/>
          <w:iCs/>
          <w:color w:val="000000"/>
          <w:sz w:val="24"/>
          <w:szCs w:val="24"/>
        </w:rPr>
        <w:t xml:space="preserve"> bol stanovený počet</w:t>
      </w:r>
      <w:r w:rsidRPr="005D1325">
        <w:rPr>
          <w:rFonts w:ascii="Times New Roman" w:eastAsia="Calibri" w:hAnsi="Times New Roman" w:cs="Times New Roman"/>
          <w:bCs/>
          <w:iCs/>
          <w:color w:val="000000"/>
          <w:sz w:val="24"/>
          <w:szCs w:val="24"/>
        </w:rPr>
        <w:t xml:space="preserve"> dotknutých</w:t>
      </w:r>
      <w:r w:rsidR="004D7A39" w:rsidRPr="005D1325">
        <w:rPr>
          <w:rFonts w:ascii="Times New Roman" w:eastAsia="Calibri" w:hAnsi="Times New Roman" w:cs="Times New Roman"/>
          <w:bCs/>
          <w:iCs/>
          <w:color w:val="000000"/>
          <w:sz w:val="24"/>
          <w:szCs w:val="24"/>
        </w:rPr>
        <w:t xml:space="preserve"> subjektov</w:t>
      </w:r>
      <w:r w:rsidRPr="005D1325">
        <w:rPr>
          <w:rFonts w:ascii="Times New Roman" w:eastAsia="Calibri" w:hAnsi="Times New Roman" w:cs="Times New Roman"/>
          <w:bCs/>
          <w:iCs/>
          <w:color w:val="000000"/>
          <w:sz w:val="24"/>
          <w:szCs w:val="24"/>
        </w:rPr>
        <w:t>, čo sa týka novej oznamovacej povinnosti pre prevádzkovateľov</w:t>
      </w:r>
      <w:r w:rsidRPr="005D1325">
        <w:t xml:space="preserve"> </w:t>
      </w:r>
      <w:r w:rsidRPr="005D1325">
        <w:rPr>
          <w:rFonts w:ascii="Times New Roman" w:eastAsia="Calibri" w:hAnsi="Times New Roman" w:cs="Times New Roman"/>
          <w:bCs/>
          <w:iCs/>
          <w:color w:val="000000"/>
          <w:sz w:val="24"/>
          <w:szCs w:val="24"/>
        </w:rPr>
        <w:t xml:space="preserve">pri príchode zásielky na hraničnú kontrolnú stanicu alebo miesto prepustenia do voľného obehu. Hrubý odhad počtu dotknutých subjektov bol stanovený na základe </w:t>
      </w:r>
      <w:r>
        <w:rPr>
          <w:rFonts w:ascii="Times New Roman" w:eastAsia="Calibri" w:hAnsi="Times New Roman" w:cs="Times New Roman"/>
          <w:bCs/>
          <w:iCs/>
          <w:color w:val="000000"/>
          <w:sz w:val="24"/>
          <w:szCs w:val="24"/>
        </w:rPr>
        <w:t xml:space="preserve">počtu registrovaných </w:t>
      </w:r>
      <w:r w:rsidR="006D39E5">
        <w:rPr>
          <w:rFonts w:ascii="Times New Roman" w:eastAsia="Calibri" w:hAnsi="Times New Roman" w:cs="Times New Roman"/>
          <w:bCs/>
          <w:iCs/>
          <w:color w:val="000000"/>
          <w:sz w:val="24"/>
          <w:szCs w:val="24"/>
        </w:rPr>
        <w:t>prevádzkovateľov s činnosťou dovoz. Nie je však možné presne stanoviť aký počet dovozov bude v danom roku realizovaný, keďže každý prevádzkovateľ je povinný dovozy nahlasovať tesne pred príchodom zásielky.</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7F932BB2" w14:textId="0C5E43B4" w:rsidR="000F752C" w:rsidRPr="000F752C" w:rsidRDefault="000F752C" w:rsidP="000F752C">
      <w:pPr>
        <w:spacing w:after="0"/>
        <w:jc w:val="both"/>
        <w:rPr>
          <w:rFonts w:ascii="Times New Roman" w:eastAsia="Calibri" w:hAnsi="Times New Roman" w:cs="Times New Roman"/>
          <w:sz w:val="24"/>
          <w:szCs w:val="24"/>
        </w:rPr>
      </w:pPr>
      <w:r w:rsidRPr="000F752C">
        <w:rPr>
          <w:rFonts w:ascii="Times New Roman" w:eastAsia="Calibri" w:hAnsi="Times New Roman" w:cs="Times New Roman"/>
          <w:sz w:val="24"/>
          <w:szCs w:val="24"/>
        </w:rPr>
        <w:t>Konzultácie na účely prípravy navrhovaného zákona boli vykonané so zastupiteľskými organizáciami podnikateľských subjektov, ktoré vykonávajú ekologickú poľnohospodársku výrobu.</w:t>
      </w:r>
      <w:r w:rsidR="00916F7C">
        <w:rPr>
          <w:rFonts w:ascii="Times New Roman" w:eastAsia="Calibri" w:hAnsi="Times New Roman" w:cs="Times New Roman"/>
          <w:sz w:val="24"/>
          <w:szCs w:val="24"/>
        </w:rPr>
        <w:t xml:space="preserve"> Konzultácie prebiehali predovšetkým s poverenými inšpekčnými organizáciami (Naturalis SK, Biokont CZ a EKO-CONTROL SK) a zväzom ekologického poľnohospodárstva Ekotrend Slovakia. </w:t>
      </w:r>
      <w:r w:rsidR="004D1FC4">
        <w:rPr>
          <w:rFonts w:ascii="Times New Roman" w:eastAsia="Calibri" w:hAnsi="Times New Roman" w:cs="Times New Roman"/>
          <w:sz w:val="24"/>
          <w:szCs w:val="24"/>
        </w:rPr>
        <w:t>Dôležité boli najmä konzultácie s inšpekčnými</w:t>
      </w:r>
      <w:r w:rsidR="00916F7C">
        <w:rPr>
          <w:rFonts w:ascii="Times New Roman" w:eastAsia="Calibri" w:hAnsi="Times New Roman" w:cs="Times New Roman"/>
          <w:sz w:val="24"/>
          <w:szCs w:val="24"/>
        </w:rPr>
        <w:t xml:space="preserve"> organizáci</w:t>
      </w:r>
      <w:r w:rsidR="004D1FC4">
        <w:rPr>
          <w:rFonts w:ascii="Times New Roman" w:eastAsia="Calibri" w:hAnsi="Times New Roman" w:cs="Times New Roman"/>
          <w:sz w:val="24"/>
          <w:szCs w:val="24"/>
        </w:rPr>
        <w:t>ami poverenými</w:t>
      </w:r>
      <w:r w:rsidR="00916F7C">
        <w:rPr>
          <w:rFonts w:ascii="Times New Roman" w:eastAsia="Calibri" w:hAnsi="Times New Roman" w:cs="Times New Roman"/>
          <w:sz w:val="24"/>
          <w:szCs w:val="24"/>
        </w:rPr>
        <w:t xml:space="preserve"> vykonávaním úradných kontrol</w:t>
      </w:r>
      <w:r w:rsidR="007C6056">
        <w:rPr>
          <w:rFonts w:ascii="Times New Roman" w:eastAsia="Calibri" w:hAnsi="Times New Roman" w:cs="Times New Roman"/>
          <w:sz w:val="24"/>
          <w:szCs w:val="24"/>
        </w:rPr>
        <w:t xml:space="preserve"> zásielok z tretích krajín na hraničných kontrolných staniciach alebo na miestach prepustenia do voľného obehu. </w:t>
      </w:r>
      <w:r w:rsidR="004D1FC4">
        <w:rPr>
          <w:rFonts w:ascii="Times New Roman" w:eastAsia="Calibri" w:hAnsi="Times New Roman" w:cs="Times New Roman"/>
          <w:sz w:val="24"/>
          <w:szCs w:val="24"/>
        </w:rPr>
        <w:t>Uvedená novela bude mať samozrejme vplyv na rozpočet</w:t>
      </w:r>
      <w:r w:rsidR="00A80973">
        <w:rPr>
          <w:rFonts w:ascii="Times New Roman" w:eastAsia="Calibri" w:hAnsi="Times New Roman" w:cs="Times New Roman"/>
          <w:sz w:val="24"/>
          <w:szCs w:val="24"/>
        </w:rPr>
        <w:t xml:space="preserve"> verejnej správy</w:t>
      </w:r>
      <w:r w:rsidR="004D1FC4">
        <w:rPr>
          <w:rFonts w:ascii="Times New Roman" w:eastAsia="Calibri" w:hAnsi="Times New Roman" w:cs="Times New Roman"/>
          <w:sz w:val="24"/>
          <w:szCs w:val="24"/>
        </w:rPr>
        <w:t xml:space="preserve"> a podnikateľské prostredie</w:t>
      </w:r>
      <w:r w:rsidR="00A80973">
        <w:rPr>
          <w:rFonts w:ascii="Times New Roman" w:eastAsia="Calibri" w:hAnsi="Times New Roman" w:cs="Times New Roman"/>
          <w:sz w:val="24"/>
          <w:szCs w:val="24"/>
        </w:rPr>
        <w:t xml:space="preserve"> ale negatívne vplyvy z dlhodobého hľadiska prevýšia poz</w:t>
      </w:r>
      <w:r w:rsidR="00617F7F">
        <w:rPr>
          <w:rFonts w:ascii="Times New Roman" w:eastAsia="Calibri" w:hAnsi="Times New Roman" w:cs="Times New Roman"/>
          <w:sz w:val="24"/>
          <w:szCs w:val="24"/>
        </w:rPr>
        <w:t>it</w:t>
      </w:r>
      <w:r w:rsidR="00A80973">
        <w:rPr>
          <w:rFonts w:ascii="Times New Roman" w:eastAsia="Calibri" w:hAnsi="Times New Roman" w:cs="Times New Roman"/>
          <w:sz w:val="24"/>
          <w:szCs w:val="24"/>
        </w:rPr>
        <w:t>ívne</w:t>
      </w:r>
      <w:r w:rsidR="00A80973" w:rsidRPr="00A47886">
        <w:rPr>
          <w:rFonts w:ascii="Times New Roman" w:eastAsia="Calibri" w:hAnsi="Times New Roman" w:cs="Times New Roman"/>
          <w:sz w:val="24"/>
          <w:szCs w:val="24"/>
        </w:rPr>
        <w:t>.</w:t>
      </w:r>
      <w:r w:rsidR="00617F7F" w:rsidRPr="00A47886">
        <w:rPr>
          <w:rFonts w:ascii="Times New Roman" w:eastAsia="Calibri" w:hAnsi="Times New Roman" w:cs="Times New Roman"/>
          <w:sz w:val="24"/>
          <w:szCs w:val="24"/>
        </w:rPr>
        <w:t xml:space="preserve"> </w:t>
      </w:r>
      <w:r w:rsidR="003F1EF4" w:rsidRPr="00A47886">
        <w:rPr>
          <w:rFonts w:ascii="Times New Roman" w:eastAsia="Calibri" w:hAnsi="Times New Roman" w:cs="Times New Roman"/>
          <w:sz w:val="24"/>
          <w:szCs w:val="24"/>
        </w:rPr>
        <w:t>Inšpekčné organizácie vítajú</w:t>
      </w:r>
      <w:r w:rsidR="00E11224" w:rsidRPr="00A47886">
        <w:rPr>
          <w:rFonts w:ascii="Times New Roman" w:eastAsia="Calibri" w:hAnsi="Times New Roman" w:cs="Times New Roman"/>
          <w:sz w:val="24"/>
          <w:szCs w:val="24"/>
        </w:rPr>
        <w:t xml:space="preserve"> odbremenenie od niektorých druhov úradných kontrol (vstupné preverenie pri prevzatí celého chovu </w:t>
      </w:r>
      <w:r w:rsidR="008B4B84" w:rsidRPr="00A47886">
        <w:rPr>
          <w:rFonts w:ascii="Times New Roman" w:eastAsia="Calibri" w:hAnsi="Times New Roman" w:cs="Times New Roman"/>
          <w:sz w:val="24"/>
          <w:szCs w:val="24"/>
        </w:rPr>
        <w:t>hospodárskych zvierat, vstupné preverenie registrovaných dielov pôdnych blokov, kontroly zásielok z tretích krajín na hraničných kontrolných staniciach a na miestach</w:t>
      </w:r>
      <w:r w:rsidR="00110229">
        <w:rPr>
          <w:rFonts w:ascii="Times New Roman" w:eastAsia="Calibri" w:hAnsi="Times New Roman" w:cs="Times New Roman"/>
          <w:sz w:val="24"/>
          <w:szCs w:val="24"/>
        </w:rPr>
        <w:t xml:space="preserve"> prepustenia do voľného obehu). K</w:t>
      </w:r>
      <w:r w:rsidR="008B4B84" w:rsidRPr="00A47886">
        <w:rPr>
          <w:rFonts w:ascii="Times New Roman" w:eastAsia="Calibri" w:hAnsi="Times New Roman" w:cs="Times New Roman"/>
          <w:sz w:val="24"/>
          <w:szCs w:val="24"/>
        </w:rPr>
        <w:t xml:space="preserve">ontrolný ústav vykoná potrebné opatrenia </w:t>
      </w:r>
      <w:r w:rsidR="004F6A21" w:rsidRPr="00A47886">
        <w:rPr>
          <w:rFonts w:ascii="Times New Roman" w:eastAsia="Calibri" w:hAnsi="Times New Roman" w:cs="Times New Roman"/>
          <w:sz w:val="24"/>
          <w:szCs w:val="24"/>
        </w:rPr>
        <w:t xml:space="preserve">na zabezpečenie </w:t>
      </w:r>
      <w:r w:rsidR="008B4B84" w:rsidRPr="00A47886">
        <w:rPr>
          <w:rFonts w:ascii="Times New Roman" w:eastAsia="Calibri" w:hAnsi="Times New Roman" w:cs="Times New Roman"/>
          <w:sz w:val="24"/>
          <w:szCs w:val="24"/>
        </w:rPr>
        <w:t>výkon</w:t>
      </w:r>
      <w:r w:rsidR="004F6A21" w:rsidRPr="00A47886">
        <w:rPr>
          <w:rFonts w:ascii="Times New Roman" w:eastAsia="Calibri" w:hAnsi="Times New Roman" w:cs="Times New Roman"/>
          <w:sz w:val="24"/>
          <w:szCs w:val="24"/>
        </w:rPr>
        <w:t>u</w:t>
      </w:r>
      <w:r w:rsidR="008B4B84" w:rsidRPr="00A47886">
        <w:rPr>
          <w:rFonts w:ascii="Times New Roman" w:eastAsia="Calibri" w:hAnsi="Times New Roman" w:cs="Times New Roman"/>
          <w:sz w:val="24"/>
          <w:szCs w:val="24"/>
        </w:rPr>
        <w:t xml:space="preserve"> úradných kontrol produktov z ekologickej poľnohospodárskej výroby</w:t>
      </w:r>
      <w:r w:rsidR="003F1EF4" w:rsidRPr="00A47886">
        <w:rPr>
          <w:rFonts w:ascii="Times New Roman" w:eastAsia="Calibri" w:hAnsi="Times New Roman" w:cs="Times New Roman"/>
          <w:sz w:val="24"/>
          <w:szCs w:val="24"/>
        </w:rPr>
        <w:t xml:space="preserve"> </w:t>
      </w:r>
      <w:r w:rsidR="008B4B84" w:rsidRPr="00A47886">
        <w:rPr>
          <w:rFonts w:ascii="Times New Roman" w:eastAsia="Calibri" w:hAnsi="Times New Roman" w:cs="Times New Roman"/>
          <w:sz w:val="24"/>
          <w:szCs w:val="24"/>
        </w:rPr>
        <w:t>alebo produkt</w:t>
      </w:r>
      <w:r w:rsidR="004F6A21" w:rsidRPr="00A47886">
        <w:rPr>
          <w:rFonts w:ascii="Times New Roman" w:eastAsia="Calibri" w:hAnsi="Times New Roman" w:cs="Times New Roman"/>
          <w:sz w:val="24"/>
          <w:szCs w:val="24"/>
        </w:rPr>
        <w:t>ov z konverzie z tretích krajín vo vlastnej kompetencii.</w:t>
      </w:r>
    </w:p>
    <w:p w14:paraId="76570651" w14:textId="57B2BAB6" w:rsidR="000F752C" w:rsidRPr="000F752C" w:rsidRDefault="000F752C" w:rsidP="000F752C">
      <w:pPr>
        <w:spacing w:after="0"/>
        <w:jc w:val="both"/>
        <w:rPr>
          <w:rFonts w:ascii="Times New Roman" w:eastAsia="Calibri" w:hAnsi="Times New Roman" w:cs="Times New Roman"/>
          <w:sz w:val="24"/>
          <w:szCs w:val="24"/>
        </w:rPr>
      </w:pPr>
      <w:r w:rsidRPr="000F752C">
        <w:rPr>
          <w:rFonts w:ascii="Times New Roman" w:eastAsia="Calibri" w:hAnsi="Times New Roman" w:cs="Times New Roman"/>
          <w:sz w:val="24"/>
          <w:szCs w:val="24"/>
        </w:rPr>
        <w:t>Tieto konzultácie prebiehali formou rokovaní, písomnou formou a formou komunikácie na diaľku (telefonicky, elektronickou poštou). Konzultácie prebiehali od 23. septembra 2021.</w:t>
      </w:r>
    </w:p>
    <w:p w14:paraId="7EB1B314" w14:textId="0F529A04" w:rsidR="000F752C" w:rsidRPr="000F752C" w:rsidRDefault="000F752C" w:rsidP="000F752C">
      <w:pPr>
        <w:spacing w:after="0"/>
        <w:jc w:val="both"/>
        <w:rPr>
          <w:rFonts w:ascii="Times New Roman" w:eastAsia="Calibri" w:hAnsi="Times New Roman" w:cs="Times New Roman"/>
          <w:sz w:val="24"/>
          <w:szCs w:val="24"/>
        </w:rPr>
      </w:pPr>
      <w:r w:rsidRPr="000F752C">
        <w:rPr>
          <w:rFonts w:ascii="Times New Roman" w:eastAsia="Calibri" w:hAnsi="Times New Roman" w:cs="Times New Roman"/>
          <w:sz w:val="24"/>
          <w:szCs w:val="24"/>
        </w:rPr>
        <w:t>Link na konzultácie: https://www.mpsr.sk/podklad-pre-konzultacie/2-23-2-17153/</w:t>
      </w: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bookmarkStart w:id="1" w:name="_GoBack"/>
      <w:bookmarkEnd w:id="1"/>
      <w:r w:rsidRPr="001F1B43">
        <w:rPr>
          <w:rFonts w:ascii="Times New Roman" w:eastAsia="Calibri" w:hAnsi="Times New Roman" w:cs="Times New Roman"/>
          <w:b/>
          <w:sz w:val="24"/>
          <w:szCs w:val="24"/>
        </w:rPr>
        <w:lastRenderedPageBreak/>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32C03400" w:rsidR="00054C41" w:rsidRPr="00D8247C" w:rsidRDefault="00D7132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Times New Roman" w:hAnsi="Times New Roman" w:cs="Times New Roman"/>
                <w:i/>
                <w:szCs w:val="20"/>
                <w:lang w:eastAsia="sk-SK"/>
              </w:rPr>
              <w:id w:val="-647822913"/>
              <w14:checkbox>
                <w14:checked w14:val="1"/>
                <w14:checkedState w14:val="2612" w14:font="MS Gothic"/>
                <w14:uncheckedState w14:val="2610" w14:font="MS Gothic"/>
              </w14:checkbox>
            </w:sdtPr>
            <w:sdtEndPr/>
            <w:sdtContent>
              <w:r w:rsidR="00617F7F">
                <w:rPr>
                  <w:rFonts w:ascii="MS Gothic" w:eastAsia="MS Gothic" w:hAnsi="MS Gothic" w:cs="Times New Roman" w:hint="eastAsia"/>
                  <w:i/>
                  <w:szCs w:val="20"/>
                  <w:lang w:eastAsia="sk-SK"/>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0498DE5" w:rsidR="00054C41" w:rsidRPr="00D8247C" w:rsidRDefault="00D7132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2045323905"/>
            </w:sdtPr>
            <w:sdtEndPr/>
            <w:sdtContent>
              <w:sdt>
                <w:sdtPr>
                  <w:rPr>
                    <w:rFonts w:ascii="Times New Roman" w:eastAsia="Times New Roman" w:hAnsi="Times New Roman" w:cs="Times New Roman"/>
                    <w:i/>
                    <w:szCs w:val="20"/>
                    <w:lang w:eastAsia="sk-SK"/>
                  </w:rPr>
                  <w:id w:val="-213349175"/>
                  <w14:checkbox>
                    <w14:checked w14:val="1"/>
                    <w14:checkedState w14:val="2612" w14:font="MS Gothic"/>
                    <w14:uncheckedState w14:val="2610" w14:font="MS Gothic"/>
                  </w14:checkbox>
                </w:sdtPr>
                <w:sdtEndPr/>
                <w:sdtContent>
                  <w:r w:rsidR="00617F7F">
                    <w:rPr>
                      <w:rFonts w:ascii="MS Gothic" w:eastAsia="MS Gothic" w:hAnsi="MS Gothic" w:cs="Times New Roman" w:hint="eastAsia"/>
                      <w:i/>
                      <w:szCs w:val="20"/>
                      <w:lang w:eastAsia="sk-SK"/>
                    </w:rPr>
                    <w:t>☒</w:t>
                  </w:r>
                </w:sdtContent>
              </w:sdt>
            </w:sdtContent>
          </w:sdt>
          <w:r w:rsidR="00617F7F" w:rsidRPr="00D8247C">
            <w:rPr>
              <w:rFonts w:ascii="Segoe UI Symbol" w:eastAsia="Calibri" w:hAnsi="Segoe UI Symbol" w:cs="Segoe UI Symbol"/>
              <w:i/>
              <w:sz w:val="24"/>
              <w:szCs w:val="24"/>
            </w:rPr>
            <w:t xml:space="preserve"> </w:t>
          </w:r>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B4849FE" w14:textId="2E415DD0" w:rsidR="00FF414B" w:rsidRPr="000F752C" w:rsidRDefault="00A83422" w:rsidP="00FF414B">
      <w:pPr>
        <w:spacing w:after="0"/>
        <w:jc w:val="both"/>
        <w:rPr>
          <w:rFonts w:ascii="Times New Roman" w:eastAsia="Calibri" w:hAnsi="Times New Roman" w:cs="Times New Roman"/>
          <w:sz w:val="24"/>
          <w:szCs w:val="24"/>
        </w:rPr>
      </w:pPr>
      <w:r w:rsidRPr="000F752C">
        <w:rPr>
          <w:rFonts w:ascii="Times New Roman" w:eastAsia="Calibri" w:hAnsi="Times New Roman" w:cs="Times New Roman"/>
          <w:sz w:val="24"/>
          <w:szCs w:val="24"/>
        </w:rPr>
        <w:t>Navrhovaným zákonom sa ustanovujú nové objektívne stránky skutkových podstát správnych deliktov, za ktoré možno uložiť pokutu. Jedná sa konkrétne o dva nové priestupky a dva nové iné správne delikty, pričom za tieto iné správne delikty možno uložiť pokutu vo výške od 200 € do 10 000 €. Vzhľadom na doterajšiu rozhodovaciu prax kontrolného ústavu existuje predpoklad, že za tieto správne delikty sa budú ukladať pokuty v dolnej hranici zákonnej sadzby, teda v priemere približne vo výške 500 €. To by vzhľadom na doterajšiu incidenciu prejednaných správnych deliktov podľa zákona o</w:t>
      </w:r>
      <w:r w:rsidR="0037052F" w:rsidRPr="000F752C">
        <w:rPr>
          <w:rFonts w:ascii="Times New Roman" w:eastAsia="Calibri" w:hAnsi="Times New Roman" w:cs="Times New Roman"/>
          <w:sz w:val="24"/>
          <w:szCs w:val="24"/>
        </w:rPr>
        <w:t> </w:t>
      </w:r>
      <w:r w:rsidRPr="000F752C">
        <w:rPr>
          <w:rFonts w:ascii="Times New Roman" w:eastAsia="Calibri" w:hAnsi="Times New Roman" w:cs="Times New Roman"/>
          <w:sz w:val="24"/>
          <w:szCs w:val="24"/>
        </w:rPr>
        <w:t>ekol</w:t>
      </w:r>
      <w:r w:rsidR="0037052F" w:rsidRPr="000F752C">
        <w:rPr>
          <w:rFonts w:ascii="Times New Roman" w:eastAsia="Calibri" w:hAnsi="Times New Roman" w:cs="Times New Roman"/>
          <w:sz w:val="24"/>
          <w:szCs w:val="24"/>
        </w:rPr>
        <w:t>ogickej poľnohospodárskej výrobe znamenalo, že ustanovením týchto nových objektívnych stránok skutkových podstát, a úpravou tých doterajších, sa zvýši počet týchto prejednaných správnych deliktov približne o päť ročne.</w:t>
      </w:r>
      <w:r w:rsidR="002E3E87" w:rsidRPr="000F752C">
        <w:rPr>
          <w:rFonts w:ascii="Times New Roman" w:eastAsia="Calibri" w:hAnsi="Times New Roman" w:cs="Times New Roman"/>
          <w:sz w:val="24"/>
          <w:szCs w:val="24"/>
        </w:rPr>
        <w:t xml:space="preserve"> </w:t>
      </w:r>
      <w:r w:rsidR="005E29D8" w:rsidRPr="000F752C">
        <w:rPr>
          <w:rFonts w:ascii="Times New Roman" w:eastAsia="Calibri" w:hAnsi="Times New Roman" w:cs="Times New Roman"/>
          <w:sz w:val="24"/>
          <w:szCs w:val="24"/>
        </w:rPr>
        <w:t>Pri tomto negatívnom vplyve na podnikateľské subjekty je však potrebné brať ohľad na nevyvrátiteľnú domnienku znalosti právnych predpisov, vrátane právnych predpisov upravujúcich ekologickú poľnohospodársku výrobu. Podnikateľ, ktorý sa rozhodne ekologickú poľnohospodársku výrobu vykonávať, teda musí byť oboznámený s právne záväznými pravidlami jej vykonávania, a je viazaný tieto pravidlá dodržiavať. V takom prípade podnikateľ vykonávajúci</w:t>
      </w:r>
      <w:r w:rsidRPr="000F752C">
        <w:rPr>
          <w:rFonts w:ascii="Times New Roman" w:eastAsia="Calibri" w:hAnsi="Times New Roman" w:cs="Times New Roman"/>
          <w:sz w:val="24"/>
          <w:szCs w:val="24"/>
        </w:rPr>
        <w:t xml:space="preserve"> </w:t>
      </w:r>
      <w:r w:rsidR="005E29D8" w:rsidRPr="000F752C">
        <w:rPr>
          <w:rFonts w:ascii="Times New Roman" w:eastAsia="Calibri" w:hAnsi="Times New Roman" w:cs="Times New Roman"/>
          <w:sz w:val="24"/>
          <w:szCs w:val="24"/>
        </w:rPr>
        <w:t xml:space="preserve">ekologickú poľnohospodársku výrobu samozrejme skutkovú podstatu nijakého správneho deliktu ustanoveného uvedeným zákonom nenaplní, a pokuta sa mu neudelí. </w:t>
      </w: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216DAF86" w14:textId="2DB5C0AB" w:rsidR="005644DC" w:rsidRDefault="005644DC">
      <w:pPr>
        <w:rPr>
          <w:rFonts w:ascii="Times New Roman" w:eastAsia="Times New Roman" w:hAnsi="Times New Roman" w:cs="Times New Roman"/>
          <w:b/>
          <w:sz w:val="28"/>
          <w:szCs w:val="28"/>
          <w:lang w:eastAsia="sk-SK"/>
        </w:rPr>
      </w:pPr>
    </w:p>
    <w:sectPr w:rsidR="00564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0E35" w14:textId="77777777" w:rsidR="00E45015" w:rsidRDefault="00E45015" w:rsidP="00054C41">
      <w:pPr>
        <w:spacing w:after="0" w:line="240" w:lineRule="auto"/>
      </w:pPr>
      <w:r>
        <w:separator/>
      </w:r>
    </w:p>
  </w:endnote>
  <w:endnote w:type="continuationSeparator" w:id="0">
    <w:p w14:paraId="55DF5506" w14:textId="77777777" w:rsidR="00E45015" w:rsidRDefault="00E4501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6322"/>
      <w:docPartObj>
        <w:docPartGallery w:val="Page Numbers (Bottom of Page)"/>
        <w:docPartUnique/>
      </w:docPartObj>
    </w:sdtPr>
    <w:sdtContent>
      <w:p w14:paraId="68AC3825" w14:textId="494CA26E" w:rsidR="006010C0" w:rsidRDefault="00D71321" w:rsidP="00D71321">
        <w:pPr>
          <w:pStyle w:val="Pta"/>
          <w:jc w:val="center"/>
        </w:pPr>
        <w:r>
          <w:fldChar w:fldCharType="begin"/>
        </w:r>
        <w:r>
          <w:instrText>PAGE   \* MERGEFORMAT</w:instrText>
        </w:r>
        <w:r>
          <w:fldChar w:fldCharType="separate"/>
        </w:r>
        <w:r>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DAC7" w14:textId="77777777" w:rsidR="00E45015" w:rsidRDefault="00E45015" w:rsidP="00054C41">
      <w:pPr>
        <w:spacing w:after="0" w:line="240" w:lineRule="auto"/>
      </w:pPr>
      <w:r>
        <w:separator/>
      </w:r>
    </w:p>
  </w:footnote>
  <w:footnote w:type="continuationSeparator" w:id="0">
    <w:p w14:paraId="68319B58" w14:textId="77777777" w:rsidR="00E45015" w:rsidRDefault="00E45015"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A6B7480"/>
    <w:multiLevelType w:val="hybridMultilevel"/>
    <w:tmpl w:val="8B2E05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972D7F"/>
    <w:multiLevelType w:val="hybridMultilevel"/>
    <w:tmpl w:val="0FCED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8405A"/>
    <w:rsid w:val="0009352A"/>
    <w:rsid w:val="000C5E9A"/>
    <w:rsid w:val="000F752C"/>
    <w:rsid w:val="00110229"/>
    <w:rsid w:val="00142154"/>
    <w:rsid w:val="00155255"/>
    <w:rsid w:val="001A19EB"/>
    <w:rsid w:val="001A2F4F"/>
    <w:rsid w:val="001A6E61"/>
    <w:rsid w:val="001B4C03"/>
    <w:rsid w:val="001C0815"/>
    <w:rsid w:val="001D1083"/>
    <w:rsid w:val="001D3FA0"/>
    <w:rsid w:val="001E30EF"/>
    <w:rsid w:val="001E53CB"/>
    <w:rsid w:val="001E7098"/>
    <w:rsid w:val="00225296"/>
    <w:rsid w:val="00225A83"/>
    <w:rsid w:val="002550C0"/>
    <w:rsid w:val="00255BE9"/>
    <w:rsid w:val="00267966"/>
    <w:rsid w:val="00270EA5"/>
    <w:rsid w:val="002A7D27"/>
    <w:rsid w:val="002E3E87"/>
    <w:rsid w:val="00340CFD"/>
    <w:rsid w:val="00352C2D"/>
    <w:rsid w:val="00355182"/>
    <w:rsid w:val="0035780D"/>
    <w:rsid w:val="0037052F"/>
    <w:rsid w:val="0038255E"/>
    <w:rsid w:val="00386993"/>
    <w:rsid w:val="00386C52"/>
    <w:rsid w:val="00391648"/>
    <w:rsid w:val="0039304E"/>
    <w:rsid w:val="003A6B55"/>
    <w:rsid w:val="003C1AEA"/>
    <w:rsid w:val="003E58B8"/>
    <w:rsid w:val="003F06D7"/>
    <w:rsid w:val="003F1EF4"/>
    <w:rsid w:val="00432E4D"/>
    <w:rsid w:val="00445638"/>
    <w:rsid w:val="00446432"/>
    <w:rsid w:val="00472BD2"/>
    <w:rsid w:val="004C0520"/>
    <w:rsid w:val="004D1FC4"/>
    <w:rsid w:val="004D20CB"/>
    <w:rsid w:val="004D7A39"/>
    <w:rsid w:val="004F6A21"/>
    <w:rsid w:val="00527FAF"/>
    <w:rsid w:val="005644DC"/>
    <w:rsid w:val="00591468"/>
    <w:rsid w:val="005D1325"/>
    <w:rsid w:val="005D4A58"/>
    <w:rsid w:val="005E29D8"/>
    <w:rsid w:val="006010C0"/>
    <w:rsid w:val="00611012"/>
    <w:rsid w:val="00617F7F"/>
    <w:rsid w:val="006D39E5"/>
    <w:rsid w:val="006E07E3"/>
    <w:rsid w:val="007259CB"/>
    <w:rsid w:val="007521F9"/>
    <w:rsid w:val="00752AD0"/>
    <w:rsid w:val="0077106D"/>
    <w:rsid w:val="007806E8"/>
    <w:rsid w:val="007B38AB"/>
    <w:rsid w:val="007B40FB"/>
    <w:rsid w:val="007C6056"/>
    <w:rsid w:val="007E24B2"/>
    <w:rsid w:val="007F4DE7"/>
    <w:rsid w:val="008634E9"/>
    <w:rsid w:val="008801B5"/>
    <w:rsid w:val="008B4AA1"/>
    <w:rsid w:val="008B4B84"/>
    <w:rsid w:val="008C1C71"/>
    <w:rsid w:val="00900334"/>
    <w:rsid w:val="00916144"/>
    <w:rsid w:val="00916F7C"/>
    <w:rsid w:val="00923C0C"/>
    <w:rsid w:val="009508BF"/>
    <w:rsid w:val="0095602F"/>
    <w:rsid w:val="00972089"/>
    <w:rsid w:val="00972337"/>
    <w:rsid w:val="009A4D56"/>
    <w:rsid w:val="009D1D8A"/>
    <w:rsid w:val="009E09F7"/>
    <w:rsid w:val="00A000DA"/>
    <w:rsid w:val="00A1736E"/>
    <w:rsid w:val="00A27FEE"/>
    <w:rsid w:val="00A461D0"/>
    <w:rsid w:val="00A46EBB"/>
    <w:rsid w:val="00A47886"/>
    <w:rsid w:val="00A80973"/>
    <w:rsid w:val="00A83422"/>
    <w:rsid w:val="00A90261"/>
    <w:rsid w:val="00A9293E"/>
    <w:rsid w:val="00A92C11"/>
    <w:rsid w:val="00AB4775"/>
    <w:rsid w:val="00B010DA"/>
    <w:rsid w:val="00B123A8"/>
    <w:rsid w:val="00B364E1"/>
    <w:rsid w:val="00B5120B"/>
    <w:rsid w:val="00B66E33"/>
    <w:rsid w:val="00B90C99"/>
    <w:rsid w:val="00BD0EF7"/>
    <w:rsid w:val="00C21399"/>
    <w:rsid w:val="00C560C4"/>
    <w:rsid w:val="00C6748F"/>
    <w:rsid w:val="00CE3309"/>
    <w:rsid w:val="00CE6ACB"/>
    <w:rsid w:val="00D005F2"/>
    <w:rsid w:val="00D631FA"/>
    <w:rsid w:val="00D71321"/>
    <w:rsid w:val="00D82356"/>
    <w:rsid w:val="00D84B06"/>
    <w:rsid w:val="00D84EEE"/>
    <w:rsid w:val="00D90A61"/>
    <w:rsid w:val="00DF02CE"/>
    <w:rsid w:val="00E030DA"/>
    <w:rsid w:val="00E11224"/>
    <w:rsid w:val="00E45015"/>
    <w:rsid w:val="00E778F4"/>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6785">
      <w:bodyDiv w:val="1"/>
      <w:marLeft w:val="0"/>
      <w:marRight w:val="0"/>
      <w:marTop w:val="0"/>
      <w:marBottom w:val="0"/>
      <w:divBdr>
        <w:top w:val="none" w:sz="0" w:space="0" w:color="auto"/>
        <w:left w:val="none" w:sz="0" w:space="0" w:color="auto"/>
        <w:bottom w:val="none" w:sz="0" w:space="0" w:color="auto"/>
        <w:right w:val="none" w:sz="0" w:space="0" w:color="auto"/>
      </w:divBdr>
    </w:div>
    <w:div w:id="10874150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32133927">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8044586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na-PP"/>
    <f:field ref="objsubject" par="" edit="true" text=""/>
    <f:field ref="objcreatedby" par="" text="Ňuňuk, Pavol, JUDr."/>
    <f:field ref="objcreatedat" par="" text="24.8.2022 8:19:17"/>
    <f:field ref="objchangedby" par="" text="Administrator, System"/>
    <f:field ref="objmodifiedat" par="" text="24.8.2022 8:19: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1C9AF0-7785-4F88-8672-9D4066A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1878</Words>
  <Characters>10706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22</cp:revision>
  <cp:lastPrinted>2022-10-04T11:56:00Z</cp:lastPrinted>
  <dcterms:created xsi:type="dcterms:W3CDTF">2022-08-16T12:43:00Z</dcterms:created>
  <dcterms:modified xsi:type="dcterms:W3CDTF">2022-10-04T11:56:00Z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&lt;h2 align="center"&gt;Správa o účasti verejnosti na tvorbe právneho predpisu&lt;/h2&gt;			&lt;p ali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zákona č. 282/2020 Z. z. o ekologickej poľnohospodárskej výrobe v znení zákona č. 350/2020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zákona č. 282/2020 Z. z. o ekologickej poľnohospodárskej výrobe v znení zákona č. 350/2020 Z. z.</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2603/2022-410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LP/2022/500</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43 ods. 2 Zmluvy o fungovaní Európskej únie (Ú. v. ES C 202, 7. 6. 2016) v platnom znení.</vt:lpwstr>
  </property>
  <property fmtid="{D5CDD505-2E9C-101B-9397-08002B2CF9AE}" pid="47" name="FSC#SKEDITIONSLOVLEX@103.510:AttrStrListDocPropSekundarneLegPravoPO">
    <vt:lpwstr>Nariadenie Európskeho parlamentu a Rady (EÚ) 2018/848 z 30. mája 2018 o ekologickej poľnohospodárskej výrobe a označovaní produktov ekologickej poľnohospodárskej výroby a o zrušení nariadenia Rady (ES) č. 834/2007 (Ú. v. EÚ L 150, 14.6.2018) v znení naria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Nebolo začaté konanie proti Slovenskej republike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3. 8. 2022</vt:lpwstr>
  </property>
  <property fmtid="{D5CDD505-2E9C-101B-9397-08002B2CF9AE}" pid="59" name="FSC#SKEDITIONSLOVLEX@103.510:AttrDateDocPropUkonceniePKK">
    <vt:lpwstr>12. 8. 2022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&lt;em&gt;Návrh zákona má pozitívny vplyv na rozpočet verejnej správy, nakoľko úradné kontroly produktov ekologickej poľnohospodárskej výroby a produktov z konverzie bude na mieste prepustenia do voľného obehu v Únii vykonávať kontrolný ústav (Ústredný kontroln</vt:lpwstr>
  </property>
  <property fmtid="{D5CDD505-2E9C-101B-9397-08002B2CF9AE}" pid="66" name="FSC#SKEDITIONSLOVLEX@103.510:AttrStrListDocPropAltRiesenia">
    <vt:lpwstr>Novú právnu úpravu nariadenia (EÚ) 2018/848 o dovozoch produktov z ekologickej poľnohospodárskej výroby a produktov z konverzie do EÚ od 1. januára 2022 nie je možné riešiť iným spôsobom, teda neexistuje iná alternatíva riešenia zmeny v nariadení (EÚ) 201</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282/2020 Z. z. o ekologickej poľnohospodárskej výrobe v znení zákona č. 350/2020 Z. z. (ďalej len „návrh zákona“) predkladá Ministerstvo pôdohospodárstva a&amp;nbsp;rozvoja vidieka</vt:lpwstr>
  </property>
  <property fmtid="{D5CDD505-2E9C-101B-9397-08002B2CF9AE}" pid="150" name="FSC#SKEDITIONSLOVLEX@103.510:vytvorenedna">
    <vt:lpwstr>24. 8. 2022</vt:lpwstr>
  </property>
  <property fmtid="{D5CDD505-2E9C-101B-9397-08002B2CF9AE}" pid="151" name="FSC#COOSYSTEM@1.1:Container">
    <vt:lpwstr>COO.2145.1000.3.5152567</vt:lpwstr>
  </property>
  <property fmtid="{D5CDD505-2E9C-101B-9397-08002B2CF9AE}" pid="152" name="FSC#FSCFOLIO@1.1001:docpropproject">
    <vt:lpwstr/>
  </property>
</Properties>
</file>