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1D7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561D7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93FB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7D5748" w:rsidRPr="007D5748" w:rsidTr="00561D7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1D7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561D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1D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1D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1D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1D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93FB5" w:rsidRPr="007D5748" w:rsidTr="00561D7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93FB5" w:rsidRPr="007D5748" w:rsidRDefault="009A5FD9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58 584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93FB5" w:rsidRPr="007D5748" w:rsidRDefault="009A5FD9" w:rsidP="000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93FB5" w:rsidRPr="007D5748" w:rsidRDefault="009A5FD9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93FB5" w:rsidRPr="007D5748" w:rsidRDefault="009A5FD9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</w:tr>
      <w:tr w:rsidR="00593FB5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</w:t>
            </w:r>
          </w:p>
        </w:tc>
        <w:tc>
          <w:tcPr>
            <w:tcW w:w="1267" w:type="dxa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3FB5" w:rsidRPr="004C0FAD" w:rsidTr="00561D7D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FB5" w:rsidRPr="005C6CBB" w:rsidRDefault="00593FB5" w:rsidP="0059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FB5" w:rsidRPr="00561D7D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FB5" w:rsidRPr="00561D7D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FB5" w:rsidRPr="00561D7D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FB5" w:rsidRPr="00561D7D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93FB5" w:rsidRPr="009A5FD9" w:rsidTr="00561D7D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FB5" w:rsidRPr="005C6CBB" w:rsidRDefault="00593FB5" w:rsidP="0059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MV SR/program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FB5" w:rsidRPr="009A5FD9" w:rsidRDefault="009A5FD9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B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FB5" w:rsidRPr="00561D7D" w:rsidRDefault="009A5FD9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B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5E1B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FB5" w:rsidRPr="009A5FD9" w:rsidRDefault="009A5FD9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B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57 904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FB5" w:rsidRPr="009A5FD9" w:rsidRDefault="009A5FD9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B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57 904</w:t>
            </w:r>
          </w:p>
        </w:tc>
      </w:tr>
      <w:tr w:rsidR="00593FB5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93FB5" w:rsidRPr="007D5748" w:rsidRDefault="00593FB5" w:rsidP="0059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A5FD9" w:rsidRPr="00597B5E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58 584</w:t>
            </w:r>
          </w:p>
        </w:tc>
        <w:tc>
          <w:tcPr>
            <w:tcW w:w="1267" w:type="dxa"/>
            <w:noWrap/>
            <w:vAlign w:val="center"/>
          </w:tcPr>
          <w:p w:rsidR="009A5FD9" w:rsidRPr="00593FB5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58 584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58 584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9</w:t>
            </w:r>
            <w:r w:rsidRPr="009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</w:t>
            </w: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5FD9" w:rsidRPr="004C0FAD" w:rsidTr="00561D7D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FD9" w:rsidRPr="005C6CBB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FD9" w:rsidRPr="009A5FD9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FD9" w:rsidRPr="00561D7D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FD9" w:rsidRPr="00561D7D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FD9" w:rsidRPr="00561D7D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4C0FAD" w:rsidTr="00561D7D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FD9" w:rsidRPr="005C6CBB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SR/program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FD9" w:rsidRPr="00561D7D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FD9" w:rsidRPr="00561D7D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FD9" w:rsidRPr="00561D7D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FD9" w:rsidRPr="00561D7D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A5FD9" w:rsidRPr="007D5748" w:rsidTr="00561D7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A5FD9" w:rsidRPr="007D5748" w:rsidRDefault="009A5FD9" w:rsidP="009A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Default="00FD661B" w:rsidP="00156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Vyhlásením prírodnej rezervácie (PR)</w:t>
      </w:r>
      <w:r w:rsidR="00B6756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proofErr w:type="spellStart"/>
      <w:r w:rsidR="00306765">
        <w:rPr>
          <w:rFonts w:ascii="Times New Roman" w:eastAsia="Times New Roman" w:hAnsi="Times New Roman"/>
          <w:bCs/>
          <w:sz w:val="24"/>
          <w:szCs w:val="24"/>
          <w:lang w:eastAsia="sk-SK"/>
        </w:rPr>
        <w:t>Vydrica</w:t>
      </w:r>
      <w:proofErr w:type="spellEnd"/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B6756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jej ochranného pásma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dôjde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rok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och 202</w:t>
      </w:r>
      <w:r w:rsidR="009A5FD9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– 2025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 zvýšeniu výdavkov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 rozpočte verejnej správy.</w:t>
      </w:r>
    </w:p>
    <w:p w:rsidR="00FD661B" w:rsidRDefault="00FD661B" w:rsidP="005C6C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D661B" w:rsidRDefault="00FD661B" w:rsidP="00156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Finančné prostriedky vo </w:t>
      </w:r>
      <w:r w:rsidRPr="0068788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výške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680 </w:t>
      </w:r>
      <w:r w:rsidRPr="00687887"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sú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potrebné na označenie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B6756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jej ochranného pásma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podľa vyhlášky </w:t>
      </w:r>
      <w:r w:rsidRPr="00034682">
        <w:rPr>
          <w:rFonts w:ascii="Times New Roman" w:eastAsia="Times New Roman" w:hAnsi="Times New Roman"/>
          <w:bCs/>
          <w:sz w:val="24"/>
          <w:szCs w:val="24"/>
          <w:lang w:eastAsia="sk-SK"/>
        </w:rPr>
        <w:t>Ministerstva životného prostredia Slovenskej republiky č. 170/2021 Z. z., ktorou sa vykonáva zákon č. 543/2002 Z. z. o ochrane prírody a krajiny v znení neskorších predpisov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(ďalej len „vyhláška č.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170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21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z.“)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  Tieto f</w:t>
      </w:r>
      <w:r w:rsidRPr="003F5587">
        <w:rPr>
          <w:rFonts w:ascii="Times New Roman" w:eastAsia="Times New Roman" w:hAnsi="Times New Roman"/>
          <w:bCs/>
          <w:sz w:val="24"/>
          <w:szCs w:val="24"/>
          <w:lang w:eastAsia="sk-SK"/>
        </w:rPr>
        <w:t>inančné prostriedky sú zabezpečené v rozpočte kapitoly Ministerstva životného prostredia Slovenskej republiky (MŽP SR), a to v rozpočte Štátnej ochrany prírody Slovenskej republiky (ŠOP SR), príspevkovej  organizácii v zriaďovateľskej pôsobnosti MŽP SR.</w:t>
      </w:r>
    </w:p>
    <w:p w:rsidR="00FD661B" w:rsidRPr="005C6CBB" w:rsidRDefault="005E5DCF" w:rsidP="00156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Predpokladá sa v</w:t>
      </w:r>
      <w:r w:rsidR="00FD661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plyv na rozpočet verejnej správy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vo forme finančnej náhrady</w:t>
      </w:r>
      <w:r w:rsidR="00FD661B" w:rsidRPr="003F558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FD661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za obmedzenie bežného obhospodarovania na lesných pozemkoch. </w:t>
      </w:r>
      <w:r w:rsidR="00FD66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Ako p</w:t>
      </w:r>
      <w:r w:rsidR="00FD661B" w:rsidRPr="005C6C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odklad na výpočet bol braný do úvahy objem</w:t>
      </w:r>
      <w:r w:rsidR="00FD66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A5FD9" w:rsidRPr="009A5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16 544</w:t>
      </w:r>
      <w:r w:rsidR="00FD66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</w:t>
      </w:r>
      <w:r w:rsidR="00FD661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3</w:t>
      </w:r>
      <w:r w:rsidR="00FD661B" w:rsidRPr="005C6C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ťažby na decénium </w:t>
      </w:r>
      <w:r w:rsidR="00FD66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hodnote </w:t>
      </w:r>
      <w:r w:rsidR="009A5FD9" w:rsidRPr="009A5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579 040</w:t>
      </w:r>
      <w:r w:rsidR="00FD66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 </w:t>
      </w:r>
      <w:r w:rsidR="006844C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="009A5FD9" w:rsidRPr="009A5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57 904</w:t>
      </w:r>
      <w:r w:rsidR="000814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844C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€ za rok) </w:t>
      </w:r>
      <w:r w:rsidR="00FD661B" w:rsidRPr="005C6C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</w:t>
      </w:r>
      <w:r w:rsidR="00FD66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všetky</w:t>
      </w:r>
      <w:r w:rsidR="00FD661B" w:rsidRPr="005C6C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JPRL </w:t>
      </w:r>
      <w:r w:rsidR="00FD66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zóne</w:t>
      </w:r>
      <w:r w:rsidR="00FD661B" w:rsidRPr="004F07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navrhovanej PR </w:t>
      </w:r>
      <w:proofErr w:type="spellStart"/>
      <w:r w:rsidR="003067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Vydrica</w:t>
      </w:r>
      <w:proofErr w:type="spellEnd"/>
      <w:r w:rsidR="00FD661B" w:rsidRPr="004F07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FD661B" w:rsidRPr="005C6C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jednoduchosť výpočtu sme počítali s paušálnou náhradou vo výške 35 €/m</w:t>
      </w:r>
      <w:r w:rsidR="00FD661B" w:rsidRPr="003051C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3</w:t>
      </w:r>
      <w:r w:rsidR="00FD661B" w:rsidRPr="005C6C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Ide o priemernú hodnotu pri zohľadnení nákladov na ťažbu, drevinového zloženia, sortimentácie a trhu s drevom. Reálna finančná náhrada bude vypočítaná v zmysle zákona znalcom v odbore lesníctvo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po podaní žiadosti o vyplatenie náhrad v zmysle § 61e zákona č. 543/2002 Z. z. o ochrane prírody a krajiny v znení neskorších predpisov zo strany dotknutých subjektov.</w:t>
      </w:r>
    </w:p>
    <w:p w:rsidR="00FD661B" w:rsidRDefault="00FD661B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57780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44CF" w:rsidRPr="007D5748" w:rsidRDefault="006844CF" w:rsidP="005C6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Vyhlásením PR </w:t>
      </w:r>
      <w:proofErr w:type="spellStart"/>
      <w:r w:rsidR="00306765">
        <w:rPr>
          <w:rFonts w:ascii="Times New Roman" w:eastAsia="Times New Roman" w:hAnsi="Times New Roman" w:cs="Times New Roman"/>
          <w:sz w:val="24"/>
          <w:szCs w:val="24"/>
          <w:lang w:eastAsia="sk-SK"/>
        </w:rPr>
        <w:t>Vydrica</w:t>
      </w:r>
      <w:proofErr w:type="spellEnd"/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7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jej ochranného pásma 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dôjde k zvýšeniu stupňa ochrany </w:t>
      </w:r>
      <w:r w:rsidR="00A45293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z druhého stupňa ochrany vymedzením zóny A s piatym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stupňom ochrany na lesných pozemkoch vo výmere </w:t>
      </w:r>
      <w:r w:rsidR="009A5FD9" w:rsidRPr="009A5FD9">
        <w:rPr>
          <w:rFonts w:ascii="Times New Roman" w:eastAsia="Times New Roman" w:hAnsi="Times New Roman" w:cs="Times New Roman"/>
          <w:sz w:val="24"/>
          <w:szCs w:val="24"/>
          <w:lang w:eastAsia="sk-SK"/>
        </w:rPr>
        <w:t>450,31 ha, čo predstavuje 93</w:t>
      </w:r>
      <w:r w:rsidR="00B6756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A5FD9" w:rsidRPr="009A5FD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45EDB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9A5FD9" w:rsidRPr="009A5F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výmery navrhovanej P</w:t>
      </w:r>
      <w:r w:rsidR="00A45293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 </w:t>
      </w:r>
      <w:proofErr w:type="spellStart"/>
      <w:r w:rsidR="00306765">
        <w:rPr>
          <w:rFonts w:ascii="Times New Roman" w:eastAsia="Times New Roman" w:hAnsi="Times New Roman" w:cs="Times New Roman"/>
          <w:sz w:val="24"/>
          <w:szCs w:val="24"/>
          <w:lang w:eastAsia="sk-SK"/>
        </w:rPr>
        <w:t>Vydrica</w:t>
      </w:r>
      <w:proofErr w:type="spellEnd"/>
      <w:r w:rsidR="00A45293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zóny B so štvrtým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stupňom ochrany prevažne na lesných pozemkoch vo výmere </w:t>
      </w:r>
      <w:r w:rsidR="009A5FD9" w:rsidRPr="009A5FD9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výmere 33,18 ha, čo predstavuje 6</w:t>
      </w:r>
      <w:r w:rsidR="00B6756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A5FD9" w:rsidRPr="009A5FD9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C45EDB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výmery navrhovanej PR </w:t>
      </w:r>
      <w:proofErr w:type="spellStart"/>
      <w:r w:rsidR="00306765">
        <w:rPr>
          <w:rFonts w:ascii="Times New Roman" w:eastAsia="Times New Roman" w:hAnsi="Times New Roman" w:cs="Times New Roman"/>
          <w:sz w:val="24"/>
          <w:szCs w:val="24"/>
          <w:lang w:eastAsia="sk-SK"/>
        </w:rPr>
        <w:t>Vydrica</w:t>
      </w:r>
      <w:proofErr w:type="spellEnd"/>
      <w:r w:rsidR="00B67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aj </w:t>
      </w:r>
      <w:r w:rsidR="00640C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</w:t>
      </w:r>
      <w:bookmarkStart w:id="1" w:name="_GoBack"/>
      <w:bookmarkEnd w:id="1"/>
      <w:r w:rsidR="00B67568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ochranného pásma vo výmere 97,75 ha v štvrtom stupni ochrany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Predmetom ochrany PR </w:t>
      </w:r>
      <w:proofErr w:type="spellStart"/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Vydric</w:t>
      </w:r>
      <w:r w:rsidR="0030676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prioritný biotop európskeho významu, dv</w:t>
      </w:r>
      <w:r w:rsidR="00D716E8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biotopy európskeho významu, biotop národného významu, </w:t>
      </w:r>
      <w:r w:rsidR="0008144B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dva 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biotop</w:t>
      </w:r>
      <w:r w:rsidR="0008144B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6C58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prioritn</w:t>
      </w:r>
      <w:r w:rsidR="006B6C58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6B6C58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druh</w:t>
      </w:r>
      <w:r w:rsidR="0008144B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živočích</w:t>
      </w:r>
      <w:r w:rsidR="0008144B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európskeho významu a </w:t>
      </w:r>
      <w:r w:rsidR="0008144B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dva 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biotopy druhov živočíchov európskeho významu. Účelom vyhlásenia PR je aj zabezpečenie ochrany prirodzených procesov a umožnenie prirodzeného vývoja prírodných spoločenstiev nachádzajúcich sa na tomto území. </w:t>
      </w:r>
      <w:r w:rsidR="00D716E8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Vy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hláseni</w:t>
      </w:r>
      <w:r w:rsidR="00D716E8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5293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06765">
        <w:rPr>
          <w:rFonts w:ascii="Times New Roman" w:eastAsia="Times New Roman" w:hAnsi="Times New Roman" w:cs="Times New Roman"/>
          <w:sz w:val="24"/>
          <w:szCs w:val="24"/>
          <w:lang w:eastAsia="sk-SK"/>
        </w:rPr>
        <w:t>Vydrica</w:t>
      </w:r>
      <w:proofErr w:type="spellEnd"/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16E8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prispeje čiastočne k riešeniu 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formálne</w:t>
      </w:r>
      <w:r w:rsidR="00D716E8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oznámeni</w:t>
      </w:r>
      <w:r w:rsidR="00D716E8"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Európskej komisie v rámci konania o porušení zmlúv č. 2019/2141, ktoré sa týka nedostatočného vyhlasovania lokalít európskeho významu a schvaľovania programov starostlivosti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561D7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561D7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DCF" w:rsidRDefault="005E5DCF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5E5DCF" w:rsidRDefault="005E5DC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1D7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1D7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597B5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597B5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597B5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597B5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7D5748" w:rsidRPr="007D5748" w:rsidTr="00561D7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A45293" w:rsidRDefault="00A45293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5293" w:rsidRPr="005C6CBB" w:rsidRDefault="00A45293" w:rsidP="001566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6C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so zoznamom lesných porastov v PR </w:t>
      </w:r>
      <w:proofErr w:type="spellStart"/>
      <w:r w:rsidR="00306765">
        <w:rPr>
          <w:rFonts w:ascii="Times New Roman" w:eastAsia="Times New Roman" w:hAnsi="Times New Roman" w:cs="Times New Roman"/>
          <w:sz w:val="24"/>
          <w:szCs w:val="24"/>
          <w:lang w:eastAsia="sk-SK"/>
        </w:rPr>
        <w:t>Vydrica</w:t>
      </w:r>
      <w:proofErr w:type="spellEnd"/>
      <w:r w:rsidRPr="005C6C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oprávnených na náhradu za obmedzenie bežného obhospodarovania spolu so zjednodušeným výpočtom finančnej náhrady na obdobie platnosti </w:t>
      </w:r>
      <w:r w:rsidR="00D71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programov starostlivosti o lesy - </w:t>
      </w:r>
      <w:r w:rsidRPr="005C6CBB">
        <w:rPr>
          <w:rFonts w:ascii="Times New Roman" w:eastAsia="Times New Roman" w:hAnsi="Times New Roman" w:cs="Times New Roman"/>
          <w:sz w:val="24"/>
          <w:szCs w:val="24"/>
          <w:lang w:eastAsia="sk-SK"/>
        </w:rPr>
        <w:t>PSL (10 rokov)</w:t>
      </w:r>
      <w:r w:rsidR="00C45EF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45293" w:rsidRPr="00A45293" w:rsidRDefault="00A45293" w:rsidP="00A4529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5293" w:rsidRDefault="00A45293" w:rsidP="00A45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tabuľke je uvedený zoznam lesných porastov podľa jednotlivých subjektov. Výpočet je len orientačný, pričom ako podklad na výpočet bol braný do úvahy objem ťažby na decénium pre konkrétnu JPRL (údaj z platného PSL, stav k 1.1.2016). Pre jednoduchosť výpočtu sme počítali s paušálnou náhradou vo výške 35 €/m3. Ide o priemernú hodnotu pri zohľadnení nákladov na ťažbu, drevinového zloženia, sortimentácie a trhu s drevom. Reálna finančná náhrada bude vypočítaná v zmysle zákona znalcom v odbore lesníctvo. Podotýkame, že pre subjekt Mestské lesy v Bratislave objem ťažieb nezodpovedá štandardnému rozdeleniu podľa vekových stupňov. Aktuálne platný PSL pre LC ML Bratislava nebol vypracovaný štandardnými metódami, vlastník lesných pozemkov požadoval pri obnove PSL poníženie </w:t>
      </w:r>
      <w:proofErr w:type="spellStart"/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>etátu</w:t>
      </w:r>
      <w:proofErr w:type="spellEnd"/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mu bolo vyhovené.</w:t>
      </w:r>
    </w:p>
    <w:p w:rsidR="00306765" w:rsidRPr="00A45293" w:rsidRDefault="00306765" w:rsidP="00A45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5293" w:rsidRPr="007D5748" w:rsidRDefault="00A45293" w:rsidP="00A45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Predpokladaná finančná náhrada sa týka výmery </w:t>
      </w:r>
      <w:r w:rsidR="009A5FD9" w:rsidRPr="009A5FD9">
        <w:rPr>
          <w:rFonts w:ascii="Times New Roman" w:eastAsia="Times New Roman" w:hAnsi="Times New Roman" w:cs="Times New Roman"/>
          <w:sz w:val="24"/>
          <w:szCs w:val="24"/>
          <w:lang w:eastAsia="sk-SK"/>
        </w:rPr>
        <w:t>450,31</w:t>
      </w:r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 zóny A navrhovanej PR </w:t>
      </w:r>
      <w:proofErr w:type="spellStart"/>
      <w:r w:rsidR="00306765">
        <w:rPr>
          <w:rFonts w:ascii="Times New Roman" w:eastAsia="Times New Roman" w:hAnsi="Times New Roman" w:cs="Times New Roman"/>
          <w:sz w:val="24"/>
          <w:szCs w:val="24"/>
          <w:lang w:eastAsia="sk-SK"/>
        </w:rPr>
        <w:t>Vydrica</w:t>
      </w:r>
      <w:proofErr w:type="spellEnd"/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5293" w:rsidRPr="00A45293" w:rsidRDefault="00A45293" w:rsidP="00156601">
      <w:pPr>
        <w:widowControl w:val="0"/>
        <w:suppressAutoHyphens/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Chránené územie bude označené tabuľami so štátnym znakom Slovenskej republiky a s nápisom Prírodná rezervácia v súlade s § 52 zákona a § </w:t>
      </w:r>
      <w:r w:rsidR="002377C7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vyhlášky </w:t>
      </w:r>
      <w:r w:rsidRPr="00A452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č. </w:t>
      </w:r>
      <w:r w:rsidR="002377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170/2021</w:t>
      </w:r>
      <w:r w:rsidRPr="00A452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Z. z. </w:t>
      </w:r>
      <w:r w:rsidR="002377C7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okrajoch územia</w:t>
      </w:r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37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Hranica chráneného územia bude označená pruhovým označením na stromoch lesných porastov (zóna A). Na základné označenie PR </w:t>
      </w:r>
      <w:proofErr w:type="spellStart"/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>Vydric</w:t>
      </w:r>
      <w:r w:rsidR="0030676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treba použiť 12 ks normalizovaných tabúľ so štátnym znakom Slovenskej republiky a nápisom „Prírodná rezervácia“. </w:t>
      </w:r>
    </w:p>
    <w:p w:rsidR="00A45293" w:rsidRPr="00A45293" w:rsidRDefault="00A45293" w:rsidP="005C6C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5EF3" w:rsidRPr="007D5748" w:rsidRDefault="00C45EF3" w:rsidP="005C6C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3: </w:t>
      </w:r>
      <w:r w:rsidRPr="00C45EF3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ná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kladov na označenie PR tabuľami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2975"/>
        <w:gridCol w:w="2835"/>
      </w:tblGrid>
      <w:tr w:rsidR="00A45293" w:rsidRPr="00A45293" w:rsidTr="0015660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Počet stĺpov (ks)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Jednotková cena za 1 stĺp (€)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Celkom cena za stĺpy (€)</w:t>
            </w:r>
          </w:p>
        </w:tc>
      </w:tr>
      <w:tr w:rsidR="00A45293" w:rsidRPr="00A45293" w:rsidTr="0015660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480</w:t>
            </w:r>
          </w:p>
        </w:tc>
      </w:tr>
    </w:tbl>
    <w:p w:rsidR="00A45293" w:rsidRDefault="00A45293" w:rsidP="00A4529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DCF" w:rsidRDefault="005E5DCF" w:rsidP="00A4529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DCF" w:rsidRDefault="005E5DCF" w:rsidP="00A4529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DCF" w:rsidRDefault="005E5DCF" w:rsidP="00A4529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DCF" w:rsidRDefault="005E5DCF" w:rsidP="00A4529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DCF" w:rsidRDefault="005E5DCF" w:rsidP="00A4529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DCF" w:rsidRPr="00A45293" w:rsidRDefault="005E5DCF" w:rsidP="00A4529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5EF3" w:rsidRPr="007D5748" w:rsidRDefault="00C45EF3" w:rsidP="005C6C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4: </w:t>
      </w:r>
      <w:r w:rsidRPr="00C45EF3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a nákladov na obvodové značenie</w:t>
      </w: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1028"/>
        <w:gridCol w:w="1028"/>
        <w:gridCol w:w="1027"/>
        <w:gridCol w:w="1027"/>
        <w:gridCol w:w="1027"/>
        <w:gridCol w:w="1027"/>
        <w:gridCol w:w="1028"/>
      </w:tblGrid>
      <w:tr w:rsidR="00A45293" w:rsidRPr="00A45293" w:rsidTr="00A45293">
        <w:trPr>
          <w:cantSplit/>
          <w:trHeight w:val="267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5293">
              <w:rPr>
                <w:rFonts w:ascii="Times New Roman" w:eastAsia="Times New Roman" w:hAnsi="Times New Roman" w:cs="Times New Roman"/>
                <w:b/>
                <w:bCs/>
              </w:rPr>
              <w:t>Obvod hraníc (m)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Počet obvodových hraničných stĺpikov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Jednotková cena za 1 stĺpik (€)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Celkom cena za obvodové stĺpy (€)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Množstvo farby na 1 km dĺžky (kg)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Množstvo farby na celý obvod (kg)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Jednotková cena za 1 kg farby (€)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Celkom cena za obvodové značenie (€)</w:t>
            </w:r>
          </w:p>
        </w:tc>
      </w:tr>
      <w:tr w:rsidR="00A45293" w:rsidRPr="00A45293" w:rsidTr="00A4529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120</w:t>
            </w:r>
          </w:p>
        </w:tc>
      </w:tr>
    </w:tbl>
    <w:p w:rsidR="00A45293" w:rsidRPr="00A45293" w:rsidRDefault="00A45293" w:rsidP="00A4529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A45293" w:rsidRPr="00A45293" w:rsidRDefault="00A45293" w:rsidP="005C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Celkové náklady na označenie územia predstavujú </w:t>
      </w:r>
      <w:r w:rsidRPr="00A452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600 Eur</w:t>
      </w:r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45293" w:rsidRPr="00A45293" w:rsidRDefault="00A45293" w:rsidP="005C6CBB">
      <w:pPr>
        <w:suppressAutoHyphens/>
        <w:spacing w:after="0" w:line="240" w:lineRule="auto"/>
        <w:ind w:left="360" w:right="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5293" w:rsidRPr="00A45293" w:rsidRDefault="00A45293" w:rsidP="005C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označenie zón PR </w:t>
      </w:r>
      <w:proofErr w:type="spellStart"/>
      <w:r w:rsidR="00306765">
        <w:rPr>
          <w:rFonts w:ascii="Times New Roman" w:eastAsia="Times New Roman" w:hAnsi="Times New Roman" w:cs="Times New Roman"/>
          <w:sz w:val="24"/>
          <w:szCs w:val="24"/>
          <w:lang w:eastAsia="sk-SK"/>
        </w:rPr>
        <w:t>Vydrica</w:t>
      </w:r>
      <w:proofErr w:type="spellEnd"/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 zmysle § </w:t>
      </w:r>
      <w:r w:rsidR="002377C7">
        <w:rPr>
          <w:rFonts w:ascii="Times New Roman" w:eastAsia="Times New Roman" w:hAnsi="Times New Roman" w:cs="Times New Roman"/>
          <w:sz w:val="24"/>
          <w:szCs w:val="24"/>
          <w:lang w:eastAsia="sk-SK"/>
        </w:rPr>
        <w:t>24 ods. 4</w:t>
      </w:r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vyhlášky č. </w:t>
      </w:r>
      <w:r w:rsidR="002377C7">
        <w:rPr>
          <w:rFonts w:ascii="Times New Roman" w:eastAsia="Times New Roman" w:hAnsi="Times New Roman" w:cs="Times New Roman"/>
          <w:sz w:val="24"/>
          <w:szCs w:val="24"/>
          <w:lang w:eastAsia="ar-SA"/>
        </w:rPr>
        <w:t>170/2021</w:t>
      </w:r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Z. z. použijú tabule s rozmermi 10 x 10 cm s nápisom čiernej farby na bielom podklade v rámiku tmavozelenej farby s uvedením príslušnej zóny A </w:t>
      </w:r>
      <w:proofErr w:type="spellStart"/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B. Tabule budú umiestnené na stĺpoch základného označenia PR </w:t>
      </w:r>
      <w:proofErr w:type="spellStart"/>
      <w:r w:rsidR="00306765">
        <w:rPr>
          <w:rFonts w:ascii="Times New Roman" w:eastAsia="Times New Roman" w:hAnsi="Times New Roman" w:cs="Times New Roman"/>
          <w:sz w:val="24"/>
          <w:szCs w:val="24"/>
          <w:lang w:eastAsia="ar-SA"/>
        </w:rPr>
        <w:t>Vydrica</w:t>
      </w:r>
      <w:proofErr w:type="spellEnd"/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5293" w:rsidRPr="00A45293" w:rsidRDefault="00A45293" w:rsidP="005C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>A zóna – bude označená 8 tabuľami na prieseku hranice chráneného územia a prístupových komunikácií</w:t>
      </w:r>
    </w:p>
    <w:p w:rsidR="00A45293" w:rsidRPr="00A45293" w:rsidRDefault="00A45293" w:rsidP="005C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 zóna - ostatné plochy v rámci PR </w:t>
      </w:r>
      <w:proofErr w:type="spellStart"/>
      <w:r w:rsidR="00306765">
        <w:rPr>
          <w:rFonts w:ascii="Times New Roman" w:eastAsia="Times New Roman" w:hAnsi="Times New Roman" w:cs="Times New Roman"/>
          <w:sz w:val="24"/>
          <w:szCs w:val="24"/>
          <w:lang w:eastAsia="sk-SK"/>
        </w:rPr>
        <w:t>Vydrica</w:t>
      </w:r>
      <w:proofErr w:type="spellEnd"/>
      <w:r w:rsidRPr="00A4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označené 8 tabuľami. </w:t>
      </w:r>
      <w:r w:rsidRPr="00A452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Umiestnia sa na stĺpy základného označenia.</w:t>
      </w:r>
    </w:p>
    <w:p w:rsidR="00A45293" w:rsidRPr="00A45293" w:rsidRDefault="00A45293" w:rsidP="00A4529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5EF3" w:rsidRPr="007D5748" w:rsidRDefault="00C45EF3" w:rsidP="005C6C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5: </w:t>
      </w: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C45EF3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nákladov označenia zón:</w:t>
      </w:r>
    </w:p>
    <w:tbl>
      <w:tblPr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1981"/>
        <w:gridCol w:w="1986"/>
        <w:gridCol w:w="1987"/>
      </w:tblGrid>
      <w:tr w:rsidR="00A45293" w:rsidRPr="00A45293" w:rsidTr="005C6CB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Umiestnenie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Počet tabúl (ks)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Jednotková cena za 1 ks (€)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Cena spolu (€)</w:t>
            </w:r>
          </w:p>
        </w:tc>
      </w:tr>
      <w:tr w:rsidR="00A45293" w:rsidRPr="00A45293" w:rsidTr="005C6CB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Zóna 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45293" w:rsidRPr="00A45293" w:rsidTr="005C6CBB"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Zóna B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45293" w:rsidRPr="00A45293" w:rsidTr="005C6CBB"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  <w:b/>
              </w:rPr>
              <w:t>Spolu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93" w:rsidRPr="00A45293" w:rsidRDefault="00A45293" w:rsidP="00A45293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293">
              <w:rPr>
                <w:rFonts w:ascii="Times New Roman" w:eastAsia="Times New Roman" w:hAnsi="Times New Roman" w:cs="Times New Roman"/>
              </w:rPr>
              <w:t>80</w:t>
            </w:r>
          </w:p>
        </w:tc>
      </w:tr>
    </w:tbl>
    <w:p w:rsidR="00A45293" w:rsidRPr="00A45293" w:rsidRDefault="00A45293" w:rsidP="00A4529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5293" w:rsidRPr="00A45293" w:rsidRDefault="00A45293" w:rsidP="00A4529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Celková cena materiálu na označenie zón PR </w:t>
      </w:r>
      <w:proofErr w:type="spellStart"/>
      <w:r w:rsidR="00306765">
        <w:rPr>
          <w:rFonts w:ascii="Times New Roman" w:eastAsia="Times New Roman" w:hAnsi="Times New Roman" w:cs="Times New Roman"/>
          <w:sz w:val="24"/>
          <w:szCs w:val="24"/>
          <w:lang w:eastAsia="ar-SA"/>
        </w:rPr>
        <w:t>Vydrica</w:t>
      </w:r>
      <w:proofErr w:type="spellEnd"/>
      <w:r w:rsidRPr="00A45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</w:t>
      </w:r>
      <w:r w:rsidRPr="00A452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80 €.</w:t>
      </w:r>
    </w:p>
    <w:p w:rsidR="00A45293" w:rsidRPr="00A45293" w:rsidRDefault="00A45293" w:rsidP="00A45293">
      <w:pPr>
        <w:suppressAutoHyphens/>
        <w:spacing w:after="0"/>
        <w:rPr>
          <w:rFonts w:ascii="Times" w:eastAsia="Times New Roman" w:hAnsi="Times" w:cs="Times New Roman"/>
          <w:smallCap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1566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991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</w:t>
      </w:r>
      <w:r w:rsidR="00C45E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1D7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61D7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</w:t>
      </w:r>
      <w:r w:rsidR="00C45E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61D7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MŽP SR v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61D7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97B5E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97B5E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97B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97B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97B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  <w:p w:rsidR="00597B5E" w:rsidRPr="005C6CBB" w:rsidRDefault="00597B5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641001 – príspevkovej organizácii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680</w:t>
            </w:r>
          </w:p>
          <w:p w:rsidR="00597B5E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:rsidR="00597B5E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:rsidR="00597B5E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97B5E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:rsidR="00597B5E" w:rsidRPr="00597B5E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C6CBB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="008D339D" w:rsidRPr="005C6CBB">
              <w:rPr>
                <w:sz w:val="24"/>
                <w:szCs w:val="24"/>
              </w:rPr>
              <w:t xml:space="preserve"> </w:t>
            </w:r>
            <w:r w:rsidR="008D339D"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(650)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97B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97B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97B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97B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6CB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97B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6CB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6CBB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6CB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97B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3538B5" w:rsidRDefault="003538B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538B5" w:rsidRDefault="003538B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538B5" w:rsidRDefault="003538B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538B5" w:rsidRDefault="003538B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538B5" w:rsidRDefault="003538B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538B5" w:rsidRDefault="003538B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538B5" w:rsidRDefault="003538B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538B5" w:rsidRDefault="003538B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538B5" w:rsidRDefault="003538B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538B5" w:rsidRPr="007D5748" w:rsidRDefault="003538B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45EF3" w:rsidRPr="007D5748" w:rsidRDefault="00C45EF3" w:rsidP="00C45EF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8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97B5E" w:rsidRPr="007D5748" w:rsidTr="00D716E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7B5E" w:rsidRPr="007D5748" w:rsidRDefault="00597B5E" w:rsidP="00D7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MV SR 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B5E" w:rsidRPr="007D5748" w:rsidRDefault="00597B5E" w:rsidP="00D7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7B5E" w:rsidRPr="007D5748" w:rsidRDefault="00597B5E" w:rsidP="00D7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97B5E" w:rsidRPr="007D5748" w:rsidTr="00D716E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B5E" w:rsidRPr="007D5748" w:rsidRDefault="00597B5E" w:rsidP="00D7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B5E" w:rsidRPr="005C6CBB" w:rsidRDefault="00597B5E" w:rsidP="00D7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B5E" w:rsidRPr="005C6CBB" w:rsidRDefault="00597B5E" w:rsidP="00D7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B5E" w:rsidRPr="005C6CBB" w:rsidRDefault="00597B5E" w:rsidP="00D7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B5E" w:rsidRPr="00597B5E" w:rsidRDefault="00597B5E" w:rsidP="00D7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E" w:rsidRPr="007D5748" w:rsidRDefault="00597B5E" w:rsidP="00D7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97B5E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97B5E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97B5E" w:rsidRPr="007D5748" w:rsidTr="005C6C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E" w:rsidRDefault="00597B5E" w:rsidP="00597B5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 toho:</w:t>
            </w:r>
          </w:p>
          <w:p w:rsidR="00597B5E" w:rsidRDefault="00597B5E" w:rsidP="00597B5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Transfery v rámci verejnej správy (641), transfery jednotlivcom a neziskovým PO</w:t>
            </w:r>
          </w:p>
          <w:p w:rsidR="00597B5E" w:rsidRDefault="00597B5E" w:rsidP="00597B5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(642)</w:t>
            </w:r>
          </w:p>
          <w:p w:rsidR="00597B5E" w:rsidRPr="00597B5E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(642 029) – na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97B5E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Pr="004F07D7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Pr="004F07D7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597B5E" w:rsidRPr="004F07D7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5420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5C6CBB">
              <w:rPr>
                <w:sz w:val="24"/>
                <w:szCs w:val="24"/>
              </w:rPr>
              <w:t xml:space="preserve"> 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5C6C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B5E" w:rsidRP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7B5E" w:rsidRPr="005C6CBB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7B5E" w:rsidRPr="00597B5E" w:rsidRDefault="00597B5E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97B5E" w:rsidRPr="007D5748" w:rsidTr="00D716E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B5E" w:rsidRPr="005C6CBB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B5E" w:rsidRPr="00B40582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E1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B5E" w:rsidRPr="00B40582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E1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B5E" w:rsidRPr="00B40582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E1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B5E" w:rsidRPr="00B40582" w:rsidRDefault="00B40582" w:rsidP="005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E1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57 904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97B5E" w:rsidRPr="007D5748" w:rsidRDefault="00597B5E" w:rsidP="0059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</w:t>
      </w:r>
      <w:r w:rsidR="00C45E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561D7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61D7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97B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4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1D7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/>
    <w:sectPr w:rsidR="00CB3623" w:rsidSect="005C6C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D4" w:rsidRDefault="00A062D4">
      <w:pPr>
        <w:spacing w:after="0" w:line="240" w:lineRule="auto"/>
      </w:pPr>
      <w:r>
        <w:separator/>
      </w:r>
    </w:p>
  </w:endnote>
  <w:endnote w:type="continuationSeparator" w:id="0">
    <w:p w:rsidR="00A062D4" w:rsidRDefault="00A0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D9" w:rsidRDefault="009A5FD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9A5FD9" w:rsidRDefault="009A5FD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D9" w:rsidRDefault="009A5FD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40C82">
      <w:rPr>
        <w:noProof/>
      </w:rPr>
      <w:t>6</w:t>
    </w:r>
    <w:r>
      <w:fldChar w:fldCharType="end"/>
    </w:r>
  </w:p>
  <w:p w:rsidR="009A5FD9" w:rsidRDefault="009A5FD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D9" w:rsidRDefault="009A5FD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9A5FD9" w:rsidRDefault="009A5F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D4" w:rsidRDefault="00A062D4">
      <w:pPr>
        <w:spacing w:after="0" w:line="240" w:lineRule="auto"/>
      </w:pPr>
      <w:r>
        <w:separator/>
      </w:r>
    </w:p>
  </w:footnote>
  <w:footnote w:type="continuationSeparator" w:id="0">
    <w:p w:rsidR="00A062D4" w:rsidRDefault="00A0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D9" w:rsidRDefault="009A5FD9" w:rsidP="00561D7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9A5FD9" w:rsidRPr="00EB59C8" w:rsidRDefault="009A5FD9" w:rsidP="00561D7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D9" w:rsidRPr="0024067A" w:rsidRDefault="009A5FD9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D9" w:rsidRPr="000A15AE" w:rsidRDefault="009A5FD9" w:rsidP="00561D7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8144B"/>
    <w:rsid w:val="001127A8"/>
    <w:rsid w:val="00156601"/>
    <w:rsid w:val="00170D2B"/>
    <w:rsid w:val="00200898"/>
    <w:rsid w:val="00212894"/>
    <w:rsid w:val="002377C7"/>
    <w:rsid w:val="003051CC"/>
    <w:rsid w:val="00306765"/>
    <w:rsid w:val="00317B90"/>
    <w:rsid w:val="003538B5"/>
    <w:rsid w:val="003A3A0E"/>
    <w:rsid w:val="0045239F"/>
    <w:rsid w:val="00487203"/>
    <w:rsid w:val="005005EC"/>
    <w:rsid w:val="00561D7D"/>
    <w:rsid w:val="00577806"/>
    <w:rsid w:val="005833A9"/>
    <w:rsid w:val="00593FB5"/>
    <w:rsid w:val="00597B5E"/>
    <w:rsid w:val="005C6CBB"/>
    <w:rsid w:val="005E1BC7"/>
    <w:rsid w:val="005E5DCF"/>
    <w:rsid w:val="00640C82"/>
    <w:rsid w:val="006844CF"/>
    <w:rsid w:val="006B6C58"/>
    <w:rsid w:val="007246BD"/>
    <w:rsid w:val="007D5748"/>
    <w:rsid w:val="007F5F72"/>
    <w:rsid w:val="008A4592"/>
    <w:rsid w:val="008D339D"/>
    <w:rsid w:val="008E2736"/>
    <w:rsid w:val="00902E76"/>
    <w:rsid w:val="00927C88"/>
    <w:rsid w:val="009513B9"/>
    <w:rsid w:val="009706B7"/>
    <w:rsid w:val="009A5FD9"/>
    <w:rsid w:val="00A062D4"/>
    <w:rsid w:val="00A45293"/>
    <w:rsid w:val="00AE2C8D"/>
    <w:rsid w:val="00B40582"/>
    <w:rsid w:val="00B5535C"/>
    <w:rsid w:val="00B67568"/>
    <w:rsid w:val="00BA54A1"/>
    <w:rsid w:val="00BB185E"/>
    <w:rsid w:val="00C15212"/>
    <w:rsid w:val="00C45EDB"/>
    <w:rsid w:val="00C45EF3"/>
    <w:rsid w:val="00C51FD4"/>
    <w:rsid w:val="00CB3623"/>
    <w:rsid w:val="00CC186A"/>
    <w:rsid w:val="00CE299A"/>
    <w:rsid w:val="00D716E8"/>
    <w:rsid w:val="00DE5BF1"/>
    <w:rsid w:val="00E07CE9"/>
    <w:rsid w:val="00E963A3"/>
    <w:rsid w:val="00EA1E90"/>
    <w:rsid w:val="00F026B9"/>
    <w:rsid w:val="00F40136"/>
    <w:rsid w:val="00FD184B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A660"/>
  <w15:docId w15:val="{C542CFEA-6930-4A17-8D80-C37AF528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08144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05_Analýza-vplyvov-na-rozpočet"/>
    <f:field ref="objsubject" par="" edit="true" text=""/>
    <f:field ref="objcreatedby" par="" text="Smažáková, Janette"/>
    <f:field ref="objcreatedat" par="" text="18.8.2021 8:30:47"/>
    <f:field ref="objchangedby" par="" text="Administrator, System"/>
    <f:field ref="objmodifiedat" par="" text="18.8.2021 8:30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1854B2D-A96A-476A-B54C-1CA38843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3</cp:revision>
  <cp:lastPrinted>2021-08-05T10:39:00Z</cp:lastPrinted>
  <dcterms:created xsi:type="dcterms:W3CDTF">2021-12-08T09:47:00Z</dcterms:created>
  <dcterms:modified xsi:type="dcterms:W3CDTF">2021-12-08T11:53:00Z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&lt;p&gt;&amp;nbsp;&lt;/p&gt;&lt;p&gt;&amp;nbsp;&amp;nbsp;&amp;nbsp;&lt;/p&gt;&lt;p&gt;&amp;nbsp;&amp;nbsp;&amp;nbsp;&amp;nbsp;&lt;/p&gt;&lt;p&gt;&amp;nbsp;&lt;/p&gt;&lt;p&gt;&amp;nbsp;&lt;/p&gt;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Pramene Vydrice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22 ods. 1 a 6 zákona č. 543/2002 Z. z. o ochrane prírody a krajiny v znení neskorších predpisov</vt:lpwstr>
  </property>
  <property fmtid="{D5CDD505-2E9C-101B-9397-08002B2CF9AE}" pid="23" name="FSC#SKEDITIONSLOVLEX@103.510:plnynazovpredpis">
    <vt:lpwstr> Nariadenie vlády  Slovenskej republiky, ktorým sa vyhlasuje prírodná rezervácia Pramene Vydrice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10824/2021-1.7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LP/2021/458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18. 8. 2021</vt:lpwstr>
  </property>
  <property fmtid="{D5CDD505-2E9C-101B-9397-08002B2CF9AE}" pid="151" name="FSC#COOSYSTEM@1.1:Container">
    <vt:lpwstr>COO.2145.1000.3.4511110</vt:lpwstr>
  </property>
  <property fmtid="{D5CDD505-2E9C-101B-9397-08002B2CF9AE}" pid="152" name="FSC#FSCFOLIO@1.1001:docpropproject">
    <vt:lpwstr/>
  </property>
</Properties>
</file>