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D0" w:rsidRPr="00DA7309" w:rsidRDefault="00E721D0" w:rsidP="00E721D0">
      <w:pPr>
        <w:jc w:val="both"/>
        <w:rPr>
          <w:b/>
        </w:rPr>
      </w:pPr>
      <w:r w:rsidRPr="00DA7309">
        <w:rPr>
          <w:b/>
        </w:rPr>
        <w:t>B. Osobitná časť</w:t>
      </w:r>
    </w:p>
    <w:p w:rsidR="00E721D0" w:rsidRDefault="00E721D0" w:rsidP="00E721D0">
      <w:pPr>
        <w:jc w:val="both"/>
        <w:rPr>
          <w:b/>
        </w:rPr>
      </w:pPr>
    </w:p>
    <w:p w:rsidR="00ED1BBC" w:rsidRPr="00DA7309" w:rsidRDefault="00ED1BBC" w:rsidP="00E721D0">
      <w:pPr>
        <w:jc w:val="both"/>
        <w:rPr>
          <w:b/>
        </w:rPr>
      </w:pPr>
    </w:p>
    <w:p w:rsidR="00E721D0" w:rsidRPr="00732EE9" w:rsidRDefault="00E721D0" w:rsidP="00E721D0">
      <w:pPr>
        <w:jc w:val="both"/>
        <w:rPr>
          <w:u w:val="single"/>
        </w:rPr>
      </w:pPr>
      <w:r w:rsidRPr="00732EE9">
        <w:rPr>
          <w:u w:val="single"/>
        </w:rPr>
        <w:t>K</w:t>
      </w:r>
      <w:r w:rsidR="00440B3C">
        <w:rPr>
          <w:u w:val="single"/>
        </w:rPr>
        <w:t> bodu 1</w:t>
      </w:r>
      <w:r w:rsidR="00D32C1B">
        <w:rPr>
          <w:u w:val="single"/>
        </w:rPr>
        <w:t>, 3</w:t>
      </w:r>
      <w:r w:rsidR="00FC1544">
        <w:rPr>
          <w:u w:val="single"/>
        </w:rPr>
        <w:t>, 11</w:t>
      </w:r>
      <w:r w:rsidR="00D32C1B">
        <w:rPr>
          <w:u w:val="single"/>
        </w:rPr>
        <w:t xml:space="preserve"> a 13</w:t>
      </w:r>
    </w:p>
    <w:p w:rsidR="00E721D0" w:rsidRDefault="00E721D0" w:rsidP="00E721D0">
      <w:pPr>
        <w:jc w:val="both"/>
        <w:rPr>
          <w:i/>
        </w:rPr>
      </w:pPr>
    </w:p>
    <w:p w:rsidR="00D32C1B" w:rsidRDefault="00D32C1B" w:rsidP="00BE7A4D">
      <w:pPr>
        <w:widowControl/>
        <w:adjustRightInd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Ide o legislatívno-technické úpravy.</w:t>
      </w:r>
    </w:p>
    <w:p w:rsidR="00D32C1B" w:rsidRDefault="00D32C1B" w:rsidP="00BE7A4D">
      <w:pPr>
        <w:widowControl/>
        <w:adjustRightInd/>
        <w:jc w:val="both"/>
        <w:rPr>
          <w:rFonts w:eastAsiaTheme="minorHAnsi"/>
          <w:color w:val="000000"/>
          <w:lang w:eastAsia="en-US"/>
        </w:rPr>
      </w:pPr>
    </w:p>
    <w:p w:rsidR="00D32C1B" w:rsidRDefault="00D32C1B" w:rsidP="00BE7A4D">
      <w:pPr>
        <w:widowControl/>
        <w:adjustRightInd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u w:val="single"/>
          <w:lang w:eastAsia="en-US"/>
        </w:rPr>
        <w:t>K bodu 2</w:t>
      </w:r>
      <w:r w:rsidR="00440B3C">
        <w:rPr>
          <w:rFonts w:eastAsiaTheme="minorHAnsi"/>
          <w:color w:val="000000"/>
          <w:lang w:eastAsia="en-US"/>
        </w:rPr>
        <w:tab/>
      </w:r>
    </w:p>
    <w:p w:rsidR="00D32C1B" w:rsidRDefault="00D32C1B" w:rsidP="00BE7A4D">
      <w:pPr>
        <w:widowControl/>
        <w:adjustRightInd/>
        <w:jc w:val="both"/>
        <w:rPr>
          <w:rFonts w:eastAsiaTheme="minorHAnsi"/>
          <w:color w:val="000000"/>
          <w:lang w:eastAsia="en-US"/>
        </w:rPr>
      </w:pPr>
    </w:p>
    <w:p w:rsidR="00BE7A4D" w:rsidRDefault="00440B3C" w:rsidP="00D32C1B">
      <w:pPr>
        <w:widowControl/>
        <w:adjustRightInd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 súlade so špecifickou zásadou ochrany a obrany povinného v exekúcii, ktorej prejavom je práve zákonný limit rozsahu zrážok zo mzdy, res</w:t>
      </w:r>
      <w:r w:rsidRPr="00440B3C">
        <w:rPr>
          <w:rFonts w:eastAsiaTheme="minorHAnsi"/>
          <w:color w:val="000000"/>
          <w:lang w:eastAsia="en-US"/>
        </w:rPr>
        <w:t>p. ustanovenie základnej nepostihnuteľnej sumy z mesačnej mzdy povinného</w:t>
      </w:r>
      <w:r>
        <w:rPr>
          <w:rFonts w:eastAsiaTheme="minorHAnsi"/>
          <w:color w:val="000000"/>
          <w:lang w:eastAsia="en-US"/>
        </w:rPr>
        <w:t xml:space="preserve">, sa navrhuje zvýšenie tejto základnej nepostihnuteľnej sumy, najmä z dôvodu vysokého rastu životných nákladov a dopadov pandémie COVID-19 na nízkopríjmové skupiny obyvateľov a skupiny obyvateľov ohrozených chudobou, zo 100 % životného minima na plnoletú fyzickú osobu na 140 % životného minima na plnoletú fyzickú osobu v zmysle </w:t>
      </w:r>
      <w:r w:rsidR="00BE7A4D">
        <w:rPr>
          <w:rFonts w:eastAsiaTheme="minorHAnsi"/>
          <w:color w:val="000000"/>
          <w:lang w:eastAsia="en-US"/>
        </w:rPr>
        <w:t>zákona č. 601/2003 Z. z. o životnom minime a o zmene a doplnení niektorých zákonov v znení neskorších predpisov.</w:t>
      </w:r>
    </w:p>
    <w:p w:rsidR="00440B3C" w:rsidRDefault="00440B3C" w:rsidP="00440B3C">
      <w:pPr>
        <w:widowControl/>
        <w:adjustRightInd/>
        <w:jc w:val="both"/>
        <w:rPr>
          <w:rFonts w:eastAsiaTheme="minorHAnsi"/>
          <w:color w:val="000000"/>
          <w:lang w:eastAsia="en-US"/>
        </w:rPr>
      </w:pPr>
    </w:p>
    <w:p w:rsidR="00D32C1B" w:rsidRDefault="00D32C1B" w:rsidP="00BE7A4D">
      <w:pPr>
        <w:widowControl/>
        <w:adjustRightInd/>
        <w:jc w:val="both"/>
        <w:rPr>
          <w:u w:val="single"/>
        </w:rPr>
      </w:pPr>
      <w:r>
        <w:rPr>
          <w:u w:val="single"/>
        </w:rPr>
        <w:t>K bodu 4</w:t>
      </w:r>
    </w:p>
    <w:p w:rsidR="00D32C1B" w:rsidRPr="00D32C1B" w:rsidRDefault="00D32C1B" w:rsidP="00BE7A4D">
      <w:pPr>
        <w:widowControl/>
        <w:adjustRightInd/>
        <w:jc w:val="both"/>
        <w:rPr>
          <w:u w:val="single"/>
        </w:rPr>
      </w:pPr>
    </w:p>
    <w:p w:rsidR="00BE7A4D" w:rsidRDefault="00BE7A4D" w:rsidP="00536D7C">
      <w:pPr>
        <w:widowControl/>
        <w:adjustRightInd/>
        <w:ind w:firstLine="708"/>
        <w:jc w:val="both"/>
        <w:rPr>
          <w:rFonts w:eastAsiaTheme="minorHAnsi"/>
          <w:color w:val="000000"/>
          <w:lang w:eastAsia="en-US"/>
        </w:rPr>
      </w:pPr>
      <w:r>
        <w:t xml:space="preserve">Ide o legislatívno-technickú úpravu poznámky pod čiarou k odkazu 2, ktorá explicitne nezohľadňovala valorizáciu výšky životného minima upravenú v § 5 </w:t>
      </w:r>
      <w:r>
        <w:rPr>
          <w:rFonts w:eastAsiaTheme="minorHAnsi"/>
          <w:color w:val="000000"/>
          <w:lang w:eastAsia="en-US"/>
        </w:rPr>
        <w:t>zákona č. 601/2003 Z. z. o životnom minime a o zmene a doplnení niektorých zákonov v znení neskorších predpisov.</w:t>
      </w:r>
      <w:r w:rsidR="00536D7C">
        <w:rPr>
          <w:rFonts w:eastAsiaTheme="minorHAnsi"/>
          <w:color w:val="000000"/>
          <w:lang w:eastAsia="en-US"/>
        </w:rPr>
        <w:t xml:space="preserve"> Súčasne sa vypúšťajú odkazy na zrušený právny predpis</w:t>
      </w:r>
    </w:p>
    <w:p w:rsidR="00BE7A4D" w:rsidRDefault="00BE7A4D" w:rsidP="00E721D0"/>
    <w:p w:rsidR="00BE7A4D" w:rsidRDefault="00BE7A4D" w:rsidP="00BE7A4D">
      <w:pPr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u w:val="single"/>
          <w:lang w:eastAsia="en-US"/>
        </w:rPr>
        <w:t xml:space="preserve">K bodu </w:t>
      </w:r>
      <w:r w:rsidR="00E6181E">
        <w:rPr>
          <w:rFonts w:eastAsiaTheme="minorHAnsi"/>
          <w:color w:val="000000"/>
          <w:u w:val="single"/>
          <w:lang w:eastAsia="en-US"/>
        </w:rPr>
        <w:t>5</w:t>
      </w:r>
      <w:r w:rsidR="00D32C1B">
        <w:rPr>
          <w:rFonts w:eastAsiaTheme="minorHAnsi"/>
          <w:color w:val="000000"/>
          <w:u w:val="single"/>
          <w:lang w:eastAsia="en-US"/>
        </w:rPr>
        <w:t xml:space="preserve"> a 6</w:t>
      </w:r>
    </w:p>
    <w:p w:rsidR="00BE7A4D" w:rsidRDefault="00BE7A4D" w:rsidP="00BE7A4D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AF0C9B" w:rsidRDefault="00BE7A4D" w:rsidP="00BE7A4D">
      <w:pPr>
        <w:ind w:firstLine="708"/>
        <w:jc w:val="both"/>
      </w:pPr>
      <w:r>
        <w:t>Navrhuje sa zvýšenie zákonného limitu</w:t>
      </w:r>
      <w:r w:rsidR="004777E8">
        <w:t xml:space="preserve"> rozsahu zrážok zo mzdy</w:t>
      </w:r>
      <w:r>
        <w:t xml:space="preserve"> aj vo vzťahu k osobám, ktorým povinný poskytuje výživné, ktoré sa v porovnaní s aktuálnou právnou úpravou (25% zo životného minima na plnoletú fyzickú osobu) zvyšuje na 25 % z výšky základnej sumy</w:t>
      </w:r>
      <w:r w:rsidR="00E426EB">
        <w:t xml:space="preserve"> určenej podľa odseku 1 (25 % zo 140 % životného minima na plnoletú fyzickú osobu)</w:t>
      </w:r>
      <w:r>
        <w:t>. V súčasnosti tak suma, ktorá sa započítava do základnej sumy, ktorá sa nesmie zraziť povinnému z jeho mesačnej mzdy, je vo výške 25 % zo životného minima, t. j. aktuálne 5</w:t>
      </w:r>
      <w:r w:rsidR="005A171F">
        <w:t>4</w:t>
      </w:r>
      <w:r>
        <w:t>,</w:t>
      </w:r>
      <w:r w:rsidR="005A171F">
        <w:t>52</w:t>
      </w:r>
      <w:r>
        <w:t xml:space="preserve"> eur. Podľa novej právnej úpravy by táto výška mala predstavovať 25 % z výšky základnej sumy</w:t>
      </w:r>
      <w:r w:rsidR="006D3ECE">
        <w:t xml:space="preserve"> určenej podľa odseku 1</w:t>
      </w:r>
      <w:r>
        <w:t xml:space="preserve">, t. j. v prípade neprednostnej pohľadávky </w:t>
      </w:r>
      <w:r w:rsidR="00AF0C9B">
        <w:t xml:space="preserve">ide o sumu </w:t>
      </w:r>
      <w:r w:rsidR="00D77EF7">
        <w:t>76,32</w:t>
      </w:r>
      <w:r w:rsidR="00AF0C9B">
        <w:t xml:space="preserve"> eur. </w:t>
      </w:r>
    </w:p>
    <w:p w:rsidR="00E6181E" w:rsidRDefault="00E6181E" w:rsidP="00BE7A4D">
      <w:pPr>
        <w:ind w:firstLine="708"/>
        <w:jc w:val="both"/>
      </w:pPr>
    </w:p>
    <w:p w:rsidR="00E426EB" w:rsidRDefault="00AF0C9B" w:rsidP="00AF0C9B">
      <w:pPr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u w:val="single"/>
          <w:lang w:eastAsia="en-US"/>
        </w:rPr>
        <w:t xml:space="preserve">K bodu </w:t>
      </w:r>
      <w:r w:rsidR="00ED1BBC">
        <w:rPr>
          <w:rFonts w:eastAsiaTheme="minorHAnsi"/>
          <w:color w:val="000000"/>
          <w:u w:val="single"/>
          <w:lang w:eastAsia="en-US"/>
        </w:rPr>
        <w:t>7</w:t>
      </w:r>
      <w:r w:rsidR="005A171F">
        <w:rPr>
          <w:rFonts w:eastAsiaTheme="minorHAnsi"/>
          <w:color w:val="000000"/>
          <w:u w:val="single"/>
          <w:lang w:eastAsia="en-US"/>
        </w:rPr>
        <w:t xml:space="preserve"> a 8 </w:t>
      </w:r>
    </w:p>
    <w:p w:rsidR="00AF0C9B" w:rsidRDefault="00AF0C9B" w:rsidP="00AF0C9B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AF0C9B" w:rsidRDefault="00AF0C9B" w:rsidP="00AF0C9B">
      <w:pPr>
        <w:ind w:firstLine="708"/>
        <w:jc w:val="both"/>
      </w:pPr>
      <w:r>
        <w:t>Ide o</w:t>
      </w:r>
      <w:r w:rsidR="00D32C1B">
        <w:t> nevyhnutn</w:t>
      </w:r>
      <w:r w:rsidR="005A171F">
        <w:t>é</w:t>
      </w:r>
      <w:r w:rsidR="00D32C1B">
        <w:t xml:space="preserve"> </w:t>
      </w:r>
      <w:r>
        <w:t>legislatívno-technick</w:t>
      </w:r>
      <w:r w:rsidR="005A171F">
        <w:t>é</w:t>
      </w:r>
      <w:r>
        <w:t xml:space="preserve"> úprav</w:t>
      </w:r>
      <w:r w:rsidR="005A171F">
        <w:t>y</w:t>
      </w:r>
      <w:r w:rsidR="00D32C1B">
        <w:t xml:space="preserve"> v súvislosti so zmenami nariadenia vlády</w:t>
      </w:r>
      <w:r>
        <w:t>.</w:t>
      </w:r>
    </w:p>
    <w:p w:rsidR="005A171F" w:rsidRDefault="005A171F" w:rsidP="00AF0C9B">
      <w:pPr>
        <w:ind w:firstLine="708"/>
        <w:jc w:val="both"/>
      </w:pPr>
      <w:r>
        <w:t>Pokiaľ ide o výživné pre maloleté dieťa, navrhuje sa ponechať zákonný limit základnej sumy v aktuálne platnej výške, t. j. 70 %  zo základnej sumy určenej nariadením (§ 70 ods. 2 Exekučného poriadku), ktorá je vo výške 60 % zo životného minima na plnoletú fyzickú osobu platného v mesiaci, za ktorý sa vykonávajú zrážky.</w:t>
      </w:r>
    </w:p>
    <w:p w:rsidR="00ED1BBC" w:rsidRDefault="00ED1BBC" w:rsidP="00E426EB">
      <w:pPr>
        <w:jc w:val="both"/>
        <w:rPr>
          <w:u w:val="single"/>
        </w:rPr>
      </w:pPr>
    </w:p>
    <w:p w:rsidR="00E426EB" w:rsidRDefault="00E426EB" w:rsidP="00E426EB">
      <w:pPr>
        <w:jc w:val="both"/>
        <w:rPr>
          <w:u w:val="single"/>
        </w:rPr>
      </w:pPr>
      <w:r>
        <w:rPr>
          <w:u w:val="single"/>
        </w:rPr>
        <w:t xml:space="preserve">K bodu </w:t>
      </w:r>
      <w:r w:rsidR="005A171F">
        <w:rPr>
          <w:u w:val="single"/>
        </w:rPr>
        <w:t>9</w:t>
      </w:r>
    </w:p>
    <w:p w:rsidR="00E426EB" w:rsidRDefault="00E426EB" w:rsidP="00E426EB">
      <w:pPr>
        <w:jc w:val="both"/>
        <w:rPr>
          <w:u w:val="single"/>
        </w:rPr>
      </w:pPr>
    </w:p>
    <w:p w:rsidR="005A171F" w:rsidRPr="00E8041A" w:rsidRDefault="00E426EB" w:rsidP="00E8041A">
      <w:pPr>
        <w:jc w:val="both"/>
        <w:rPr>
          <w:rFonts w:eastAsiaTheme="minorHAnsi"/>
          <w:color w:val="000000"/>
          <w:lang w:eastAsia="en-US"/>
        </w:rPr>
      </w:pPr>
      <w:r>
        <w:tab/>
        <w:t xml:space="preserve">V prípade prednostných pohľadávok </w:t>
      </w:r>
      <w:r w:rsidR="00ED1BBC">
        <w:t>podľa</w:t>
      </w:r>
      <w:r>
        <w:t xml:space="preserve"> § 71 ods. 2 Exekučného poriadku, okrem pohľadávok </w:t>
      </w:r>
      <w:r w:rsidR="005A171F">
        <w:t>na</w:t>
      </w:r>
      <w:r>
        <w:t xml:space="preserve"> výživné pre maloleté deti</w:t>
      </w:r>
      <w:r w:rsidR="005A171F">
        <w:t xml:space="preserve"> (upravené § 2 ods. 1 nariadenia vlády SR)</w:t>
      </w:r>
      <w:r>
        <w:t xml:space="preserve">, sa navrhuje ponechať zákonný limit </w:t>
      </w:r>
      <w:r w:rsidR="00ED1BBC">
        <w:t xml:space="preserve">základnej sumy </w:t>
      </w:r>
      <w:r>
        <w:t xml:space="preserve">v aktuálne platnej výške 100 % zo životného minima </w:t>
      </w:r>
      <w:r>
        <w:rPr>
          <w:rFonts w:eastAsiaTheme="minorHAnsi"/>
          <w:color w:val="000000"/>
          <w:lang w:eastAsia="en-US"/>
        </w:rPr>
        <w:lastRenderedPageBreak/>
        <w:t>na plnoletú fyzickú osobu v zmysle zákona č. 601/2003 Z. z. o životnom minime a o zmene a doplnení niektorých zákonov v znení neskorších predpisov</w:t>
      </w:r>
      <w:r w:rsidR="005A171F">
        <w:rPr>
          <w:rFonts w:eastAsiaTheme="minorHAnsi"/>
          <w:color w:val="000000"/>
          <w:lang w:eastAsia="en-US"/>
        </w:rPr>
        <w:t xml:space="preserve"> platného v mesiaci, za ktorý sa vykonávajú zrážky</w:t>
      </w:r>
      <w:r>
        <w:rPr>
          <w:rFonts w:eastAsiaTheme="minorHAnsi"/>
          <w:color w:val="000000"/>
          <w:lang w:eastAsia="en-US"/>
        </w:rPr>
        <w:t>. Uvedené sa navrhuje najmä z dôvodu charakteru prednostných pohľadávok.</w:t>
      </w:r>
      <w:r w:rsidR="00E8041A">
        <w:rPr>
          <w:rFonts w:eastAsiaTheme="minorHAnsi"/>
          <w:color w:val="000000"/>
          <w:lang w:eastAsia="en-US"/>
        </w:rPr>
        <w:t xml:space="preserve"> </w:t>
      </w:r>
      <w:r>
        <w:t>Pokiaľ ide o započítateľné položky</w:t>
      </w:r>
      <w:r w:rsidR="00AD56F8">
        <w:t xml:space="preserve"> k základnej sume</w:t>
      </w:r>
      <w:r w:rsidR="005A171F">
        <w:t xml:space="preserve"> pri prednostných pohľadávkach, </w:t>
      </w:r>
      <w:r w:rsidR="00E8041A">
        <w:t xml:space="preserve">ostáva zachovaný status </w:t>
      </w:r>
      <w:proofErr w:type="spellStart"/>
      <w:r w:rsidR="00E8041A">
        <w:t>quo</w:t>
      </w:r>
      <w:proofErr w:type="spellEnd"/>
      <w:r w:rsidR="00E8041A">
        <w:t xml:space="preserve">. </w:t>
      </w:r>
    </w:p>
    <w:p w:rsidR="005A171F" w:rsidRDefault="005A171F" w:rsidP="00E426EB">
      <w:pPr>
        <w:ind w:firstLine="708"/>
        <w:jc w:val="both"/>
      </w:pPr>
    </w:p>
    <w:p w:rsidR="00AF0C9B" w:rsidRDefault="00AF0C9B" w:rsidP="00AF0C9B">
      <w:pPr>
        <w:jc w:val="both"/>
        <w:rPr>
          <w:u w:val="single"/>
        </w:rPr>
      </w:pPr>
      <w:r>
        <w:rPr>
          <w:u w:val="single"/>
        </w:rPr>
        <w:t xml:space="preserve">K bodu </w:t>
      </w:r>
      <w:r w:rsidR="00AD56F8">
        <w:rPr>
          <w:u w:val="single"/>
        </w:rPr>
        <w:t>10</w:t>
      </w:r>
    </w:p>
    <w:p w:rsidR="00AF0C9B" w:rsidRDefault="00AF0C9B" w:rsidP="00AF0C9B">
      <w:pPr>
        <w:jc w:val="both"/>
        <w:rPr>
          <w:u w:val="single"/>
        </w:rPr>
      </w:pPr>
    </w:p>
    <w:p w:rsidR="00AF0C9B" w:rsidRPr="002E156E" w:rsidRDefault="00AD56F8" w:rsidP="002E156E">
      <w:pPr>
        <w:jc w:val="both"/>
        <w:rPr>
          <w:rFonts w:eastAsiaTheme="minorHAnsi"/>
          <w:color w:val="000000"/>
          <w:lang w:eastAsia="en-US"/>
        </w:rPr>
      </w:pPr>
      <w:r>
        <w:t xml:space="preserve">Pokiaľ ide o povinného, ktorý je poberateľom dôchodkových dávok, percentuálne vyjadrenie započítateľnej položky k základnej sume pri neprednostných pohľadávkach (odsek 2) ostáva nezmenené (50 %), avšak dochádza k úprave v súvislosti so zvýšením základnej sumy, t. j. započítateľná položka pri neprednostných pohľadávkach v prípade povinného, ktorý je poberateľom dôchodkových dávok, bude vo výške 50% z výšky základnej sumy určenej podľa § 2a ods. 1. </w:t>
      </w:r>
      <w:r w:rsidR="002E156E">
        <w:t xml:space="preserve">Pokiaľ ide o započítateľné položky k základnej sume pri prednostných pohľadávkach, ostáva zachovaný status </w:t>
      </w:r>
      <w:proofErr w:type="spellStart"/>
      <w:r w:rsidR="002E156E">
        <w:t>quo</w:t>
      </w:r>
      <w:proofErr w:type="spellEnd"/>
      <w:r w:rsidR="002E156E">
        <w:t xml:space="preserve">. </w:t>
      </w:r>
      <w:r w:rsidR="00AF0C9B">
        <w:t>Pravidlo, že takto určená suma sa nezapočítava do základnej sumy, ktorá sa nesmie povinnému zo mzdy zraziť, ak ide o osobu, v ktorej prospech trvá exekúcia na vymoženie pohľadávky výživného, ostáva nezmenené.</w:t>
      </w:r>
      <w:r w:rsidR="00ED1BBC">
        <w:t xml:space="preserve"> </w:t>
      </w:r>
    </w:p>
    <w:p w:rsidR="00AD56F8" w:rsidRDefault="00AD56F8" w:rsidP="00AF0C9B">
      <w:pPr>
        <w:ind w:firstLine="708"/>
        <w:jc w:val="both"/>
      </w:pPr>
    </w:p>
    <w:p w:rsidR="005E4AC9" w:rsidRDefault="005E4AC9" w:rsidP="005E4AC9">
      <w:pPr>
        <w:jc w:val="both"/>
        <w:rPr>
          <w:u w:val="single"/>
        </w:rPr>
      </w:pPr>
      <w:r>
        <w:rPr>
          <w:u w:val="single"/>
        </w:rPr>
        <w:t>K bodu 1</w:t>
      </w:r>
      <w:r w:rsidR="00FC1544">
        <w:rPr>
          <w:u w:val="single"/>
        </w:rPr>
        <w:t>2</w:t>
      </w:r>
    </w:p>
    <w:p w:rsidR="005E4AC9" w:rsidRDefault="005E4AC9" w:rsidP="005E4AC9">
      <w:pPr>
        <w:jc w:val="both"/>
        <w:rPr>
          <w:u w:val="single"/>
        </w:rPr>
      </w:pPr>
    </w:p>
    <w:p w:rsidR="005E4AC9" w:rsidRDefault="005E4AC9" w:rsidP="005E4AC9">
      <w:pPr>
        <w:ind w:firstLine="708"/>
        <w:jc w:val="both"/>
        <w:rPr>
          <w:rFonts w:eastAsiaTheme="minorHAnsi"/>
          <w:color w:val="000000"/>
          <w:lang w:eastAsia="en-US"/>
        </w:rPr>
      </w:pPr>
      <w:r>
        <w:t xml:space="preserve">Navrhuje sa upraviť výšku sumy, nad ktorú sa zvyšok čistej mzdy povinného zrazí bez obmedzenia, tzv. zrážka bez obmedzenia, tak, aby táto zodpovedala </w:t>
      </w:r>
      <w:r w:rsidR="00FC1544">
        <w:t>trojnásobku základnej sumy určenej podľa ustanovenia § 1 ods. 1</w:t>
      </w:r>
      <w:r>
        <w:t>. Aktuálna právna úprava zrážk</w:t>
      </w:r>
      <w:r w:rsidR="004777E8">
        <w:t>y</w:t>
      </w:r>
      <w:r>
        <w:t xml:space="preserve"> bez obmedzenia (t. j. suma, ktorá sa povinnému zrazí z jeho čistej mzdy po odpočítaní základnej sumy, ktorá sa mu nesmie zraziť, bez akéhokoľvek obmedzenia) je vo výške 150 % životného minima na </w:t>
      </w:r>
      <w:r>
        <w:rPr>
          <w:rFonts w:eastAsiaTheme="minorHAnsi"/>
          <w:color w:val="000000"/>
          <w:lang w:eastAsia="en-US"/>
        </w:rPr>
        <w:t>plnoletú fyzickú osobu, t. j. 32</w:t>
      </w:r>
      <w:r w:rsidR="00D77EF7">
        <w:rPr>
          <w:rFonts w:eastAsiaTheme="minorHAnsi"/>
          <w:color w:val="000000"/>
          <w:lang w:eastAsia="en-US"/>
        </w:rPr>
        <w:t>7</w:t>
      </w:r>
      <w:r>
        <w:rPr>
          <w:rFonts w:eastAsiaTheme="minorHAnsi"/>
          <w:color w:val="000000"/>
          <w:lang w:eastAsia="en-US"/>
        </w:rPr>
        <w:t>,</w:t>
      </w:r>
      <w:r w:rsidR="00D77EF7">
        <w:rPr>
          <w:rFonts w:eastAsiaTheme="minorHAnsi"/>
          <w:color w:val="000000"/>
          <w:lang w:eastAsia="en-US"/>
        </w:rPr>
        <w:t>09</w:t>
      </w:r>
      <w:r>
        <w:rPr>
          <w:rFonts w:eastAsiaTheme="minorHAnsi"/>
          <w:color w:val="000000"/>
          <w:lang w:eastAsia="en-US"/>
        </w:rPr>
        <w:t xml:space="preserve"> eur. V prípade navrhovanej právnej úpravy </w:t>
      </w:r>
      <w:r w:rsidR="008358D2">
        <w:rPr>
          <w:rFonts w:eastAsiaTheme="minorHAnsi"/>
          <w:color w:val="000000"/>
          <w:lang w:eastAsia="en-US"/>
        </w:rPr>
        <w:t xml:space="preserve">sa </w:t>
      </w:r>
      <w:r>
        <w:rPr>
          <w:rFonts w:eastAsiaTheme="minorHAnsi"/>
          <w:color w:val="000000"/>
          <w:lang w:eastAsia="en-US"/>
        </w:rPr>
        <w:t xml:space="preserve">bude táto zrážka bez obmedzenia </w:t>
      </w:r>
      <w:r w:rsidR="008358D2">
        <w:rPr>
          <w:rFonts w:eastAsiaTheme="minorHAnsi"/>
          <w:color w:val="000000"/>
          <w:lang w:eastAsia="en-US"/>
        </w:rPr>
        <w:t>realizovať až nad sumu</w:t>
      </w:r>
      <w:r w:rsidR="00ED1BBC">
        <w:rPr>
          <w:rFonts w:eastAsiaTheme="minorHAnsi"/>
          <w:color w:val="000000"/>
          <w:lang w:eastAsia="en-US"/>
        </w:rPr>
        <w:t xml:space="preserve">, ktorá je </w:t>
      </w:r>
      <w:r w:rsidR="00FC1544">
        <w:rPr>
          <w:rFonts w:eastAsiaTheme="minorHAnsi"/>
          <w:color w:val="000000"/>
          <w:lang w:eastAsia="en-US"/>
        </w:rPr>
        <w:t xml:space="preserve">vo výške trojnásobku základnej sumy určenej podľa § 1 ods. 1 nariadenia vlády, t. j. aktuálne vo výške </w:t>
      </w:r>
      <w:r w:rsidR="003E46D3">
        <w:rPr>
          <w:rFonts w:eastAsiaTheme="minorHAnsi"/>
          <w:color w:val="000000"/>
          <w:lang w:eastAsia="en-US"/>
        </w:rPr>
        <w:t>915,84</w:t>
      </w:r>
      <w:r>
        <w:rPr>
          <w:rFonts w:eastAsiaTheme="minorHAnsi"/>
          <w:color w:val="000000"/>
          <w:lang w:eastAsia="en-US"/>
        </w:rPr>
        <w:t xml:space="preserve"> eur.</w:t>
      </w:r>
    </w:p>
    <w:p w:rsidR="00E82CEE" w:rsidRDefault="00E82CEE" w:rsidP="005E4AC9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AF0C9B" w:rsidRDefault="005E4AC9" w:rsidP="00E82CEE">
      <w:pPr>
        <w:ind w:firstLine="708"/>
        <w:jc w:val="both"/>
      </w:pPr>
      <w:r>
        <w:rPr>
          <w:rFonts w:eastAsiaTheme="minorHAnsi"/>
          <w:color w:val="000000"/>
          <w:lang w:eastAsia="en-US"/>
        </w:rPr>
        <w:t xml:space="preserve">Navrhovaná právna úprava má </w:t>
      </w:r>
      <w:r w:rsidRPr="00D2343A">
        <w:t>motivovať povinných zaradiť sa na trh práce a uspokojiť pohľadávky oprávnených za súčasného zachovania príjmu povinného v takej výške, ktorá je potrebná pre zachova</w:t>
      </w:r>
      <w:r>
        <w:t>nie dôstojného života povinného v súčasných podmienkach, čím v konečnom dôsledku dôjde aj k uspokojeniu vymáhanej pohľadávky oprávneného.</w:t>
      </w:r>
      <w:r w:rsidR="00E82CEE">
        <w:t xml:space="preserve"> Predpokladá sa, že navrhovaná právna úprava umožní „nepracujúcim“ povinným zamestnať sa legálne s legálnym príjmom bez obavy, že dosiahnutý príjem bude neúmerne znížený v dôsledku realizovanej exekúcie.</w:t>
      </w:r>
      <w:r>
        <w:t xml:space="preserve"> Okrem uvedené</w:t>
      </w:r>
      <w:r w:rsidR="00E82CEE">
        <w:t>ho</w:t>
      </w:r>
      <w:r>
        <w:t xml:space="preserve"> táto právna úprava má zabezpečiť ochranu nízkopríjmových obyvateľov, ktorým po vykonaní zr</w:t>
      </w:r>
      <w:r w:rsidR="00E82CEE">
        <w:t>ážok zo mzdy neostávajú financie ani na zabezpečenie základných životných potrieb členov rodiny (najmä ak ide o </w:t>
      </w:r>
      <w:proofErr w:type="spellStart"/>
      <w:r w:rsidR="00E82CEE">
        <w:t>samoživiteľov</w:t>
      </w:r>
      <w:proofErr w:type="spellEnd"/>
      <w:r w:rsidR="00E82CEE">
        <w:t xml:space="preserve"> s maloletými deťmi</w:t>
      </w:r>
      <w:r w:rsidR="004777E8">
        <w:t xml:space="preserve"> alebo</w:t>
      </w:r>
      <w:r w:rsidR="00E82CEE">
        <w:t xml:space="preserve"> </w:t>
      </w:r>
      <w:r w:rsidR="004777E8">
        <w:t xml:space="preserve">s </w:t>
      </w:r>
      <w:r w:rsidR="00E82CEE">
        <w:t>osobami so zdravotným znevýhodnením a pod.), čím sa ocitajú na pokraji chudoby.</w:t>
      </w:r>
    </w:p>
    <w:p w:rsidR="00E82CEE" w:rsidRDefault="00E82CEE" w:rsidP="00E82CEE">
      <w:pPr>
        <w:jc w:val="both"/>
      </w:pPr>
    </w:p>
    <w:p w:rsidR="00E82CEE" w:rsidRDefault="00E82CEE" w:rsidP="00E82CEE">
      <w:pPr>
        <w:jc w:val="both"/>
        <w:rPr>
          <w:u w:val="single"/>
        </w:rPr>
      </w:pPr>
      <w:r>
        <w:rPr>
          <w:u w:val="single"/>
        </w:rPr>
        <w:t>K bodu 1</w:t>
      </w:r>
      <w:r w:rsidR="00ED1BBC">
        <w:rPr>
          <w:u w:val="single"/>
        </w:rPr>
        <w:t>4</w:t>
      </w:r>
    </w:p>
    <w:p w:rsidR="00E82CEE" w:rsidRDefault="00E82CEE" w:rsidP="00E82CEE">
      <w:pPr>
        <w:jc w:val="both"/>
        <w:rPr>
          <w:u w:val="single"/>
        </w:rPr>
      </w:pPr>
    </w:p>
    <w:p w:rsidR="00E82CEE" w:rsidRDefault="00E82CEE" w:rsidP="00E82CEE">
      <w:pPr>
        <w:jc w:val="both"/>
      </w:pPr>
      <w:r w:rsidRPr="00E82CEE">
        <w:tab/>
      </w:r>
      <w:r>
        <w:t xml:space="preserve">Navrhuje sa </w:t>
      </w:r>
      <w:r w:rsidRPr="00E82CEE">
        <w:t xml:space="preserve">prechodné ustanovenie, ktoré v súvislosti s povahou procesných noriem vychádza z princípu okamžitej </w:t>
      </w:r>
      <w:proofErr w:type="spellStart"/>
      <w:r w:rsidRPr="00E82CEE">
        <w:t>aplikability</w:t>
      </w:r>
      <w:proofErr w:type="spellEnd"/>
      <w:r w:rsidRPr="00E82CEE">
        <w:t xml:space="preserve">. </w:t>
      </w:r>
      <w:r>
        <w:t>P</w:t>
      </w:r>
      <w:r w:rsidRPr="00E82CEE">
        <w:t xml:space="preserve">rávna úprava účinná </w:t>
      </w:r>
      <w:r w:rsidR="00ED1BBC">
        <w:t xml:space="preserve">od 1. </w:t>
      </w:r>
      <w:r w:rsidR="006E0161">
        <w:t>januára</w:t>
      </w:r>
      <w:r w:rsidRPr="00E82CEE">
        <w:t xml:space="preserve"> 20</w:t>
      </w:r>
      <w:r>
        <w:t>2</w:t>
      </w:r>
      <w:r w:rsidR="006E0161">
        <w:t>2</w:t>
      </w:r>
      <w:r w:rsidRPr="00E82CEE">
        <w:t xml:space="preserve"> sa</w:t>
      </w:r>
      <w:r>
        <w:t xml:space="preserve"> tak</w:t>
      </w:r>
      <w:r w:rsidRPr="00E82CEE">
        <w:t xml:space="preserve"> použije aj na prebiehajúci výkon zrážok. Táto zmena prinesie nevyhnutnosť prepočítania sumy, z ktorej možno </w:t>
      </w:r>
      <w:r>
        <w:t>jednotlivé</w:t>
      </w:r>
      <w:r w:rsidRPr="00E82CEE">
        <w:t xml:space="preserve"> zrážky vykonávať, pričom sa však vo svojej podstate nijako nedotkne materiálnych judikovaných nárokov oprávnených.</w:t>
      </w:r>
    </w:p>
    <w:p w:rsidR="00E82CEE" w:rsidRDefault="00E82CEE" w:rsidP="00E82CEE">
      <w:pPr>
        <w:jc w:val="both"/>
      </w:pPr>
    </w:p>
    <w:p w:rsidR="002E156E" w:rsidRDefault="002E156E" w:rsidP="00E82CEE">
      <w:pPr>
        <w:jc w:val="both"/>
        <w:rPr>
          <w:u w:val="single"/>
        </w:rPr>
      </w:pPr>
    </w:p>
    <w:p w:rsidR="00E82CEE" w:rsidRPr="00E82CEE" w:rsidRDefault="00E82CEE" w:rsidP="00E82CEE">
      <w:pPr>
        <w:jc w:val="both"/>
        <w:rPr>
          <w:u w:val="single"/>
        </w:rPr>
      </w:pPr>
      <w:bookmarkStart w:id="0" w:name="_GoBack"/>
      <w:bookmarkEnd w:id="0"/>
      <w:r w:rsidRPr="00E82CEE">
        <w:rPr>
          <w:u w:val="single"/>
        </w:rPr>
        <w:lastRenderedPageBreak/>
        <w:t>K čl. II</w:t>
      </w:r>
    </w:p>
    <w:p w:rsidR="00AF0C9B" w:rsidRPr="00BE7A4D" w:rsidRDefault="00E82CEE" w:rsidP="00536D7C">
      <w:pPr>
        <w:pStyle w:val="Normlnywebov"/>
        <w:ind w:firstLine="720"/>
        <w:jc w:val="both"/>
      </w:pPr>
      <w:r>
        <w:t xml:space="preserve">Účinnosť navrhovanej právnej úpravy sa navrhuje k 1. </w:t>
      </w:r>
      <w:r w:rsidR="006E0161">
        <w:t>január</w:t>
      </w:r>
      <w:r w:rsidR="00ED1BBC">
        <w:t>u</w:t>
      </w:r>
      <w:r>
        <w:t xml:space="preserve"> 202</w:t>
      </w:r>
      <w:r w:rsidR="006E0161">
        <w:t>2</w:t>
      </w:r>
      <w:r>
        <w:t xml:space="preserve"> tak, aby proporcionalita rozsahu zrážok zo mzdy v exekúcii bola aplikovaná v čo najkratšej dobe a to aj vzhľadom na dopady pandémie Covid-19.</w:t>
      </w:r>
    </w:p>
    <w:sectPr w:rsidR="00AF0C9B" w:rsidRPr="00BE7A4D" w:rsidSect="00286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ED" w:rsidRDefault="00BF0BED">
      <w:r>
        <w:separator/>
      </w:r>
    </w:p>
  </w:endnote>
  <w:endnote w:type="continuationSeparator" w:id="0">
    <w:p w:rsidR="00BF0BED" w:rsidRDefault="00BF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24" w:rsidRDefault="005363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7A" w:rsidRDefault="00E721D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E156E">
      <w:rPr>
        <w:noProof/>
      </w:rPr>
      <w:t>3</w:t>
    </w:r>
    <w:r>
      <w:fldChar w:fldCharType="end"/>
    </w:r>
  </w:p>
  <w:p w:rsidR="0098137A" w:rsidRDefault="00BF0BE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24" w:rsidRDefault="005363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ED" w:rsidRDefault="00BF0BED">
      <w:r>
        <w:separator/>
      </w:r>
    </w:p>
  </w:footnote>
  <w:footnote w:type="continuationSeparator" w:id="0">
    <w:p w:rsidR="00BF0BED" w:rsidRDefault="00BF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24" w:rsidRDefault="005363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24" w:rsidRDefault="0053632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24" w:rsidRDefault="005363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D0"/>
    <w:rsid w:val="000029B8"/>
    <w:rsid w:val="00071308"/>
    <w:rsid w:val="00254938"/>
    <w:rsid w:val="002E156E"/>
    <w:rsid w:val="00347D10"/>
    <w:rsid w:val="003E46D3"/>
    <w:rsid w:val="003F4D5F"/>
    <w:rsid w:val="004250F6"/>
    <w:rsid w:val="00440B3C"/>
    <w:rsid w:val="004777E8"/>
    <w:rsid w:val="00536324"/>
    <w:rsid w:val="00536D7C"/>
    <w:rsid w:val="005A171F"/>
    <w:rsid w:val="005E4AC9"/>
    <w:rsid w:val="005F44BE"/>
    <w:rsid w:val="00611BFB"/>
    <w:rsid w:val="00650166"/>
    <w:rsid w:val="006560E9"/>
    <w:rsid w:val="006C6780"/>
    <w:rsid w:val="006D3ECE"/>
    <w:rsid w:val="006E0161"/>
    <w:rsid w:val="00716E49"/>
    <w:rsid w:val="007B00C6"/>
    <w:rsid w:val="007B1071"/>
    <w:rsid w:val="007B19F5"/>
    <w:rsid w:val="008358D2"/>
    <w:rsid w:val="00960E5D"/>
    <w:rsid w:val="00AD56F8"/>
    <w:rsid w:val="00AF0C9B"/>
    <w:rsid w:val="00BE7A4D"/>
    <w:rsid w:val="00BF0BED"/>
    <w:rsid w:val="00D32C1B"/>
    <w:rsid w:val="00D77EF7"/>
    <w:rsid w:val="00DF1632"/>
    <w:rsid w:val="00E34613"/>
    <w:rsid w:val="00E426EB"/>
    <w:rsid w:val="00E6181E"/>
    <w:rsid w:val="00E721D0"/>
    <w:rsid w:val="00E8041A"/>
    <w:rsid w:val="00E82CEE"/>
    <w:rsid w:val="00ED1BBC"/>
    <w:rsid w:val="00F634A3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3B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1D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721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1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721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21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721D0"/>
    <w:pPr>
      <w:widowControl/>
      <w:adjustRightInd/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E7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2021-06-16T05:01:00Z</dcterms:created>
  <dcterms:modified xsi:type="dcterms:W3CDTF">2021-09-10T07:53:00Z</dcterms:modified>
</cp:coreProperties>
</file>