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FE06" w14:textId="77777777" w:rsidR="008B4539" w:rsidRPr="00F9528E" w:rsidRDefault="008B4539" w:rsidP="008B4539">
      <w:pPr>
        <w:jc w:val="center"/>
        <w:rPr>
          <w:b/>
          <w:caps/>
          <w:color w:val="000000"/>
          <w:spacing w:val="30"/>
        </w:rPr>
      </w:pPr>
      <w:r>
        <w:rPr>
          <w:b/>
          <w:caps/>
          <w:color w:val="000000"/>
          <w:spacing w:val="30"/>
        </w:rPr>
        <w:t xml:space="preserve">SPrÁva o Účasti verejnosti na Tvorbe právnych Predpisov </w:t>
      </w:r>
    </w:p>
    <w:p w14:paraId="55DDF64D" w14:textId="18F652E9" w:rsidR="008B4539" w:rsidRDefault="008B4539" w:rsidP="008B4539">
      <w:pPr>
        <w:spacing w:after="0"/>
        <w:rPr>
          <w:rFonts w:cs="Times New Roman"/>
          <w:szCs w:val="24"/>
        </w:rPr>
      </w:pPr>
    </w:p>
    <w:p w14:paraId="3CD76606" w14:textId="77777777" w:rsidR="008B4539" w:rsidRDefault="008B4539" w:rsidP="008B4539">
      <w:pPr>
        <w:spacing w:after="0"/>
        <w:rPr>
          <w:rFonts w:cs="Times New Roman"/>
          <w:szCs w:val="24"/>
        </w:rPr>
      </w:pPr>
    </w:p>
    <w:tbl>
      <w:tblPr>
        <w:tblStyle w:val="Mriekatabuky"/>
        <w:tblpPr w:leftFromText="141" w:rightFromText="141" w:vertAnchor="text" w:tblpY="1"/>
        <w:tblW w:w="4992" w:type="pct"/>
        <w:tblLayout w:type="fixed"/>
        <w:tblLook w:val="0400" w:firstRow="0" w:lastRow="0" w:firstColumn="0" w:lastColumn="0" w:noHBand="0" w:noVBand="1"/>
      </w:tblPr>
      <w:tblGrid>
        <w:gridCol w:w="1538"/>
        <w:gridCol w:w="2099"/>
        <w:gridCol w:w="4388"/>
        <w:gridCol w:w="467"/>
        <w:gridCol w:w="556"/>
      </w:tblGrid>
      <w:tr w:rsidR="008B4539" w:rsidRPr="008108B3" w14:paraId="549DDBCA" w14:textId="77777777" w:rsidTr="00AA5FE1">
        <w:trPr>
          <w:trHeight w:val="546"/>
        </w:trPr>
        <w:tc>
          <w:tcPr>
            <w:tcW w:w="5000" w:type="pct"/>
            <w:gridSpan w:val="5"/>
            <w:shd w:val="clear" w:color="auto" w:fill="F2F2F2" w:themeFill="background1" w:themeFillShade="F2"/>
            <w:vAlign w:val="center"/>
          </w:tcPr>
          <w:p w14:paraId="618CCB9B" w14:textId="77777777" w:rsidR="008B4539" w:rsidRPr="008108B3" w:rsidRDefault="008B4539" w:rsidP="00AA5FE1">
            <w:pPr>
              <w:pStyle w:val="Nadpis2"/>
              <w:jc w:val="center"/>
              <w:outlineLvl w:val="1"/>
              <w:rPr>
                <w:rFonts w:ascii="Times New Roman" w:hAnsi="Times New Roman" w:cs="Times New Roman"/>
                <w:b/>
                <w:color w:val="auto"/>
                <w:sz w:val="24"/>
                <w:szCs w:val="24"/>
              </w:rPr>
            </w:pPr>
            <w:r w:rsidRPr="008108B3">
              <w:rPr>
                <w:rFonts w:ascii="Times New Roman" w:hAnsi="Times New Roman" w:cs="Times New Roman"/>
                <w:b/>
                <w:color w:val="auto"/>
                <w:sz w:val="24"/>
                <w:szCs w:val="24"/>
              </w:rPr>
              <w:t>Správa o účasti verejnosti na tvorbe právneho predpisu</w:t>
            </w:r>
          </w:p>
          <w:p w14:paraId="716BEE32" w14:textId="77777777" w:rsidR="008B4539" w:rsidRPr="008108B3" w:rsidRDefault="008B4539" w:rsidP="00AA5FE1">
            <w:pPr>
              <w:pStyle w:val="Nadpis2"/>
              <w:outlineLvl w:val="1"/>
              <w:rPr>
                <w:rFonts w:ascii="Times New Roman" w:hAnsi="Times New Roman" w:cs="Times New Roman"/>
                <w:b/>
                <w:color w:val="000000" w:themeColor="text1"/>
                <w:sz w:val="24"/>
                <w:szCs w:val="24"/>
              </w:rPr>
            </w:pPr>
            <w:r w:rsidRPr="008108B3">
              <w:rPr>
                <w:rFonts w:ascii="Times New Roman" w:hAnsi="Times New Roman" w:cs="Times New Roman"/>
                <w:b/>
                <w:color w:val="auto"/>
                <w:sz w:val="24"/>
                <w:szCs w:val="24"/>
              </w:rPr>
              <w:t>Scenár 1: Verejnosť je informovaná o tvorbe právneho predpisu</w:t>
            </w:r>
          </w:p>
        </w:tc>
      </w:tr>
      <w:tr w:rsidR="008B4539" w:rsidRPr="008108B3" w14:paraId="387255AC" w14:textId="77777777" w:rsidTr="00AA5FE1">
        <w:trPr>
          <w:trHeight w:val="399"/>
        </w:trPr>
        <w:tc>
          <w:tcPr>
            <w:tcW w:w="850" w:type="pct"/>
            <w:vAlign w:val="center"/>
            <w:hideMark/>
          </w:tcPr>
          <w:p w14:paraId="4705B650" w14:textId="77777777" w:rsidR="008B4539" w:rsidRPr="008108B3" w:rsidRDefault="008B4539" w:rsidP="00AA5FE1">
            <w:pPr>
              <w:rPr>
                <w:rFonts w:cs="Times New Roman"/>
                <w:b/>
                <w:color w:val="000000" w:themeColor="text1"/>
                <w:szCs w:val="24"/>
              </w:rPr>
            </w:pPr>
            <w:r w:rsidRPr="008108B3">
              <w:rPr>
                <w:rFonts w:cs="Times New Roman"/>
                <w:b/>
                <w:color w:val="000000" w:themeColor="text1"/>
                <w:szCs w:val="24"/>
              </w:rPr>
              <w:t>Fáza procesu</w:t>
            </w:r>
          </w:p>
        </w:tc>
        <w:tc>
          <w:tcPr>
            <w:tcW w:w="1160" w:type="pct"/>
            <w:vAlign w:val="center"/>
            <w:hideMark/>
          </w:tcPr>
          <w:p w14:paraId="41300469" w14:textId="77777777" w:rsidR="008B4539" w:rsidRPr="008108B3" w:rsidRDefault="008B4539" w:rsidP="00AA5FE1">
            <w:pPr>
              <w:rPr>
                <w:rFonts w:cs="Times New Roman"/>
                <w:b/>
                <w:color w:val="000000" w:themeColor="text1"/>
                <w:szCs w:val="24"/>
              </w:rPr>
            </w:pPr>
            <w:proofErr w:type="spellStart"/>
            <w:r w:rsidRPr="008108B3">
              <w:rPr>
                <w:rFonts w:cs="Times New Roman"/>
                <w:b/>
                <w:color w:val="000000" w:themeColor="text1"/>
                <w:szCs w:val="24"/>
              </w:rPr>
              <w:t>Subfáza</w:t>
            </w:r>
            <w:proofErr w:type="spellEnd"/>
          </w:p>
        </w:tc>
        <w:tc>
          <w:tcPr>
            <w:tcW w:w="2425" w:type="pct"/>
            <w:vAlign w:val="center"/>
            <w:hideMark/>
          </w:tcPr>
          <w:p w14:paraId="6A2618D1" w14:textId="77777777" w:rsidR="008B4539" w:rsidRPr="008108B3" w:rsidRDefault="008B4539" w:rsidP="00AA5FE1">
            <w:pPr>
              <w:rPr>
                <w:rFonts w:cs="Times New Roman"/>
                <w:b/>
                <w:color w:val="000000" w:themeColor="text1"/>
                <w:szCs w:val="24"/>
              </w:rPr>
            </w:pPr>
            <w:r w:rsidRPr="008108B3">
              <w:rPr>
                <w:rFonts w:cs="Times New Roman"/>
                <w:b/>
                <w:color w:val="000000" w:themeColor="text1"/>
                <w:szCs w:val="24"/>
              </w:rPr>
              <w:t>Kontrolná otázka</w:t>
            </w:r>
          </w:p>
        </w:tc>
        <w:tc>
          <w:tcPr>
            <w:tcW w:w="258" w:type="pct"/>
            <w:vAlign w:val="center"/>
          </w:tcPr>
          <w:p w14:paraId="5293009D" w14:textId="77777777" w:rsidR="008B4539" w:rsidRPr="008108B3" w:rsidRDefault="008B4539" w:rsidP="00AA5FE1">
            <w:pPr>
              <w:rPr>
                <w:rFonts w:cs="Times New Roman"/>
                <w:b/>
                <w:color w:val="000000" w:themeColor="text1"/>
                <w:szCs w:val="24"/>
              </w:rPr>
            </w:pPr>
            <w:r w:rsidRPr="008108B3">
              <w:rPr>
                <w:rFonts w:cs="Times New Roman"/>
                <w:b/>
                <w:color w:val="000000" w:themeColor="text1"/>
                <w:szCs w:val="24"/>
              </w:rPr>
              <w:t>Á</w:t>
            </w:r>
          </w:p>
        </w:tc>
        <w:tc>
          <w:tcPr>
            <w:tcW w:w="307" w:type="pct"/>
            <w:vAlign w:val="center"/>
          </w:tcPr>
          <w:p w14:paraId="6C8B5615" w14:textId="77777777" w:rsidR="008B4539" w:rsidRPr="008108B3" w:rsidRDefault="008B4539" w:rsidP="00AA5FE1">
            <w:pPr>
              <w:rPr>
                <w:rFonts w:cs="Times New Roman"/>
                <w:b/>
                <w:color w:val="000000" w:themeColor="text1"/>
                <w:szCs w:val="24"/>
              </w:rPr>
            </w:pPr>
            <w:r w:rsidRPr="008108B3">
              <w:rPr>
                <w:rFonts w:cs="Times New Roman"/>
                <w:b/>
                <w:color w:val="000000" w:themeColor="text1"/>
                <w:szCs w:val="24"/>
              </w:rPr>
              <w:t>N</w:t>
            </w:r>
          </w:p>
        </w:tc>
      </w:tr>
      <w:tr w:rsidR="008B4539" w:rsidRPr="008108B3" w14:paraId="6C3F8F0D" w14:textId="77777777" w:rsidTr="00AA5FE1">
        <w:trPr>
          <w:trHeight w:val="560"/>
        </w:trPr>
        <w:tc>
          <w:tcPr>
            <w:tcW w:w="850" w:type="pct"/>
            <w:vMerge w:val="restart"/>
            <w:vAlign w:val="center"/>
            <w:hideMark/>
          </w:tcPr>
          <w:p w14:paraId="154D6CA5" w14:textId="77777777" w:rsidR="008B4539" w:rsidRPr="008108B3" w:rsidRDefault="008B4539" w:rsidP="00AA5FE1">
            <w:pPr>
              <w:rPr>
                <w:rFonts w:cs="Times New Roman"/>
                <w:color w:val="000000"/>
                <w:szCs w:val="24"/>
              </w:rPr>
            </w:pPr>
            <w:r w:rsidRPr="008108B3">
              <w:rPr>
                <w:rFonts w:cs="Times New Roman"/>
                <w:b/>
                <w:szCs w:val="24"/>
              </w:rPr>
              <w:t>1. Príprava tvorby právneho predpisu</w:t>
            </w:r>
          </w:p>
        </w:tc>
        <w:tc>
          <w:tcPr>
            <w:tcW w:w="1160" w:type="pct"/>
            <w:vAlign w:val="center"/>
            <w:hideMark/>
          </w:tcPr>
          <w:p w14:paraId="564DC284" w14:textId="77777777" w:rsidR="008B4539" w:rsidRPr="008108B3" w:rsidRDefault="008B4539" w:rsidP="00AA5FE1">
            <w:pPr>
              <w:rPr>
                <w:rFonts w:cs="Times New Roman"/>
                <w:color w:val="000000"/>
                <w:szCs w:val="24"/>
              </w:rPr>
            </w:pPr>
            <w:r w:rsidRPr="008108B3">
              <w:rPr>
                <w:rFonts w:cs="Times New Roman"/>
                <w:szCs w:val="24"/>
              </w:rPr>
              <w:t>1.1 Identifikácia cieľa</w:t>
            </w:r>
          </w:p>
        </w:tc>
        <w:tc>
          <w:tcPr>
            <w:tcW w:w="2425" w:type="pct"/>
            <w:vAlign w:val="center"/>
            <w:hideMark/>
          </w:tcPr>
          <w:p w14:paraId="002C3439" w14:textId="77777777" w:rsidR="008B4539" w:rsidRPr="008108B3" w:rsidRDefault="008B4539" w:rsidP="00AA5FE1">
            <w:pPr>
              <w:jc w:val="both"/>
              <w:rPr>
                <w:rFonts w:cs="Times New Roman"/>
                <w:color w:val="000000"/>
                <w:szCs w:val="24"/>
                <w:highlight w:val="cyan"/>
              </w:rPr>
            </w:pPr>
            <w:r w:rsidRPr="008108B3">
              <w:rPr>
                <w:rFonts w:cs="Times New Roman"/>
                <w:szCs w:val="24"/>
              </w:rPr>
              <w:t>Bol zadefinovaný cieľ účasti verejnosti na tvorbe právneho predpisu?</w:t>
            </w:r>
          </w:p>
        </w:tc>
        <w:sdt>
          <w:sdtPr>
            <w:rPr>
              <w:rFonts w:cs="Times New Roman"/>
              <w:szCs w:val="24"/>
            </w:rPr>
            <w:id w:val="2012403539"/>
            <w14:checkbox>
              <w14:checked w14:val="1"/>
              <w14:checkedState w14:val="2612" w14:font="MS Gothic"/>
              <w14:uncheckedState w14:val="2610" w14:font="MS Gothic"/>
            </w14:checkbox>
          </w:sdtPr>
          <w:sdtEndPr/>
          <w:sdtContent>
            <w:tc>
              <w:tcPr>
                <w:tcW w:w="258" w:type="pct"/>
                <w:vAlign w:val="center"/>
              </w:tcPr>
              <w:p w14:paraId="3ADC2242" w14:textId="599B293E" w:rsidR="008B4539" w:rsidRPr="008108B3" w:rsidRDefault="008B4539" w:rsidP="00AA5FE1">
                <w:pPr>
                  <w:rPr>
                    <w:rFonts w:cs="Times New Roman"/>
                    <w:szCs w:val="24"/>
                  </w:rPr>
                </w:pPr>
                <w:r>
                  <w:rPr>
                    <w:rFonts w:ascii="MS Gothic" w:eastAsia="MS Gothic" w:hAnsi="MS Gothic" w:cs="Times New Roman" w:hint="eastAsia"/>
                    <w:szCs w:val="24"/>
                  </w:rPr>
                  <w:t>☒</w:t>
                </w:r>
              </w:p>
            </w:tc>
          </w:sdtContent>
        </w:sdt>
        <w:sdt>
          <w:sdtPr>
            <w:rPr>
              <w:rFonts w:cs="Times New Roman"/>
              <w:szCs w:val="24"/>
            </w:rPr>
            <w:id w:val="1524132007"/>
          </w:sdtPr>
          <w:sdtEndPr/>
          <w:sdtContent>
            <w:tc>
              <w:tcPr>
                <w:tcW w:w="307" w:type="pct"/>
                <w:vAlign w:val="center"/>
              </w:tcPr>
              <w:sdt>
                <w:sdtPr>
                  <w:rPr>
                    <w:rFonts w:cs="Times New Roman"/>
                    <w:szCs w:val="24"/>
                  </w:rPr>
                  <w:id w:val="1262725056"/>
                  <w14:checkbox>
                    <w14:checked w14:val="0"/>
                    <w14:checkedState w14:val="2612" w14:font="MS Gothic"/>
                    <w14:uncheckedState w14:val="2610" w14:font="MS Gothic"/>
                  </w14:checkbox>
                </w:sdtPr>
                <w:sdtEndPr/>
                <w:sdtContent>
                  <w:p w14:paraId="2A1B169F"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313BA6AD" w14:textId="77777777" w:rsidTr="00AA5FE1">
        <w:trPr>
          <w:trHeight w:val="560"/>
        </w:trPr>
        <w:tc>
          <w:tcPr>
            <w:tcW w:w="850" w:type="pct"/>
            <w:vMerge/>
            <w:vAlign w:val="center"/>
            <w:hideMark/>
          </w:tcPr>
          <w:p w14:paraId="5D5FD5E4" w14:textId="77777777" w:rsidR="008B4539" w:rsidRPr="008108B3" w:rsidRDefault="008B4539" w:rsidP="00AA5FE1">
            <w:pPr>
              <w:rPr>
                <w:rFonts w:cs="Times New Roman"/>
                <w:i/>
                <w:color w:val="000000"/>
                <w:szCs w:val="24"/>
              </w:rPr>
            </w:pPr>
          </w:p>
        </w:tc>
        <w:tc>
          <w:tcPr>
            <w:tcW w:w="1160" w:type="pct"/>
            <w:vAlign w:val="center"/>
            <w:hideMark/>
          </w:tcPr>
          <w:p w14:paraId="409D6285" w14:textId="77777777" w:rsidR="008B4539" w:rsidRPr="008108B3" w:rsidRDefault="008B4539" w:rsidP="00AA5FE1">
            <w:pPr>
              <w:rPr>
                <w:rFonts w:cs="Times New Roman"/>
                <w:color w:val="000000"/>
                <w:szCs w:val="24"/>
              </w:rPr>
            </w:pPr>
            <w:r w:rsidRPr="008108B3">
              <w:rPr>
                <w:rFonts w:cs="Times New Roman"/>
                <w:szCs w:val="24"/>
              </w:rPr>
              <w:t>1.2 Identifikácia problému a alternatív</w:t>
            </w:r>
          </w:p>
        </w:tc>
        <w:tc>
          <w:tcPr>
            <w:tcW w:w="2425" w:type="pct"/>
            <w:vAlign w:val="center"/>
          </w:tcPr>
          <w:p w14:paraId="70D96839" w14:textId="77777777" w:rsidR="008B4539" w:rsidRPr="008108B3" w:rsidRDefault="008B4539" w:rsidP="00AA5FE1">
            <w:pPr>
              <w:jc w:val="both"/>
              <w:rPr>
                <w:rFonts w:cs="Times New Roman"/>
                <w:color w:val="000000"/>
                <w:szCs w:val="24"/>
              </w:rPr>
            </w:pPr>
            <w:r w:rsidRPr="008108B3">
              <w:rPr>
                <w:rFonts w:cs="Times New Roman"/>
                <w:szCs w:val="24"/>
              </w:rPr>
              <w:t>Bola vykonaná identifikácia problému a alternatív riešení?</w:t>
            </w:r>
          </w:p>
        </w:tc>
        <w:sdt>
          <w:sdtPr>
            <w:rPr>
              <w:rFonts w:cs="Times New Roman"/>
              <w:szCs w:val="24"/>
            </w:rPr>
            <w:id w:val="765262949"/>
          </w:sdtPr>
          <w:sdtEndPr/>
          <w:sdtContent>
            <w:tc>
              <w:tcPr>
                <w:tcW w:w="258" w:type="pct"/>
                <w:vAlign w:val="center"/>
              </w:tcPr>
              <w:sdt>
                <w:sdtPr>
                  <w:rPr>
                    <w:rFonts w:cs="Times New Roman"/>
                    <w:szCs w:val="24"/>
                  </w:rPr>
                  <w:id w:val="-2067787660"/>
                  <w14:checkbox>
                    <w14:checked w14:val="1"/>
                    <w14:checkedState w14:val="2612" w14:font="MS Gothic"/>
                    <w14:uncheckedState w14:val="2610" w14:font="MS Gothic"/>
                  </w14:checkbox>
                </w:sdtPr>
                <w:sdtEndPr/>
                <w:sdtContent>
                  <w:p w14:paraId="5F803FBA" w14:textId="16772C64"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751325921"/>
          </w:sdtPr>
          <w:sdtEndPr/>
          <w:sdtContent>
            <w:tc>
              <w:tcPr>
                <w:tcW w:w="307" w:type="pct"/>
                <w:vAlign w:val="center"/>
              </w:tcPr>
              <w:sdt>
                <w:sdtPr>
                  <w:rPr>
                    <w:rFonts w:cs="Times New Roman"/>
                    <w:szCs w:val="24"/>
                  </w:rPr>
                  <w:id w:val="-135878735"/>
                  <w14:checkbox>
                    <w14:checked w14:val="0"/>
                    <w14:checkedState w14:val="2612" w14:font="MS Gothic"/>
                    <w14:uncheckedState w14:val="2610" w14:font="MS Gothic"/>
                  </w14:checkbox>
                </w:sdtPr>
                <w:sdtEndPr/>
                <w:sdtContent>
                  <w:p w14:paraId="5619A77F"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3BDE61A4" w14:textId="77777777" w:rsidTr="00AA5FE1">
        <w:trPr>
          <w:trHeight w:val="560"/>
        </w:trPr>
        <w:tc>
          <w:tcPr>
            <w:tcW w:w="850" w:type="pct"/>
            <w:vMerge w:val="restart"/>
            <w:vAlign w:val="center"/>
            <w:hideMark/>
          </w:tcPr>
          <w:p w14:paraId="58761822" w14:textId="77777777" w:rsidR="008B4539" w:rsidRPr="008108B3" w:rsidRDefault="008B4539" w:rsidP="00AA5FE1">
            <w:pPr>
              <w:rPr>
                <w:rFonts w:cs="Times New Roman"/>
                <w:color w:val="000000"/>
                <w:szCs w:val="24"/>
              </w:rPr>
            </w:pPr>
            <w:r w:rsidRPr="008108B3">
              <w:rPr>
                <w:rFonts w:cs="Times New Roman"/>
                <w:b/>
                <w:szCs w:val="24"/>
              </w:rPr>
              <w:t>2. Informovanie verejnosti o tvorbe právneho predpisu</w:t>
            </w:r>
          </w:p>
        </w:tc>
        <w:tc>
          <w:tcPr>
            <w:tcW w:w="1160" w:type="pct"/>
            <w:vMerge w:val="restart"/>
            <w:vAlign w:val="center"/>
            <w:hideMark/>
          </w:tcPr>
          <w:p w14:paraId="4588AFA9" w14:textId="77777777" w:rsidR="008B4539" w:rsidRPr="008108B3" w:rsidRDefault="008B4539" w:rsidP="00AA5FE1">
            <w:pPr>
              <w:rPr>
                <w:rFonts w:cs="Times New Roman"/>
                <w:color w:val="000000"/>
                <w:szCs w:val="24"/>
              </w:rPr>
            </w:pPr>
            <w:r w:rsidRPr="008108B3">
              <w:rPr>
                <w:rFonts w:cs="Times New Roman"/>
                <w:szCs w:val="24"/>
              </w:rPr>
              <w:t>2.1 Rozsah informácií</w:t>
            </w:r>
          </w:p>
        </w:tc>
        <w:tc>
          <w:tcPr>
            <w:tcW w:w="2425" w:type="pct"/>
            <w:vAlign w:val="center"/>
            <w:hideMark/>
          </w:tcPr>
          <w:p w14:paraId="27C7C209" w14:textId="77777777" w:rsidR="008B4539" w:rsidRPr="008108B3" w:rsidRDefault="008B4539" w:rsidP="00AA5FE1">
            <w:pPr>
              <w:jc w:val="both"/>
              <w:rPr>
                <w:rFonts w:cs="Times New Roman"/>
                <w:color w:val="000000"/>
                <w:szCs w:val="24"/>
              </w:rPr>
            </w:pPr>
            <w:r w:rsidRPr="008108B3">
              <w:rPr>
                <w:rFonts w:cs="Times New Roman"/>
                <w:szCs w:val="24"/>
              </w:rPr>
              <w:t>Boli verejnosti poskytnuté informácie o probléme, ktorý má predmetný právny predpis riešiť?</w:t>
            </w:r>
          </w:p>
        </w:tc>
        <w:sdt>
          <w:sdtPr>
            <w:rPr>
              <w:rFonts w:cs="Times New Roman"/>
              <w:szCs w:val="24"/>
            </w:rPr>
            <w:id w:val="-1383629300"/>
          </w:sdtPr>
          <w:sdtEndPr/>
          <w:sdtContent>
            <w:tc>
              <w:tcPr>
                <w:tcW w:w="258" w:type="pct"/>
                <w:vAlign w:val="center"/>
              </w:tcPr>
              <w:sdt>
                <w:sdtPr>
                  <w:rPr>
                    <w:rFonts w:cs="Times New Roman"/>
                    <w:szCs w:val="24"/>
                  </w:rPr>
                  <w:id w:val="-1704705120"/>
                  <w14:checkbox>
                    <w14:checked w14:val="1"/>
                    <w14:checkedState w14:val="2612" w14:font="MS Gothic"/>
                    <w14:uncheckedState w14:val="2610" w14:font="MS Gothic"/>
                  </w14:checkbox>
                </w:sdtPr>
                <w:sdtEndPr/>
                <w:sdtContent>
                  <w:p w14:paraId="356B8C5E" w14:textId="5507F568"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79910028"/>
          </w:sdtPr>
          <w:sdtEndPr/>
          <w:sdtContent>
            <w:tc>
              <w:tcPr>
                <w:tcW w:w="307" w:type="pct"/>
                <w:vAlign w:val="center"/>
              </w:tcPr>
              <w:sdt>
                <w:sdtPr>
                  <w:rPr>
                    <w:rFonts w:cs="Times New Roman"/>
                    <w:szCs w:val="24"/>
                  </w:rPr>
                  <w:id w:val="2020966881"/>
                  <w14:checkbox>
                    <w14:checked w14:val="0"/>
                    <w14:checkedState w14:val="2612" w14:font="MS Gothic"/>
                    <w14:uncheckedState w14:val="2610" w14:font="MS Gothic"/>
                  </w14:checkbox>
                </w:sdtPr>
                <w:sdtEndPr/>
                <w:sdtContent>
                  <w:p w14:paraId="79F4B55B"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5CF9FD62" w14:textId="77777777" w:rsidTr="00AA5FE1">
        <w:trPr>
          <w:trHeight w:val="560"/>
        </w:trPr>
        <w:tc>
          <w:tcPr>
            <w:tcW w:w="850" w:type="pct"/>
            <w:vMerge/>
            <w:vAlign w:val="center"/>
            <w:hideMark/>
          </w:tcPr>
          <w:p w14:paraId="5D549489" w14:textId="77777777" w:rsidR="008B4539" w:rsidRPr="008108B3" w:rsidRDefault="008B4539" w:rsidP="00AA5FE1">
            <w:pPr>
              <w:rPr>
                <w:rFonts w:cs="Times New Roman"/>
                <w:i/>
                <w:color w:val="000000"/>
                <w:szCs w:val="24"/>
              </w:rPr>
            </w:pPr>
          </w:p>
        </w:tc>
        <w:tc>
          <w:tcPr>
            <w:tcW w:w="1160" w:type="pct"/>
            <w:vMerge/>
            <w:vAlign w:val="center"/>
            <w:hideMark/>
          </w:tcPr>
          <w:p w14:paraId="10D3424F" w14:textId="77777777" w:rsidR="008B4539" w:rsidRPr="008108B3" w:rsidRDefault="008B4539" w:rsidP="00AA5FE1">
            <w:pPr>
              <w:rPr>
                <w:rFonts w:cs="Times New Roman"/>
                <w:color w:val="000000"/>
                <w:szCs w:val="24"/>
              </w:rPr>
            </w:pPr>
          </w:p>
        </w:tc>
        <w:tc>
          <w:tcPr>
            <w:tcW w:w="2425" w:type="pct"/>
            <w:vAlign w:val="center"/>
          </w:tcPr>
          <w:p w14:paraId="13A391D1" w14:textId="77777777" w:rsidR="008B4539" w:rsidRPr="008108B3" w:rsidRDefault="008B4539" w:rsidP="00AA5FE1">
            <w:pPr>
              <w:jc w:val="both"/>
              <w:rPr>
                <w:rFonts w:cs="Times New Roman"/>
                <w:i/>
                <w:szCs w:val="24"/>
              </w:rPr>
            </w:pPr>
            <w:r w:rsidRPr="008108B3">
              <w:rPr>
                <w:rFonts w:cs="Times New Roman"/>
                <w:szCs w:val="24"/>
              </w:rPr>
              <w:t>Boli verejnosti poskytnuté informácie o cieli účasti verejnosti na tvorbe právneho predpisu spolu s časovým rámcom jeho tvorby?</w:t>
            </w:r>
          </w:p>
        </w:tc>
        <w:sdt>
          <w:sdtPr>
            <w:rPr>
              <w:rFonts w:cs="Times New Roman"/>
              <w:szCs w:val="24"/>
            </w:rPr>
            <w:id w:val="-593706407"/>
          </w:sdtPr>
          <w:sdtEndPr/>
          <w:sdtContent>
            <w:tc>
              <w:tcPr>
                <w:tcW w:w="258" w:type="pct"/>
                <w:vAlign w:val="center"/>
              </w:tcPr>
              <w:sdt>
                <w:sdtPr>
                  <w:rPr>
                    <w:rFonts w:cs="Times New Roman"/>
                    <w:szCs w:val="24"/>
                  </w:rPr>
                  <w:id w:val="-2012750083"/>
                  <w14:checkbox>
                    <w14:checked w14:val="1"/>
                    <w14:checkedState w14:val="2612" w14:font="MS Gothic"/>
                    <w14:uncheckedState w14:val="2610" w14:font="MS Gothic"/>
                  </w14:checkbox>
                </w:sdtPr>
                <w:sdtEndPr/>
                <w:sdtContent>
                  <w:p w14:paraId="051DAC7C" w14:textId="1B22B3AF"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1069607743"/>
          </w:sdtPr>
          <w:sdtEndPr/>
          <w:sdtContent>
            <w:tc>
              <w:tcPr>
                <w:tcW w:w="307" w:type="pct"/>
                <w:vAlign w:val="center"/>
              </w:tcPr>
              <w:sdt>
                <w:sdtPr>
                  <w:rPr>
                    <w:rFonts w:cs="Times New Roman"/>
                    <w:szCs w:val="24"/>
                  </w:rPr>
                  <w:id w:val="927546995"/>
                  <w14:checkbox>
                    <w14:checked w14:val="0"/>
                    <w14:checkedState w14:val="2612" w14:font="MS Gothic"/>
                    <w14:uncheckedState w14:val="2610" w14:font="MS Gothic"/>
                  </w14:checkbox>
                </w:sdtPr>
                <w:sdtEndPr/>
                <w:sdtContent>
                  <w:p w14:paraId="5E6ED54E"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2E68B4EA" w14:textId="77777777" w:rsidTr="00AA5FE1">
        <w:trPr>
          <w:trHeight w:val="560"/>
        </w:trPr>
        <w:tc>
          <w:tcPr>
            <w:tcW w:w="850" w:type="pct"/>
            <w:vMerge/>
            <w:vAlign w:val="center"/>
            <w:hideMark/>
          </w:tcPr>
          <w:p w14:paraId="7D7A6F97" w14:textId="77777777" w:rsidR="008B4539" w:rsidRPr="008108B3" w:rsidRDefault="008B4539" w:rsidP="00AA5FE1">
            <w:pPr>
              <w:rPr>
                <w:rFonts w:cs="Times New Roman"/>
                <w:i/>
                <w:color w:val="000000"/>
                <w:szCs w:val="24"/>
              </w:rPr>
            </w:pPr>
          </w:p>
        </w:tc>
        <w:tc>
          <w:tcPr>
            <w:tcW w:w="1160" w:type="pct"/>
            <w:vMerge/>
            <w:vAlign w:val="center"/>
            <w:hideMark/>
          </w:tcPr>
          <w:p w14:paraId="5D17EFA3" w14:textId="77777777" w:rsidR="008B4539" w:rsidRPr="008108B3" w:rsidRDefault="008B4539" w:rsidP="00AA5FE1">
            <w:pPr>
              <w:rPr>
                <w:rFonts w:cs="Times New Roman"/>
                <w:color w:val="000000"/>
                <w:szCs w:val="24"/>
              </w:rPr>
            </w:pPr>
          </w:p>
        </w:tc>
        <w:tc>
          <w:tcPr>
            <w:tcW w:w="2425" w:type="pct"/>
            <w:vAlign w:val="center"/>
          </w:tcPr>
          <w:p w14:paraId="7A511CC0" w14:textId="77777777" w:rsidR="008B4539" w:rsidRPr="008108B3" w:rsidRDefault="008B4539" w:rsidP="00AA5FE1">
            <w:pPr>
              <w:jc w:val="both"/>
              <w:rPr>
                <w:rFonts w:cs="Times New Roman"/>
                <w:szCs w:val="24"/>
              </w:rPr>
            </w:pPr>
            <w:r w:rsidRPr="008108B3">
              <w:rPr>
                <w:rFonts w:cs="Times New Roman"/>
                <w:szCs w:val="24"/>
              </w:rPr>
              <w:t>Boli verejnosti poskytnuté informácie o plánovanom procese tvorby právneho predpisu?</w:t>
            </w:r>
          </w:p>
        </w:tc>
        <w:sdt>
          <w:sdtPr>
            <w:rPr>
              <w:rFonts w:cs="Times New Roman"/>
              <w:szCs w:val="24"/>
            </w:rPr>
            <w:id w:val="-980679718"/>
          </w:sdtPr>
          <w:sdtEndPr/>
          <w:sdtContent>
            <w:tc>
              <w:tcPr>
                <w:tcW w:w="258" w:type="pct"/>
                <w:vAlign w:val="center"/>
              </w:tcPr>
              <w:sdt>
                <w:sdtPr>
                  <w:rPr>
                    <w:rFonts w:cs="Times New Roman"/>
                    <w:szCs w:val="24"/>
                  </w:rPr>
                  <w:id w:val="-910390059"/>
                  <w14:checkbox>
                    <w14:checked w14:val="1"/>
                    <w14:checkedState w14:val="2612" w14:font="MS Gothic"/>
                    <w14:uncheckedState w14:val="2610" w14:font="MS Gothic"/>
                  </w14:checkbox>
                </w:sdtPr>
                <w:sdtEndPr/>
                <w:sdtContent>
                  <w:p w14:paraId="14C8D81B" w14:textId="41DBB687"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18976325"/>
          </w:sdtPr>
          <w:sdtEndPr/>
          <w:sdtContent>
            <w:tc>
              <w:tcPr>
                <w:tcW w:w="307" w:type="pct"/>
                <w:vAlign w:val="center"/>
              </w:tcPr>
              <w:sdt>
                <w:sdtPr>
                  <w:rPr>
                    <w:rFonts w:cs="Times New Roman"/>
                    <w:szCs w:val="24"/>
                  </w:rPr>
                  <w:id w:val="-1722351212"/>
                  <w14:checkbox>
                    <w14:checked w14:val="0"/>
                    <w14:checkedState w14:val="2612" w14:font="MS Gothic"/>
                    <w14:uncheckedState w14:val="2610" w14:font="MS Gothic"/>
                  </w14:checkbox>
                </w:sdtPr>
                <w:sdtEndPr/>
                <w:sdtContent>
                  <w:p w14:paraId="78173C14"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4692DA97" w14:textId="77777777" w:rsidTr="00AA5FE1">
        <w:trPr>
          <w:trHeight w:val="560"/>
        </w:trPr>
        <w:tc>
          <w:tcPr>
            <w:tcW w:w="850" w:type="pct"/>
            <w:vMerge/>
            <w:vAlign w:val="center"/>
            <w:hideMark/>
          </w:tcPr>
          <w:p w14:paraId="01F15359" w14:textId="77777777" w:rsidR="008B4539" w:rsidRPr="008108B3" w:rsidRDefault="008B4539" w:rsidP="00AA5FE1">
            <w:pPr>
              <w:rPr>
                <w:rFonts w:cs="Times New Roman"/>
                <w:i/>
                <w:color w:val="000000"/>
                <w:szCs w:val="24"/>
              </w:rPr>
            </w:pPr>
          </w:p>
        </w:tc>
        <w:tc>
          <w:tcPr>
            <w:tcW w:w="1160" w:type="pct"/>
            <w:vMerge w:val="restart"/>
            <w:vAlign w:val="center"/>
          </w:tcPr>
          <w:p w14:paraId="221724BF" w14:textId="77777777" w:rsidR="008B4539" w:rsidRPr="008108B3" w:rsidRDefault="008B4539" w:rsidP="00AA5FE1">
            <w:pPr>
              <w:rPr>
                <w:rFonts w:cs="Times New Roman"/>
                <w:color w:val="000000"/>
                <w:szCs w:val="24"/>
              </w:rPr>
            </w:pPr>
            <w:r w:rsidRPr="008108B3">
              <w:rPr>
                <w:rFonts w:cs="Times New Roman"/>
                <w:szCs w:val="24"/>
              </w:rPr>
              <w:t>2.2 Kontinuita informovania</w:t>
            </w:r>
          </w:p>
        </w:tc>
        <w:tc>
          <w:tcPr>
            <w:tcW w:w="2425" w:type="pct"/>
            <w:vAlign w:val="center"/>
            <w:hideMark/>
          </w:tcPr>
          <w:p w14:paraId="6CE97BB1" w14:textId="77777777" w:rsidR="008B4539" w:rsidRPr="008108B3" w:rsidRDefault="008B4539" w:rsidP="00AA5FE1">
            <w:pPr>
              <w:jc w:val="both"/>
              <w:rPr>
                <w:rFonts w:cs="Times New Roman"/>
                <w:color w:val="000000"/>
                <w:szCs w:val="24"/>
              </w:rPr>
            </w:pPr>
            <w:r w:rsidRPr="008108B3">
              <w:rPr>
                <w:rFonts w:cs="Times New Roman"/>
                <w:szCs w:val="24"/>
              </w:rPr>
              <w:t>Boli verejnosti poskytnuté relevantné informácie pred začatím tvorby právneho predpisu?</w:t>
            </w:r>
          </w:p>
        </w:tc>
        <w:sdt>
          <w:sdtPr>
            <w:rPr>
              <w:rFonts w:cs="Times New Roman"/>
              <w:szCs w:val="24"/>
            </w:rPr>
            <w:id w:val="1155105942"/>
          </w:sdtPr>
          <w:sdtEndPr/>
          <w:sdtContent>
            <w:tc>
              <w:tcPr>
                <w:tcW w:w="258" w:type="pct"/>
                <w:vAlign w:val="center"/>
              </w:tcPr>
              <w:sdt>
                <w:sdtPr>
                  <w:rPr>
                    <w:rFonts w:cs="Times New Roman"/>
                    <w:szCs w:val="24"/>
                  </w:rPr>
                  <w:id w:val="-1430656133"/>
                  <w14:checkbox>
                    <w14:checked w14:val="1"/>
                    <w14:checkedState w14:val="2612" w14:font="MS Gothic"/>
                    <w14:uncheckedState w14:val="2610" w14:font="MS Gothic"/>
                  </w14:checkbox>
                </w:sdtPr>
                <w:sdtEndPr/>
                <w:sdtContent>
                  <w:p w14:paraId="543B3102" w14:textId="09654BA4"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1188909565"/>
          </w:sdtPr>
          <w:sdtEndPr/>
          <w:sdtContent>
            <w:tc>
              <w:tcPr>
                <w:tcW w:w="307" w:type="pct"/>
                <w:vAlign w:val="center"/>
              </w:tcPr>
              <w:sdt>
                <w:sdtPr>
                  <w:rPr>
                    <w:rFonts w:cs="Times New Roman"/>
                    <w:szCs w:val="24"/>
                  </w:rPr>
                  <w:id w:val="355932843"/>
                  <w14:checkbox>
                    <w14:checked w14:val="0"/>
                    <w14:checkedState w14:val="2612" w14:font="MS Gothic"/>
                    <w14:uncheckedState w14:val="2610" w14:font="MS Gothic"/>
                  </w14:checkbox>
                </w:sdtPr>
                <w:sdtEndPr/>
                <w:sdtContent>
                  <w:p w14:paraId="7DD3EF5E"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3B5B996C" w14:textId="77777777" w:rsidTr="00AA5FE1">
        <w:trPr>
          <w:trHeight w:val="560"/>
        </w:trPr>
        <w:tc>
          <w:tcPr>
            <w:tcW w:w="850" w:type="pct"/>
            <w:vMerge/>
            <w:vAlign w:val="center"/>
            <w:hideMark/>
          </w:tcPr>
          <w:p w14:paraId="0AD8ACFF" w14:textId="77777777" w:rsidR="008B4539" w:rsidRPr="008108B3" w:rsidRDefault="008B4539" w:rsidP="00AA5FE1">
            <w:pPr>
              <w:rPr>
                <w:rFonts w:cs="Times New Roman"/>
                <w:i/>
                <w:color w:val="000000"/>
                <w:szCs w:val="24"/>
              </w:rPr>
            </w:pPr>
          </w:p>
        </w:tc>
        <w:tc>
          <w:tcPr>
            <w:tcW w:w="1160" w:type="pct"/>
            <w:vMerge/>
            <w:vAlign w:val="center"/>
            <w:hideMark/>
          </w:tcPr>
          <w:p w14:paraId="357179D2" w14:textId="77777777" w:rsidR="008B4539" w:rsidRPr="008108B3" w:rsidRDefault="008B4539" w:rsidP="00AA5FE1">
            <w:pPr>
              <w:rPr>
                <w:rFonts w:cs="Times New Roman"/>
                <w:color w:val="000000"/>
                <w:szCs w:val="24"/>
              </w:rPr>
            </w:pPr>
          </w:p>
        </w:tc>
        <w:tc>
          <w:tcPr>
            <w:tcW w:w="2425" w:type="pct"/>
            <w:vAlign w:val="center"/>
          </w:tcPr>
          <w:p w14:paraId="5D5B3631" w14:textId="77777777" w:rsidR="008B4539" w:rsidRPr="008108B3" w:rsidRDefault="008B4539" w:rsidP="00AA5FE1">
            <w:pPr>
              <w:jc w:val="both"/>
              <w:rPr>
                <w:rFonts w:cs="Times New Roman"/>
                <w:color w:val="000000"/>
                <w:szCs w:val="24"/>
              </w:rPr>
            </w:pPr>
            <w:r w:rsidRPr="008108B3">
              <w:rPr>
                <w:rFonts w:cs="Times New Roman"/>
                <w:szCs w:val="24"/>
              </w:rPr>
              <w:t>Boli verejnosti poskytnuté relevantné informácie počas tvorby právneho predpisu?</w:t>
            </w:r>
          </w:p>
        </w:tc>
        <w:sdt>
          <w:sdtPr>
            <w:rPr>
              <w:rFonts w:cs="Times New Roman"/>
              <w:szCs w:val="24"/>
            </w:rPr>
            <w:id w:val="271753991"/>
          </w:sdtPr>
          <w:sdtEndPr/>
          <w:sdtContent>
            <w:tc>
              <w:tcPr>
                <w:tcW w:w="258" w:type="pct"/>
                <w:vAlign w:val="center"/>
              </w:tcPr>
              <w:sdt>
                <w:sdtPr>
                  <w:rPr>
                    <w:rFonts w:cs="Times New Roman"/>
                    <w:szCs w:val="24"/>
                  </w:rPr>
                  <w:id w:val="-1115365609"/>
                  <w14:checkbox>
                    <w14:checked w14:val="1"/>
                    <w14:checkedState w14:val="2612" w14:font="MS Gothic"/>
                    <w14:uncheckedState w14:val="2610" w14:font="MS Gothic"/>
                  </w14:checkbox>
                </w:sdtPr>
                <w:sdtEndPr/>
                <w:sdtContent>
                  <w:p w14:paraId="0F3AEBE4" w14:textId="57537F54"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1623145726"/>
          </w:sdtPr>
          <w:sdtEndPr/>
          <w:sdtContent>
            <w:tc>
              <w:tcPr>
                <w:tcW w:w="307" w:type="pct"/>
                <w:vAlign w:val="center"/>
              </w:tcPr>
              <w:sdt>
                <w:sdtPr>
                  <w:rPr>
                    <w:rFonts w:cs="Times New Roman"/>
                    <w:szCs w:val="24"/>
                  </w:rPr>
                  <w:id w:val="-946770583"/>
                  <w14:checkbox>
                    <w14:checked w14:val="0"/>
                    <w14:checkedState w14:val="2612" w14:font="MS Gothic"/>
                    <w14:uncheckedState w14:val="2610" w14:font="MS Gothic"/>
                  </w14:checkbox>
                </w:sdtPr>
                <w:sdtEndPr/>
                <w:sdtContent>
                  <w:p w14:paraId="6278477E"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0E0C245A" w14:textId="77777777" w:rsidTr="00AA5FE1">
        <w:trPr>
          <w:trHeight w:val="560"/>
        </w:trPr>
        <w:tc>
          <w:tcPr>
            <w:tcW w:w="850" w:type="pct"/>
            <w:vMerge/>
            <w:vAlign w:val="center"/>
            <w:hideMark/>
          </w:tcPr>
          <w:p w14:paraId="4419863F" w14:textId="77777777" w:rsidR="008B4539" w:rsidRPr="008108B3" w:rsidRDefault="008B4539" w:rsidP="00AA5FE1">
            <w:pPr>
              <w:rPr>
                <w:rFonts w:cs="Times New Roman"/>
                <w:i/>
                <w:color w:val="000000"/>
                <w:szCs w:val="24"/>
              </w:rPr>
            </w:pPr>
          </w:p>
        </w:tc>
        <w:tc>
          <w:tcPr>
            <w:tcW w:w="1160" w:type="pct"/>
            <w:vMerge/>
            <w:vAlign w:val="center"/>
            <w:hideMark/>
          </w:tcPr>
          <w:p w14:paraId="223FF9B4" w14:textId="77777777" w:rsidR="008B4539" w:rsidRPr="008108B3" w:rsidRDefault="008B4539" w:rsidP="00AA5FE1">
            <w:pPr>
              <w:rPr>
                <w:rFonts w:cs="Times New Roman"/>
                <w:color w:val="000000"/>
                <w:szCs w:val="24"/>
              </w:rPr>
            </w:pPr>
          </w:p>
        </w:tc>
        <w:tc>
          <w:tcPr>
            <w:tcW w:w="2425" w:type="pct"/>
            <w:vAlign w:val="center"/>
          </w:tcPr>
          <w:p w14:paraId="0B5B2791" w14:textId="77777777" w:rsidR="008B4539" w:rsidRPr="008108B3" w:rsidRDefault="008B4539" w:rsidP="00AA5FE1">
            <w:pPr>
              <w:jc w:val="both"/>
              <w:rPr>
                <w:rFonts w:cs="Times New Roman"/>
                <w:color w:val="000000"/>
                <w:szCs w:val="24"/>
              </w:rPr>
            </w:pPr>
            <w:r w:rsidRPr="008108B3">
              <w:rPr>
                <w:rFonts w:cs="Times New Roman"/>
                <w:szCs w:val="24"/>
              </w:rPr>
              <w:t>Boli verejnosti poskytnuté relevantné informácie aj po ukončení tvorby právneho predpisu?</w:t>
            </w:r>
          </w:p>
        </w:tc>
        <w:sdt>
          <w:sdtPr>
            <w:rPr>
              <w:rFonts w:cs="Times New Roman"/>
              <w:szCs w:val="24"/>
            </w:rPr>
            <w:id w:val="-2118819376"/>
          </w:sdtPr>
          <w:sdtEndPr/>
          <w:sdtContent>
            <w:tc>
              <w:tcPr>
                <w:tcW w:w="258" w:type="pct"/>
                <w:vAlign w:val="center"/>
              </w:tcPr>
              <w:sdt>
                <w:sdtPr>
                  <w:rPr>
                    <w:rFonts w:cs="Times New Roman"/>
                    <w:szCs w:val="24"/>
                  </w:rPr>
                  <w:id w:val="-1718731590"/>
                  <w14:checkbox>
                    <w14:checked w14:val="0"/>
                    <w14:checkedState w14:val="2612" w14:font="MS Gothic"/>
                    <w14:uncheckedState w14:val="2610" w14:font="MS Gothic"/>
                  </w14:checkbox>
                </w:sdtPr>
                <w:sdtEndPr/>
                <w:sdtContent>
                  <w:p w14:paraId="4309897E"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sdt>
          <w:sdtPr>
            <w:rPr>
              <w:rFonts w:cs="Times New Roman"/>
              <w:szCs w:val="24"/>
            </w:rPr>
            <w:id w:val="-875627907"/>
          </w:sdtPr>
          <w:sdtEndPr/>
          <w:sdtContent>
            <w:tc>
              <w:tcPr>
                <w:tcW w:w="307" w:type="pct"/>
                <w:vAlign w:val="center"/>
              </w:tcPr>
              <w:sdt>
                <w:sdtPr>
                  <w:rPr>
                    <w:rFonts w:cs="Times New Roman"/>
                    <w:szCs w:val="24"/>
                  </w:rPr>
                  <w:id w:val="96996236"/>
                  <w14:checkbox>
                    <w14:checked w14:val="1"/>
                    <w14:checkedState w14:val="2612" w14:font="MS Gothic"/>
                    <w14:uncheckedState w14:val="2610" w14:font="MS Gothic"/>
                  </w14:checkbox>
                </w:sdtPr>
                <w:sdtEndPr/>
                <w:sdtContent>
                  <w:p w14:paraId="5FEC79DE" w14:textId="0DB95E8E"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tr>
      <w:tr w:rsidR="008B4539" w:rsidRPr="008108B3" w14:paraId="02755EA5" w14:textId="77777777" w:rsidTr="00AA5FE1">
        <w:trPr>
          <w:trHeight w:val="560"/>
        </w:trPr>
        <w:tc>
          <w:tcPr>
            <w:tcW w:w="850" w:type="pct"/>
            <w:vMerge/>
            <w:vAlign w:val="center"/>
            <w:hideMark/>
          </w:tcPr>
          <w:p w14:paraId="02DB36FD" w14:textId="77777777" w:rsidR="008B4539" w:rsidRPr="008108B3" w:rsidRDefault="008B4539" w:rsidP="00AA5FE1">
            <w:pPr>
              <w:rPr>
                <w:rFonts w:cs="Times New Roman"/>
                <w:i/>
                <w:color w:val="000000"/>
                <w:szCs w:val="24"/>
              </w:rPr>
            </w:pPr>
          </w:p>
        </w:tc>
        <w:tc>
          <w:tcPr>
            <w:tcW w:w="1160" w:type="pct"/>
            <w:vMerge w:val="restart"/>
            <w:vAlign w:val="center"/>
          </w:tcPr>
          <w:p w14:paraId="2ED9346B" w14:textId="77777777" w:rsidR="008B4539" w:rsidRPr="008108B3" w:rsidRDefault="008B4539" w:rsidP="00AA5FE1">
            <w:pPr>
              <w:rPr>
                <w:rFonts w:cs="Times New Roman"/>
                <w:color w:val="000000"/>
                <w:szCs w:val="24"/>
              </w:rPr>
            </w:pPr>
            <w:r w:rsidRPr="008108B3">
              <w:rPr>
                <w:rFonts w:cs="Times New Roman"/>
                <w:szCs w:val="24"/>
              </w:rPr>
              <w:t>2.3 Kvalita a včasnosť informácií</w:t>
            </w:r>
          </w:p>
        </w:tc>
        <w:tc>
          <w:tcPr>
            <w:tcW w:w="2425" w:type="pct"/>
            <w:vAlign w:val="center"/>
            <w:hideMark/>
          </w:tcPr>
          <w:p w14:paraId="5DBCC2AA" w14:textId="77777777" w:rsidR="008B4539" w:rsidRPr="008108B3" w:rsidRDefault="008B4539" w:rsidP="00AA5FE1">
            <w:pPr>
              <w:jc w:val="both"/>
              <w:rPr>
                <w:rFonts w:cs="Times New Roman"/>
                <w:szCs w:val="24"/>
              </w:rPr>
            </w:pPr>
            <w:r w:rsidRPr="008108B3">
              <w:rPr>
                <w:rFonts w:cs="Times New Roman"/>
                <w:szCs w:val="24"/>
              </w:rPr>
              <w:t>Boli relevantné informácie o tvorbe právneho predpisu verejnosti poskytnuté včas?</w:t>
            </w:r>
          </w:p>
        </w:tc>
        <w:sdt>
          <w:sdtPr>
            <w:rPr>
              <w:rFonts w:cs="Times New Roman"/>
              <w:szCs w:val="24"/>
            </w:rPr>
            <w:id w:val="-281646579"/>
          </w:sdtPr>
          <w:sdtEndPr/>
          <w:sdtContent>
            <w:tc>
              <w:tcPr>
                <w:tcW w:w="258" w:type="pct"/>
                <w:vAlign w:val="center"/>
              </w:tcPr>
              <w:sdt>
                <w:sdtPr>
                  <w:rPr>
                    <w:rFonts w:cs="Times New Roman"/>
                    <w:szCs w:val="24"/>
                  </w:rPr>
                  <w:id w:val="1486741670"/>
                  <w14:checkbox>
                    <w14:checked w14:val="1"/>
                    <w14:checkedState w14:val="2612" w14:font="MS Gothic"/>
                    <w14:uncheckedState w14:val="2610" w14:font="MS Gothic"/>
                  </w14:checkbox>
                </w:sdtPr>
                <w:sdtEndPr/>
                <w:sdtContent>
                  <w:p w14:paraId="2D84E3C7" w14:textId="2F99D8E1"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806853397"/>
          </w:sdtPr>
          <w:sdtEndPr/>
          <w:sdtContent>
            <w:tc>
              <w:tcPr>
                <w:tcW w:w="307" w:type="pct"/>
                <w:vAlign w:val="center"/>
              </w:tcPr>
              <w:sdt>
                <w:sdtPr>
                  <w:rPr>
                    <w:rFonts w:cs="Times New Roman"/>
                    <w:szCs w:val="24"/>
                  </w:rPr>
                  <w:id w:val="640996769"/>
                  <w14:checkbox>
                    <w14:checked w14:val="0"/>
                    <w14:checkedState w14:val="2612" w14:font="MS Gothic"/>
                    <w14:uncheckedState w14:val="2610" w14:font="MS Gothic"/>
                  </w14:checkbox>
                </w:sdtPr>
                <w:sdtEndPr/>
                <w:sdtContent>
                  <w:p w14:paraId="5E2311F9"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3D280C0E" w14:textId="77777777" w:rsidTr="00AA5FE1">
        <w:trPr>
          <w:trHeight w:val="560"/>
        </w:trPr>
        <w:tc>
          <w:tcPr>
            <w:tcW w:w="850" w:type="pct"/>
            <w:vMerge/>
            <w:vAlign w:val="center"/>
            <w:hideMark/>
          </w:tcPr>
          <w:p w14:paraId="6BBC839B" w14:textId="77777777" w:rsidR="008B4539" w:rsidRPr="008108B3" w:rsidRDefault="008B4539" w:rsidP="00AA5FE1">
            <w:pPr>
              <w:rPr>
                <w:rFonts w:cs="Times New Roman"/>
                <w:i/>
                <w:color w:val="000000"/>
                <w:szCs w:val="24"/>
              </w:rPr>
            </w:pPr>
          </w:p>
        </w:tc>
        <w:tc>
          <w:tcPr>
            <w:tcW w:w="1160" w:type="pct"/>
            <w:vMerge/>
            <w:vAlign w:val="center"/>
            <w:hideMark/>
          </w:tcPr>
          <w:p w14:paraId="3A11BCD5" w14:textId="77777777" w:rsidR="008B4539" w:rsidRPr="008108B3" w:rsidRDefault="008B4539" w:rsidP="00AA5FE1">
            <w:pPr>
              <w:rPr>
                <w:rFonts w:cs="Times New Roman"/>
                <w:color w:val="000000"/>
                <w:szCs w:val="24"/>
              </w:rPr>
            </w:pPr>
          </w:p>
        </w:tc>
        <w:tc>
          <w:tcPr>
            <w:tcW w:w="2425" w:type="pct"/>
            <w:vAlign w:val="center"/>
          </w:tcPr>
          <w:p w14:paraId="55861AF5" w14:textId="77777777" w:rsidR="008B4539" w:rsidRPr="008108B3" w:rsidRDefault="008B4539" w:rsidP="00AA5FE1">
            <w:pPr>
              <w:jc w:val="both"/>
              <w:rPr>
                <w:rFonts w:cs="Times New Roman"/>
                <w:color w:val="000000"/>
                <w:szCs w:val="24"/>
                <w:highlight w:val="cyan"/>
              </w:rPr>
            </w:pPr>
            <w:r w:rsidRPr="008108B3">
              <w:rPr>
                <w:rFonts w:cs="Times New Roman"/>
                <w:szCs w:val="24"/>
              </w:rPr>
              <w:t>Boli relevantné informácie o tvorbe právneho predpisu a o samotnom právnom predpise poskytnuté vo vyhovujúcej technickej kvalite?</w:t>
            </w:r>
          </w:p>
        </w:tc>
        <w:sdt>
          <w:sdtPr>
            <w:rPr>
              <w:rFonts w:cs="Times New Roman"/>
              <w:szCs w:val="24"/>
              <w:vertAlign w:val="superscript"/>
            </w:rPr>
            <w:id w:val="-499735987"/>
          </w:sdtPr>
          <w:sdtEndPr/>
          <w:sdtContent>
            <w:tc>
              <w:tcPr>
                <w:tcW w:w="258" w:type="pct"/>
                <w:vAlign w:val="center"/>
              </w:tcPr>
              <w:sdt>
                <w:sdtPr>
                  <w:rPr>
                    <w:rFonts w:cs="Times New Roman"/>
                    <w:szCs w:val="24"/>
                  </w:rPr>
                  <w:id w:val="-468137539"/>
                  <w14:checkbox>
                    <w14:checked w14:val="1"/>
                    <w14:checkedState w14:val="2612" w14:font="MS Gothic"/>
                    <w14:uncheckedState w14:val="2610" w14:font="MS Gothic"/>
                  </w14:checkbox>
                </w:sdtPr>
                <w:sdtEndPr/>
                <w:sdtContent>
                  <w:p w14:paraId="14C51235" w14:textId="4BFE4292"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729766453"/>
          </w:sdtPr>
          <w:sdtEndPr/>
          <w:sdtContent>
            <w:tc>
              <w:tcPr>
                <w:tcW w:w="307" w:type="pct"/>
                <w:vAlign w:val="center"/>
              </w:tcPr>
              <w:sdt>
                <w:sdtPr>
                  <w:rPr>
                    <w:rFonts w:cs="Times New Roman"/>
                    <w:szCs w:val="24"/>
                  </w:rPr>
                  <w:id w:val="-2011354966"/>
                  <w14:checkbox>
                    <w14:checked w14:val="0"/>
                    <w14:checkedState w14:val="2612" w14:font="MS Gothic"/>
                    <w14:uncheckedState w14:val="2610" w14:font="MS Gothic"/>
                  </w14:checkbox>
                </w:sdtPr>
                <w:sdtEndPr/>
                <w:sdtContent>
                  <w:p w14:paraId="67582FA0"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5FD3D2E5" w14:textId="77777777" w:rsidTr="00AA5FE1">
        <w:trPr>
          <w:trHeight w:val="560"/>
        </w:trPr>
        <w:tc>
          <w:tcPr>
            <w:tcW w:w="850" w:type="pct"/>
            <w:vMerge/>
            <w:vAlign w:val="center"/>
            <w:hideMark/>
          </w:tcPr>
          <w:p w14:paraId="44634363" w14:textId="77777777" w:rsidR="008B4539" w:rsidRPr="008108B3" w:rsidRDefault="008B4539" w:rsidP="00AA5FE1">
            <w:pPr>
              <w:rPr>
                <w:rFonts w:cs="Times New Roman"/>
                <w:i/>
                <w:color w:val="000000"/>
                <w:szCs w:val="24"/>
              </w:rPr>
            </w:pPr>
          </w:p>
        </w:tc>
        <w:tc>
          <w:tcPr>
            <w:tcW w:w="1160" w:type="pct"/>
            <w:tcBorders>
              <w:bottom w:val="single" w:sz="4" w:space="0" w:color="auto"/>
            </w:tcBorders>
            <w:vAlign w:val="center"/>
          </w:tcPr>
          <w:p w14:paraId="2F1CFFB0" w14:textId="77777777" w:rsidR="008B4539" w:rsidRPr="008108B3" w:rsidRDefault="008B4539" w:rsidP="00AA5FE1">
            <w:pPr>
              <w:rPr>
                <w:rFonts w:cs="Times New Roman"/>
                <w:color w:val="000000"/>
                <w:szCs w:val="24"/>
              </w:rPr>
            </w:pPr>
            <w:r w:rsidRPr="008108B3">
              <w:rPr>
                <w:rFonts w:cs="Times New Roman"/>
                <w:szCs w:val="24"/>
              </w:rPr>
              <w:t>2.4 Adresnosť informácií</w:t>
            </w:r>
          </w:p>
        </w:tc>
        <w:tc>
          <w:tcPr>
            <w:tcW w:w="2425" w:type="pct"/>
            <w:vAlign w:val="center"/>
            <w:hideMark/>
          </w:tcPr>
          <w:p w14:paraId="0689CACC" w14:textId="77777777" w:rsidR="008B4539" w:rsidRPr="008108B3" w:rsidRDefault="008B4539" w:rsidP="00AA5FE1">
            <w:pPr>
              <w:jc w:val="both"/>
              <w:rPr>
                <w:rFonts w:cs="Times New Roman"/>
                <w:color w:val="000000"/>
                <w:szCs w:val="24"/>
              </w:rPr>
            </w:pPr>
            <w:r w:rsidRPr="008108B3">
              <w:rPr>
                <w:rFonts w:cs="Times New Roman"/>
                <w:szCs w:val="24"/>
              </w:rPr>
              <w:t xml:space="preserve">Boli zvolené komunikačné kanály dostatočné vzhľadom na prenos relevantných informácií o  právnom predpise smerom k verejnosti? </w:t>
            </w:r>
          </w:p>
        </w:tc>
        <w:sdt>
          <w:sdtPr>
            <w:rPr>
              <w:rFonts w:cs="Times New Roman"/>
              <w:szCs w:val="24"/>
            </w:rPr>
            <w:id w:val="-72590606"/>
          </w:sdtPr>
          <w:sdtEndPr/>
          <w:sdtContent>
            <w:tc>
              <w:tcPr>
                <w:tcW w:w="258" w:type="pct"/>
                <w:vAlign w:val="center"/>
              </w:tcPr>
              <w:sdt>
                <w:sdtPr>
                  <w:rPr>
                    <w:rFonts w:cs="Times New Roman"/>
                    <w:szCs w:val="24"/>
                  </w:rPr>
                  <w:id w:val="1596126191"/>
                  <w14:checkbox>
                    <w14:checked w14:val="1"/>
                    <w14:checkedState w14:val="2612" w14:font="MS Gothic"/>
                    <w14:uncheckedState w14:val="2610" w14:font="MS Gothic"/>
                  </w14:checkbox>
                </w:sdtPr>
                <w:sdtEndPr/>
                <w:sdtContent>
                  <w:p w14:paraId="6F35AF00" w14:textId="40482D78"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1050889384"/>
          </w:sdtPr>
          <w:sdtEndPr/>
          <w:sdtContent>
            <w:tc>
              <w:tcPr>
                <w:tcW w:w="307" w:type="pct"/>
                <w:vAlign w:val="center"/>
              </w:tcPr>
              <w:sdt>
                <w:sdtPr>
                  <w:rPr>
                    <w:rFonts w:cs="Times New Roman"/>
                    <w:szCs w:val="24"/>
                  </w:rPr>
                  <w:id w:val="-1005519829"/>
                  <w14:checkbox>
                    <w14:checked w14:val="0"/>
                    <w14:checkedState w14:val="2612" w14:font="MS Gothic"/>
                    <w14:uncheckedState w14:val="2610" w14:font="MS Gothic"/>
                  </w14:checkbox>
                </w:sdtPr>
                <w:sdtEndPr/>
                <w:sdtContent>
                  <w:p w14:paraId="79878A5C"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tr>
      <w:tr w:rsidR="008B4539" w:rsidRPr="008108B3" w14:paraId="40BD9ACE" w14:textId="77777777" w:rsidTr="00AA5FE1">
        <w:trPr>
          <w:trHeight w:val="560"/>
        </w:trPr>
        <w:tc>
          <w:tcPr>
            <w:tcW w:w="850" w:type="pct"/>
            <w:vMerge w:val="restart"/>
            <w:vAlign w:val="center"/>
            <w:hideMark/>
          </w:tcPr>
          <w:p w14:paraId="5C4E958C" w14:textId="77777777" w:rsidR="008B4539" w:rsidRPr="008108B3" w:rsidRDefault="008B4539" w:rsidP="00AA5FE1">
            <w:pPr>
              <w:rPr>
                <w:rFonts w:cs="Times New Roman"/>
                <w:color w:val="000000"/>
                <w:szCs w:val="24"/>
              </w:rPr>
            </w:pPr>
            <w:r w:rsidRPr="008108B3">
              <w:rPr>
                <w:rFonts w:cs="Times New Roman"/>
                <w:b/>
                <w:szCs w:val="24"/>
              </w:rPr>
              <w:t xml:space="preserve">3. Vyhodnotenie procesu tvorby </w:t>
            </w:r>
            <w:r w:rsidRPr="008108B3">
              <w:rPr>
                <w:rFonts w:cs="Times New Roman"/>
                <w:b/>
                <w:szCs w:val="24"/>
              </w:rPr>
              <w:lastRenderedPageBreak/>
              <w:t>právneho predpisu</w:t>
            </w:r>
          </w:p>
        </w:tc>
        <w:tc>
          <w:tcPr>
            <w:tcW w:w="1160" w:type="pct"/>
            <w:vMerge w:val="restart"/>
            <w:vAlign w:val="center"/>
            <w:hideMark/>
          </w:tcPr>
          <w:p w14:paraId="4DCC0D73" w14:textId="77777777" w:rsidR="008B4539" w:rsidRPr="008108B3" w:rsidRDefault="008B4539" w:rsidP="00AA5FE1">
            <w:pPr>
              <w:rPr>
                <w:rFonts w:cs="Times New Roman"/>
                <w:color w:val="000000"/>
                <w:szCs w:val="24"/>
              </w:rPr>
            </w:pPr>
            <w:r w:rsidRPr="008108B3">
              <w:rPr>
                <w:rFonts w:cs="Times New Roman"/>
                <w:szCs w:val="24"/>
              </w:rPr>
              <w:lastRenderedPageBreak/>
              <w:t>4.1 Hodnotenie procesu</w:t>
            </w:r>
          </w:p>
        </w:tc>
        <w:tc>
          <w:tcPr>
            <w:tcW w:w="2425" w:type="pct"/>
            <w:vAlign w:val="center"/>
            <w:hideMark/>
          </w:tcPr>
          <w:p w14:paraId="282CDCB4" w14:textId="77777777" w:rsidR="008B4539" w:rsidRPr="008108B3" w:rsidRDefault="008B4539" w:rsidP="00AA5FE1">
            <w:pPr>
              <w:jc w:val="both"/>
              <w:rPr>
                <w:rFonts w:cs="Times New Roman"/>
                <w:color w:val="000000"/>
                <w:szCs w:val="24"/>
              </w:rPr>
            </w:pPr>
            <w:r w:rsidRPr="008108B3">
              <w:rPr>
                <w:rFonts w:cs="Times New Roman"/>
                <w:szCs w:val="24"/>
              </w:rPr>
              <w:t>Bolo vykonané hodnotenie procesu tvorby právneho predpisu?</w:t>
            </w:r>
          </w:p>
        </w:tc>
        <w:sdt>
          <w:sdtPr>
            <w:rPr>
              <w:rFonts w:cs="Times New Roman"/>
              <w:szCs w:val="24"/>
            </w:rPr>
            <w:id w:val="2039770004"/>
          </w:sdtPr>
          <w:sdtEndPr/>
          <w:sdtContent>
            <w:tc>
              <w:tcPr>
                <w:tcW w:w="258" w:type="pct"/>
                <w:vAlign w:val="center"/>
              </w:tcPr>
              <w:sdt>
                <w:sdtPr>
                  <w:rPr>
                    <w:rFonts w:cs="Times New Roman"/>
                    <w:szCs w:val="24"/>
                  </w:rPr>
                  <w:id w:val="-322041544"/>
                  <w14:checkbox>
                    <w14:checked w14:val="0"/>
                    <w14:checkedState w14:val="2612" w14:font="MS Gothic"/>
                    <w14:uncheckedState w14:val="2610" w14:font="MS Gothic"/>
                  </w14:checkbox>
                </w:sdtPr>
                <w:sdtEndPr/>
                <w:sdtContent>
                  <w:p w14:paraId="5C1BBCC1"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sdt>
          <w:sdtPr>
            <w:rPr>
              <w:rFonts w:cs="Times New Roman"/>
              <w:szCs w:val="24"/>
            </w:rPr>
            <w:id w:val="1913347216"/>
          </w:sdtPr>
          <w:sdtEndPr/>
          <w:sdtContent>
            <w:tc>
              <w:tcPr>
                <w:tcW w:w="307" w:type="pct"/>
                <w:vAlign w:val="center"/>
              </w:tcPr>
              <w:sdt>
                <w:sdtPr>
                  <w:rPr>
                    <w:rFonts w:cs="Times New Roman"/>
                    <w:szCs w:val="24"/>
                  </w:rPr>
                  <w:id w:val="95063066"/>
                  <w14:checkbox>
                    <w14:checked w14:val="1"/>
                    <w14:checkedState w14:val="2612" w14:font="MS Gothic"/>
                    <w14:uncheckedState w14:val="2610" w14:font="MS Gothic"/>
                  </w14:checkbox>
                </w:sdtPr>
                <w:sdtEndPr/>
                <w:sdtContent>
                  <w:p w14:paraId="2F253060" w14:textId="5610CE64"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tr>
      <w:tr w:rsidR="008B4539" w:rsidRPr="008108B3" w14:paraId="41613134" w14:textId="77777777" w:rsidTr="00AA5FE1">
        <w:trPr>
          <w:trHeight w:val="560"/>
        </w:trPr>
        <w:tc>
          <w:tcPr>
            <w:tcW w:w="850" w:type="pct"/>
            <w:vMerge/>
            <w:vAlign w:val="center"/>
            <w:hideMark/>
          </w:tcPr>
          <w:p w14:paraId="44E8B910" w14:textId="77777777" w:rsidR="008B4539" w:rsidRPr="008108B3" w:rsidRDefault="008B4539" w:rsidP="00AA5FE1">
            <w:pPr>
              <w:rPr>
                <w:rFonts w:cs="Times New Roman"/>
                <w:color w:val="000000"/>
                <w:szCs w:val="24"/>
              </w:rPr>
            </w:pPr>
          </w:p>
        </w:tc>
        <w:tc>
          <w:tcPr>
            <w:tcW w:w="1160" w:type="pct"/>
            <w:vMerge/>
            <w:vAlign w:val="center"/>
            <w:hideMark/>
          </w:tcPr>
          <w:p w14:paraId="2F1067B1" w14:textId="77777777" w:rsidR="008B4539" w:rsidRPr="008108B3" w:rsidRDefault="008B4539" w:rsidP="00AA5FE1">
            <w:pPr>
              <w:rPr>
                <w:rFonts w:cs="Times New Roman"/>
                <w:color w:val="000000"/>
                <w:szCs w:val="24"/>
              </w:rPr>
            </w:pPr>
          </w:p>
        </w:tc>
        <w:tc>
          <w:tcPr>
            <w:tcW w:w="2425" w:type="pct"/>
            <w:vAlign w:val="center"/>
          </w:tcPr>
          <w:p w14:paraId="2366B2B7" w14:textId="77777777" w:rsidR="008B4539" w:rsidRPr="008108B3" w:rsidRDefault="008B4539" w:rsidP="00AA5FE1">
            <w:pPr>
              <w:jc w:val="both"/>
              <w:rPr>
                <w:rFonts w:cs="Times New Roman"/>
                <w:color w:val="000000"/>
                <w:szCs w:val="24"/>
              </w:rPr>
            </w:pPr>
            <w:r w:rsidRPr="008108B3">
              <w:rPr>
                <w:rFonts w:cs="Times New Roman"/>
                <w:szCs w:val="24"/>
              </w:rPr>
              <w:t>Bola zverejnená hodnotiaca správa procesu tvorby právneho predpisu?</w:t>
            </w:r>
          </w:p>
        </w:tc>
        <w:sdt>
          <w:sdtPr>
            <w:rPr>
              <w:rFonts w:cs="Times New Roman"/>
              <w:szCs w:val="24"/>
            </w:rPr>
            <w:id w:val="1311670875"/>
          </w:sdtPr>
          <w:sdtEndPr/>
          <w:sdtContent>
            <w:tc>
              <w:tcPr>
                <w:tcW w:w="258" w:type="pct"/>
                <w:vAlign w:val="center"/>
              </w:tcPr>
              <w:sdt>
                <w:sdtPr>
                  <w:rPr>
                    <w:rFonts w:cs="Times New Roman"/>
                    <w:szCs w:val="24"/>
                  </w:rPr>
                  <w:id w:val="61307518"/>
                  <w14:checkbox>
                    <w14:checked w14:val="0"/>
                    <w14:checkedState w14:val="2612" w14:font="MS Gothic"/>
                    <w14:uncheckedState w14:val="2610" w14:font="MS Gothic"/>
                  </w14:checkbox>
                </w:sdtPr>
                <w:sdtEndPr/>
                <w:sdtContent>
                  <w:p w14:paraId="35E2DFE9" w14:textId="77777777" w:rsidR="008B4539" w:rsidRPr="008108B3" w:rsidRDefault="008B4539" w:rsidP="00AA5FE1">
                    <w:pPr>
                      <w:rPr>
                        <w:rFonts w:cs="Times New Roman"/>
                        <w:szCs w:val="24"/>
                      </w:rPr>
                    </w:pPr>
                    <w:r w:rsidRPr="008108B3">
                      <w:rPr>
                        <w:rFonts w:ascii="MS Mincho" w:eastAsia="MS Mincho" w:hAnsi="MS Mincho" w:cs="MS Mincho" w:hint="eastAsia"/>
                        <w:szCs w:val="24"/>
                      </w:rPr>
                      <w:t>☐</w:t>
                    </w:r>
                  </w:p>
                </w:sdtContent>
              </w:sdt>
            </w:tc>
          </w:sdtContent>
        </w:sdt>
        <w:sdt>
          <w:sdtPr>
            <w:rPr>
              <w:rFonts w:cs="Times New Roman"/>
              <w:szCs w:val="24"/>
            </w:rPr>
            <w:id w:val="1113631784"/>
          </w:sdtPr>
          <w:sdtEndPr/>
          <w:sdtContent>
            <w:tc>
              <w:tcPr>
                <w:tcW w:w="307" w:type="pct"/>
                <w:vAlign w:val="center"/>
              </w:tcPr>
              <w:sdt>
                <w:sdtPr>
                  <w:rPr>
                    <w:rFonts w:cs="Times New Roman"/>
                    <w:szCs w:val="24"/>
                  </w:rPr>
                  <w:id w:val="-276022697"/>
                  <w14:checkbox>
                    <w14:checked w14:val="1"/>
                    <w14:checkedState w14:val="2612" w14:font="MS Gothic"/>
                    <w14:uncheckedState w14:val="2610" w14:font="MS Gothic"/>
                  </w14:checkbox>
                </w:sdtPr>
                <w:sdtEndPr/>
                <w:sdtContent>
                  <w:p w14:paraId="5BB4C7C8" w14:textId="5EED4665"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tr>
      <w:tr w:rsidR="008B4539" w:rsidRPr="008108B3" w14:paraId="6F928244" w14:textId="77777777" w:rsidTr="00AA5FE1">
        <w:trPr>
          <w:trHeight w:val="560"/>
        </w:trPr>
        <w:tc>
          <w:tcPr>
            <w:tcW w:w="850" w:type="pct"/>
            <w:vMerge/>
            <w:vAlign w:val="center"/>
          </w:tcPr>
          <w:p w14:paraId="48A960CC" w14:textId="77777777" w:rsidR="008B4539" w:rsidRPr="008108B3" w:rsidRDefault="008B4539" w:rsidP="00AA5FE1">
            <w:pPr>
              <w:rPr>
                <w:rFonts w:cs="Times New Roman"/>
                <w:color w:val="000000"/>
                <w:szCs w:val="24"/>
              </w:rPr>
            </w:pPr>
          </w:p>
        </w:tc>
        <w:tc>
          <w:tcPr>
            <w:tcW w:w="1160" w:type="pct"/>
            <w:vMerge/>
            <w:vAlign w:val="center"/>
          </w:tcPr>
          <w:p w14:paraId="24F341D6" w14:textId="77777777" w:rsidR="008B4539" w:rsidRPr="008108B3" w:rsidRDefault="008B4539" w:rsidP="00AA5FE1">
            <w:pPr>
              <w:rPr>
                <w:rFonts w:cs="Times New Roman"/>
                <w:color w:val="000000"/>
                <w:szCs w:val="24"/>
              </w:rPr>
            </w:pPr>
          </w:p>
        </w:tc>
        <w:tc>
          <w:tcPr>
            <w:tcW w:w="2425" w:type="pct"/>
            <w:vAlign w:val="center"/>
          </w:tcPr>
          <w:p w14:paraId="23316C69" w14:textId="77777777" w:rsidR="008B4539" w:rsidRPr="008108B3" w:rsidRDefault="008B4539" w:rsidP="00AA5FE1">
            <w:pPr>
              <w:jc w:val="both"/>
              <w:rPr>
                <w:rFonts w:cs="Times New Roman"/>
                <w:szCs w:val="24"/>
              </w:rPr>
            </w:pPr>
            <w:r w:rsidRPr="008108B3">
              <w:rPr>
                <w:rFonts w:cs="Times New Roman"/>
                <w:szCs w:val="24"/>
              </w:rPr>
              <w:t>Bol splnený cieľ účasti verejnosti na tvorbe právneho predpisu?</w:t>
            </w:r>
          </w:p>
        </w:tc>
        <w:sdt>
          <w:sdtPr>
            <w:rPr>
              <w:rFonts w:cs="Times New Roman"/>
              <w:szCs w:val="24"/>
            </w:rPr>
            <w:id w:val="-535268146"/>
          </w:sdtPr>
          <w:sdtEndPr/>
          <w:sdtContent>
            <w:tc>
              <w:tcPr>
                <w:tcW w:w="258" w:type="pct"/>
                <w:vAlign w:val="center"/>
              </w:tcPr>
              <w:sdt>
                <w:sdtPr>
                  <w:rPr>
                    <w:rFonts w:cs="Times New Roman"/>
                    <w:szCs w:val="24"/>
                  </w:rPr>
                  <w:id w:val="-980529627"/>
                  <w14:checkbox>
                    <w14:checked w14:val="1"/>
                    <w14:checkedState w14:val="2612" w14:font="MS Gothic"/>
                    <w14:uncheckedState w14:val="2610" w14:font="MS Gothic"/>
                  </w14:checkbox>
                </w:sdtPr>
                <w:sdtEndPr/>
                <w:sdtContent>
                  <w:p w14:paraId="3A18BE6E" w14:textId="7471E654" w:rsidR="008B4539" w:rsidRPr="008108B3" w:rsidRDefault="008B4539" w:rsidP="00AA5FE1">
                    <w:pPr>
                      <w:rPr>
                        <w:rFonts w:cs="Times New Roman"/>
                        <w:szCs w:val="24"/>
                      </w:rPr>
                    </w:pPr>
                    <w:r>
                      <w:rPr>
                        <w:rFonts w:ascii="MS Gothic" w:eastAsia="MS Gothic" w:hAnsi="MS Gothic" w:cs="Times New Roman" w:hint="eastAsia"/>
                        <w:szCs w:val="24"/>
                      </w:rPr>
                      <w:t>☒</w:t>
                    </w:r>
                  </w:p>
                </w:sdtContent>
              </w:sdt>
            </w:tc>
          </w:sdtContent>
        </w:sdt>
        <w:sdt>
          <w:sdtPr>
            <w:rPr>
              <w:rFonts w:cs="Times New Roman"/>
              <w:szCs w:val="24"/>
            </w:rPr>
            <w:id w:val="1588495918"/>
          </w:sdtPr>
          <w:sdtEndPr/>
          <w:sdtContent>
            <w:tc>
              <w:tcPr>
                <w:tcW w:w="307" w:type="pct"/>
                <w:vAlign w:val="center"/>
              </w:tcPr>
              <w:sdt>
                <w:sdtPr>
                  <w:rPr>
                    <w:rFonts w:cs="Times New Roman"/>
                    <w:szCs w:val="24"/>
                  </w:rPr>
                  <w:id w:val="-2008733908"/>
                  <w14:checkbox>
                    <w14:checked w14:val="0"/>
                    <w14:checkedState w14:val="2612" w14:font="MS Gothic"/>
                    <w14:uncheckedState w14:val="2610" w14:font="MS Gothic"/>
                  </w14:checkbox>
                </w:sdtPr>
                <w:sdtEndPr/>
                <w:sdtContent>
                  <w:p w14:paraId="624E43F9" w14:textId="774A8504" w:rsidR="008B4539" w:rsidRPr="008108B3" w:rsidRDefault="008B4539" w:rsidP="00AA5FE1">
                    <w:pPr>
                      <w:keepNext/>
                      <w:rPr>
                        <w:rFonts w:cs="Times New Roman"/>
                        <w:szCs w:val="24"/>
                      </w:rPr>
                    </w:pPr>
                    <w:r>
                      <w:rPr>
                        <w:rFonts w:ascii="MS Gothic" w:eastAsia="MS Gothic" w:hAnsi="MS Gothic" w:cs="Times New Roman" w:hint="eastAsia"/>
                        <w:szCs w:val="24"/>
                      </w:rPr>
                      <w:t>☐</w:t>
                    </w:r>
                  </w:p>
                </w:sdtContent>
              </w:sdt>
            </w:tc>
          </w:sdtContent>
        </w:sdt>
      </w:tr>
    </w:tbl>
    <w:p w14:paraId="64E62282" w14:textId="6BC6D02E" w:rsidR="008B4539" w:rsidRDefault="008B4539" w:rsidP="008B4539">
      <w:pPr>
        <w:spacing w:after="0"/>
        <w:rPr>
          <w:rFonts w:cs="Times New Roman"/>
          <w:szCs w:val="24"/>
        </w:rPr>
      </w:pPr>
    </w:p>
    <w:p w14:paraId="01249D9C" w14:textId="3C85A992" w:rsidR="00EA5B2C" w:rsidRPr="00342546" w:rsidRDefault="00EA5B2C" w:rsidP="00342546">
      <w:pPr>
        <w:spacing w:after="0" w:line="240" w:lineRule="auto"/>
        <w:jc w:val="both"/>
        <w:rPr>
          <w:rFonts w:cs="Calibri"/>
          <w:szCs w:val="24"/>
        </w:rPr>
      </w:pPr>
      <w:r w:rsidRPr="00342546">
        <w:rPr>
          <w:rFonts w:cs="Calibri"/>
          <w:szCs w:val="24"/>
        </w:rPr>
        <w:t>Verejnosť bola o príprave návrhu</w:t>
      </w:r>
      <w:r w:rsidRPr="00342546">
        <w:rPr>
          <w:szCs w:val="24"/>
        </w:rPr>
        <w:t xml:space="preserve"> </w:t>
      </w:r>
      <w:r w:rsidRPr="00342546">
        <w:rPr>
          <w:rFonts w:cs="Calibri"/>
          <w:szCs w:val="24"/>
        </w:rPr>
        <w:t xml:space="preserve">zákona, ktorým sa mení a dopĺňa zákon č. 218/2013 Z. z. o núdzových zásobách ropy a ropných výrobkov a o riešení stavu ropnej núdze a o zmene a doplnení niektorých zákonov v znení neskorších predpisov (ďalej len „návrh zákona“), informovaná prostredníctvom predbežnej informácie č. PI/2020/279 zverejnenej na portáli Slov-Lex. Na základe zverejnenej predbežnej informácie č. PI/2020/261 mohla verejnosť od 23. decembra do 8. januára 2021 predkladať svoje návrhy a pripomienky. </w:t>
      </w:r>
      <w:r w:rsidR="00DB157C">
        <w:rPr>
          <w:rFonts w:cs="Calibri"/>
          <w:szCs w:val="24"/>
        </w:rPr>
        <w:t>N</w:t>
      </w:r>
      <w:r w:rsidR="0098693D">
        <w:rPr>
          <w:rFonts w:cs="Calibri"/>
          <w:szCs w:val="24"/>
        </w:rPr>
        <w:t>ávrhy a pripomienky, ktoré boli zo strany verejnosti vznesené v stanovenom období, Správa štátnych hmotných rezerv Slovenskej republiky vyhodnotila nasledujúco:</w:t>
      </w:r>
      <w:bookmarkStart w:id="0" w:name="_GoBack"/>
      <w:bookmarkEnd w:id="0"/>
    </w:p>
    <w:p w14:paraId="73A7F70B" w14:textId="6909CD5A" w:rsidR="00EA5B2C" w:rsidRDefault="00EA5B2C" w:rsidP="002737C4">
      <w:pPr>
        <w:spacing w:after="0" w:line="240" w:lineRule="auto"/>
        <w:rPr>
          <w:rFonts w:cs="Calibri"/>
          <w:sz w:val="20"/>
          <w:szCs w:val="20"/>
        </w:rPr>
      </w:pPr>
    </w:p>
    <w:p w14:paraId="24DA41EF" w14:textId="77777777" w:rsidR="002737C4" w:rsidRDefault="002737C4" w:rsidP="002737C4">
      <w:pPr>
        <w:spacing w:after="0" w:line="240" w:lineRule="auto"/>
        <w:rPr>
          <w:rFonts w:cs="Calibri"/>
          <w:sz w:val="20"/>
          <w:szCs w:val="20"/>
        </w:rPr>
      </w:pPr>
    </w:p>
    <w:tbl>
      <w:tblPr>
        <w:tblW w:w="515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38"/>
        <w:gridCol w:w="4190"/>
        <w:gridCol w:w="4003"/>
      </w:tblGrid>
      <w:tr w:rsidR="002737C4" w:rsidRPr="00342546" w14:paraId="65C2858A"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vAlign w:val="center"/>
            <w:hideMark/>
          </w:tcPr>
          <w:p w14:paraId="686DFAF6" w14:textId="77777777" w:rsidR="002737C4" w:rsidRPr="00342546" w:rsidRDefault="002737C4" w:rsidP="00AA5FE1">
            <w:pPr>
              <w:jc w:val="center"/>
              <w:rPr>
                <w:rFonts w:ascii="Times" w:hAnsi="Times" w:cs="Times"/>
                <w:b/>
                <w:bCs/>
                <w:szCs w:val="24"/>
              </w:rPr>
            </w:pPr>
            <w:r w:rsidRPr="00342546">
              <w:rPr>
                <w:rFonts w:ascii="Times" w:hAnsi="Times" w:cs="Times"/>
                <w:b/>
                <w:bCs/>
                <w:szCs w:val="24"/>
              </w:rPr>
              <w:t>Subjekt</w:t>
            </w:r>
          </w:p>
        </w:tc>
        <w:tc>
          <w:tcPr>
            <w:tcW w:w="2245" w:type="pct"/>
            <w:tcBorders>
              <w:top w:val="outset" w:sz="6" w:space="0" w:color="000000"/>
              <w:left w:val="outset" w:sz="6" w:space="0" w:color="000000"/>
              <w:bottom w:val="outset" w:sz="6" w:space="0" w:color="000000"/>
              <w:right w:val="outset" w:sz="6" w:space="0" w:color="000000"/>
            </w:tcBorders>
            <w:vAlign w:val="center"/>
            <w:hideMark/>
          </w:tcPr>
          <w:p w14:paraId="5E4194D2" w14:textId="77777777" w:rsidR="002737C4" w:rsidRPr="00342546" w:rsidRDefault="002737C4" w:rsidP="00AA5FE1">
            <w:pPr>
              <w:jc w:val="center"/>
              <w:rPr>
                <w:rFonts w:ascii="Times" w:hAnsi="Times" w:cs="Times"/>
                <w:b/>
                <w:bCs/>
                <w:szCs w:val="24"/>
              </w:rPr>
            </w:pPr>
            <w:r w:rsidRPr="00342546">
              <w:rPr>
                <w:rFonts w:ascii="Times" w:hAnsi="Times" w:cs="Times"/>
                <w:b/>
                <w:bCs/>
                <w:szCs w:val="24"/>
              </w:rPr>
              <w:t>Vyjadrenia</w:t>
            </w:r>
          </w:p>
        </w:tc>
        <w:tc>
          <w:tcPr>
            <w:tcW w:w="2145" w:type="pct"/>
            <w:tcBorders>
              <w:top w:val="outset" w:sz="6" w:space="0" w:color="000000"/>
              <w:left w:val="outset" w:sz="6" w:space="0" w:color="000000"/>
              <w:bottom w:val="outset" w:sz="6" w:space="0" w:color="000000"/>
              <w:right w:val="outset" w:sz="6" w:space="0" w:color="000000"/>
            </w:tcBorders>
          </w:tcPr>
          <w:p w14:paraId="14F713E2" w14:textId="77777777" w:rsidR="002737C4" w:rsidRPr="00342546" w:rsidRDefault="002737C4" w:rsidP="00AA5FE1">
            <w:pPr>
              <w:jc w:val="center"/>
              <w:rPr>
                <w:rFonts w:ascii="Times" w:hAnsi="Times" w:cs="Times"/>
                <w:b/>
                <w:bCs/>
                <w:szCs w:val="24"/>
              </w:rPr>
            </w:pPr>
            <w:r w:rsidRPr="00342546">
              <w:rPr>
                <w:rFonts w:ascii="Times" w:hAnsi="Times" w:cs="Times"/>
                <w:b/>
                <w:bCs/>
                <w:szCs w:val="24"/>
              </w:rPr>
              <w:t>Vyhodnotenie</w:t>
            </w:r>
          </w:p>
        </w:tc>
      </w:tr>
      <w:tr w:rsidR="002737C4" w:rsidRPr="00342546" w14:paraId="7AF347FA"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hideMark/>
          </w:tcPr>
          <w:p w14:paraId="7289E110" w14:textId="77777777" w:rsidR="002737C4" w:rsidRPr="00342546" w:rsidRDefault="002737C4" w:rsidP="00AA5FE1">
            <w:pPr>
              <w:jc w:val="center"/>
              <w:rPr>
                <w:rFonts w:ascii="Times" w:hAnsi="Times" w:cs="Times"/>
                <w:b/>
                <w:bCs/>
                <w:szCs w:val="24"/>
              </w:rPr>
            </w:pPr>
            <w:r w:rsidRPr="00342546">
              <w:rPr>
                <w:rFonts w:ascii="Times" w:hAnsi="Times" w:cs="Times"/>
                <w:b/>
                <w:bCs/>
                <w:szCs w:val="24"/>
              </w:rPr>
              <w:t>Klub 500</w:t>
            </w:r>
          </w:p>
        </w:tc>
        <w:tc>
          <w:tcPr>
            <w:tcW w:w="2245" w:type="pct"/>
            <w:tcBorders>
              <w:top w:val="outset" w:sz="6" w:space="0" w:color="000000"/>
              <w:left w:val="outset" w:sz="6" w:space="0" w:color="000000"/>
              <w:bottom w:val="outset" w:sz="6" w:space="0" w:color="000000"/>
              <w:right w:val="outset" w:sz="6" w:space="0" w:color="000000"/>
            </w:tcBorders>
            <w:vAlign w:val="center"/>
            <w:hideMark/>
          </w:tcPr>
          <w:p w14:paraId="2E8C0C2A" w14:textId="1A17DCD7" w:rsidR="002737C4" w:rsidRPr="00342546" w:rsidRDefault="002737C4" w:rsidP="00881659">
            <w:pPr>
              <w:ind w:left="113" w:right="113"/>
              <w:jc w:val="both"/>
              <w:rPr>
                <w:rFonts w:ascii="Times" w:hAnsi="Times" w:cs="Times"/>
                <w:szCs w:val="24"/>
              </w:rPr>
            </w:pPr>
            <w:r w:rsidRPr="00342546">
              <w:rPr>
                <w:rFonts w:ascii="Times" w:hAnsi="Times" w:cs="Times"/>
                <w:szCs w:val="24"/>
              </w:rPr>
              <w:t xml:space="preserve">Klub 500 si dovoľuje zaslať podnet k Návrhu zákona, ktorým sa mení a dopĺňa zákon č. 218/2013 Z. z. o núdzových zásobách ropy a ropných výrobkov a o riešení stavu ropnej núdze a o zmene a doplnení niektorých zákonov v znení neskorších predpisov (ďalej len „návrh zákona“). 1. Návrh na doplnenie základnej komodity do štátnych hmotných rezerv Štátne hmotné rezervy predstavujú jeden zo strategických prvkov zdrojovej základne hospodárstva SR pri riešení krízových situácií a mimoriadnych udalostí na území SR, pričom v zmysle zákona č. 218/2013 Z. z. o núdzových zásobách ropy a ropných výrobkov a o riešení stavu ropnej núdze a o zmene a doplnení niektorých zákonov (ďalej len „zákon o núdzových zásobách ropy“) za štátne hmotné rezervy sa na účely osobitných predpisov považujú núdzové zásoby ropy a ropných výrobkov určených na ochranu ekonomiky, predchádzanie, zmiernenie alebo prekonanie stavu ropnej núdze, alebo na plnenie medzinárodných záväzkov Slovenskej republiky. Podľa zákona o núdzových zásobách ropy nesmie stav núdzových zásob ropy a ropných výrobkov klesnúť pod minimálny limit ustanovený v tomto </w:t>
            </w:r>
            <w:r w:rsidRPr="00342546">
              <w:rPr>
                <w:rFonts w:ascii="Times" w:hAnsi="Times" w:cs="Times"/>
                <w:szCs w:val="24"/>
              </w:rPr>
              <w:lastRenderedPageBreak/>
              <w:t xml:space="preserve">zákone, pričom agentúra je povinná zabezpečiť kvalitatívne parametre núdzových zásob podľa technických noriem. Pre naplnenie kvalitatívnych parametrov sa do automobilového benzínu primiešava aj </w:t>
            </w:r>
            <w:proofErr w:type="spellStart"/>
            <w:r w:rsidRPr="00342546">
              <w:rPr>
                <w:rFonts w:ascii="Times" w:hAnsi="Times" w:cs="Times"/>
                <w:szCs w:val="24"/>
              </w:rPr>
              <w:t>etyltercbutyléter</w:t>
            </w:r>
            <w:proofErr w:type="spellEnd"/>
            <w:r w:rsidRPr="00342546">
              <w:rPr>
                <w:rFonts w:ascii="Times" w:hAnsi="Times" w:cs="Times"/>
                <w:szCs w:val="24"/>
              </w:rPr>
              <w:t xml:space="preserve"> (ETBE), ktorý sa vyrába v rafinériách z bezvodého liehu. Zároveň je nevyhnutné uviesť, že z bezvodého liehu sa vyrábajú aj širokospektrálne dezinfekčné prostriedky, ktoré sú súčasťou pohotovostných zásob (jedna z kategórii štátnych hmotných rezerv). V súčasnosti sa taktiež nachádza v medzirezortnom pripomienkovom konaní aj materiál „Návrh tvorby pohotovostných zásob na roky 2021 – 2022“ (LP/2020/605), ktorým sa pohotovostné zásoby majú rozšíriť aj o dezinfekčné prostriedky na ruky. Nakoľko v rámci 1. vlny pandémie spôsobenej ochorením COVID-19 bol na trhu absolútny nedostatok predmetných dezinfekčných prostriedkov, považujeme za nevyhnutné, v rámci štátnych hmotných rezerv zabezpečiť aj prvotnú surovinu, z ktorej sa tieto dezinfekčné prostriedky dajú vyrobiť. Týmto by sa v budúcnosti predišlo nežiadúcemu stavu spôsobenému nedostupnosťou dezinfekčných prostriedkov na trhu ako tomu bolo v prípade 1. vlny pandémie spôsobenej ochorením COVID-19. Zastávame názor, že na to, aby bolo možné naplniť kvalitatívne požiadavky automobilového benzínu pre účely núdzových zásob ropy a ropných výrobkov a zároveň zabezpečiť optimálne stavy vyššie uvedených dezinfekčných prostriedkov (najmä ich výroby) považujeme za nevyhnutné, aby bol ustanovený za štátnu hmotnú rezervu aj bezvodý lieh v zmysle § 2 ods. písm. o) zákona č. 467/2002 Z. z. o výrobe a uvádzaní liehu na trh, v dostatočnom </w:t>
            </w:r>
            <w:r w:rsidRPr="00342546">
              <w:rPr>
                <w:rFonts w:ascii="Times" w:hAnsi="Times" w:cs="Times"/>
                <w:szCs w:val="24"/>
              </w:rPr>
              <w:lastRenderedPageBreak/>
              <w:t>množstve, čím by bola do budúcnosti zabezpečená povinnosť dodržania kvalitatívnych parametrov núdzových zásob ropy a ropných výrobkov podľa technických noriem a zároveň aj zaistená možnosť výroby vyššie uvedených dezinfekčných prostriedkov. Na základe vyššie uvedeného žiadame predkladateľa aby v rámci legislatívneho procesu zobral vyššie uvedené podnety do úvahy a primerane ich zohľadnil v znení návrhu zákona, ktorý bude predložený do medzirezortného pripomienkového konania.</w:t>
            </w:r>
          </w:p>
        </w:tc>
        <w:tc>
          <w:tcPr>
            <w:tcW w:w="2145" w:type="pct"/>
            <w:tcBorders>
              <w:top w:val="outset" w:sz="6" w:space="0" w:color="000000"/>
              <w:left w:val="outset" w:sz="6" w:space="0" w:color="000000"/>
              <w:bottom w:val="outset" w:sz="6" w:space="0" w:color="000000"/>
              <w:right w:val="outset" w:sz="6" w:space="0" w:color="000000"/>
            </w:tcBorders>
          </w:tcPr>
          <w:p w14:paraId="4DBB69B8" w14:textId="77777777" w:rsidR="002737C4" w:rsidRPr="00342546" w:rsidRDefault="002737C4" w:rsidP="00881659">
            <w:pPr>
              <w:ind w:left="113" w:right="113"/>
              <w:jc w:val="both"/>
              <w:rPr>
                <w:rFonts w:ascii="Times" w:hAnsi="Times" w:cs="Times"/>
                <w:szCs w:val="24"/>
                <w:u w:val="single"/>
              </w:rPr>
            </w:pPr>
            <w:r w:rsidRPr="00342546">
              <w:rPr>
                <w:rFonts w:ascii="Times" w:hAnsi="Times" w:cs="Times"/>
                <w:szCs w:val="24"/>
                <w:u w:val="single"/>
              </w:rPr>
              <w:lastRenderedPageBreak/>
              <w:t>Vyhodnotenie - neakceptovaný návrh.</w:t>
            </w:r>
          </w:p>
          <w:p w14:paraId="29D3961B" w14:textId="77777777" w:rsidR="002737C4" w:rsidRPr="00342546" w:rsidRDefault="002737C4" w:rsidP="00881659">
            <w:pPr>
              <w:ind w:left="113" w:right="113"/>
              <w:jc w:val="both"/>
              <w:rPr>
                <w:rFonts w:ascii="Times" w:hAnsi="Times" w:cs="Times"/>
                <w:szCs w:val="24"/>
              </w:rPr>
            </w:pPr>
            <w:r w:rsidRPr="00342546">
              <w:rPr>
                <w:rFonts w:ascii="Times" w:hAnsi="Times" w:cs="Times"/>
                <w:szCs w:val="24"/>
              </w:rPr>
              <w:t xml:space="preserve">Zásoby bezvodého liehu nemôžu byť súčasťou núdzových zásob ropy a ropných výrobkov (ďalej len „núdzové zásoby“) podľa zákona č. 218/2013 Z. z. o núdzových zásobách ropy a ropných výrobkov a o riešení stavu ropnej núdze a o zmene a doplnení niektorých zákonov v znení neskorších predpisov (ďalej len „zákon č. 218/2013 Z. z.“). Bezvodý lieh je jednou zo surovín na výrobu </w:t>
            </w:r>
            <w:proofErr w:type="spellStart"/>
            <w:r w:rsidRPr="00342546">
              <w:rPr>
                <w:rFonts w:ascii="Times" w:hAnsi="Times" w:cs="Times"/>
                <w:szCs w:val="24"/>
              </w:rPr>
              <w:t>etyltercbutyléteru</w:t>
            </w:r>
            <w:proofErr w:type="spellEnd"/>
            <w:r w:rsidRPr="00342546">
              <w:rPr>
                <w:rFonts w:ascii="Times" w:hAnsi="Times" w:cs="Times"/>
                <w:szCs w:val="24"/>
              </w:rPr>
              <w:t xml:space="preserve"> (ETBE), ktorý je ako biopalivo primiešavaný do automobilového benzínu. Avšak zákon č. 218/2013 Z. z. umožňuje ako súčasť núdzových zásob udržiavať aditíva alebo biopalivá iba vtedy, ak „</w:t>
            </w:r>
            <w:r w:rsidRPr="00C12F2A">
              <w:rPr>
                <w:rFonts w:ascii="Times" w:hAnsi="Times" w:cs="Times"/>
                <w:i/>
                <w:szCs w:val="24"/>
              </w:rPr>
              <w:t>boli primiešané do ropných výrobkov v núdzových zásobách, alebo ktoré sa udržiavajú na území Slovenskej republiky, sú určené na zmiešanie s ropnými výrobkami skladovanými v núdzových zásobách a sú určené na použitie v doprave</w:t>
            </w:r>
            <w:r w:rsidRPr="00342546">
              <w:rPr>
                <w:rFonts w:ascii="Times" w:hAnsi="Times" w:cs="Times"/>
                <w:szCs w:val="24"/>
              </w:rPr>
              <w:t xml:space="preserve">“. Zásoby bezvodého liehu teda nemôžu byť súčasťou núdzových zásob, pretože bezvodý lieh je iba základná surovina určená na výrobu napr. dezinfekcie alebo ETBE, ale nie je to aditívum alebo biopalivo </w:t>
            </w:r>
            <w:r w:rsidRPr="00342546">
              <w:rPr>
                <w:rFonts w:ascii="Times" w:hAnsi="Times" w:cs="Times"/>
                <w:szCs w:val="24"/>
              </w:rPr>
              <w:lastRenderedPageBreak/>
              <w:t>priamo určené na zmiešanie s ropnými výrobkami.</w:t>
            </w:r>
          </w:p>
          <w:p w14:paraId="3532509E" w14:textId="77777777" w:rsidR="002737C4" w:rsidRPr="00342546" w:rsidRDefault="002737C4" w:rsidP="00AA5FE1">
            <w:pPr>
              <w:jc w:val="both"/>
              <w:rPr>
                <w:rFonts w:ascii="Times" w:hAnsi="Times" w:cs="Times"/>
                <w:szCs w:val="24"/>
              </w:rPr>
            </w:pPr>
          </w:p>
          <w:p w14:paraId="664B89D3" w14:textId="77777777" w:rsidR="002737C4" w:rsidRPr="00342546" w:rsidRDefault="002737C4" w:rsidP="00881659">
            <w:pPr>
              <w:ind w:left="113" w:right="113"/>
              <w:jc w:val="both"/>
              <w:rPr>
                <w:rFonts w:ascii="Times" w:hAnsi="Times" w:cs="Times"/>
                <w:szCs w:val="24"/>
              </w:rPr>
            </w:pPr>
            <w:r w:rsidRPr="00342546">
              <w:rPr>
                <w:rFonts w:ascii="Times" w:hAnsi="Times" w:cs="Times"/>
                <w:szCs w:val="24"/>
              </w:rPr>
              <w:t>Z toho dôvodu uvedená pripomienka, resp. vyjadrenie Klubu 500 nijako nesúvisí so zákonom č. 218/2013 Z. z. a jeho novelizáciou a preto nemá miesto v predmetnom legislatívnom procese a musíme takúto pripomienku, resp. vyjadrenie vyhodnotiť ako neopodstatnené, resp. irelevantné.</w:t>
            </w:r>
          </w:p>
        </w:tc>
      </w:tr>
      <w:tr w:rsidR="002737C4" w:rsidRPr="00342546" w14:paraId="68ABECAB" w14:textId="77777777" w:rsidTr="00881659">
        <w:trPr>
          <w:jc w:val="center"/>
        </w:trPr>
        <w:tc>
          <w:tcPr>
            <w:tcW w:w="610" w:type="pct"/>
            <w:tcBorders>
              <w:top w:val="outset" w:sz="6" w:space="0" w:color="000000"/>
              <w:left w:val="outset" w:sz="6" w:space="0" w:color="000000"/>
              <w:bottom w:val="outset" w:sz="6" w:space="0" w:color="000000"/>
              <w:right w:val="outset" w:sz="6" w:space="0" w:color="000000"/>
            </w:tcBorders>
            <w:hideMark/>
          </w:tcPr>
          <w:p w14:paraId="621D4A57" w14:textId="77777777" w:rsidR="002737C4" w:rsidRPr="00342546" w:rsidRDefault="002737C4" w:rsidP="00AA5FE1">
            <w:pPr>
              <w:jc w:val="center"/>
              <w:rPr>
                <w:rFonts w:ascii="Times" w:hAnsi="Times" w:cs="Times"/>
                <w:b/>
                <w:bCs/>
                <w:szCs w:val="24"/>
              </w:rPr>
            </w:pPr>
            <w:r w:rsidRPr="00342546">
              <w:rPr>
                <w:rFonts w:ascii="Times" w:hAnsi="Times" w:cs="Times"/>
                <w:b/>
                <w:bCs/>
                <w:szCs w:val="24"/>
              </w:rPr>
              <w:lastRenderedPageBreak/>
              <w:t>RÚZSR</w:t>
            </w:r>
          </w:p>
        </w:tc>
        <w:tc>
          <w:tcPr>
            <w:tcW w:w="2245" w:type="pct"/>
            <w:tcBorders>
              <w:top w:val="outset" w:sz="6" w:space="0" w:color="000000"/>
              <w:left w:val="outset" w:sz="6" w:space="0" w:color="000000"/>
              <w:bottom w:val="outset" w:sz="6" w:space="0" w:color="000000"/>
              <w:right w:val="outset" w:sz="6" w:space="0" w:color="000000"/>
            </w:tcBorders>
            <w:vAlign w:val="center"/>
            <w:hideMark/>
          </w:tcPr>
          <w:p w14:paraId="18B9C3A6" w14:textId="77777777" w:rsidR="002737C4" w:rsidRPr="00342546" w:rsidRDefault="002737C4" w:rsidP="00881659">
            <w:pPr>
              <w:ind w:left="113" w:right="113"/>
              <w:jc w:val="both"/>
              <w:rPr>
                <w:rFonts w:ascii="Times" w:hAnsi="Times" w:cs="Times"/>
                <w:szCs w:val="24"/>
              </w:rPr>
            </w:pPr>
            <w:r w:rsidRPr="00342546">
              <w:rPr>
                <w:rFonts w:ascii="Times" w:hAnsi="Times" w:cs="Times"/>
                <w:szCs w:val="24"/>
              </w:rPr>
              <w:t xml:space="preserve">1. Návrh na doplnenie základnej komodity do štátnych hmotných rezerv Štátne hmotné rezervy predstavujú jeden zo strategických prvkov zdrojovej základne hospodárstva SR pri riešení krízových situácií a mimoriadnych udalostí na území SR, pričom v zmysle zákona č. 218/2013 Z. z. o núdzových zásobách ropy a ropných výrobkov a o riešení stavu ropnej núdze a o zmene a doplnení niektorých zákonov (ďalej len „zákon o núdzových zásobách ropy“) za štátne hmotné rezervy sa na účely osobitných predpisov považujú núdzové zásoby ropy a ropných výrobkov určených na ochranu ekonomiky, predchádzanie, zmiernenie alebo prekonanie stavu ropnej núdze, alebo na plnenie medzinárodných záväzkov Slovenskej republiky. Podľa zákona o núdzových zásobách ropy nesmie stav núdzových zásob ropy a ropných výrobkov klesnúť pod minimálny limit ustanovený v tomto zákone, pričom agentúra je povinná zabezpečiť kvalitatívne parametre núdzových zásob podľa technických noriem. Pre naplnenie kvalitatívnych parametrov sa do automobilového benzínu primiešava aj </w:t>
            </w:r>
            <w:proofErr w:type="spellStart"/>
            <w:r w:rsidRPr="00342546">
              <w:rPr>
                <w:rFonts w:ascii="Times" w:hAnsi="Times" w:cs="Times"/>
                <w:szCs w:val="24"/>
              </w:rPr>
              <w:lastRenderedPageBreak/>
              <w:t>etyltercbutyléter</w:t>
            </w:r>
            <w:proofErr w:type="spellEnd"/>
            <w:r w:rsidRPr="00342546">
              <w:rPr>
                <w:rFonts w:ascii="Times" w:hAnsi="Times" w:cs="Times"/>
                <w:szCs w:val="24"/>
              </w:rPr>
              <w:t xml:space="preserve"> (ETBE), ktorý sa vyrába v rafinériách z bezvodého liehu. Zároveň je nevyhnutné uviesť, že z bezvodého liehu sa vyrábajú aj širokospektrálne dezinfekčné prostriedky, ktoré sú súčasťou pohotovostných zásob (jedna z kategórii štátnych hmotných rezerv). V súčasnosti sa taktiež nachádza v medzirezortnom pripomienkovom konaní aj materiál „Návrh tvorby pohotovostných zásob na roky 2021 – 2022“ (LP/2020/605), ktorým sa pohotovostné zásoby majú rozšíriť aj o dezinfekčné prostriedky na ruky. Nakoľko v rámci 1. vlny pandémie spôsobenej ochorením COVID-19 bol na trhu absolútny nedostatok predmetných dezinfekčných prostriedkov, považujeme za nevyhnutné, v rámci štátnych hmotných rezerv zabezpečiť aj prvotnú surovinu, z ktorej sa tieto dezinfekčné prostriedky dajú vyrobiť. Týmto by sa v budúcnosti predišlo nežiadúcemu stavu spôsobenému nedostupnosťou dezinfekčných prostriedkov na trhu ako tomu bolo v prípade 1. vlny pandémie spôsobenej ochorením COVID-19. Zastávame názor, že na to, aby bolo možné naplniť kvalitatívne požiadavky automobilového benzínu pre účely núdzových zásob ropy a ropných výrobkov a zároveň zabezpečiť optimálne stavy vyššie uvedených dezinfekčných prostriedkov (najmä ich výroby) považujeme za nevyhnutné, aby bol ustanovený za štátnu hmotnú rezervu aj bezvodý lieh v zmysle § 2 ods. písm. o) zákona č. 467/2002 Z. z. o výrobe a uvádzaní liehu na trh, v dostatočnom množstve, čím by bola do budúcnosti zabezpečená povinnosť dodržania kvalitatívnych parametrov núdzových zásob ropy a ropných výrobkov podľa technických noriem a zároveň aj zaistená </w:t>
            </w:r>
            <w:r w:rsidRPr="00342546">
              <w:rPr>
                <w:rFonts w:ascii="Times" w:hAnsi="Times" w:cs="Times"/>
                <w:szCs w:val="24"/>
              </w:rPr>
              <w:lastRenderedPageBreak/>
              <w:t xml:space="preserve">možnosť výroby vyššie uvedených dezinfekčných prostriedkov. Na základe vyššie uvedeného žiadame predkladateľa aby v rámci legislatívneho procesu zobral vyššie uvedené podnety do úvahy a primerane ich zohľadnil v znení návrhu zákona, ktorý bude predložený do medzirezortného pripomienkového konania. </w:t>
            </w:r>
          </w:p>
        </w:tc>
        <w:tc>
          <w:tcPr>
            <w:tcW w:w="2145" w:type="pct"/>
            <w:tcBorders>
              <w:top w:val="outset" w:sz="6" w:space="0" w:color="000000"/>
              <w:left w:val="outset" w:sz="6" w:space="0" w:color="000000"/>
              <w:bottom w:val="outset" w:sz="6" w:space="0" w:color="000000"/>
              <w:right w:val="outset" w:sz="6" w:space="0" w:color="000000"/>
            </w:tcBorders>
          </w:tcPr>
          <w:p w14:paraId="29937B31" w14:textId="77777777" w:rsidR="002737C4" w:rsidRPr="00342546" w:rsidRDefault="002737C4" w:rsidP="00881659">
            <w:pPr>
              <w:ind w:left="113" w:right="113"/>
              <w:jc w:val="both"/>
              <w:rPr>
                <w:szCs w:val="24"/>
                <w:lang w:eastAsia="sk-SK"/>
              </w:rPr>
            </w:pPr>
            <w:r w:rsidRPr="00342546">
              <w:rPr>
                <w:rFonts w:ascii="Times" w:hAnsi="Times" w:cs="Times"/>
                <w:szCs w:val="24"/>
                <w:u w:val="single"/>
              </w:rPr>
              <w:lastRenderedPageBreak/>
              <w:t>Vyhodnotenie - neakceptovaný návrh.</w:t>
            </w:r>
          </w:p>
          <w:p w14:paraId="19E9D002" w14:textId="77777777" w:rsidR="002737C4" w:rsidRPr="00342546" w:rsidRDefault="002737C4" w:rsidP="00881659">
            <w:pPr>
              <w:ind w:left="113" w:right="113"/>
              <w:jc w:val="both"/>
              <w:rPr>
                <w:szCs w:val="24"/>
                <w:lang w:eastAsia="sk-SK"/>
              </w:rPr>
            </w:pPr>
            <w:r w:rsidRPr="00342546">
              <w:rPr>
                <w:szCs w:val="24"/>
                <w:lang w:eastAsia="sk-SK"/>
              </w:rPr>
              <w:t>Zásoby bezvodého liehu nemôžu byť súčasťou núdzových zásob ropy a </w:t>
            </w:r>
            <w:r w:rsidRPr="00881659">
              <w:rPr>
                <w:rFonts w:ascii="Times" w:hAnsi="Times" w:cs="Times"/>
                <w:szCs w:val="24"/>
              </w:rPr>
              <w:t>ropných</w:t>
            </w:r>
            <w:r w:rsidRPr="00342546">
              <w:rPr>
                <w:szCs w:val="24"/>
                <w:lang w:eastAsia="sk-SK"/>
              </w:rPr>
              <w:t xml:space="preserve"> výrobkov (ďalej len „núdzové zásoby“) podľa zákona č. 218/2013 Z. z. o núdzových zásobách ropy a ropných výrobkov a o riešení stavu ropnej núdze a o zmene a doplnení niektorých zákonov v znení neskorších predpisov (ďalej len „zákon č. 218/2013 Z. z.“). Bezvodý lieh je jednou zo surovín na výrobu </w:t>
            </w:r>
            <w:proofErr w:type="spellStart"/>
            <w:r w:rsidRPr="00342546">
              <w:rPr>
                <w:szCs w:val="24"/>
                <w:lang w:eastAsia="sk-SK"/>
              </w:rPr>
              <w:t>etyltercbutyléteru</w:t>
            </w:r>
            <w:proofErr w:type="spellEnd"/>
            <w:r w:rsidRPr="00342546">
              <w:rPr>
                <w:szCs w:val="24"/>
                <w:lang w:eastAsia="sk-SK"/>
              </w:rPr>
              <w:t xml:space="preserve"> (ETBE), ktorý je ako biopalivo primiešavaný do automobilového benzínu. Avšak zákon č. 218/2013 Z. z. umožňuje ako súčasť núdzových zásob udržiavať aditíva alebo biopalivá iba vtedy, ak „</w:t>
            </w:r>
            <w:r w:rsidRPr="00342546">
              <w:rPr>
                <w:i/>
                <w:iCs/>
                <w:szCs w:val="24"/>
                <w:lang w:eastAsia="sk-SK"/>
              </w:rPr>
              <w:t>boli primiešané do ropných výrobkov v núdzových zásobách, alebo ktoré sa udržiavajú na území Slovenskej republiky, sú určené na zmiešanie s ropnými výrobkami skladovanými v núdzových zásobách a sú určené na použitie v doprave</w:t>
            </w:r>
            <w:r w:rsidRPr="00342546">
              <w:rPr>
                <w:szCs w:val="24"/>
                <w:lang w:eastAsia="sk-SK"/>
              </w:rPr>
              <w:t xml:space="preserve">“. Zásoby bezvodého liehu teda nemôžu byť súčasťou núdzových zásob, pretože bezvodý lieh je iba základná surovina určená na </w:t>
            </w:r>
            <w:r w:rsidRPr="00342546">
              <w:rPr>
                <w:szCs w:val="24"/>
                <w:lang w:eastAsia="sk-SK"/>
              </w:rPr>
              <w:lastRenderedPageBreak/>
              <w:t>výrobu napr. dezinfekcie alebo ETBE, ale nie je to aditívum alebo biopalivo priamo určené na zmiešanie s ropnými výrobkami.</w:t>
            </w:r>
          </w:p>
          <w:p w14:paraId="39DDA1F6" w14:textId="77777777" w:rsidR="002737C4" w:rsidRPr="00342546" w:rsidRDefault="002737C4" w:rsidP="00AA5FE1">
            <w:pPr>
              <w:spacing w:before="100" w:beforeAutospacing="1" w:after="100" w:afterAutospacing="1" w:line="240" w:lineRule="auto"/>
              <w:jc w:val="both"/>
              <w:rPr>
                <w:szCs w:val="24"/>
                <w:lang w:eastAsia="sk-SK"/>
              </w:rPr>
            </w:pPr>
            <w:r w:rsidRPr="00342546">
              <w:rPr>
                <w:szCs w:val="24"/>
                <w:lang w:eastAsia="sk-SK"/>
              </w:rPr>
              <w:t> </w:t>
            </w:r>
          </w:p>
          <w:p w14:paraId="069B2DEB" w14:textId="77777777" w:rsidR="002737C4" w:rsidRPr="00342546" w:rsidRDefault="002737C4" w:rsidP="00881659">
            <w:pPr>
              <w:ind w:left="113" w:right="113"/>
              <w:jc w:val="both"/>
              <w:rPr>
                <w:szCs w:val="24"/>
                <w:lang w:eastAsia="sk-SK"/>
              </w:rPr>
            </w:pPr>
            <w:r w:rsidRPr="00342546">
              <w:rPr>
                <w:szCs w:val="24"/>
                <w:lang w:eastAsia="sk-SK"/>
              </w:rPr>
              <w:t>Z toho dôvodu uvedená pripomienka, resp. vyjadrenie RÚZSR nijako nesúvisí so zákonom č. 218/2013 Z. z. a jeho novelizáciou a preto nemá miesto v predmetnom legislatívnom procese a musíme takúto pripomienku, resp. vyjadrenie vyhodnotiť ako neopodstatnené, resp. irelevantné.</w:t>
            </w:r>
          </w:p>
          <w:p w14:paraId="0A3D31CB" w14:textId="77777777" w:rsidR="002737C4" w:rsidRPr="00342546" w:rsidRDefault="002737C4" w:rsidP="00AA5FE1">
            <w:pPr>
              <w:rPr>
                <w:rFonts w:ascii="Times" w:hAnsi="Times" w:cs="Times"/>
                <w:szCs w:val="24"/>
              </w:rPr>
            </w:pPr>
          </w:p>
        </w:tc>
      </w:tr>
    </w:tbl>
    <w:p w14:paraId="26A3579B" w14:textId="77777777" w:rsidR="002737C4" w:rsidRPr="00342546" w:rsidRDefault="002737C4" w:rsidP="002737C4">
      <w:pPr>
        <w:spacing w:after="0" w:line="240" w:lineRule="auto"/>
        <w:rPr>
          <w:rFonts w:cs="Calibri"/>
          <w:szCs w:val="24"/>
        </w:rPr>
      </w:pPr>
    </w:p>
    <w:p w14:paraId="35FBB25B" w14:textId="77777777" w:rsidR="00342546" w:rsidRDefault="00342546" w:rsidP="00342546">
      <w:pPr>
        <w:spacing w:after="0"/>
        <w:jc w:val="both"/>
        <w:rPr>
          <w:rFonts w:cs="Calibri"/>
          <w:szCs w:val="24"/>
        </w:rPr>
      </w:pPr>
    </w:p>
    <w:p w14:paraId="04AD0C5A" w14:textId="78E4D34D" w:rsidR="00342546" w:rsidRPr="00342546" w:rsidRDefault="00342546" w:rsidP="00342546">
      <w:pPr>
        <w:spacing w:after="0"/>
        <w:jc w:val="both"/>
        <w:rPr>
          <w:rFonts w:cs="Times New Roman"/>
          <w:szCs w:val="24"/>
        </w:rPr>
      </w:pPr>
      <w:r w:rsidRPr="00342546">
        <w:rPr>
          <w:rFonts w:cs="Calibri"/>
          <w:szCs w:val="24"/>
        </w:rPr>
        <w:t>Správa štátnych hmotných rezerv Slovenskej republiky</w:t>
      </w:r>
      <w:r>
        <w:rPr>
          <w:rFonts w:cs="Calibri"/>
          <w:szCs w:val="24"/>
        </w:rPr>
        <w:t xml:space="preserve"> tiež</w:t>
      </w:r>
      <w:r w:rsidRPr="00342546">
        <w:rPr>
          <w:rFonts w:cs="Calibri"/>
          <w:szCs w:val="24"/>
        </w:rPr>
        <w:t xml:space="preserve"> zaslala Ministerstvu hospodárstva Slovenskej republiky v súlade s Jednotnou metodikou na posudzovanie vybraných vplyvov informáciu o príprave návrhu zákona so žiadosťou o rozhodnutie ohľadom potrebnosti vykonania konzultácií s podnikateľskými subjektmi. Ministerstvo hospodárstva Slovenskej republiky rozhodlo, že nepovažuje za potrebné vykonať konzultácie s podnikateľským prostredím, pretože podnikateľské subjekty neprejavili záujem o konzultácie.</w:t>
      </w:r>
    </w:p>
    <w:sectPr w:rsidR="00342546" w:rsidRPr="00342546" w:rsidSect="00852E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8DB9" w14:textId="77777777" w:rsidR="00334DE8" w:rsidRDefault="00334DE8" w:rsidP="00342546">
      <w:pPr>
        <w:spacing w:after="0" w:line="240" w:lineRule="auto"/>
      </w:pPr>
      <w:r>
        <w:separator/>
      </w:r>
    </w:p>
  </w:endnote>
  <w:endnote w:type="continuationSeparator" w:id="0">
    <w:p w14:paraId="654C9BEA" w14:textId="77777777" w:rsidR="00334DE8" w:rsidRDefault="00334DE8" w:rsidP="0034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697848"/>
      <w:docPartObj>
        <w:docPartGallery w:val="Page Numbers (Bottom of Page)"/>
        <w:docPartUnique/>
      </w:docPartObj>
    </w:sdtPr>
    <w:sdtEndPr/>
    <w:sdtContent>
      <w:p w14:paraId="6B22F7CD" w14:textId="08A1F8A2" w:rsidR="00342546" w:rsidRDefault="00342546">
        <w:pPr>
          <w:pStyle w:val="Pta"/>
          <w:jc w:val="center"/>
        </w:pPr>
        <w:r>
          <w:fldChar w:fldCharType="begin"/>
        </w:r>
        <w:r>
          <w:instrText>PAGE   \* MERGEFORMAT</w:instrText>
        </w:r>
        <w:r>
          <w:fldChar w:fldCharType="separate"/>
        </w:r>
        <w:r w:rsidR="0022668F">
          <w:rPr>
            <w:noProof/>
          </w:rPr>
          <w:t>6</w:t>
        </w:r>
        <w:r>
          <w:fldChar w:fldCharType="end"/>
        </w:r>
      </w:p>
    </w:sdtContent>
  </w:sdt>
  <w:p w14:paraId="55DDB0EC" w14:textId="77777777" w:rsidR="00342546" w:rsidRDefault="0034254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F671" w14:textId="77777777" w:rsidR="00334DE8" w:rsidRDefault="00334DE8" w:rsidP="00342546">
      <w:pPr>
        <w:spacing w:after="0" w:line="240" w:lineRule="auto"/>
      </w:pPr>
      <w:r>
        <w:separator/>
      </w:r>
    </w:p>
  </w:footnote>
  <w:footnote w:type="continuationSeparator" w:id="0">
    <w:p w14:paraId="1D9A5226" w14:textId="77777777" w:rsidR="00334DE8" w:rsidRDefault="00334DE8" w:rsidP="0034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C2"/>
    <w:rsid w:val="001779C2"/>
    <w:rsid w:val="001B2703"/>
    <w:rsid w:val="0022668F"/>
    <w:rsid w:val="002737C4"/>
    <w:rsid w:val="00334DE8"/>
    <w:rsid w:val="00342546"/>
    <w:rsid w:val="003541B7"/>
    <w:rsid w:val="00524A45"/>
    <w:rsid w:val="00562080"/>
    <w:rsid w:val="00581988"/>
    <w:rsid w:val="006C17E1"/>
    <w:rsid w:val="00785307"/>
    <w:rsid w:val="008108B3"/>
    <w:rsid w:val="00852E6F"/>
    <w:rsid w:val="00881659"/>
    <w:rsid w:val="008B4539"/>
    <w:rsid w:val="0098693D"/>
    <w:rsid w:val="00A82D86"/>
    <w:rsid w:val="00BA2175"/>
    <w:rsid w:val="00BB7AC2"/>
    <w:rsid w:val="00C12F2A"/>
    <w:rsid w:val="00CC7A60"/>
    <w:rsid w:val="00D1733D"/>
    <w:rsid w:val="00D82858"/>
    <w:rsid w:val="00DB157C"/>
    <w:rsid w:val="00DD37BE"/>
    <w:rsid w:val="00E06B93"/>
    <w:rsid w:val="00EA5B2C"/>
    <w:rsid w:val="00EE2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424"/>
  <w15:docId w15:val="{B1DE0723-4D5E-4B32-94DD-15A0B9D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7AC2"/>
    <w:rPr>
      <w:rFonts w:ascii="Times New Roman" w:hAnsi="Times New Roman"/>
      <w:sz w:val="24"/>
    </w:rPr>
  </w:style>
  <w:style w:type="paragraph" w:styleId="Nadpis2">
    <w:name w:val="heading 2"/>
    <w:basedOn w:val="Normlny"/>
    <w:next w:val="Normlny"/>
    <w:link w:val="Nadpis2Char"/>
    <w:uiPriority w:val="9"/>
    <w:unhideWhenUsed/>
    <w:qFormat/>
    <w:rsid w:val="00BB7A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B7AC2"/>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BB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B7A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7AC2"/>
    <w:rPr>
      <w:rFonts w:ascii="Tahoma" w:hAnsi="Tahoma" w:cs="Tahoma"/>
      <w:sz w:val="16"/>
      <w:szCs w:val="16"/>
    </w:rPr>
  </w:style>
  <w:style w:type="paragraph" w:styleId="Hlavika">
    <w:name w:val="header"/>
    <w:basedOn w:val="Normlny"/>
    <w:link w:val="HlavikaChar"/>
    <w:uiPriority w:val="99"/>
    <w:unhideWhenUsed/>
    <w:rsid w:val="003425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2546"/>
    <w:rPr>
      <w:rFonts w:ascii="Times New Roman" w:hAnsi="Times New Roman"/>
      <w:sz w:val="24"/>
    </w:rPr>
  </w:style>
  <w:style w:type="paragraph" w:styleId="Pta">
    <w:name w:val="footer"/>
    <w:basedOn w:val="Normlny"/>
    <w:link w:val="PtaChar"/>
    <w:uiPriority w:val="99"/>
    <w:unhideWhenUsed/>
    <w:rsid w:val="00342546"/>
    <w:pPr>
      <w:tabs>
        <w:tab w:val="center" w:pos="4536"/>
        <w:tab w:val="right" w:pos="9072"/>
      </w:tabs>
      <w:spacing w:after="0" w:line="240" w:lineRule="auto"/>
    </w:pPr>
  </w:style>
  <w:style w:type="character" w:customStyle="1" w:styleId="PtaChar">
    <w:name w:val="Päta Char"/>
    <w:basedOn w:val="Predvolenpsmoodseku"/>
    <w:link w:val="Pta"/>
    <w:uiPriority w:val="99"/>
    <w:rsid w:val="003425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08-Správa-o-účasti-verejnosti"/>
    <f:field ref="objsubject" par="" edit="true" text=""/>
    <f:field ref="objcreatedby" par="" text="Blaho, Peter, JUDr."/>
    <f:field ref="objcreatedat" par="" text="20.4.2021 17:22:07"/>
    <f:field ref="objchangedby" par="" text="Administrator, System"/>
    <f:field ref="objmodifiedat" par="" text="20.4.2021 17:22: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8240442194E81441B202D6BF47FB1073" ma:contentTypeVersion="0" ma:contentTypeDescription="Umožňuje vytvoriť nový dokument." ma:contentTypeScope="" ma:versionID="c52dbdecfee6270b5fcc5f30c56cc7c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88D7E-0E5B-4EC0-BF4F-1A036BC6004C}">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DE9ED01-6AF4-4BEC-B458-651F605B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189295-FE1A-4E2C-857F-B058788C0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1799</Words>
  <Characters>10256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Bystrík Antalík</dc:creator>
  <cp:lastModifiedBy>Blaho Peter</cp:lastModifiedBy>
  <cp:revision>5</cp:revision>
  <dcterms:created xsi:type="dcterms:W3CDTF">2021-02-04T08:44:00Z</dcterms:created>
  <dcterms:modified xsi:type="dcterms:W3CDTF">2021-07-07T12:15:00Z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0x0101008240442194E81441B202D6BF47FB1073</vt:lpwstr>
  </property>
  <property fmtid="{D5CDD505-2E9C-101B-9397-08002B2CF9AE}" pid="3" name="FSC#SKEDITIONSLOVLEX@103.510:spravaucastverej">
    <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Peter Blaho</vt:lpwstr>
  </property>
  <property fmtid="{D5CDD505-2E9C-101B-9397-08002B2CF9AE}" pid="13" name="FSC#SKEDITIONSLOVLEX@103.510:zodppredkladatel">
    <vt:lpwstr>Ing. Ján Rudolf</vt:lpwstr>
  </property>
  <property fmtid="{D5CDD505-2E9C-101B-9397-08002B2CF9AE}" pid="14" name="FSC#SKEDITIONSLOVLEX@103.510:dalsipredkladatel">
    <vt:lpwstr/>
  </property>
  <property fmtid="{D5CDD505-2E9C-101B-9397-08002B2CF9AE}" pid="15" name="FSC#SKEDITIONSLOVLEX@103.510:nazovpredpis">
    <vt:lpwstr>, ktorým sa mení a dopĺňa zákon č. 218/2013 Z. z. o núdzových zásobách ropy a ropných výrobkov a o riešení stavu ropnej núdze a o zmene a doplnení niektorých zákonov v znení neskorších predpisov </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Správa štátnych hmotných rezerv Slovenskej republiky (Úrad vlády Slovenskej republiky, odbor legislatívy ostatných ústredných orgánov štátnej správy)</vt:lpwstr>
  </property>
  <property fmtid="{D5CDD505-2E9C-101B-9397-08002B2CF9AE}" pid="21" name="FSC#SKEDITIONSLOVLEX@103.510:pripomienkovatelia">
    <vt:lpwstr>Správa štátnych hmotných rezerv Slovenskej republiky (Úrad vlády Slovenskej republiky, odbor legislatívy ostatných ústredných orgánov štátnej správy), Správa štátnych hmotných rezerv Slovenskej republiky (Úrad vlády Slovenskej republiky, odbor legislatívy</vt:lpwstr>
  </property>
  <property fmtid="{D5CDD505-2E9C-101B-9397-08002B2CF9AE}" pid="22" name="FSC#SKEDITIONSLOVLEX@103.510:autorpredpis">
    <vt:lpwstr/>
  </property>
  <property fmtid="{D5CDD505-2E9C-101B-9397-08002B2CF9AE}" pid="23" name="FSC#SKEDITIONSLOVLEX@103.510:podnetpredpis">
    <vt:lpwstr>bod C.1. uznesenia vlády Slovenskej republiky č. 547 z 9. septembra 2020</vt:lpwstr>
  </property>
  <property fmtid="{D5CDD505-2E9C-101B-9397-08002B2CF9AE}" pid="24" name="FSC#SKEDITIONSLOVLEX@103.510:plnynazovpredpis">
    <vt:lpwstr> Zákon, ktorým sa mení a dopĺňa zákon č. 218/2013 Z. z. o núdzových zásobách ropy a ropných výrobkov a o riešení stavu ropnej núdze a o zmene a doplnení niektorých zákonov v znení neskorších predpisov </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SŠHR-2021/0577-PRED-1</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LP/2021/182</vt:lpwstr>
  </property>
  <property fmtid="{D5CDD505-2E9C-101B-9397-08002B2CF9AE}" pid="38" name="FSC#SKEDITIONSLOVLEX@103.510:typsprievdok">
    <vt:lpwstr>Správa o účasti verejnosti</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
  </property>
  <property fmtid="{D5CDD505-2E9C-101B-9397-08002B2CF9AE}" pid="138" name="FSC#SKEDITIONSLOVLEX@103.510:AttrStrListDocPropUznesenieNaVedomie">
    <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predseda Správy štátnych hmotných rezerv</vt:lpwstr>
  </property>
  <property fmtid="{D5CDD505-2E9C-101B-9397-08002B2CF9AE}" pid="143" name="FSC#SKEDITIONSLOVLEX@103.510:funkciaZodpPredAkuzativ">
    <vt:lpwstr>predsedu Správy štátnych hmotných rezerv</vt:lpwstr>
  </property>
  <property fmtid="{D5CDD505-2E9C-101B-9397-08002B2CF9AE}" pid="144" name="FSC#SKEDITIONSLOVLEX@103.510:funkciaZodpPredDativ">
    <vt:lpwstr>predsedovi Správy štátnych hmotných rezerv</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Ján Rudolf_x000d_
predseda Správy štátnych hmotných rezerv</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
  </property>
  <property fmtid="{D5CDD505-2E9C-101B-9397-08002B2CF9AE}" pid="151" name="FSC#SKEDITIONSLOVLEX@103.510:vytvorenedna">
    <vt:lpwstr>20. 4. 2021</vt:lpwstr>
  </property>
  <property fmtid="{D5CDD505-2E9C-101B-9397-08002B2CF9AE}" pid="152" name="FSC#COOSYSTEM@1.1:Container">
    <vt:lpwstr>COO.2145.1000.3.4330887</vt:lpwstr>
  </property>
  <property fmtid="{D5CDD505-2E9C-101B-9397-08002B2CF9AE}" pid="153" name="FSC#FSCFOLIO@1.1001:docpropproject">
    <vt:lpwstr/>
  </property>
</Properties>
</file>