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C193" w14:textId="56BE98A2" w:rsidR="00734518" w:rsidRPr="009B1AD2" w:rsidRDefault="00E77025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 w:eastAsia="sk-SK"/>
        </w:rPr>
      </w:pPr>
      <w:bookmarkStart w:id="0" w:name="_GoBack"/>
      <w:bookmarkEnd w:id="0"/>
      <w:r w:rsidRPr="00E77025">
        <w:rPr>
          <w:rFonts w:ascii="Times New Roman" w:eastAsia="Times New Roman" w:hAnsi="Times New Roman" w:cs="Times New Roman"/>
          <w:b/>
          <w:bCs/>
          <w:sz w:val="25"/>
          <w:szCs w:val="25"/>
          <w:lang w:val="sk-SK" w:eastAsia="sk-SK"/>
        </w:rPr>
        <w:t>B. Osobitná časť</w:t>
      </w:r>
    </w:p>
    <w:p w14:paraId="4457F301" w14:textId="68F27443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</w:t>
      </w:r>
      <w:r w:rsidR="00E77025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Čl.</w:t>
      </w:r>
      <w:r w:rsidR="00E77025"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I</w:t>
      </w:r>
    </w:p>
    <w:p w14:paraId="7D123597" w14:textId="4792576B" w:rsidR="00734518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245E37DF" w14:textId="77777777" w:rsidR="00071099" w:rsidRPr="009B1AD2" w:rsidRDefault="00071099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3E9EE5F4" w14:textId="6E9BE094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bodu 1</w:t>
      </w:r>
    </w:p>
    <w:p w14:paraId="70E8A478" w14:textId="5C33201B" w:rsidR="00734518" w:rsidRDefault="003C7D49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Druhou novelou</w:t>
      </w:r>
      <w:r w:rsidR="00835D0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zákona č. 218/2013 </w:t>
      </w:r>
      <w:r w:rsidR="00835D0E" w:rsidRPr="00835D0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Z. z. o núdzových zásobách ropy a ropných výrobkov a o riešení stavu ropnej núdze a o zmene a doplnení niektorých zákonov</w:t>
      </w:r>
      <w:r w:rsidR="007960A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znení neskorších predpisov</w:t>
      </w:r>
      <w:r w:rsidR="006D2FE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(ďalej len „zákon č. 218/2013 Z. z.“)</w:t>
      </w:r>
      <w:r w:rsidR="00835D0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bola poslaneckým návrhom doplnená výnimka z povinnosti vybraných podnikateľov týkajúca sa dvoch druhov vykurovacieho oleja s </w:t>
      </w:r>
      <w:r w:rsidR="006677C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kódmi </w:t>
      </w:r>
      <w:r w:rsidR="00835D0E" w:rsidRPr="00835D0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kombinovanej nomenklatúry 2710 19 66 a 2710 19 67</w:t>
      </w:r>
      <w:r w:rsidR="00835D0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pokiaľ sú tieto vykurovacie oleje vyrobené z odpadových olejov</w:t>
      </w:r>
      <w:r w:rsidR="00734518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.</w:t>
      </w:r>
      <w:r w:rsidR="006D2FEA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Zaradenie tejto výnimky priamo do </w:t>
      </w:r>
      <w:r w:rsidR="007960A6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p</w:t>
      </w:r>
      <w:r w:rsidR="006D2FEA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rílohy č. 1 </w:t>
      </w:r>
      <w:r w:rsidR="006D2FE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zákona č. 218/2013 Z. z. </w:t>
      </w:r>
      <w:r w:rsidR="006D2FEA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však spôsobilo, že Finančné riaditeľstvo Slovenskej republiky od nadobudnutia účinnosti tejto novely odmietlo Agentúre </w:t>
      </w:r>
      <w:r w:rsidR="008F0004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pre núdzové zásoby ropy a ropných výrobkov </w:t>
      </w:r>
      <w:r w:rsidR="008F000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(ďalej len „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agentúra</w:t>
      </w:r>
      <w:r w:rsidR="008F000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“) </w:t>
      </w:r>
      <w:r w:rsidR="006D2FEA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poskytovať údaje o vykurovacích olejoch v súlade s § 21 ods. 11</w:t>
      </w:r>
      <w:r w:rsidR="006D2FEA" w:rsidRPr="006D2FE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6D2FE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zákona č. 218/2013 Z. z., pretože </w:t>
      </w:r>
      <w:r w:rsidR="00CE3CC5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Finančné riaditeľstvo Slovenskej republiky</w:t>
      </w:r>
      <w:r w:rsidR="00CE3CC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nemá k dispozícii informácie, na základe ktorých by mohlo odlíšiť množstvá vykurovacích olejov vyrobené z odpadových olejov od vykurovacích olejov vyrobených štandardne. Poskytovaním údajov o všetkých vykurovacích olejoch by mohlo dôjsť k ohrozeniu ochrany</w:t>
      </w:r>
      <w:r w:rsidR="006D2FE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daňového tajomstva v súlade so zákonom č. </w:t>
      </w:r>
      <w:r w:rsidR="006D2FEA" w:rsidRPr="006D2FE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563/2009 Z. z. o správe daní (daňový poriadok) a o zmene a doplnení niektorých zákonov v znení neskorších predpisov.</w:t>
      </w:r>
      <w:r w:rsidR="001C496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 odstránenie tohto rozporu </w:t>
      </w:r>
      <w:r w:rsidR="00107BE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návrh zákona presúva formuláciu uvedenej výnimky z </w:t>
      </w:r>
      <w:r w:rsidR="007960A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="00107BE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rílohy č. 1 do </w:t>
      </w:r>
      <w:r w:rsidR="00BB708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nového </w:t>
      </w:r>
      <w:r w:rsidR="00107BE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§ 2</w:t>
      </w:r>
      <w:r w:rsidR="00BB708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="00107BE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aby </w:t>
      </w:r>
      <w:r w:rsidR="00107BE1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Finančné riaditeľstvo Slovenskej republiky mohlo naďalej poskytovať údaje o</w:t>
      </w:r>
      <w:r w:rsidR="00BA437C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 vybraných </w:t>
      </w:r>
      <w:r w:rsidR="00107BE1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ropných výrobkoch v súlade </w:t>
      </w:r>
      <w:r w:rsidR="00BA437C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s § 21 ods. 11 a </w:t>
      </w:r>
      <w:r w:rsidR="007960A6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p</w:t>
      </w:r>
      <w:r w:rsidR="00BA437C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rílohou č. 1 </w:t>
      </w:r>
      <w:r w:rsidR="00107BE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zákona č. 218/2013 Z. z. aj bez rizika ohrozenia ochrany daňového tajomstva.</w:t>
      </w:r>
    </w:p>
    <w:p w14:paraId="27FA7FD7" w14:textId="77777777" w:rsidR="00734518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</w:pPr>
    </w:p>
    <w:p w14:paraId="5007127A" w14:textId="7E2C85D3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bodu 2</w:t>
      </w:r>
    </w:p>
    <w:p w14:paraId="3A5CB514" w14:textId="4996228D" w:rsidR="00734518" w:rsidRPr="00EE4B5A" w:rsidRDefault="008F0004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Upresňuje sa formulácia ustanovenia, aby bolo zrejmé, že vybraný podnikateľ plní svoju povinnosť zabezpečovať udržiavanie núdzových zásob ropy a ropných výrobkov (ďalej len „núdzové zásoby“) prostredníctvom uzatvorenia </w:t>
      </w:r>
      <w:r w:rsidR="007960A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mluvy </w:t>
      </w:r>
      <w:r w:rsidR="007960A6" w:rsidRPr="00DD4BB6">
        <w:rPr>
          <w:rFonts w:ascii="Times New Roman" w:hAnsi="Times New Roman" w:cs="Times New Roman"/>
          <w:sz w:val="24"/>
          <w:szCs w:val="24"/>
          <w:lang w:val="sk-SK"/>
        </w:rPr>
        <w:t>o zabezpečení udržiavania núdzových zásob (ďalej len „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7960A6" w:rsidRPr="00DD4BB6">
        <w:rPr>
          <w:rFonts w:ascii="Times New Roman" w:hAnsi="Times New Roman" w:cs="Times New Roman"/>
          <w:sz w:val="24"/>
          <w:szCs w:val="24"/>
          <w:lang w:val="sk-SK"/>
        </w:rPr>
        <w:t>mluva“)</w:t>
      </w:r>
      <w:r w:rsidR="007960A6"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 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agentúrou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14:paraId="119B832E" w14:textId="77777777" w:rsidR="00734518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1604370F" w14:textId="7A5FF70A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bodu 3</w:t>
      </w:r>
    </w:p>
    <w:p w14:paraId="3AC0E888" w14:textId="7EBA3CE6" w:rsidR="00734518" w:rsidRPr="004814BA" w:rsidRDefault="0095290A" w:rsidP="003C7D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záujme zabránenia potenciálnym špekuláciám zo strany nepoctivých vybraných podnikateľov sa upravuje povinnosť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 xml:space="preserve">agentúry 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uzatvoriť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DD4BB6" w:rsidRPr="00DD4BB6">
        <w:rPr>
          <w:rFonts w:ascii="Times New Roman" w:hAnsi="Times New Roman" w:cs="Times New Roman"/>
          <w:sz w:val="24"/>
          <w:szCs w:val="24"/>
          <w:lang w:val="sk-SK"/>
        </w:rPr>
        <w:t>mluv</w:t>
      </w:r>
      <w:r w:rsidR="007960A6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 iba s tým vybraným podnikateľom, ktorý voči nej nemá nesplatené pohľadávky.</w:t>
      </w:r>
      <w:r w:rsidRPr="00425A58">
        <w:rPr>
          <w:lang w:val="sk-SK"/>
        </w:rPr>
        <w:t xml:space="preserve"> 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Agentúra </w:t>
      </w:r>
      <w:r>
        <w:rPr>
          <w:rFonts w:ascii="Times New Roman" w:hAnsi="Times New Roman" w:cs="Times New Roman"/>
          <w:sz w:val="24"/>
          <w:szCs w:val="24"/>
          <w:lang w:val="sk-SK"/>
        </w:rPr>
        <w:t>pri uplatňovaní zákona č. 218/2013 Z. z.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 zaznamenala prípad, kedy vypovedala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mluvu s vybraným podnikateľom, </w:t>
      </w:r>
      <w:r w:rsidR="00B877B9">
        <w:rPr>
          <w:rFonts w:ascii="Times New Roman" w:hAnsi="Times New Roman" w:cs="Times New Roman"/>
          <w:sz w:val="24"/>
          <w:szCs w:val="24"/>
          <w:lang w:val="sk-SK"/>
        </w:rPr>
        <w:t>ktorý si neplnil povinnosti zo z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mluvy, aby mu tak zabránila vo vykonávaní predmetnej podnikateľskej činnosti. Uvedený vybraný podnikateľ však ďalej pokračoval v podnikateľskej činnosti a obratom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E144C"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gentúru 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požiadal o uzatvorenie novej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mluvy. Podľa doterajšej právnej úpravy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E144C"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gentúra 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nemohla odoprieť vybranému podnikateľovi uzatvorenie novej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1E144C" w:rsidRPr="0095290A">
        <w:rPr>
          <w:rFonts w:ascii="Times New Roman" w:hAnsi="Times New Roman" w:cs="Times New Roman"/>
          <w:sz w:val="24"/>
          <w:szCs w:val="24"/>
          <w:lang w:val="sk-SK"/>
        </w:rPr>
        <w:t>mluvy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, pokiaľ o to požiadal, aj keď bolo zjavné, že nebude plniť povinnosti ani podľa tejto novej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 xml:space="preserve">mluvy. Takémuto podnikateľovi nebolo možné uložiť pokutu podľa zákona č. 218/2013 Z. z., pretože formálne neodmietal uzatvorenie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1E144C" w:rsidRPr="0095290A">
        <w:rPr>
          <w:rFonts w:ascii="Times New Roman" w:hAnsi="Times New Roman" w:cs="Times New Roman"/>
          <w:sz w:val="24"/>
          <w:szCs w:val="24"/>
          <w:lang w:val="sk-SK"/>
        </w:rPr>
        <w:t>mluvy</w:t>
      </w:r>
      <w:r w:rsidRPr="0095290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5A57815" w14:textId="77777777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07FC8CD5" w14:textId="6D022504" w:rsidR="00734518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lastRenderedPageBreak/>
        <w:t>K bodu 4</w:t>
      </w:r>
    </w:p>
    <w:p w14:paraId="7EB37AA0" w14:textId="4C9C217E" w:rsidR="00734518" w:rsidRPr="00327AA5" w:rsidRDefault="00DD4BB6" w:rsidP="003C7D4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Upresňuje sa </w:t>
      </w:r>
      <w:r w:rsidR="00BB708B">
        <w:rPr>
          <w:rFonts w:ascii="Times New Roman" w:hAnsi="Times New Roman" w:cs="Times New Roman"/>
          <w:sz w:val="24"/>
          <w:szCs w:val="24"/>
          <w:lang w:val="sk-SK"/>
        </w:rPr>
        <w:t>postup pri vymáhaní povinnosti voči vybraným podnikateľom podľa tohto zákona.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708B">
        <w:rPr>
          <w:rFonts w:ascii="Times New Roman" w:hAnsi="Times New Roman" w:cs="Times New Roman"/>
          <w:sz w:val="24"/>
          <w:szCs w:val="24"/>
          <w:lang w:val="sk-SK"/>
        </w:rPr>
        <w:t xml:space="preserve">Ak vybraný podnikateľ neplní povinnosti podľa tohto zákona ani po výzve od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agentúry</w:t>
      </w:r>
      <w:r w:rsidR="00BB708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 xml:space="preserve">agentúra </w:t>
      </w:r>
      <w:r w:rsidR="00BB708B">
        <w:rPr>
          <w:rFonts w:ascii="Times New Roman" w:hAnsi="Times New Roman" w:cs="Times New Roman"/>
          <w:sz w:val="24"/>
          <w:szCs w:val="24"/>
          <w:lang w:val="sk-SK"/>
        </w:rPr>
        <w:t xml:space="preserve">túto skutočnosť oznámi Správe </w:t>
      </w:r>
      <w:r w:rsidR="00BB708B" w:rsidRPr="00BB708B">
        <w:rPr>
          <w:rFonts w:ascii="Times New Roman" w:hAnsi="Times New Roman" w:cs="Times New Roman"/>
          <w:sz w:val="24"/>
          <w:szCs w:val="24"/>
          <w:lang w:val="sk-SK"/>
        </w:rPr>
        <w:t>štátnych hmotných rezerv Slovenskej republ</w:t>
      </w:r>
      <w:r w:rsidR="00BB708B">
        <w:rPr>
          <w:rFonts w:ascii="Times New Roman" w:hAnsi="Times New Roman" w:cs="Times New Roman"/>
          <w:sz w:val="24"/>
          <w:szCs w:val="24"/>
          <w:lang w:val="sk-SK"/>
        </w:rPr>
        <w:t xml:space="preserve">iky (ďalej len „Správa rezerv“) za účelom ďalšieho postupu podľa § 23 zákona </w:t>
      </w:r>
      <w:r w:rsidR="00BB708B" w:rsidRPr="0095290A">
        <w:rPr>
          <w:rFonts w:ascii="Times New Roman" w:hAnsi="Times New Roman" w:cs="Times New Roman"/>
          <w:sz w:val="24"/>
          <w:szCs w:val="24"/>
          <w:lang w:val="sk-SK"/>
        </w:rPr>
        <w:t>č. 218/2013 Z. z.</w:t>
      </w:r>
    </w:p>
    <w:p w14:paraId="4674559E" w14:textId="77777777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78057439" w14:textId="326DBC18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bodu 5</w:t>
      </w:r>
    </w:p>
    <w:p w14:paraId="0448A925" w14:textId="40EBA265" w:rsidR="00734518" w:rsidRPr="00226450" w:rsidRDefault="0093669B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Upravuje sa povinnosť vybraných podnikateľov zložiť primerané zabe</w:t>
      </w:r>
      <w:r w:rsidR="00B877B9">
        <w:rPr>
          <w:rFonts w:ascii="Times New Roman" w:hAnsi="Times New Roman" w:cs="Times New Roman"/>
          <w:sz w:val="24"/>
          <w:szCs w:val="24"/>
          <w:lang w:val="sk-SK"/>
        </w:rPr>
        <w:t>zpečenie ešte pred uzatvorením z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mluvy.  </w:t>
      </w:r>
    </w:p>
    <w:p w14:paraId="728D9C6C" w14:textId="77777777" w:rsidR="00734518" w:rsidRPr="00327AA5" w:rsidRDefault="00734518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DB6CCFA" w14:textId="1EB764B3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6</w:t>
      </w:r>
    </w:p>
    <w:p w14:paraId="28E26279" w14:textId="6935F096" w:rsidR="00734518" w:rsidRDefault="003C7D49" w:rsidP="003C7D49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Spresňuje </w:t>
      </w:r>
      <w:r w:rsidR="00E44B8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sa oprávnenie 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agentúry </w:t>
      </w:r>
      <w:r w:rsidR="00B877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vypovedať z</w:t>
      </w:r>
      <w:r w:rsidR="00E44B8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mluvu s tým vybraným podnikateľom, ktorý </w:t>
      </w:r>
      <w:r w:rsidR="007960A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nezložil </w:t>
      </w:r>
      <w:r w:rsidR="00E44B8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 za</w:t>
      </w:r>
      <w:r w:rsidR="00B877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bezpečenie svojich záväzkov zo z</w:t>
      </w:r>
      <w:r w:rsidR="00E44B8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mluvy primerané zabezpečenie.</w:t>
      </w:r>
    </w:p>
    <w:p w14:paraId="5019A7EF" w14:textId="77777777" w:rsidR="00FE0CF3" w:rsidRDefault="00FE0CF3" w:rsidP="003C7D49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22F50721" w14:textId="4289E4D7" w:rsidR="00FE0CF3" w:rsidRPr="00773F95" w:rsidRDefault="00FE0CF3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K bodu </w:t>
      </w:r>
      <w:r w:rsidR="00D917B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7</w:t>
      </w:r>
    </w:p>
    <w:p w14:paraId="034C58BD" w14:textId="1DE41E2D" w:rsidR="00FE0CF3" w:rsidRPr="004814BA" w:rsidRDefault="00481D42" w:rsidP="003C7D49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Dopĺňa sa povinnosť 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agentúry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oznamovať príslušnému správcovi dane informácie o nedoplatkoch vybraných podnikateľov</w:t>
      </w:r>
      <w:r w:rsidR="00E329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voči 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agentúre </w:t>
      </w:r>
      <w:r w:rsidR="00E329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 účely konaní podľa zákona č. 98/2004 Z. z. o </w:t>
      </w:r>
      <w:r w:rsidR="00E3290F" w:rsidRPr="00E329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spotrebnej dani z minerálneho oleja</w:t>
      </w:r>
      <w:r w:rsidR="00E329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znení neskorších predpisov.</w:t>
      </w:r>
      <w:r w:rsidR="00AF21C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Neexistencia nedoplatkov vybraných podnikateľov voči 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agentúre </w:t>
      </w:r>
      <w:r w:rsidR="00AF21C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je totiž jednou z podmienok pre udelenie niektorých povolení podľa uvedeného zákona.</w:t>
      </w:r>
    </w:p>
    <w:p w14:paraId="0FE872A8" w14:textId="77777777" w:rsidR="005C4BEE" w:rsidRDefault="005C4BEE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6383616F" w14:textId="4CA8EA36" w:rsidR="00734518" w:rsidRPr="00773F95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K bodu </w:t>
      </w:r>
      <w:r w:rsidR="00D917B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8</w:t>
      </w:r>
    </w:p>
    <w:p w14:paraId="423DC753" w14:textId="65A14565" w:rsidR="00734518" w:rsidRPr="009B1AD2" w:rsidRDefault="005D5691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Upravuje sa termín</w:t>
      </w:r>
      <w:r w:rsidRPr="005D569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 každoročné predloženie evidencie o núdzových zásobách Európskej komisii v súlade s platným znením 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</w:t>
      </w:r>
      <w:r w:rsidRPr="005D569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mernice Rady 2009/119/ES zo 14. septembra 2009, ktorou sa členským štátom ukladá povinnosť udržiavať minimálne zásoby ropy a/alebo ropných výrobkov</w:t>
      </w:r>
      <w:r w:rsidR="00406F9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406F9A" w:rsidRPr="00406F9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(Ú. v. ES L 265</w:t>
      </w:r>
      <w:r w:rsidR="00E809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</w:t>
      </w:r>
      <w:r w:rsidR="00406F9A" w:rsidRPr="00406F9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9.10.2009)</w:t>
      </w:r>
      <w:r w:rsidRPr="005D569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14:paraId="5714997C" w14:textId="77777777" w:rsidR="00734518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4C511E2F" w14:textId="1E11A032" w:rsidR="00734518" w:rsidRPr="009B1AD2" w:rsidRDefault="00D917BF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bodu 9</w:t>
      </w:r>
    </w:p>
    <w:p w14:paraId="5EFFDFBE" w14:textId="53667592" w:rsidR="00734518" w:rsidRDefault="00734518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B1AD2">
        <w:rPr>
          <w:rFonts w:ascii="Times New Roman" w:hAnsi="Times New Roman" w:cs="Times New Roman"/>
          <w:sz w:val="24"/>
          <w:szCs w:val="24"/>
          <w:lang w:val="sk-SK"/>
        </w:rPr>
        <w:t xml:space="preserve">V nadväznosti na </w:t>
      </w:r>
      <w:r w:rsidR="001B630F">
        <w:rPr>
          <w:rFonts w:ascii="Times New Roman" w:hAnsi="Times New Roman" w:cs="Times New Roman"/>
          <w:sz w:val="24"/>
          <w:szCs w:val="24"/>
          <w:lang w:val="sk-SK"/>
        </w:rPr>
        <w:t xml:space="preserve">vysvetlenie k bodu 1 sa upresňuje postavenie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 xml:space="preserve">agentúry </w:t>
      </w:r>
      <w:r w:rsidR="001B630F">
        <w:rPr>
          <w:rFonts w:ascii="Times New Roman" w:hAnsi="Times New Roman" w:cs="Times New Roman"/>
          <w:sz w:val="24"/>
          <w:szCs w:val="24"/>
          <w:lang w:val="sk-SK"/>
        </w:rPr>
        <w:t xml:space="preserve">ako subjektu oprávneného na sprístupnenie daňového tajomstva podľa </w:t>
      </w:r>
      <w:r w:rsidR="001B630F" w:rsidRPr="001B630F">
        <w:rPr>
          <w:rFonts w:ascii="Times New Roman" w:hAnsi="Times New Roman" w:cs="Times New Roman"/>
          <w:sz w:val="24"/>
          <w:szCs w:val="24"/>
          <w:lang w:val="sk-SK"/>
        </w:rPr>
        <w:t>§ 11 ods. 4 zákona č. 563/2009 Z. z. o správe daní (daňový poriadok) a o zmene a doplnení niektorých zákonov v znení neskorších predpisov</w:t>
      </w:r>
      <w:r w:rsidR="001B630F">
        <w:rPr>
          <w:rFonts w:ascii="Times New Roman" w:hAnsi="Times New Roman" w:cs="Times New Roman"/>
          <w:sz w:val="24"/>
          <w:szCs w:val="24"/>
          <w:lang w:val="sk-SK"/>
        </w:rPr>
        <w:t xml:space="preserve"> z dôvodu plnenia jej úloh podľa zákona č. 218/2013 Z. z.</w:t>
      </w:r>
    </w:p>
    <w:p w14:paraId="2FE9FB11" w14:textId="77777777" w:rsidR="00553A30" w:rsidRDefault="00553A30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2C28CBC" w14:textId="71F37CCF" w:rsidR="00553A30" w:rsidRPr="009B1AD2" w:rsidRDefault="00D917BF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bodu 10</w:t>
      </w:r>
    </w:p>
    <w:p w14:paraId="3E518641" w14:textId="1CB937FC" w:rsidR="00553A30" w:rsidRDefault="00553A30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Mení sa jeden z predmetov kontroly zo strany Správy rezerv. Doterajší predmet kontroly v § 22 ods. 1 písm. a) predstavoval kontrolu vybraných podnikateľov zo strany Správy rezerv. V praxi to znamenalo komplikácie v tom, že Správa rezerv nemá žiadny priamy vzťah s vybranými podnikateľmi, preto nemala dostatočné informácie na dôkladnú kontrolu plnenia</w:t>
      </w:r>
      <w:r w:rsidR="0045686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povinností zo strany vybraných podnikateľov. Kontrolovať plnenie povinností vybraných podnikateľov by mala v prvom rade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>agentúra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ktorá ma s nimi uzatvorené zmluvné vzťahy a má o nich najlepšie informácie. Preto </w:t>
      </w:r>
      <w:r w:rsidR="00B05678">
        <w:rPr>
          <w:rFonts w:ascii="Times New Roman" w:hAnsi="Times New Roman" w:cs="Times New Roman"/>
          <w:sz w:val="24"/>
          <w:szCs w:val="24"/>
          <w:lang w:val="sk-SK"/>
        </w:rPr>
        <w:t>podľa</w:t>
      </w:r>
      <w:r>
        <w:rPr>
          <w:rFonts w:ascii="Times New Roman" w:hAnsi="Times New Roman" w:cs="Times New Roman"/>
          <w:sz w:val="24"/>
          <w:szCs w:val="24"/>
          <w:lang w:val="sk-SK"/>
        </w:rPr>
        <w:t> navrhovanej zmen</w:t>
      </w:r>
      <w:r w:rsidR="00B05678">
        <w:rPr>
          <w:rFonts w:ascii="Times New Roman" w:hAnsi="Times New Roman" w:cs="Times New Roman"/>
          <w:sz w:val="24"/>
          <w:szCs w:val="24"/>
          <w:lang w:val="sk-SK"/>
        </w:rPr>
        <w:t>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 Správe rezerv</w:t>
      </w:r>
      <w:r w:rsidR="005034BE">
        <w:rPr>
          <w:rFonts w:ascii="Times New Roman" w:hAnsi="Times New Roman" w:cs="Times New Roman"/>
          <w:sz w:val="24"/>
          <w:szCs w:val="24"/>
          <w:lang w:val="sk-SK"/>
        </w:rPr>
        <w:t xml:space="preserve"> namiesto toho zverená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právomoc kontrolovať ustanovenie § 6 ods. 3</w:t>
      </w:r>
      <w:r w:rsidR="005034BE">
        <w:rPr>
          <w:rFonts w:ascii="Times New Roman" w:hAnsi="Times New Roman" w:cs="Times New Roman"/>
          <w:sz w:val="24"/>
          <w:szCs w:val="24"/>
          <w:lang w:val="sk-SK"/>
        </w:rPr>
        <w:t>, keďže to je tá najdôležitejšia povinnosť podľa tohto zákona a doteraz kontrola plnenia tejto povinnosti nebola osobitne upravená.</w:t>
      </w:r>
    </w:p>
    <w:p w14:paraId="0C31564B" w14:textId="77777777" w:rsidR="00136D44" w:rsidRDefault="00136D44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EC47FB6" w14:textId="3F5B2A18" w:rsidR="00136D44" w:rsidRPr="009B1AD2" w:rsidRDefault="00D917BF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lastRenderedPageBreak/>
        <w:t>K bodu 11</w:t>
      </w:r>
    </w:p>
    <w:p w14:paraId="5BC821FC" w14:textId="5068B46E" w:rsidR="00136D44" w:rsidRDefault="000C73FB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Spresňuje </w:t>
      </w:r>
      <w:r w:rsidR="00136D44">
        <w:rPr>
          <w:rFonts w:ascii="Times New Roman" w:hAnsi="Times New Roman" w:cs="Times New Roman"/>
          <w:sz w:val="24"/>
          <w:szCs w:val="24"/>
          <w:lang w:val="sk-SK"/>
        </w:rPr>
        <w:t>sa postup vymáhania povinností vybraných podnikateľov v prípade ich neplnenia. Pokutu v prípade od</w:t>
      </w:r>
      <w:r w:rsidR="00B877B9">
        <w:rPr>
          <w:rFonts w:ascii="Times New Roman" w:hAnsi="Times New Roman" w:cs="Times New Roman"/>
          <w:sz w:val="24"/>
          <w:szCs w:val="24"/>
          <w:lang w:val="sk-SK"/>
        </w:rPr>
        <w:t>mietnutia uzatvorenia zmluvy s a</w:t>
      </w:r>
      <w:r w:rsidR="00136D44">
        <w:rPr>
          <w:rFonts w:ascii="Times New Roman" w:hAnsi="Times New Roman" w:cs="Times New Roman"/>
          <w:sz w:val="24"/>
          <w:szCs w:val="24"/>
          <w:lang w:val="sk-SK"/>
        </w:rPr>
        <w:t xml:space="preserve">gentúrou, alebo v prípade ukončenia zmluvy zo strany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 xml:space="preserve">agentúry </w:t>
      </w:r>
      <w:r w:rsidR="00136D44">
        <w:rPr>
          <w:rFonts w:ascii="Times New Roman" w:hAnsi="Times New Roman" w:cs="Times New Roman"/>
          <w:sz w:val="24"/>
          <w:szCs w:val="24"/>
          <w:lang w:val="sk-SK"/>
        </w:rPr>
        <w:t xml:space="preserve">v dôsledku neplnenia zmluvných povinností vybraným podnikateľom, bude môcť Správa rezerv uložiť vtedy, ak vybraný podnikateľ pokračuje v predmetných činnostiach aj po tom, ako ho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 xml:space="preserve">agentúra </w:t>
      </w:r>
      <w:r w:rsidR="00136D44">
        <w:rPr>
          <w:rFonts w:ascii="Times New Roman" w:hAnsi="Times New Roman" w:cs="Times New Roman"/>
          <w:sz w:val="24"/>
          <w:szCs w:val="24"/>
          <w:lang w:val="sk-SK"/>
        </w:rPr>
        <w:t xml:space="preserve">k uzatvoreniu zmluvy márne vyzvala, alebo ako s ním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 xml:space="preserve">agentúra </w:t>
      </w:r>
      <w:r w:rsidR="00E07424">
        <w:rPr>
          <w:rFonts w:ascii="Times New Roman" w:hAnsi="Times New Roman" w:cs="Times New Roman"/>
          <w:sz w:val="24"/>
          <w:szCs w:val="24"/>
          <w:lang w:val="sk-SK"/>
        </w:rPr>
        <w:t>ukončila zmluvu z</w:t>
      </w:r>
      <w:r w:rsidR="00136D44">
        <w:rPr>
          <w:rFonts w:ascii="Times New Roman" w:hAnsi="Times New Roman" w:cs="Times New Roman"/>
          <w:sz w:val="24"/>
          <w:szCs w:val="24"/>
          <w:lang w:val="sk-SK"/>
        </w:rPr>
        <w:t> dôvodu neplnenia jeho povinností.</w:t>
      </w:r>
    </w:p>
    <w:p w14:paraId="193760BB" w14:textId="77777777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7C869E34" w14:textId="7765769B" w:rsidR="00734518" w:rsidRPr="00315F67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K bodu </w:t>
      </w:r>
      <w:r w:rsidR="00D917B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12</w:t>
      </w:r>
    </w:p>
    <w:p w14:paraId="53701A8A" w14:textId="623EA92F" w:rsidR="00734518" w:rsidRDefault="00A64BC5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B1AD2">
        <w:rPr>
          <w:rFonts w:ascii="Times New Roman" w:hAnsi="Times New Roman" w:cs="Times New Roman"/>
          <w:sz w:val="24"/>
          <w:szCs w:val="24"/>
          <w:lang w:val="sk-SK"/>
        </w:rPr>
        <w:t xml:space="preserve">V nadväznosti na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vysvetlenie k bodu 1 je potrebné po nadobudnutí účinnosti tohto návrhu zákona zabezpečiť, aby Finančné riaditeľstvo Slovenskej republiky poslalo </w:t>
      </w:r>
      <w:r w:rsidR="001E144C">
        <w:rPr>
          <w:rFonts w:ascii="Times New Roman" w:hAnsi="Times New Roman" w:cs="Times New Roman"/>
          <w:sz w:val="24"/>
          <w:szCs w:val="24"/>
          <w:lang w:val="sk-SK"/>
        </w:rPr>
        <w:t xml:space="preserve">agentúre </w:t>
      </w:r>
      <w:r>
        <w:rPr>
          <w:rFonts w:ascii="Times New Roman" w:hAnsi="Times New Roman" w:cs="Times New Roman"/>
          <w:sz w:val="24"/>
          <w:szCs w:val="24"/>
          <w:lang w:val="sk-SK"/>
        </w:rPr>
        <w:t>všetky údaje o vybraných podnikateľoch</w:t>
      </w:r>
      <w:r w:rsidR="0070060C">
        <w:rPr>
          <w:rFonts w:ascii="Times New Roman" w:hAnsi="Times New Roman" w:cs="Times New Roman"/>
          <w:sz w:val="24"/>
          <w:szCs w:val="24"/>
          <w:lang w:val="sk-SK"/>
        </w:rPr>
        <w:t xml:space="preserve"> podľa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§ 21 ods. 11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zákona č. 218/2013 Z. z. za obdobie, počas ktorého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Finančné riaditeľstvo Slovenskej republiky odmietalo plniť svoje povinnosti v súlade 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§ 21 ods. 11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zákona č. 218/2013 Z. z. z dôvodu obáv o porušenie daňového tajomstva podľa zákona č. </w:t>
      </w:r>
      <w:r w:rsidRPr="001B630F">
        <w:rPr>
          <w:rFonts w:ascii="Times New Roman" w:hAnsi="Times New Roman" w:cs="Times New Roman"/>
          <w:sz w:val="24"/>
          <w:szCs w:val="24"/>
          <w:lang w:val="sk-SK"/>
        </w:rPr>
        <w:t>563/2009 Z. z. o správe daní (daňový poriadok) a o zmene a doplnení niektorých zákonov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EB6FE79" w14:textId="77777777" w:rsidR="00A64BC5" w:rsidRPr="00327AA5" w:rsidRDefault="00A64BC5" w:rsidP="003C7D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D4D0F5F" w14:textId="5E896BC3" w:rsidR="00734518" w:rsidRPr="009B1AD2" w:rsidRDefault="00D917BF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bodu 13</w:t>
      </w:r>
    </w:p>
    <w:p w14:paraId="305377D2" w14:textId="0921C39B" w:rsidR="00734518" w:rsidRDefault="005E353A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Legislatívno-technická úprava</w:t>
      </w:r>
      <w:r w:rsidR="00580ED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D2871A2" w14:textId="77777777" w:rsidR="00734518" w:rsidRPr="00327AA5" w:rsidRDefault="00734518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39C0C1F" w14:textId="46F416CE" w:rsidR="00734518" w:rsidRPr="009B1AD2" w:rsidRDefault="00D917BF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bod</w:t>
      </w:r>
      <w:r w:rsidR="00E0151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14</w:t>
      </w:r>
      <w:r w:rsidR="005E353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</w:p>
    <w:p w14:paraId="7489EAE8" w14:textId="0A831254" w:rsidR="00734518" w:rsidRDefault="00580ED7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B1AD2">
        <w:rPr>
          <w:rFonts w:ascii="Times New Roman" w:hAnsi="Times New Roman" w:cs="Times New Roman"/>
          <w:sz w:val="24"/>
          <w:szCs w:val="24"/>
          <w:lang w:val="sk-SK"/>
        </w:rPr>
        <w:t xml:space="preserve">V nadväznosti na </w:t>
      </w:r>
      <w:r w:rsidR="005E353A">
        <w:rPr>
          <w:rFonts w:ascii="Times New Roman" w:hAnsi="Times New Roman" w:cs="Times New Roman"/>
          <w:sz w:val="24"/>
          <w:szCs w:val="24"/>
          <w:lang w:val="sk-SK"/>
        </w:rPr>
        <w:t xml:space="preserve">bod 1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sa výnimka týkajúca sa vykurovacích olejov </w:t>
      </w:r>
      <w:r w:rsidR="005E353A">
        <w:rPr>
          <w:rFonts w:ascii="Times New Roman" w:hAnsi="Times New Roman" w:cs="Times New Roman"/>
          <w:sz w:val="24"/>
          <w:szCs w:val="24"/>
          <w:lang w:val="sk-SK"/>
        </w:rPr>
        <w:t xml:space="preserve">presúva </w:t>
      </w:r>
      <w:r>
        <w:rPr>
          <w:rFonts w:ascii="Times New Roman" w:hAnsi="Times New Roman" w:cs="Times New Roman"/>
          <w:sz w:val="24"/>
          <w:szCs w:val="24"/>
          <w:lang w:val="sk-SK"/>
        </w:rPr>
        <w:t>z </w:t>
      </w:r>
      <w:r w:rsidR="00D21976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rílohy č. 1 </w:t>
      </w:r>
      <w:r w:rsidR="005E353A">
        <w:rPr>
          <w:rFonts w:ascii="Times New Roman" w:hAnsi="Times New Roman" w:cs="Times New Roman"/>
          <w:sz w:val="24"/>
          <w:szCs w:val="24"/>
          <w:lang w:val="sk-SK"/>
        </w:rPr>
        <w:t>do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§ 2</w:t>
      </w:r>
      <w:r w:rsidR="00737D6B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98F6B16" w14:textId="430A5392" w:rsidR="008502EE" w:rsidRDefault="008502EE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0BE391" w14:textId="6DA2E7B9" w:rsidR="008502EE" w:rsidRDefault="008502EE" w:rsidP="003C7D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K bodu </w:t>
      </w:r>
      <w:r w:rsidR="00D917B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1</w:t>
      </w:r>
      <w:r w:rsidR="00425A5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5</w:t>
      </w:r>
    </w:p>
    <w:p w14:paraId="6B288FB2" w14:textId="7F5DD3F6" w:rsidR="00F26250" w:rsidRDefault="00DC024D" w:rsidP="003C7D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DC024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Do zoznamu vybraných ropných výrobkov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sa dopĺňa ropný výrobok s kódom kombinovanej nomenklatúry 2710 20 90. 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Ide však iba o administratívnu úpravu z dôvodu umožnenia bezproblémového hlásenia údajov od Finančného riaditeľstva </w:t>
      </w:r>
      <w:r w:rsid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Slovenskej republiky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pre 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agentúru 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podľa § 21 ods. 11 </w:t>
      </w:r>
      <w:r w:rsidR="00C615A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="00C615A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218/2013 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Z. z. Finančné riaditeľstvo </w:t>
      </w:r>
      <w:r w:rsid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Slovenskej republiky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totiž údaje, ktoré poskytuje </w:t>
      </w:r>
      <w:r w:rsidR="001E144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agentúre 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podľa tohto ustanovenia, získava z daňových priznaní podľa zákona č. 98/2004 Z. z. o </w:t>
      </w:r>
      <w:r w:rsidR="00C615AA" w:rsidRPr="00E329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spotrebnej dani z minerálneho oleja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znení neskorších predpisov</w:t>
      </w:r>
      <w:r w:rsidR="00CD669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(ďalej len „zákona č. 98/2004 Z. z.“)</w:t>
      </w:r>
      <w:r w:rsidR="00C615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Údaje za minerálne oleje nie sú v daňových priznaniach podnikateľmi nahlasované za každý minerálny olej samostatne, ale sú nahlasované za jednotlivé kategórie minerálnych olejov podľa § 6 ods. 1 zákona č. </w:t>
      </w:r>
      <w:r w:rsidR="00CD669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98/2004 Z. z. Vo väčšine prípadov sa rozsah vybraných ropných výrobkov prekrýva s rozsahom minerálnych olejov, za ktoré sa platí spotrebná daň podľa zákona č. 98/2004 Z. z. 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</w:t>
      </w:r>
      <w:r w:rsidR="00CD669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 prípade vykurovacích olejov 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podľa § 6 ods. 1 písm. e) zákona č. 98/2004 Z. z. je súčasťou tejto kategórie aj minerálny olej s kódom kombinovanej nomenklatúry 2710 20 90, avšak tento ropný výrobok doteraz nebol aj vybraným ropným výrobkom podľa prílohy č. 1 zákona č. 218/2013 Z. z. Aby Finančné riaditeľstvo</w:t>
      </w:r>
      <w:r w:rsidR="004F14FF" w:rsidRP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</w:t>
      </w:r>
      <w:r w:rsid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Slovens</w:t>
      </w:r>
      <w:r w:rsidR="00B877B9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kej republiky mohlo poskytovať a</w:t>
      </w:r>
      <w:r w:rsid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gentúre údaje podľa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§ 21 ods. 11 </w:t>
      </w:r>
      <w:r w:rsidR="004F14FF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="004F14FF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218/2013 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Z. z. bez obáv o porušenie daňového tajomstva, je potrebné do zoznamu vybraných podnikateľov doplniť aj tento ropný výrobok (KN 2710 20 90), aby Finančné riaditeľstvo</w:t>
      </w:r>
      <w:r w:rsidR="004F14FF" w:rsidRP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</w:t>
      </w:r>
      <w:r w:rsid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Slovenskej republiky mohlo poskytovať </w:t>
      </w:r>
      <w:r w:rsidR="001E144C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agentúre </w:t>
      </w:r>
      <w:r w:rsidR="004F14FF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údaje </w:t>
      </w:r>
      <w:r w:rsidR="004F14F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podľa § 6 ods. 1 písm. e) zákona č. 98/2004 Z. z.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14:paraId="1CB6D102" w14:textId="77777777" w:rsidR="00F26250" w:rsidRDefault="00F26250" w:rsidP="003C7D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0C406BC3" w14:textId="5DC5C227" w:rsidR="008502EE" w:rsidRPr="00DC024D" w:rsidRDefault="003C7D49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Aby sa nezvyšovalo 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zaťaženi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podnikateľsk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ých subjektov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ni nerozširoval počet povinných podnikateľských subjektov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na predmetný ropný výrobok s kódom kombinovanej nomenklatúry 2710 20 90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sa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 § 2a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navrhuje ustanoviť 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výnimk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</w:t>
      </w:r>
      <w:r w:rsidR="00F2625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 plnenia povinností podľa tohto zákona. </w:t>
      </w:r>
    </w:p>
    <w:p w14:paraId="011F91AD" w14:textId="77777777" w:rsidR="00734518" w:rsidRPr="00327AA5" w:rsidRDefault="00734518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324598A" w14:textId="04D10554" w:rsidR="00734518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K bodu </w:t>
      </w:r>
      <w:r w:rsidR="00D917BF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1</w:t>
      </w:r>
      <w:r w:rsidR="00425A5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6</w:t>
      </w:r>
    </w:p>
    <w:p w14:paraId="184E76B4" w14:textId="5F0389F1" w:rsidR="007D726F" w:rsidRDefault="008247E4" w:rsidP="003C7D49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roku 2020 bolo potrebné novelizovať zákon č.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218/2013 Z. z. </w:t>
      </w:r>
      <w:r w:rsidR="003C7D4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 znení zákona č. 235/2019 Z. z.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iba z toho dôvodu, že došlo k zmene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označení niektorých ropných výrobkov v nariadení Rady (EHS) č. 2658/87 z 23. júla 1987 o colnej a štatistickej nomenklatúre a o Spoločnom colnom sadzobníku</w:t>
      </w:r>
      <w:r w:rsid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(</w:t>
      </w:r>
      <w:r w:rsidR="00630B89" w:rsidRP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Ú. v. ES L 256, 7.9.1987</w:t>
      </w:r>
      <w:r w:rsid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; Mimoriadne vydanie Ú. v. EÚ, kap. 2</w:t>
      </w:r>
      <w:r w:rsidR="00630B89" w:rsidRP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/zv. 2</w:t>
      </w:r>
      <w:r w:rsid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 v platnom znení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V nadväznosti na to bolo potrebné upraviť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číselné kódy</w:t>
      </w:r>
      <w:r w:rsidR="005E353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kombinovanej nomenklatúry niektorých ropných výrobkov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 príslušných zákonoch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a to v</w:t>
      </w:r>
      <w:r w:rsid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zákone</w:t>
      </w:r>
      <w:r w:rsid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98/2004 Z. z.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 spotrebnej dani z minerálneho oleja</w:t>
      </w:r>
      <w:r w:rsidR="00737D6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znení neskorších predpisov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ako aj v 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rílohe č. 1 k zákonu č. 218/2013</w:t>
      </w:r>
      <w:r w:rsidR="00737D6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Z. z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Rozsah vybraných ropných výrobkov v 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rílohe č. 1 </w:t>
      </w:r>
      <w:r w:rsidR="00981BD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</w:t>
      </w:r>
      <w:r w:rsidR="00981BD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218/2013</w:t>
      </w:r>
      <w:r w:rsidR="00737D6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Z. z.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sa tým nemenil, iba sa zmen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ili niektoré číselné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kódy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Aby pri podobných potenciálnych budúcich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novelách</w:t>
      </w:r>
      <w:r w:rsidR="005E353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nariadenia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(EHS) </w:t>
      </w:r>
      <w:r w:rsidR="005E353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č. 2658/87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 platnom znení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nebolo potrebné zakaždým novelizovať zákon č. 218/2013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Z. z., do 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rílohy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1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dop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ĺňa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ustanovenie o tom, že vybrané ropné výrobky sú definované predovšetkým ich slovným opisom v 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rílohe č. 1 a ich číselné označenie kódom kombinovanej nomenklatúry bude zodpovedať aktuálnemu zneniu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prílohy </w:t>
      </w:r>
      <w:r w:rsidR="005E353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nariadenia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(EHS) </w:t>
      </w:r>
      <w:r w:rsidR="005E353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č. 2658/87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 platnom znení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pokiaľ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slovný opis vybraného ropného výrobku podľa 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prvého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bodu </w:t>
      </w:r>
      <w:r w:rsidR="00D2197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rílohy č. 1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zákona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spĺňa kritériá definície ropného výrobku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podľa </w:t>
      </w:r>
      <w:r w:rsidR="005E353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nariadenia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(EHS) </w:t>
      </w:r>
      <w:r w:rsidR="005E353A"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č. 2658/87 </w:t>
      </w:r>
      <w:r w:rsidR="005E353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 platnom znení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="0048629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7D726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 poznámke pod čiarou sa opravuje publikačný zdroj. </w:t>
      </w:r>
    </w:p>
    <w:p w14:paraId="512E01B8" w14:textId="790D3DC8" w:rsidR="00734518" w:rsidRDefault="00734518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C0819EB" w14:textId="1806BE5A" w:rsidR="00486294" w:rsidRPr="00486294" w:rsidRDefault="00486294" w:rsidP="003C7D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86294">
        <w:rPr>
          <w:rFonts w:ascii="Times New Roman" w:hAnsi="Times New Roman" w:cs="Times New Roman"/>
          <w:b/>
          <w:sz w:val="24"/>
          <w:szCs w:val="24"/>
          <w:lang w:val="sk-SK"/>
        </w:rPr>
        <w:t>K bodu 1</w:t>
      </w:r>
      <w:r w:rsidR="00425A58">
        <w:rPr>
          <w:rFonts w:ascii="Times New Roman" w:hAnsi="Times New Roman" w:cs="Times New Roman"/>
          <w:b/>
          <w:sz w:val="24"/>
          <w:szCs w:val="24"/>
          <w:lang w:val="sk-SK"/>
        </w:rPr>
        <w:t>7</w:t>
      </w:r>
    </w:p>
    <w:p w14:paraId="7D5DC1E1" w14:textId="068BC98C" w:rsidR="00486294" w:rsidRDefault="00486294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Doplnila sa transpozičná príloha. </w:t>
      </w:r>
    </w:p>
    <w:p w14:paraId="3BBFB3C9" w14:textId="77777777" w:rsidR="00486294" w:rsidRDefault="00486294" w:rsidP="003C7D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D04E36B" w14:textId="7958DF13" w:rsidR="00734518" w:rsidRPr="009B1AD2" w:rsidRDefault="00734518" w:rsidP="003C7D4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 </w:t>
      </w:r>
      <w:r w:rsidR="003274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Čl.</w:t>
      </w:r>
      <w:r w:rsidR="003274D2"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r w:rsidRPr="009B1AD2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I</w:t>
      </w:r>
      <w:r w:rsidR="00EF3B4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I</w:t>
      </w:r>
    </w:p>
    <w:p w14:paraId="538A9FA7" w14:textId="2ED2D8AF" w:rsidR="004E10A5" w:rsidRPr="002729D9" w:rsidRDefault="00734518" w:rsidP="00272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Navrhuje sa účinnosť zákona.</w:t>
      </w:r>
    </w:p>
    <w:sectPr w:rsidR="004E10A5" w:rsidRPr="002729D9" w:rsidSect="00B10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D4E53" w14:textId="77777777" w:rsidR="00B7780B" w:rsidRDefault="00B7780B" w:rsidP="00406F9A">
      <w:pPr>
        <w:spacing w:after="0" w:line="240" w:lineRule="auto"/>
      </w:pPr>
      <w:r>
        <w:separator/>
      </w:r>
    </w:p>
  </w:endnote>
  <w:endnote w:type="continuationSeparator" w:id="0">
    <w:p w14:paraId="4F2152FC" w14:textId="77777777" w:rsidR="00B7780B" w:rsidRDefault="00B7780B" w:rsidP="0040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B7CE" w14:textId="77777777" w:rsidR="004A5FBF" w:rsidRDefault="004A5F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669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404119" w14:textId="16BF0DA0" w:rsidR="00406F9A" w:rsidRPr="00300ED5" w:rsidRDefault="00406F9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0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0E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0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98D" w:rsidRPr="0086698D">
          <w:rPr>
            <w:rFonts w:ascii="Times New Roman" w:hAnsi="Times New Roman" w:cs="Times New Roman"/>
            <w:noProof/>
            <w:sz w:val="24"/>
            <w:szCs w:val="24"/>
            <w:lang w:val="sk-SK"/>
          </w:rPr>
          <w:t>2</w:t>
        </w:r>
        <w:r w:rsidRPr="00300E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0E474F" w14:textId="77777777" w:rsidR="00406F9A" w:rsidRDefault="00406F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F2FF" w14:textId="77777777" w:rsidR="004A5FBF" w:rsidRDefault="004A5F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F203" w14:textId="77777777" w:rsidR="00B7780B" w:rsidRDefault="00B7780B" w:rsidP="00406F9A">
      <w:pPr>
        <w:spacing w:after="0" w:line="240" w:lineRule="auto"/>
      </w:pPr>
      <w:r>
        <w:separator/>
      </w:r>
    </w:p>
  </w:footnote>
  <w:footnote w:type="continuationSeparator" w:id="0">
    <w:p w14:paraId="158D6186" w14:textId="77777777" w:rsidR="00B7780B" w:rsidRDefault="00B7780B" w:rsidP="0040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CC36" w14:textId="77777777" w:rsidR="004A5FBF" w:rsidRDefault="004A5F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059C" w14:textId="77777777" w:rsidR="004A5FBF" w:rsidRDefault="004A5F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68D0" w14:textId="77777777" w:rsidR="004A5FBF" w:rsidRDefault="004A5F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B"/>
    <w:rsid w:val="00016B4E"/>
    <w:rsid w:val="000441E9"/>
    <w:rsid w:val="00067E5B"/>
    <w:rsid w:val="00071099"/>
    <w:rsid w:val="000A47D2"/>
    <w:rsid w:val="000B3140"/>
    <w:rsid w:val="000C73FB"/>
    <w:rsid w:val="00107BE1"/>
    <w:rsid w:val="00136D44"/>
    <w:rsid w:val="001849A0"/>
    <w:rsid w:val="001B630F"/>
    <w:rsid w:val="001C4964"/>
    <w:rsid w:val="001E144C"/>
    <w:rsid w:val="001F2311"/>
    <w:rsid w:val="002423C2"/>
    <w:rsid w:val="002729D9"/>
    <w:rsid w:val="00274CC3"/>
    <w:rsid w:val="00296269"/>
    <w:rsid w:val="002C06B3"/>
    <w:rsid w:val="002E53A5"/>
    <w:rsid w:val="00300ED5"/>
    <w:rsid w:val="003274D2"/>
    <w:rsid w:val="003A0B6F"/>
    <w:rsid w:val="003C7D49"/>
    <w:rsid w:val="003D0F14"/>
    <w:rsid w:val="00406F9A"/>
    <w:rsid w:val="00425A58"/>
    <w:rsid w:val="00456860"/>
    <w:rsid w:val="0046151F"/>
    <w:rsid w:val="00473B65"/>
    <w:rsid w:val="00481D42"/>
    <w:rsid w:val="00486294"/>
    <w:rsid w:val="00496CD2"/>
    <w:rsid w:val="004A1FE4"/>
    <w:rsid w:val="004A5FBF"/>
    <w:rsid w:val="004E10A5"/>
    <w:rsid w:val="004F14FF"/>
    <w:rsid w:val="005034BE"/>
    <w:rsid w:val="005367BC"/>
    <w:rsid w:val="00553A30"/>
    <w:rsid w:val="00580ED7"/>
    <w:rsid w:val="005C4BEE"/>
    <w:rsid w:val="005D5691"/>
    <w:rsid w:val="005D79E9"/>
    <w:rsid w:val="005E353A"/>
    <w:rsid w:val="00630B89"/>
    <w:rsid w:val="006412C5"/>
    <w:rsid w:val="006677C1"/>
    <w:rsid w:val="00697FB2"/>
    <w:rsid w:val="006D2FEA"/>
    <w:rsid w:val="006F5F5D"/>
    <w:rsid w:val="006F6786"/>
    <w:rsid w:val="0070060C"/>
    <w:rsid w:val="00734518"/>
    <w:rsid w:val="00737D6B"/>
    <w:rsid w:val="007513D0"/>
    <w:rsid w:val="007960A6"/>
    <w:rsid w:val="007D726F"/>
    <w:rsid w:val="007F4DA4"/>
    <w:rsid w:val="008247E4"/>
    <w:rsid w:val="00835D0E"/>
    <w:rsid w:val="008502EE"/>
    <w:rsid w:val="00856809"/>
    <w:rsid w:val="0086698D"/>
    <w:rsid w:val="008917C0"/>
    <w:rsid w:val="008A74E7"/>
    <w:rsid w:val="008B4B3A"/>
    <w:rsid w:val="008F0004"/>
    <w:rsid w:val="008F3853"/>
    <w:rsid w:val="0093669B"/>
    <w:rsid w:val="0095290A"/>
    <w:rsid w:val="00974542"/>
    <w:rsid w:val="00981BD9"/>
    <w:rsid w:val="00991A1B"/>
    <w:rsid w:val="00A33925"/>
    <w:rsid w:val="00A64BC5"/>
    <w:rsid w:val="00AC2947"/>
    <w:rsid w:val="00AC46B4"/>
    <w:rsid w:val="00AF21C8"/>
    <w:rsid w:val="00B05678"/>
    <w:rsid w:val="00B66DEE"/>
    <w:rsid w:val="00B7780B"/>
    <w:rsid w:val="00B877B9"/>
    <w:rsid w:val="00BA437C"/>
    <w:rsid w:val="00BB708B"/>
    <w:rsid w:val="00BC2E83"/>
    <w:rsid w:val="00BC3756"/>
    <w:rsid w:val="00BE4BC7"/>
    <w:rsid w:val="00C6027C"/>
    <w:rsid w:val="00C615AA"/>
    <w:rsid w:val="00CA2ACA"/>
    <w:rsid w:val="00CD6696"/>
    <w:rsid w:val="00CE3CC5"/>
    <w:rsid w:val="00D21976"/>
    <w:rsid w:val="00D3318F"/>
    <w:rsid w:val="00D743B3"/>
    <w:rsid w:val="00D917BF"/>
    <w:rsid w:val="00DC024D"/>
    <w:rsid w:val="00DD4BB6"/>
    <w:rsid w:val="00E01513"/>
    <w:rsid w:val="00E07424"/>
    <w:rsid w:val="00E11825"/>
    <w:rsid w:val="00E215A4"/>
    <w:rsid w:val="00E3290F"/>
    <w:rsid w:val="00E424D8"/>
    <w:rsid w:val="00E44B8A"/>
    <w:rsid w:val="00E46F41"/>
    <w:rsid w:val="00E7307B"/>
    <w:rsid w:val="00E77025"/>
    <w:rsid w:val="00E8097A"/>
    <w:rsid w:val="00ED5BB3"/>
    <w:rsid w:val="00EE483E"/>
    <w:rsid w:val="00EF2A14"/>
    <w:rsid w:val="00EF3B4B"/>
    <w:rsid w:val="00F26250"/>
    <w:rsid w:val="00F777DA"/>
    <w:rsid w:val="00F84E78"/>
    <w:rsid w:val="00FD0A34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65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518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73451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3451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025"/>
    <w:rPr>
      <w:rFonts w:ascii="Segoe UI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0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F9A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40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F9A"/>
    <w:rPr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7960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60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60A6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60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60A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-Dôvodová-správa---Osobitná-časť"/>
    <f:field ref="objsubject" par="" edit="true" text=""/>
    <f:field ref="objcreatedby" par="" text="Blaho, Peter, JUDr."/>
    <f:field ref="objcreatedat" par="" text="21.4.2021 11:07:35"/>
    <f:field ref="objchangedby" par="" text="Administrator, System"/>
    <f:field ref="objmodifiedat" par="" text="21.4.2021 11:07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2021-07-29T11:45:00Z</dcterms:created>
  <dcterms:modified xsi:type="dcterms:W3CDTF">2021-07-29T11:45:00Z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21. 4. 2021</vt:lpwstr>
  </property>
  <property fmtid="{D5CDD505-2E9C-101B-9397-08002B2CF9AE}" pid="151" name="FSC#COOSYSTEM@1.1:Container">
    <vt:lpwstr>COO.2145.1000.3.4332582</vt:lpwstr>
  </property>
  <property fmtid="{D5CDD505-2E9C-101B-9397-08002B2CF9AE}" pid="152" name="FSC#FSCFOLIO@1.1001:docpropproject">
    <vt:lpwstr/>
  </property>
</Properties>
</file>