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6D" w:rsidRPr="00E40098" w:rsidRDefault="00196D6D" w:rsidP="00C81929">
      <w:pPr>
        <w:pStyle w:val="Zkladntext"/>
      </w:pPr>
      <w:r w:rsidRPr="00E40098">
        <w:t>Vyhodnotenie plnenia</w:t>
      </w:r>
    </w:p>
    <w:p w:rsidR="00196D6D" w:rsidRDefault="00196D6D" w:rsidP="00C81929">
      <w:pPr>
        <w:pStyle w:val="Zkladntext"/>
      </w:pPr>
      <w:bookmarkStart w:id="0" w:name="OLE_LINK4"/>
      <w:bookmarkStart w:id="1" w:name="OLE_LINK3"/>
      <w:r w:rsidRPr="00256711">
        <w:t>Stratégi</w:t>
      </w:r>
      <w:r>
        <w:t>e</w:t>
      </w:r>
      <w:r w:rsidRPr="00256711">
        <w:t xml:space="preserve"> bezpečnosti a ochrany zdravia pri práci v Slovenskej republike na roky 2016 až 2020 a programu jej realiz</w:t>
      </w:r>
      <w:r>
        <w:t>ácie</w:t>
      </w:r>
    </w:p>
    <w:bookmarkEnd w:id="0"/>
    <w:bookmarkEnd w:id="1"/>
    <w:p w:rsidR="00196D6D" w:rsidRPr="00E40098" w:rsidRDefault="00196D6D" w:rsidP="00C81929">
      <w:pPr>
        <w:pStyle w:val="Zkladntext"/>
      </w:pPr>
      <w:r w:rsidRPr="00E40098">
        <w:t>v</w:t>
      </w:r>
      <w:r>
        <w:t> </w:t>
      </w:r>
      <w:r w:rsidRPr="00E40098">
        <w:t>rok</w:t>
      </w:r>
      <w:r>
        <w:t xml:space="preserve">u </w:t>
      </w:r>
      <w:r w:rsidRPr="00E40098">
        <w:t>201</w:t>
      </w:r>
      <w:r>
        <w:t>8</w:t>
      </w:r>
    </w:p>
    <w:p w:rsidR="00196D6D" w:rsidRPr="00E40098" w:rsidRDefault="00196D6D" w:rsidP="00C81929">
      <w:pPr>
        <w:pStyle w:val="Nadpis1"/>
      </w:pPr>
    </w:p>
    <w:p w:rsidR="00196D6D" w:rsidRPr="00203A5B" w:rsidRDefault="00196D6D" w:rsidP="00C81929">
      <w:pPr>
        <w:pStyle w:val="Nadpis1"/>
        <w:numPr>
          <w:ilvl w:val="0"/>
          <w:numId w:val="1"/>
        </w:numPr>
      </w:pPr>
      <w:r w:rsidRPr="00203A5B">
        <w:t>Úvod</w:t>
      </w:r>
    </w:p>
    <w:p w:rsidR="00196D6D" w:rsidRDefault="00196D6D" w:rsidP="00944F27">
      <w:r w:rsidRPr="00256711">
        <w:t>Vláda Slovenskej republiky uznesením č. 468 zo dňa 12. októbra 2016 (ďalej „uznesenie vlády SR“) schválila Stratégi</w:t>
      </w:r>
      <w:r>
        <w:t>u</w:t>
      </w:r>
      <w:r w:rsidRPr="00256711">
        <w:t xml:space="preserve"> bezpečnosti a ochrany zdravia pri práci v Slovenskej republike na roky 2016 až 2020 a programu jej realizácie (ďalej „stratégia BOZP“).</w:t>
      </w:r>
    </w:p>
    <w:p w:rsidR="00196D6D" w:rsidRDefault="00196D6D" w:rsidP="009D7F84">
      <w:r w:rsidRPr="00203A5B">
        <w:t>Vláda Slovenskej republiky uložila príslušným ministrom a predsedovi ÚNMS SR, aby zabezpečili plnenie stratégie BOZP a požiadala predstaviteľov sociálnych partnerov a vybraných inštitúcií, aby sa podieľali na plnení stratégie BOZP.</w:t>
      </w:r>
    </w:p>
    <w:p w:rsidR="00196D6D" w:rsidRDefault="00196D6D" w:rsidP="009D7F84">
      <w:r w:rsidRPr="00256711">
        <w:t>Základným cieľom stratégie BOZP je napomáhať budovať dlhodobo udržateľné dôstojné pracovné podmienky prostredníctvom podpory podmienok na udržanie nízkeho počtu pracovných úrazov, najmä smrteľných pracovných úrazov a pracovných úrazov s</w:t>
      </w:r>
      <w:r>
        <w:t> </w:t>
      </w:r>
      <w:r w:rsidRPr="00256711">
        <w:t xml:space="preserve">celoživotnými následkami, a to v porovnaní so stavom dosiahnutým v roku </w:t>
      </w:r>
      <w:r w:rsidRPr="00BB37D7">
        <w:t>201</w:t>
      </w:r>
      <w:r w:rsidR="00BB37D7" w:rsidRPr="00BB37D7">
        <w:t>2</w:t>
      </w:r>
      <w:r w:rsidRPr="00256711">
        <w:t xml:space="preserve"> ako aj eliminovanie príčin chorôb z povolania, zlepšovanie prevencie a posilňovanie kultúry práce.</w:t>
      </w:r>
    </w:p>
    <w:p w:rsidR="00196D6D" w:rsidRPr="00203A5B" w:rsidRDefault="00196D6D" w:rsidP="009D7F84">
      <w:r w:rsidRPr="00203A5B">
        <w:t>Podľa bodu B.4 uznesenia vlády SR minister práce, sociálnych vecí a rodiny Slovenskej republiky predkladá každoročne do 30.</w:t>
      </w:r>
      <w:r>
        <w:t> </w:t>
      </w:r>
      <w:r w:rsidRPr="00203A5B">
        <w:t>júna na rokovanie vlády Slovenskej republiky vyhodnotenie plnenia stratégie BOZP v predchádzajúcom roku vrátane návrhu na jej prípadnú aktualizáciu, ktoré je vypracované z podkladov ministerstiev, ÚNMS SR, sociálnych partnerov a ďalších inštitúcií plniacich stratégiu BOZP.</w:t>
      </w:r>
    </w:p>
    <w:p w:rsidR="00196D6D" w:rsidRDefault="00196D6D" w:rsidP="009D7F84">
      <w:r w:rsidRPr="00203A5B">
        <w:t>Na plnení úloh vyplývajúcich zo stratégie BOZP sa v roku 201</w:t>
      </w:r>
      <w:r>
        <w:t>8</w:t>
      </w:r>
      <w:r w:rsidRPr="00203A5B">
        <w:t xml:space="preserve"> v rámci MPSVR SR podieľal </w:t>
      </w:r>
      <w:r w:rsidR="00FF0659">
        <w:t>NIP</w:t>
      </w:r>
      <w:r w:rsidRPr="00203A5B">
        <w:t xml:space="preserve">, </w:t>
      </w:r>
      <w:r>
        <w:t>útvary MPSVR SR a IVPR.</w:t>
      </w:r>
    </w:p>
    <w:p w:rsidR="00861397" w:rsidRPr="009D7F84" w:rsidRDefault="006A15DE" w:rsidP="009D7F84">
      <w:r>
        <w:t xml:space="preserve">V súlade s bodom B.2 a B.3 uznesenia vlády SR plnenie stratégie BOZP v roku 2018 zabezpečovali a vyhodnotenie plnenia stratégie BOZP predložili nasledujúce inštitúcie: </w:t>
      </w:r>
      <w:r w:rsidRPr="004838DC">
        <w:t>MF SR – v rámci rezortu plnenie zabezpečovalo FR SR,</w:t>
      </w:r>
      <w:r>
        <w:t xml:space="preserve"> MH SR – v rámci rezortu plnenie zabezpečovalo HBÚ a OBÚ, MS SR – v rámci rezortu plnenie zabezpečoval ZVJS, MZ SR – v rámci rezortu plnenie zabezpečoval ÚVZ SR a RÚVZ, MDVRR SR, MO SR, MV SR, MŠVVŠ SR, ÚNMS SR. Vyhodnotenie plnenia stratégie BOZP v roku 2018 predložili aj AZZZ SR, RÚZ,</w:t>
      </w:r>
      <w:r w:rsidR="009D7F84">
        <w:t xml:space="preserve"> KOZ SR, Spoločná vízia a TUKE.</w:t>
      </w:r>
    </w:p>
    <w:p w:rsidR="005B7830" w:rsidRDefault="00861397" w:rsidP="009D7F84">
      <w:pPr>
        <w:pStyle w:val="Nadpis1"/>
        <w:numPr>
          <w:ilvl w:val="0"/>
          <w:numId w:val="1"/>
        </w:numPr>
        <w:spacing w:before="240"/>
      </w:pPr>
      <w:r>
        <w:t>Vývoj počtu pracovných úrazov a chorôb z povolania</w:t>
      </w:r>
    </w:p>
    <w:p w:rsidR="00455AA5" w:rsidRPr="00455AA5" w:rsidRDefault="007F706A" w:rsidP="009D7F84">
      <w:r w:rsidRPr="007F706A">
        <w:t xml:space="preserve">Pracovná úrazovosť v Slovenskej republike má vo všeobecnosti pozitívny klesajúci trend vzhľadom na počet zamestnaných osôb a počet registrovaných pracovných úrazov. </w:t>
      </w:r>
      <w:r w:rsidR="00455AA5" w:rsidRPr="00455AA5">
        <w:t xml:space="preserve">Z údajov ŠÚ SR a MZ SR o vývoji pracovnej úrazovosti a chorôb z povolania v Slovenskej republike v roku 2018 vyplýva, že celkový počet pracovných úrazov v roku 2018 bol 10 918, čo v porovnaní s rokom 2017 predstavuje zníženie relatívneho ukazovateľa početnosti pracovných úrazov na 100 zamestnancov z 0,37 na 0,35. V porovnaní s rokom 2012 sa udržuje zníženie relatívneho ukazovateľa početnosti pracovných úrazov na 100 zamestnancov z 0,38 na 0,35. </w:t>
      </w:r>
    </w:p>
    <w:p w:rsidR="007F706A" w:rsidRDefault="00455AA5" w:rsidP="007F706A">
      <w:r w:rsidRPr="00455AA5">
        <w:lastRenderedPageBreak/>
        <w:t xml:space="preserve">V roku 2018 </w:t>
      </w:r>
      <w:r w:rsidR="00417135">
        <w:t>bolo zaznamenaných</w:t>
      </w:r>
      <w:r w:rsidRPr="00455AA5">
        <w:t xml:space="preserve"> 38 závažných pracovných úrazov so smrteľnými následkami, čo je  o 3 menej ako v roku 2017, o 19 menej ako v roku 2015, kedy ich </w:t>
      </w:r>
      <w:r w:rsidR="00417135">
        <w:t xml:space="preserve">bolo zaznamenaných </w:t>
      </w:r>
      <w:r w:rsidRPr="00455AA5">
        <w:t xml:space="preserve">57 a o 14 menej ako v roku 2012, kedy ich </w:t>
      </w:r>
      <w:r w:rsidR="00417135">
        <w:t>bolo zaznamenaných</w:t>
      </w:r>
      <w:r w:rsidRPr="00455AA5">
        <w:t xml:space="preserve"> 52. V roku 2018 je evidovaných 307 nových chorôb z povolania, čo je o 47 menej ako v roku 2017, o 16 menej ako v roku 2015 a o 37 menej ako v roku 2012.</w:t>
      </w:r>
      <w:r w:rsidR="007F706A">
        <w:t xml:space="preserve"> </w:t>
      </w:r>
    </w:p>
    <w:p w:rsidR="007F706A" w:rsidRDefault="007F706A" w:rsidP="007F706A">
      <w:r>
        <w:t xml:space="preserve">Na základe uvedených skutočností možno hodnotiť, že v </w:t>
      </w:r>
      <w:r w:rsidR="00455AA5" w:rsidRPr="00455AA5">
        <w:t xml:space="preserve">Slovenskej republike </w:t>
      </w:r>
      <w:r>
        <w:t>sa v rokoch 2012 až 2018 udržuje znížený stav</w:t>
      </w:r>
      <w:r w:rsidR="00455AA5" w:rsidRPr="00455AA5">
        <w:t xml:space="preserve"> pracovnej úrazovosti v absolútnych i relatívnych ukazovateľoch. </w:t>
      </w:r>
    </w:p>
    <w:p w:rsidR="00455AA5" w:rsidRPr="00455AA5" w:rsidRDefault="007F706A" w:rsidP="00C126B2">
      <w:r>
        <w:t>Za zmienku stojí skutočnosť, že o</w:t>
      </w:r>
      <w:r w:rsidRPr="007F706A">
        <w:t>d evidencie vývoja pracovnej úrazovosti a chorôb z povolania v SR v rokoch</w:t>
      </w:r>
      <w:r>
        <w:t xml:space="preserve"> 1969 – 2018</w:t>
      </w:r>
      <w:r w:rsidRPr="007F706A">
        <w:t xml:space="preserve"> v r</w:t>
      </w:r>
      <w:r>
        <w:t>oku 2018</w:t>
      </w:r>
      <w:r w:rsidRPr="007F706A">
        <w:t xml:space="preserve"> bolo na Slovensku zamestnaných hi</w:t>
      </w:r>
      <w:r>
        <w:t>storicky najviac zamestnancov (3 077 465</w:t>
      </w:r>
      <w:r w:rsidRPr="007F706A">
        <w:t>) a</w:t>
      </w:r>
      <w:r>
        <w:t xml:space="preserve"> najnižší počet </w:t>
      </w:r>
      <w:r w:rsidRPr="007F706A">
        <w:t>smrteľných pracovných úraz</w:t>
      </w:r>
      <w:r w:rsidR="00C126B2">
        <w:t xml:space="preserve">ov (38) a z toho dôvodu bola zaznamenaná aj </w:t>
      </w:r>
      <w:r w:rsidRPr="007F706A">
        <w:t>historicky najnižšia početnosť smrteľných pracovných úraz</w:t>
      </w:r>
      <w:r>
        <w:t>ov na 100 000 zamestnancov (1,23</w:t>
      </w:r>
      <w:r w:rsidRPr="007F706A">
        <w:t>).</w:t>
      </w:r>
      <w:r>
        <w:t xml:space="preserve"> P</w:t>
      </w:r>
      <w:r w:rsidR="00455AA5" w:rsidRPr="00455AA5">
        <w:t>očet chorôb z</w:t>
      </w:r>
      <w:r>
        <w:t> </w:t>
      </w:r>
      <w:r w:rsidR="00455AA5" w:rsidRPr="00455AA5">
        <w:t>povolania</w:t>
      </w:r>
      <w:r>
        <w:t xml:space="preserve"> v roku 2018 (307) </w:t>
      </w:r>
      <w:r w:rsidR="00455AA5" w:rsidRPr="00455AA5">
        <w:t xml:space="preserve">je </w:t>
      </w:r>
      <w:r>
        <w:t xml:space="preserve">historicky druhý najnižší (v </w:t>
      </w:r>
      <w:r w:rsidR="00455AA5" w:rsidRPr="00455AA5">
        <w:t>roku 2013</w:t>
      </w:r>
      <w:r>
        <w:t xml:space="preserve"> bolo evidovaných 301 chorôb z povolania)</w:t>
      </w:r>
      <w:r w:rsidR="00455AA5" w:rsidRPr="00455AA5">
        <w:t>.</w:t>
      </w:r>
    </w:p>
    <w:p w:rsidR="00455AA5" w:rsidRPr="00455AA5" w:rsidRDefault="00455AA5" w:rsidP="009D7F84">
      <w:r w:rsidRPr="00455AA5">
        <w:t>Naďalej je však dôležité presadzovanie preventívnych aktivít a uplatňovanie systémových opatrení v oblasti BOZP, na</w:t>
      </w:r>
      <w:r w:rsidR="009D7F84">
        <w:t xml:space="preserve">jmä zo strany zamestnávateľov.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303"/>
        <w:gridCol w:w="1097"/>
        <w:gridCol w:w="1365"/>
        <w:gridCol w:w="1049"/>
        <w:gridCol w:w="1281"/>
      </w:tblGrid>
      <w:tr w:rsidR="007F706A" w:rsidRPr="00455AA5" w:rsidTr="007F70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rPr>
                <w:b/>
                <w:sz w:val="2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 xml:space="preserve">Priemerný počet nemocensky poistených </w:t>
            </w:r>
            <w:proofErr w:type="spellStart"/>
            <w:r w:rsidRPr="009D7F84">
              <w:rPr>
                <w:b/>
                <w:sz w:val="22"/>
              </w:rPr>
              <w:t>zamestn</w:t>
            </w:r>
            <w:proofErr w:type="spellEnd"/>
            <w:r w:rsidRPr="009D7F84">
              <w:rPr>
                <w:b/>
                <w:sz w:val="22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>Počet PN pre prac. úrazy (PÚ)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 xml:space="preserve">Početnosť PÚ na 100 </w:t>
            </w:r>
            <w:proofErr w:type="spellStart"/>
            <w:r w:rsidRPr="009D7F84">
              <w:rPr>
                <w:b/>
                <w:sz w:val="22"/>
              </w:rPr>
              <w:t>zamestnan</w:t>
            </w:r>
            <w:proofErr w:type="spellEnd"/>
            <w:r w:rsidRPr="009D7F84">
              <w:rPr>
                <w:b/>
                <w:sz w:val="22"/>
              </w:rPr>
              <w:t>.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>Počet dní PN na jeden PÚ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>Počet smrteľných PÚ</w:t>
            </w:r>
            <w:r>
              <w:rPr>
                <w:b/>
                <w:sz w:val="22"/>
              </w:rPr>
              <w:t xml:space="preserve"> (SPÚ)</w:t>
            </w:r>
          </w:p>
        </w:tc>
        <w:tc>
          <w:tcPr>
            <w:tcW w:w="1049" w:type="dxa"/>
          </w:tcPr>
          <w:p w:rsidR="00F53959" w:rsidRPr="009D7F84" w:rsidRDefault="00F53959" w:rsidP="009D7F84">
            <w:pPr>
              <w:ind w:hanging="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Početnosť SPÚ na 100 000 </w:t>
            </w:r>
            <w:proofErr w:type="spellStart"/>
            <w:r>
              <w:rPr>
                <w:b/>
                <w:sz w:val="22"/>
              </w:rPr>
              <w:t>zamestn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959" w:rsidRPr="009D7F84" w:rsidRDefault="00F53959" w:rsidP="009D7F84">
            <w:pPr>
              <w:ind w:hanging="28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>Počet chorôb z povolania</w:t>
            </w:r>
          </w:p>
        </w:tc>
      </w:tr>
      <w:tr w:rsidR="007F706A" w:rsidRPr="00455AA5" w:rsidTr="007F70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>2012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2 296 589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1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8 767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0,38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60,13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52</w:t>
            </w:r>
          </w:p>
        </w:tc>
        <w:tc>
          <w:tcPr>
            <w:tcW w:w="1049" w:type="dxa"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2,26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344*</w:t>
            </w:r>
          </w:p>
        </w:tc>
      </w:tr>
      <w:tr w:rsidR="007F706A" w:rsidRPr="00455AA5" w:rsidTr="007F70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>2013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2 496 319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1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8 577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0,34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62,31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52</w:t>
            </w:r>
          </w:p>
        </w:tc>
        <w:tc>
          <w:tcPr>
            <w:tcW w:w="1049" w:type="dxa"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2,08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301*</w:t>
            </w:r>
          </w:p>
        </w:tc>
      </w:tr>
      <w:tr w:rsidR="007F706A" w:rsidRPr="00455AA5" w:rsidTr="007F70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>2014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2 592 523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1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8 240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0,32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59,50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39</w:t>
            </w:r>
          </w:p>
        </w:tc>
        <w:tc>
          <w:tcPr>
            <w:tcW w:w="1049" w:type="dxa"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1,50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373*</w:t>
            </w:r>
          </w:p>
        </w:tc>
      </w:tr>
      <w:tr w:rsidR="007F706A" w:rsidRPr="00455AA5" w:rsidTr="007F70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>2015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2 722 400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1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9 565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0,35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59,99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57</w:t>
            </w:r>
          </w:p>
        </w:tc>
        <w:tc>
          <w:tcPr>
            <w:tcW w:w="1049" w:type="dxa"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2,09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323*</w:t>
            </w:r>
          </w:p>
        </w:tc>
      </w:tr>
      <w:tr w:rsidR="007F706A" w:rsidRPr="00455AA5" w:rsidTr="007F70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>2016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2 844 858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1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10 327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0,36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61,59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40</w:t>
            </w:r>
          </w:p>
        </w:tc>
        <w:tc>
          <w:tcPr>
            <w:tcW w:w="1049" w:type="dxa"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1,41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316*</w:t>
            </w:r>
          </w:p>
        </w:tc>
      </w:tr>
      <w:tr w:rsidR="007F706A" w:rsidRPr="00455AA5" w:rsidTr="007F70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>2017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2 960 788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1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10 928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0,37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61,41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41</w:t>
            </w:r>
          </w:p>
        </w:tc>
        <w:tc>
          <w:tcPr>
            <w:tcW w:w="1049" w:type="dxa"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1,38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354*</w:t>
            </w:r>
          </w:p>
        </w:tc>
      </w:tr>
      <w:tr w:rsidR="007F706A" w:rsidRPr="00455AA5" w:rsidTr="007F70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b/>
                <w:sz w:val="22"/>
              </w:rPr>
            </w:pPr>
            <w:r w:rsidRPr="009D7F84">
              <w:rPr>
                <w:b/>
                <w:sz w:val="22"/>
              </w:rPr>
              <w:t>2018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3 077 465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1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10 918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0,35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62,13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38</w:t>
            </w:r>
          </w:p>
        </w:tc>
        <w:tc>
          <w:tcPr>
            <w:tcW w:w="1049" w:type="dxa"/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1,23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9" w:rsidRPr="009D7F84" w:rsidRDefault="00F53959" w:rsidP="009D7F84">
            <w:pPr>
              <w:ind w:firstLine="0"/>
              <w:jc w:val="center"/>
              <w:rPr>
                <w:sz w:val="22"/>
              </w:rPr>
            </w:pPr>
            <w:r w:rsidRPr="009D7F84">
              <w:rPr>
                <w:sz w:val="22"/>
              </w:rPr>
              <w:t>307*</w:t>
            </w:r>
          </w:p>
        </w:tc>
      </w:tr>
    </w:tbl>
    <w:p w:rsidR="00861397" w:rsidRPr="009D7F84" w:rsidRDefault="00455AA5" w:rsidP="009D7F84">
      <w:pPr>
        <w:rPr>
          <w:sz w:val="20"/>
          <w:szCs w:val="20"/>
        </w:rPr>
      </w:pPr>
      <w:r w:rsidRPr="009D7F84">
        <w:rPr>
          <w:sz w:val="20"/>
          <w:szCs w:val="20"/>
        </w:rPr>
        <w:t>Zdroj údajov: ŠÚ SR: počet PÚ zo SP, počet smrteľných PÚ z NIP a počet chorôb z povolania z MZ SR (*)</w:t>
      </w:r>
    </w:p>
    <w:p w:rsidR="00861397" w:rsidRDefault="00861397" w:rsidP="009D7F84">
      <w:pPr>
        <w:pStyle w:val="Nadpis1"/>
        <w:numPr>
          <w:ilvl w:val="0"/>
          <w:numId w:val="1"/>
        </w:numPr>
        <w:spacing w:before="240"/>
      </w:pPr>
      <w:r>
        <w:t>Plnenie stratégie BOZP v roku 2018</w:t>
      </w:r>
    </w:p>
    <w:p w:rsidR="00861397" w:rsidRPr="00E40098" w:rsidRDefault="00861397" w:rsidP="009D7F84">
      <w:pPr>
        <w:pStyle w:val="Nzov"/>
      </w:pPr>
      <w:r w:rsidRPr="00203A5B">
        <w:t>V roku 201</w:t>
      </w:r>
      <w:r>
        <w:t>8</w:t>
      </w:r>
      <w:r w:rsidRPr="00203A5B">
        <w:t xml:space="preserve"> boli jednotlivé úlohy stratégie BOZP, uvedené kurzívou, plnené nasledovne:</w:t>
      </w:r>
    </w:p>
    <w:p w:rsidR="007A0060" w:rsidRPr="00E40098" w:rsidRDefault="007A0060" w:rsidP="009D7F84">
      <w:pPr>
        <w:pStyle w:val="Nadpis2"/>
      </w:pPr>
      <w:r w:rsidRPr="00E40098">
        <w:t>Časť A</w:t>
      </w:r>
    </w:p>
    <w:p w:rsidR="007A0060" w:rsidRPr="00E40098" w:rsidRDefault="007A0060" w:rsidP="009D7F84">
      <w:pPr>
        <w:pStyle w:val="Nadpis2"/>
      </w:pPr>
      <w:r w:rsidRPr="00E40098">
        <w:t>Zlepšenie informovanosti, propagácie a kultúry prevencie v oblasti BOZP</w:t>
      </w:r>
    </w:p>
    <w:p w:rsidR="00E76347" w:rsidRDefault="007A0060" w:rsidP="009D7F84">
      <w:pPr>
        <w:pStyle w:val="Nadpis2"/>
      </w:pPr>
      <w:r w:rsidRPr="00E40098">
        <w:t>Úloha A.1.</w:t>
      </w:r>
    </w:p>
    <w:p w:rsidR="00E76347" w:rsidRPr="00E76347" w:rsidRDefault="007A0060" w:rsidP="009D7F84">
      <w:pPr>
        <w:ind w:firstLine="0"/>
        <w:rPr>
          <w:i/>
        </w:rPr>
      </w:pPr>
      <w:r w:rsidRPr="00E76347">
        <w:rPr>
          <w:i/>
        </w:rPr>
        <w:t xml:space="preserve">Aktívne sa zapájať do medzinárodných kampaní organizovaných Európskou agentúrou pre BOZP, </w:t>
      </w:r>
      <w:proofErr w:type="spellStart"/>
      <w:r w:rsidRPr="00E76347">
        <w:rPr>
          <w:i/>
        </w:rPr>
        <w:t>SLICom</w:t>
      </w:r>
      <w:proofErr w:type="spellEnd"/>
      <w:r w:rsidRPr="00E76347">
        <w:rPr>
          <w:i/>
        </w:rPr>
        <w:t xml:space="preserve"> a iných medzinárodných aktivít zameraných na BOZP a medializovať a organizovať tieto aktivity v Slovenskej republike.</w:t>
      </w:r>
    </w:p>
    <w:p w:rsidR="00E76347" w:rsidRPr="00E76347" w:rsidRDefault="007A0060" w:rsidP="009D7F84">
      <w:pPr>
        <w:spacing w:after="0"/>
        <w:ind w:firstLine="0"/>
        <w:rPr>
          <w:i/>
        </w:rPr>
      </w:pPr>
      <w:r w:rsidRPr="00E76347">
        <w:rPr>
          <w:i/>
        </w:rPr>
        <w:t xml:space="preserve">Termín: priebežne </w:t>
      </w:r>
    </w:p>
    <w:p w:rsidR="00E76347" w:rsidRPr="00E76347" w:rsidRDefault="007A0060" w:rsidP="009D7F84">
      <w:pPr>
        <w:spacing w:after="0"/>
        <w:ind w:firstLine="0"/>
        <w:rPr>
          <w:i/>
        </w:rPr>
      </w:pPr>
      <w:r w:rsidRPr="00E76347">
        <w:rPr>
          <w:i/>
        </w:rPr>
        <w:t>Zodpovední: MPSVR SR, MZ SR, MS SR</w:t>
      </w:r>
    </w:p>
    <w:p w:rsidR="00E76347" w:rsidRDefault="007A0060" w:rsidP="00433784">
      <w:pPr>
        <w:ind w:firstLine="0"/>
        <w:rPr>
          <w:i/>
          <w:iCs/>
        </w:rPr>
      </w:pPr>
      <w:r w:rsidRPr="00E76347">
        <w:rPr>
          <w:i/>
        </w:rPr>
        <w:lastRenderedPageBreak/>
        <w:t>Spolupracujúci: Slovenská asociácia BOZP a OPP, Spoločná vízia, vysoké školy</w:t>
      </w:r>
    </w:p>
    <w:p w:rsidR="007A0060" w:rsidRPr="00E76347" w:rsidRDefault="007A0060" w:rsidP="009D7F84">
      <w:pPr>
        <w:ind w:firstLine="0"/>
        <w:rPr>
          <w:i/>
          <w:iCs/>
        </w:rPr>
      </w:pPr>
      <w:r w:rsidRPr="00E76347">
        <w:rPr>
          <w:b/>
        </w:rPr>
        <w:t>Vyhodnotenie plnenia úlohy A.1.: úloha je plnená priebežne</w:t>
      </w:r>
    </w:p>
    <w:p w:rsidR="0026096D" w:rsidRDefault="0026096D" w:rsidP="009D7F84">
      <w:r w:rsidRPr="0026096D">
        <w:t xml:space="preserve">NIP participoval na aktivitách kampane </w:t>
      </w:r>
      <w:r w:rsidR="00FF0659">
        <w:t>EU-OSHA</w:t>
      </w:r>
      <w:r w:rsidRPr="0026096D">
        <w:t xml:space="preserve"> 2018 – 2019 „Zdravé pracoviská kontrolujú nebezpečné chemické látky“. V roku 2018 ju propagoval organizovaním troch seminárov</w:t>
      </w:r>
      <w:r>
        <w:t xml:space="preserve">, na ktorých ako prednášatelia participovali aj zástupcovia Národnej siete BOZP. Účasť na seminároch bola bezplatná a program seminárov sa zverejňoval na webovej stránke NIP približne s mesačným predstihom. </w:t>
      </w:r>
      <w:r w:rsidRPr="0026096D">
        <w:t xml:space="preserve">Organizované aktivity boli propagované i v odborných časopisoch </w:t>
      </w:r>
      <w:r>
        <w:t>„</w:t>
      </w:r>
      <w:r w:rsidRPr="0026096D">
        <w:t>Bezpečná práca</w:t>
      </w:r>
      <w:r>
        <w:t>“</w:t>
      </w:r>
      <w:r w:rsidR="00576E9B">
        <w:t xml:space="preserve">, </w:t>
      </w:r>
      <w:r w:rsidRPr="0026096D">
        <w:t xml:space="preserve">v mesačníku </w:t>
      </w:r>
      <w:r w:rsidR="00576E9B">
        <w:t>„</w:t>
      </w:r>
      <w:r w:rsidRPr="0026096D">
        <w:t>Bezpečnosť práce v</w:t>
      </w:r>
      <w:r w:rsidR="00576E9B">
        <w:t> </w:t>
      </w:r>
      <w:r w:rsidRPr="0026096D">
        <w:t>praxi</w:t>
      </w:r>
      <w:r w:rsidR="00576E9B">
        <w:t>“ a</w:t>
      </w:r>
      <w:r w:rsidRPr="0026096D">
        <w:t xml:space="preserve"> na medzinárodnej konferencii „Aktuálne otázky BOZP“, ktorú organizuje </w:t>
      </w:r>
      <w:r w:rsidR="00576E9B">
        <w:t>TUKE</w:t>
      </w:r>
      <w:r w:rsidRPr="0026096D">
        <w:t xml:space="preserve"> v spolupráci s NIP.</w:t>
      </w:r>
    </w:p>
    <w:p w:rsidR="00D52828" w:rsidRDefault="00D52828" w:rsidP="009D7F84">
      <w:r w:rsidRPr="00D52828">
        <w:t>Pod záštitou kampane „Zdravé pracoviská kontrolujú nebezpečné chemické látky“ zorganizovalo národné kontaktné miesto EU-OSHA na Slovensku dňa 7. novembra pre odbornú verejnosť seminár v Prešove. Konal sa v spolupráci s Regionálnym poradensko-informačným centrom v Prešove, ktorý je členom siete Európskych podnikov a zároveň ambasádorom EU-OSHA.</w:t>
      </w:r>
    </w:p>
    <w:p w:rsidR="00944F27" w:rsidRDefault="005737EF" w:rsidP="00944F27">
      <w:r>
        <w:t>RÚVZ propagovali uvedenú kampaň na svojich webových stránkach a poskytovali konzultáci</w:t>
      </w:r>
      <w:r w:rsidR="00944F27">
        <w:t>e a poradenstvo v otázkach BOZP</w:t>
      </w:r>
      <w:r>
        <w:t xml:space="preserve"> zamestnávateľom, zamestnancom a širokej verejnosti.</w:t>
      </w:r>
      <w:r w:rsidR="00944F27" w:rsidRPr="00944F27">
        <w:t xml:space="preserve"> </w:t>
      </w:r>
    </w:p>
    <w:p w:rsidR="00944F27" w:rsidRDefault="00944F27" w:rsidP="00944F27">
      <w:r>
        <w:t>Zástupca Spoločnej vízie sa zúčastnil pracovného stretnutia EU-OSHA kde bola predstavená uvedená kampaň na obdobie rokov 2018-2019 „Zdravé pracoviská kontrolujú nebezpečné chemické látky“, pričom v šírení tejto kampane pokračuje aj v roku 2019 organizovaním semináru s rovnakým názvom. Ďalej sa zástupca Spoločnej vízie zúčastnil Valného zhromaždenia Medzinárodnej organizácie koordinátorov bezpečnosti na staveniskách</w:t>
      </w:r>
      <w:r w:rsidR="00417135">
        <w:t xml:space="preserve"> (ISHCCO), ktorého cieľom bolo </w:t>
      </w:r>
      <w:proofErr w:type="spellStart"/>
      <w:r w:rsidR="00417135">
        <w:t>u</w:t>
      </w:r>
      <w:r>
        <w:t>presnenie</w:t>
      </w:r>
      <w:proofErr w:type="spellEnd"/>
      <w:r>
        <w:t xml:space="preserve"> jednotnej certifikácie koordinátora bezpečnosti a vyhodnotenie činností pracovných skupín.</w:t>
      </w:r>
    </w:p>
    <w:p w:rsidR="005737EF" w:rsidRDefault="00F91108" w:rsidP="00944F27">
      <w:r>
        <w:t>ZVJS sa do uvedenej kampane zapojil organizovaním osvetových prednášok pre odsúdených v oblasti BOZP</w:t>
      </w:r>
      <w:r w:rsidR="008A1CE1">
        <w:t>. Osvetové prednášky pre odsúdených boli organizované aj pri príležitosti Svetového dňa BOZP v rámci kampane s názvom „Generácia bezpečná a zdravá“, ktorá zdôraznila kritický význam riešenia výziev a zlepšenia BOZP mladých pracovníkov.</w:t>
      </w:r>
      <w:r w:rsidR="00AD2A2D">
        <w:t xml:space="preserve"> Pracovník orgánu dozoru ZVJS vykonal prednáškovú činnosť na celoslo</w:t>
      </w:r>
      <w:r w:rsidR="00CE719D">
        <w:t xml:space="preserve">venskej konferencii zdravotníckych pracovníkov zboru v Liečebno-rehabilitačnom stredisku v Omšení s názvom: </w:t>
      </w:r>
      <w:r w:rsidR="00CB6B98">
        <w:t>„</w:t>
      </w:r>
      <w:r w:rsidR="00CE719D">
        <w:t>MEDICOR 2018“.</w:t>
      </w:r>
    </w:p>
    <w:p w:rsidR="00F74F58" w:rsidRDefault="00F74F58" w:rsidP="009D7F84">
      <w:r>
        <w:t>KOZ SR pri príležitosti Svetového dňa BOZP dňa 25. apríla usporiadala pietne spomienkové zhromaždenie pred Domom odborov (</w:t>
      </w:r>
      <w:proofErr w:type="spellStart"/>
      <w:r>
        <w:t>Istropolis</w:t>
      </w:r>
      <w:proofErr w:type="spellEnd"/>
      <w:r>
        <w:t>) v Bratislave. Stretnutia sa zúčastnili vedúce osobnosti politického života, zástupcovia štátnej a verejnej správy</w:t>
      </w:r>
      <w:r w:rsidR="0034248D">
        <w:t>, predstavitelia odborových zväzov a združení, zástupcovia zamestnávateľských zväzov, ako aj spoločenských organizácií.</w:t>
      </w:r>
    </w:p>
    <w:p w:rsidR="0034248D" w:rsidRPr="00D52828" w:rsidRDefault="001F3329" w:rsidP="009D7F84">
      <w:r w:rsidRPr="001D1168">
        <w:t xml:space="preserve">V rámci Európskeho týždňa bezpečnosti a ochrany zdravia, ktorý sa koná každoročne v 43. týždni kalendárneho roka, prebiehali na Slovensku mnohé podujatia a činnosti zamerané na zvyšovanie informovanosti s cieľom podporiť udržateľnú prácu a zdravé starnutie. </w:t>
      </w:r>
      <w:r w:rsidR="00695ADF">
        <w:t>Jednou</w:t>
      </w:r>
      <w:r w:rsidRPr="00502A5C">
        <w:t xml:space="preserve"> z aktivít v rámci Európskeho týždňa BOZP bolo premietanie dokumentárneho filmu </w:t>
      </w:r>
      <w:r w:rsidRPr="00502A5C">
        <w:lastRenderedPageBreak/>
        <w:t>s</w:t>
      </w:r>
      <w:r>
        <w:t> </w:t>
      </w:r>
      <w:r w:rsidRPr="00502A5C">
        <w:t xml:space="preserve">tematikou BOZP a následná diskusia so študentmi </w:t>
      </w:r>
      <w:r>
        <w:t>TUKE.</w:t>
      </w:r>
      <w:r w:rsidR="00695ADF">
        <w:t xml:space="preserve"> RÚVZ každoročne v rámci Európskeho týždňa BOZP organizujú dni otvorených dverí.</w:t>
      </w:r>
    </w:p>
    <w:p w:rsidR="00861397" w:rsidRPr="00963913" w:rsidRDefault="00620C6C" w:rsidP="009D7F84">
      <w:r w:rsidRPr="00E07FEB">
        <w:t xml:space="preserve">Zástupca NIP sa zúčastňoval na stretnutiach súvisiacich s prípravou európskej kampane SLIC: „BOZP dočasne pridelených zamestnancov </w:t>
      </w:r>
      <w:r w:rsidR="00D766D1">
        <w:t>agentúrami dočasného zamestnávania</w:t>
      </w:r>
      <w:r w:rsidRPr="00E07FEB">
        <w:t>“. V rámci vymáhacej časti tejto kampane NIP naplánoval celoslovenskú úlohu zameranú na kontrolu dodržiavania BOZP a pracovných podmienok dočasne pridelených zamestnancov. Pri týchto previerkach b</w:t>
      </w:r>
      <w:r>
        <w:t>oli</w:t>
      </w:r>
      <w:r w:rsidRPr="00E07FEB">
        <w:t xml:space="preserve"> v roku 2018 užívateľskí zamestnávatelia, agentúry dočasného zamestnávania a dočasne pridelení zamestnanci informovaní o svojich právach a povinnostiach aj prostredníctvom troch reklamných letákov tejto európskej kampane, ktoré sú prístupné na web</w:t>
      </w:r>
      <w:r w:rsidR="00963913">
        <w:t>ovej</w:t>
      </w:r>
      <w:r w:rsidRPr="00E07FEB">
        <w:t xml:space="preserve"> stránke NIP</w:t>
      </w:r>
      <w:r w:rsidR="00D766D1">
        <w:t xml:space="preserve">. </w:t>
      </w:r>
      <w:r w:rsidR="00963913">
        <w:t>Výsledky z tejto kampane ako aj pilotného projektu zameraného na cezhraničnú spoluprácu pri kontrole dodržiavania pracovných podmienok dočasne pridelených zamestnancov budú prezentované na záverečnej konferencii v máji 2019 v </w:t>
      </w:r>
      <w:proofErr w:type="spellStart"/>
      <w:r w:rsidR="00963913">
        <w:t>Lyone</w:t>
      </w:r>
      <w:proofErr w:type="spellEnd"/>
      <w:r w:rsidR="00963913">
        <w:t xml:space="preserve">. </w:t>
      </w:r>
    </w:p>
    <w:p w:rsidR="00E76347" w:rsidRDefault="000D4A7E" w:rsidP="009D7F84">
      <w:pPr>
        <w:pStyle w:val="Nadpis2"/>
      </w:pPr>
      <w:r w:rsidRPr="00E76347">
        <w:t>Úloha A.2.</w:t>
      </w:r>
    </w:p>
    <w:p w:rsidR="000D4A7E" w:rsidRPr="009D7F84" w:rsidRDefault="000D4A7E" w:rsidP="009D7F84">
      <w:pPr>
        <w:ind w:firstLine="0"/>
        <w:rPr>
          <w:i/>
        </w:rPr>
      </w:pPr>
      <w:r w:rsidRPr="009D7F84">
        <w:rPr>
          <w:i/>
        </w:rPr>
        <w:t>Zabezpečiť vystúpenia svojich zástupcov v prostriedkoch mediálnej komunikácie, ktoré budú orientované na prehlbovanie aktívnych postojov verejnosti k BOZP a na vytváranie psychickej, fyzickej a sociálnej pohody a zabezpečiť, aby verejnosť bola včas informovaná o nových predpisoch na zaistenie BOZP.</w:t>
      </w:r>
    </w:p>
    <w:p w:rsidR="00E76347" w:rsidRPr="009D7F84" w:rsidRDefault="000D4A7E" w:rsidP="009D7F84">
      <w:pPr>
        <w:spacing w:after="0"/>
        <w:ind w:firstLine="0"/>
        <w:rPr>
          <w:i/>
        </w:rPr>
      </w:pPr>
      <w:r w:rsidRPr="009D7F84">
        <w:rPr>
          <w:i/>
        </w:rPr>
        <w:t xml:space="preserve">Termín: každoročne </w:t>
      </w:r>
    </w:p>
    <w:p w:rsidR="000D4A7E" w:rsidRPr="009D7F84" w:rsidRDefault="000D4A7E" w:rsidP="009D7F84">
      <w:pPr>
        <w:ind w:firstLine="0"/>
        <w:rPr>
          <w:i/>
        </w:rPr>
      </w:pPr>
      <w:r w:rsidRPr="009D7F84">
        <w:rPr>
          <w:i/>
        </w:rPr>
        <w:t>Zodpovední: MPSVR SR, MZ SR, MO SR, MH SR, MV SR, MS SR, APZ, SAMP Spolupracujúci: Slovenská asociácia BOZP a OPP, Spoločná vízia, vysoké školy</w:t>
      </w:r>
    </w:p>
    <w:p w:rsidR="000D4A7E" w:rsidRPr="00E76347" w:rsidRDefault="000D4A7E" w:rsidP="009D7F84">
      <w:pPr>
        <w:ind w:firstLine="0"/>
        <w:rPr>
          <w:b/>
        </w:rPr>
      </w:pPr>
      <w:r w:rsidRPr="00E76347">
        <w:rPr>
          <w:b/>
        </w:rPr>
        <w:t>Vyhodnotenie plnenia úlohy A.2.: úloha je plnená priebežne</w:t>
      </w:r>
    </w:p>
    <w:p w:rsidR="00861397" w:rsidRDefault="008E62B5" w:rsidP="009D7F84">
      <w:r>
        <w:t>MPSVR SR, NIP a inšpektoráty práce poskytovali informácie verejnosti prostredníctvom médií. Vo väčšine prípadov išlo o informácie týkajúce sa výkonu inšpekcie práce, resp. jeho výsledkov a stanovísk k aktuálnym problémom súvisiacim s inšpekciou práce.</w:t>
      </w:r>
    </w:p>
    <w:p w:rsidR="008E62B5" w:rsidRDefault="008E62B5" w:rsidP="009D7F84">
      <w:r>
        <w:t>Zamestnanci NIP v roku 2018 publikovali svoje príspevky aj v rôznych o</w:t>
      </w:r>
      <w:r w:rsidR="00BB730C">
        <w:t>dborných časopisoch, napr. v stále</w:t>
      </w:r>
      <w:r w:rsidR="00944F27">
        <w:t>j</w:t>
      </w:r>
      <w:r w:rsidR="00BB730C">
        <w:t xml:space="preserve"> rubrike „Činnosť národného kontaktného miesta EU-OSHA a medzinárodné aktuality“ časopisu Bezpečnosť práce v praxi. </w:t>
      </w:r>
    </w:p>
    <w:p w:rsidR="00BB730C" w:rsidRDefault="00BB730C" w:rsidP="009D7F84">
      <w:r w:rsidRPr="00502A5C">
        <w:t>NIP zverejňoval rôzne aktuálne príspevky, články a publikácie prostredníctvom svojho webového sídla s cieľom prispieť k lepšej orientácii občanov v oblasti BOZP</w:t>
      </w:r>
      <w:r>
        <w:t xml:space="preserve"> a</w:t>
      </w:r>
      <w:r w:rsidRPr="00502A5C">
        <w:t xml:space="preserve"> </w:t>
      </w:r>
      <w:r>
        <w:t>pracovného práva</w:t>
      </w:r>
      <w:r w:rsidRPr="00502A5C">
        <w:t>, v oblasti pracovných podmienok na Slovensku</w:t>
      </w:r>
      <w:r>
        <w:t xml:space="preserve"> </w:t>
      </w:r>
      <w:r w:rsidRPr="00502A5C">
        <w:t xml:space="preserve">aj v členských štátoch </w:t>
      </w:r>
      <w:r w:rsidR="00D766D1">
        <w:t>EÚ</w:t>
      </w:r>
      <w:r w:rsidRPr="00502A5C">
        <w:t>.</w:t>
      </w:r>
    </w:p>
    <w:p w:rsidR="00376D47" w:rsidRPr="00500D7D" w:rsidRDefault="00BB730C" w:rsidP="009D7F84">
      <w:r w:rsidRPr="00502A5C">
        <w:t xml:space="preserve">Viaceré mediálne aktivity sa sústredili na propagáciu Svetového dňa bezpečnosti a ochrany zdravia pri práci, ktorým je každoročne 28. apríl. Cieľom je zdôrazniť prevenciu úrazov a chorôb spôsobených pri výkone povolania </w:t>
      </w:r>
      <w:r w:rsidR="00D766D1">
        <w:t>a uctiť si pamiatku obetí, ktoré</w:t>
      </w:r>
      <w:r w:rsidRPr="00502A5C">
        <w:t xml:space="preserve"> prišli o život pri plnení pracovných povinností.</w:t>
      </w:r>
      <w:r w:rsidR="00376D47">
        <w:t xml:space="preserve"> </w:t>
      </w:r>
      <w:r w:rsidR="00376D47" w:rsidRPr="00502A5C">
        <w:t xml:space="preserve">Svetový deň BOZP bol sprevádzaný druhým rokom kampane </w:t>
      </w:r>
      <w:r w:rsidR="00D766D1">
        <w:t>EU-OSHA</w:t>
      </w:r>
      <w:r w:rsidR="00376D47" w:rsidRPr="00502A5C">
        <w:t xml:space="preserve"> „Zdravé pracoviská </w:t>
      </w:r>
      <w:r w:rsidR="002460A9">
        <w:t>kontrolujú nebezpečné chemické látky</w:t>
      </w:r>
      <w:r w:rsidR="00376D47" w:rsidRPr="00502A5C">
        <w:t>“</w:t>
      </w:r>
      <w:r w:rsidR="00376D47">
        <w:t xml:space="preserve">. </w:t>
      </w:r>
      <w:r w:rsidR="00376D47" w:rsidRPr="00502A5C">
        <w:t xml:space="preserve">Mediálne aktivity NIP na podporu tohto dňa boli významne podporované </w:t>
      </w:r>
      <w:r w:rsidR="00376D47">
        <w:t xml:space="preserve">aj </w:t>
      </w:r>
      <w:r w:rsidR="00376D47" w:rsidRPr="00502A5C">
        <w:t>sociálnymi partnermi.</w:t>
      </w:r>
    </w:p>
    <w:p w:rsidR="00532CE1" w:rsidRDefault="00532CE1" w:rsidP="009D7F84">
      <w:r>
        <w:t xml:space="preserve">IVPR prostredníctvom príspevkov </w:t>
      </w:r>
      <w:r w:rsidRPr="00534CC0">
        <w:t>v médiách (celoslovenských a regionálnych médiách, elektronických, printových médiách, tlačových agentúrach atď.) informo</w:t>
      </w:r>
      <w:r>
        <w:t>vali</w:t>
      </w:r>
      <w:r w:rsidRPr="00534CC0">
        <w:t xml:space="preserve"> verejnosť o aktuálnej problematike v oblasti BOZP.</w:t>
      </w:r>
      <w:r>
        <w:t xml:space="preserve"> Zamestnanci IVPR publikovali sériu odborných článkov z výstupov výskumných úloh v odborných časopisoch „</w:t>
      </w:r>
      <w:r w:rsidRPr="007765C0">
        <w:t xml:space="preserve">Bezpečná </w:t>
      </w:r>
      <w:r w:rsidRPr="007765C0">
        <w:lastRenderedPageBreak/>
        <w:t>práca</w:t>
      </w:r>
      <w:r>
        <w:t>“</w:t>
      </w:r>
      <w:r w:rsidRPr="007765C0">
        <w:t>, </w:t>
      </w:r>
      <w:r>
        <w:t>„</w:t>
      </w:r>
      <w:r w:rsidRPr="007765C0">
        <w:t>Bezpečnosť práce v</w:t>
      </w:r>
      <w:r>
        <w:t> </w:t>
      </w:r>
      <w:r w:rsidRPr="007765C0">
        <w:t>praxi</w:t>
      </w:r>
      <w:r>
        <w:t>“</w:t>
      </w:r>
      <w:r w:rsidRPr="007765C0">
        <w:t xml:space="preserve"> a </w:t>
      </w:r>
      <w:r>
        <w:t>„</w:t>
      </w:r>
      <w:r w:rsidRPr="007765C0">
        <w:t>Manažment školy v</w:t>
      </w:r>
      <w:r>
        <w:t> </w:t>
      </w:r>
      <w:r w:rsidRPr="007765C0">
        <w:t>praxi</w:t>
      </w:r>
      <w:r>
        <w:t>“</w:t>
      </w:r>
      <w:r w:rsidR="008D4D50">
        <w:t xml:space="preserve">. Denníku Plus JEDEN DEŇ boli poskytnuté informácie ohľadom </w:t>
      </w:r>
      <w:proofErr w:type="spellStart"/>
      <w:r w:rsidR="008D4D50">
        <w:t>open</w:t>
      </w:r>
      <w:proofErr w:type="spellEnd"/>
      <w:r w:rsidR="008D4D50">
        <w:t xml:space="preserve"> </w:t>
      </w:r>
      <w:proofErr w:type="spellStart"/>
      <w:r w:rsidR="008D4D50">
        <w:t>space</w:t>
      </w:r>
      <w:proofErr w:type="spellEnd"/>
      <w:r w:rsidR="008D4D50">
        <w:t xml:space="preserve"> Office. Zamestnankyňa IVPR vystúpila s príspevkom „Ako motivovať zamestnancov k BOZP“ na seminári ku kampani „Zdravé pracoviská kontrolujú nebezpečné chemické látky“ pod záštitou EU-OSHA.</w:t>
      </w:r>
    </w:p>
    <w:p w:rsidR="008D4D50" w:rsidRDefault="00EC7148" w:rsidP="009D7F84">
      <w:r>
        <w:t xml:space="preserve">ÚVZ </w:t>
      </w:r>
      <w:r w:rsidR="004F7A19">
        <w:t xml:space="preserve">SR </w:t>
      </w:r>
      <w:r>
        <w:t>a RÚVZ zverejňovalo informácie o BOZP k najmä prostredníctvom webových stránok, regionálnych médií (rádia, televízie) a sociálnych sietí (</w:t>
      </w:r>
      <w:proofErr w:type="spellStart"/>
      <w:r>
        <w:t>Facebook</w:t>
      </w:r>
      <w:proofErr w:type="spellEnd"/>
      <w:r>
        <w:t>).</w:t>
      </w:r>
    </w:p>
    <w:p w:rsidR="009754F8" w:rsidRDefault="009754F8" w:rsidP="009D7F84">
      <w:pPr>
        <w:rPr>
          <w:rFonts w:cs="Times New Roman"/>
          <w:szCs w:val="24"/>
        </w:rPr>
      </w:pPr>
      <w:r w:rsidRPr="00204F27">
        <w:t>HBÚ na svojej internetovej stránke priebežne zverejňuje informácie o nových právnych a interných predpisoch</w:t>
      </w:r>
      <w:r w:rsidR="001340E6">
        <w:t xml:space="preserve">, a taktiež </w:t>
      </w:r>
      <w:r w:rsidRPr="00204F27">
        <w:t>priebežne zverejňuje informácie aj o niektorých svojich významnejších stanoviskách, vyjadreniach alebo usmerneniach</w:t>
      </w:r>
      <w:r w:rsidR="001340E6">
        <w:t>,</w:t>
      </w:r>
      <w:r w:rsidRPr="00204F27">
        <w:t xml:space="preserve"> ktoré vydal</w:t>
      </w:r>
      <w:r>
        <w:rPr>
          <w:rFonts w:cs="Times New Roman"/>
          <w:szCs w:val="24"/>
        </w:rPr>
        <w:t>.</w:t>
      </w:r>
    </w:p>
    <w:p w:rsidR="006B03E5" w:rsidRPr="00534CC0" w:rsidRDefault="006B03E5" w:rsidP="009D7F84">
      <w:r>
        <w:t xml:space="preserve">ZVJS taktiež zverejňoval informácie z oblasti BOZP v rámci aktualít na webovej stránke zboru. Príspevky zamestnankyne generálneho riaditeľstva ZVJS boli zverejňované </w:t>
      </w:r>
      <w:r w:rsidR="001340E6">
        <w:t xml:space="preserve">aj </w:t>
      </w:r>
      <w:r>
        <w:t>v internom časopise „Zvesti zboru“.</w:t>
      </w:r>
    </w:p>
    <w:p w:rsidR="006B03E5" w:rsidRPr="00E40098" w:rsidRDefault="006B03E5" w:rsidP="009D7F84">
      <w:pPr>
        <w:pStyle w:val="Nadpis2"/>
      </w:pPr>
      <w:r>
        <w:t>Úloha A.3</w:t>
      </w:r>
      <w:r w:rsidRPr="00E40098">
        <w:t>.</w:t>
      </w:r>
    </w:p>
    <w:p w:rsidR="006B03E5" w:rsidRPr="00E76347" w:rsidRDefault="006B03E5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E76347">
        <w:rPr>
          <w:i/>
        </w:rPr>
        <w:t>Zlepšiť prevenciu chorôb z povolania prostredníctvom médií zverejňovaním informácií o trendoch vývoja rizikových prác na národnej a regionálnej úrovni spolu s príčinami ich vzniku a informácií o výskyte a trendoch vývoja chorôb z povolania v Slovenskej republike spolu s príčinami ich vzniku.</w:t>
      </w:r>
    </w:p>
    <w:p w:rsidR="006B03E5" w:rsidRPr="00E76347" w:rsidRDefault="006B03E5" w:rsidP="009D7F84">
      <w:pPr>
        <w:pStyle w:val="Normlnywebov"/>
        <w:spacing w:before="0" w:beforeAutospacing="0" w:after="0" w:afterAutospacing="0"/>
        <w:ind w:firstLine="0"/>
        <w:rPr>
          <w:i/>
        </w:rPr>
      </w:pPr>
      <w:r w:rsidRPr="00E76347">
        <w:rPr>
          <w:i/>
        </w:rPr>
        <w:t xml:space="preserve">Termín: každoročne </w:t>
      </w:r>
    </w:p>
    <w:p w:rsidR="006B03E5" w:rsidRPr="00E76347" w:rsidRDefault="00B9193E" w:rsidP="002C73DB">
      <w:pPr>
        <w:pStyle w:val="Normlnywebov"/>
        <w:spacing w:before="0" w:beforeAutospacing="0" w:after="80" w:afterAutospacing="0"/>
        <w:ind w:firstLine="0"/>
        <w:rPr>
          <w:i/>
        </w:rPr>
      </w:pPr>
      <w:r w:rsidRPr="00E76347">
        <w:rPr>
          <w:i/>
        </w:rPr>
        <w:t>Zodpovedný</w:t>
      </w:r>
      <w:r w:rsidR="006B03E5" w:rsidRPr="00E76347">
        <w:rPr>
          <w:i/>
        </w:rPr>
        <w:t>: MZ SR</w:t>
      </w:r>
    </w:p>
    <w:p w:rsidR="006B03E5" w:rsidRPr="00E76347" w:rsidRDefault="00B9193E" w:rsidP="009D7F84">
      <w:pPr>
        <w:ind w:firstLine="0"/>
        <w:rPr>
          <w:b/>
        </w:rPr>
      </w:pPr>
      <w:r w:rsidRPr="00E76347">
        <w:rPr>
          <w:b/>
        </w:rPr>
        <w:t>Vyhodnotenie plnenia úlohy A.3</w:t>
      </w:r>
      <w:r w:rsidR="006B03E5" w:rsidRPr="00E76347">
        <w:rPr>
          <w:b/>
        </w:rPr>
        <w:t>.: úloha je plnená priebežne</w:t>
      </w:r>
    </w:p>
    <w:p w:rsidR="00BB730C" w:rsidRDefault="00035E1A" w:rsidP="009D7F84">
      <w:r>
        <w:t>MZ SR každoročne spolu s MPSVR SR predkladá vláde SR Správu o stave ochrany zdravia pri práci, vývoji chorôb z povolania a iných poškodení zdravia z práce, ktorá obsahuje informácie o trendoch vývoja rizikových prác a chorôb z povolania. Tieto informácie sú prostredníctvom webovej stránky dostupné aj verejnosti.</w:t>
      </w:r>
    </w:p>
    <w:p w:rsidR="00035E1A" w:rsidRDefault="00FC7919" w:rsidP="009D7F84">
      <w:r>
        <w:t>ÚVZ</w:t>
      </w:r>
      <w:r w:rsidR="004F7A19">
        <w:t xml:space="preserve"> SR</w:t>
      </w:r>
      <w:r>
        <w:t>, kt</w:t>
      </w:r>
      <w:r w:rsidR="00035E1A">
        <w:t>orý vedie centrálny register rizikových prác, každoročne uverejňuje informácie o rizikových</w:t>
      </w:r>
      <w:r w:rsidR="00536606">
        <w:t xml:space="preserve"> prácach a chorobách z povolania</w:t>
      </w:r>
      <w:r w:rsidR="00035E1A">
        <w:t xml:space="preserve"> v SR v printových médiách, napr. v periodických publikáciách pre podnikateľov „Bezpečná práca“ a „Bezpečnosť práce v praxi“.</w:t>
      </w:r>
    </w:p>
    <w:p w:rsidR="000D1040" w:rsidRPr="00E40098" w:rsidRDefault="000D1040" w:rsidP="009D7F84">
      <w:pPr>
        <w:pStyle w:val="Nadpis2"/>
      </w:pPr>
      <w:r w:rsidRPr="00E40098">
        <w:t>Úloha A.</w:t>
      </w:r>
      <w:r>
        <w:t>4</w:t>
      </w:r>
      <w:r w:rsidRPr="00E40098">
        <w:t>.</w:t>
      </w:r>
    </w:p>
    <w:p w:rsidR="000D1040" w:rsidRPr="000870A3" w:rsidRDefault="000D1040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>Zverejňovať prostredníctvom internetu a médií informácie o pracovnej úrazovosti v Slovenskej republike a v regiónoch spolu s príčinami ich vzniku vrátane informácií o porušeniach právnych predpisov a ostatných predpisov na zaistenie BOZP, ktoré boli v príčinnej súvislosti s pracovnými úrazmi.</w:t>
      </w:r>
    </w:p>
    <w:p w:rsidR="000D1040" w:rsidRPr="000870A3" w:rsidRDefault="000D1040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 xml:space="preserve">Termín: každoročne </w:t>
      </w:r>
    </w:p>
    <w:p w:rsidR="000D1040" w:rsidRPr="000870A3" w:rsidRDefault="000D1040" w:rsidP="002C73DB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>Zodpovedný: MPSVR SR</w:t>
      </w:r>
    </w:p>
    <w:p w:rsidR="000D1040" w:rsidRPr="000870A3" w:rsidRDefault="000D1040" w:rsidP="009D7F84">
      <w:pPr>
        <w:ind w:firstLine="0"/>
        <w:rPr>
          <w:b/>
        </w:rPr>
      </w:pPr>
      <w:r w:rsidRPr="000870A3">
        <w:rPr>
          <w:b/>
        </w:rPr>
        <w:t xml:space="preserve">Vyhodnotenie plnenia úlohy A.4.: úloha je plnená priebežne </w:t>
      </w:r>
    </w:p>
    <w:p w:rsidR="000D1040" w:rsidRDefault="008D7BEB" w:rsidP="009D7F84">
      <w:r w:rsidRPr="00502A5C">
        <w:t>NIP a inšpektoráty práce poskytovali médiám informácie o pracovných úrazoch, zdrojoch a príčinách ich vzniku. Zároveň sa informácie o pracovnej úrazovosti zverejnili na </w:t>
      </w:r>
      <w:r w:rsidR="00536606">
        <w:t xml:space="preserve">webovej </w:t>
      </w:r>
      <w:r w:rsidRPr="00502A5C">
        <w:t xml:space="preserve">stránke NIP vo forme „Analýzy pracovnej úrazovosti za rok </w:t>
      </w:r>
      <w:r>
        <w:t>2018</w:t>
      </w:r>
      <w:r w:rsidRPr="00502A5C">
        <w:t>, ako aj v „Správe o stave ochrany práce a o činnosti orgánov štátnej správy v oblasti inšpekcie práce za rok 201</w:t>
      </w:r>
      <w:r>
        <w:t>8</w:t>
      </w:r>
      <w:r w:rsidRPr="00502A5C">
        <w:t>“</w:t>
      </w:r>
      <w:r w:rsidR="00944F27">
        <w:t xml:space="preserve">, </w:t>
      </w:r>
      <w:r w:rsidR="00944F27">
        <w:lastRenderedPageBreak/>
        <w:t>ktorú každoročne predkladá vláde SR MPSVR SR.</w:t>
      </w:r>
      <w:r w:rsidRPr="00502A5C">
        <w:t xml:space="preserve"> Z dôvodu lepšej informovanosti verejnosti NIP v</w:t>
      </w:r>
      <w:r>
        <w:t xml:space="preserve"> roku </w:t>
      </w:r>
      <w:r w:rsidRPr="00502A5C">
        <w:t>201</w:t>
      </w:r>
      <w:r>
        <w:t>8 pokračoval</w:t>
      </w:r>
      <w:r w:rsidRPr="00502A5C">
        <w:t xml:space="preserve"> </w:t>
      </w:r>
      <w:r>
        <w:t xml:space="preserve">v ďalšej modernizácii a úprave </w:t>
      </w:r>
      <w:r w:rsidRPr="00502A5C">
        <w:t>svoj</w:t>
      </w:r>
      <w:r>
        <w:t>ich</w:t>
      </w:r>
      <w:r w:rsidRPr="00502A5C">
        <w:t xml:space="preserve"> webov</w:t>
      </w:r>
      <w:r>
        <w:t>ých</w:t>
      </w:r>
      <w:r w:rsidRPr="00502A5C">
        <w:t xml:space="preserve"> strán</w:t>
      </w:r>
      <w:r>
        <w:t>ok</w:t>
      </w:r>
      <w:r w:rsidRPr="00502A5C">
        <w:t>.</w:t>
      </w:r>
    </w:p>
    <w:p w:rsidR="00664CAD" w:rsidRPr="00E40098" w:rsidRDefault="00664CAD" w:rsidP="009D7F84">
      <w:pPr>
        <w:pStyle w:val="Nadpis2"/>
      </w:pPr>
      <w:r w:rsidRPr="00E40098">
        <w:t>Úloha A.5.</w:t>
      </w:r>
    </w:p>
    <w:p w:rsidR="00664CAD" w:rsidRPr="000870A3" w:rsidRDefault="00664CAD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>Intenzívne medializovať a propagovať význam a činnosť inšpekcie práce, orgánov verejného zdravotníctva a iných dozorných orgánov nad BOZP tak, aby sa táto oblasť (v aspektoch prevencie i represie) lepšie dostala do povedomia zamestnávateľov, zamestnancov a ďalších subjektov.</w:t>
      </w:r>
    </w:p>
    <w:p w:rsidR="00664CAD" w:rsidRPr="000870A3" w:rsidRDefault="00664CAD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 xml:space="preserve">Termín: každoročne </w:t>
      </w:r>
    </w:p>
    <w:p w:rsidR="00664CAD" w:rsidRPr="000870A3" w:rsidRDefault="00664CAD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>Zodpovední: MPSVR SR, MZ SR, MO SR, MH SR, MV SR, MS SR</w:t>
      </w:r>
    </w:p>
    <w:p w:rsidR="006B0707" w:rsidRPr="000870A3" w:rsidRDefault="006B0707" w:rsidP="009D7F84">
      <w:pPr>
        <w:ind w:firstLine="0"/>
        <w:rPr>
          <w:b/>
        </w:rPr>
      </w:pPr>
      <w:r w:rsidRPr="000870A3">
        <w:rPr>
          <w:b/>
        </w:rPr>
        <w:t>Vyhodnotenie plnenia úlohy A.5.: úloha je plnená priebežne</w:t>
      </w:r>
    </w:p>
    <w:p w:rsidR="00664CAD" w:rsidRDefault="00FC7919" w:rsidP="009D7F84">
      <w:r w:rsidRPr="00502A5C">
        <w:t>NI</w:t>
      </w:r>
      <w:r>
        <w:t>P a inšpektoráty</w:t>
      </w:r>
      <w:r w:rsidRPr="00502A5C">
        <w:t xml:space="preserve"> práce plnili úlohu prostredníctvom webovej stránky NIP, odbornej tlače, vystúpeniami v médiách, poskytovaním poradenstva, organizovaním aktivít počas Európskeho týždňa BOZP a odborných seminárov.</w:t>
      </w:r>
    </w:p>
    <w:p w:rsidR="00FC7919" w:rsidRDefault="00FC7919" w:rsidP="009D7F84">
      <w:r>
        <w:t>ÚVZ</w:t>
      </w:r>
      <w:r w:rsidR="004F7A19">
        <w:t xml:space="preserve"> SR</w:t>
      </w:r>
      <w:r>
        <w:t xml:space="preserve"> pravidelne komunikovali s televíznymi, rozhlasovými a printovými médiami</w:t>
      </w:r>
      <w:r w:rsidR="00AD1AA3">
        <w:t>, ale tiež prostredníctvom tlačových agentúr, webovej stránky a sociálnych médií. V roku 2018 sa na dennej báze aktualizovala webová stránka ÚVZ</w:t>
      </w:r>
      <w:r w:rsidR="004F7A19">
        <w:t xml:space="preserve"> SR</w:t>
      </w:r>
      <w:r w:rsidR="00AD1AA3">
        <w:t>. RÚVZ spravidla mediálne komunikujú samostatne v úzkej súčinnosti s</w:t>
      </w:r>
      <w:r w:rsidR="004F7A19">
        <w:t> </w:t>
      </w:r>
      <w:r w:rsidR="00AD1AA3">
        <w:t>ÚVZ</w:t>
      </w:r>
      <w:r w:rsidR="004F7A19">
        <w:t xml:space="preserve"> SR</w:t>
      </w:r>
      <w:r w:rsidR="00AD1AA3">
        <w:t>.</w:t>
      </w:r>
    </w:p>
    <w:p w:rsidR="00DE7CB6" w:rsidRDefault="00214718" w:rsidP="009D7F84">
      <w:r>
        <w:t>Činnosť inšpekcie práce, jej význam a výsledky, je</w:t>
      </w:r>
      <w:r w:rsidR="00DE7CB6">
        <w:t xml:space="preserve"> v rezorte MO SR vykon</w:t>
      </w:r>
      <w:r>
        <w:t>ávaná</w:t>
      </w:r>
      <w:r w:rsidR="00DE7CB6">
        <w:t xml:space="preserve"> formou zovšeobecňovania výsledkov inšpekčnej a dozornej činnosti</w:t>
      </w:r>
      <w:r>
        <w:t xml:space="preserve"> a propagovaná prostredníctvom intranetovej siete MO SR a zároveň formou vzdelávacích aktivít a prednášok v rámci rezortu. Rezortní inšpektori sa v minulom roku lektorsky podieľali napr. na odbornej príprave funkcionárov </w:t>
      </w:r>
      <w:r w:rsidR="004E3E22">
        <w:t>OS</w:t>
      </w:r>
      <w:r>
        <w:t xml:space="preserve"> SR, na seminári „Bezpečnosť práce na elektrických inštaláciách a elektrických zariadeniach v Liptovskom Mikuláši.</w:t>
      </w:r>
    </w:p>
    <w:p w:rsidR="00214718" w:rsidRDefault="004C2E9A" w:rsidP="009D7F84">
      <w:r>
        <w:t xml:space="preserve">Prakticky súčasťou každej inšpekcie </w:t>
      </w:r>
      <w:r w:rsidR="002250CB">
        <w:t xml:space="preserve">HBÚ </w:t>
      </w:r>
      <w:r>
        <w:t>je poskytovanie poradenstva na úseku BOZP. Pri zisteniach porušenia predpisov banskí inšpektori pristúpili k udeleniu blokových pokút.</w:t>
      </w:r>
    </w:p>
    <w:p w:rsidR="004C2E9A" w:rsidRDefault="00994F30" w:rsidP="009D7F84">
      <w:r>
        <w:t>MV SR aktualizovalo webovú stránku s informáciami z oblasti BOZP pre širokú verejnosť.</w:t>
      </w:r>
    </w:p>
    <w:p w:rsidR="00A526B4" w:rsidRDefault="00A526B4" w:rsidP="009D7F84">
      <w:r>
        <w:t xml:space="preserve">Pracovníci orgánu dozoru ZVJS </w:t>
      </w:r>
      <w:r w:rsidRPr="00E40098">
        <w:t>pri vykonávaní inšpekci</w:t>
      </w:r>
      <w:r>
        <w:t>e práce</w:t>
      </w:r>
      <w:r w:rsidRPr="00E40098">
        <w:t xml:space="preserve"> </w:t>
      </w:r>
      <w:r>
        <w:t xml:space="preserve">a verejný zdravotník ZVJS pri kontrolnej činnosti </w:t>
      </w:r>
      <w:r w:rsidRPr="00E40098">
        <w:t xml:space="preserve">metodicky usmerňovali </w:t>
      </w:r>
      <w:r>
        <w:t>kontrolované</w:t>
      </w:r>
      <w:r w:rsidRPr="00E40098">
        <w:t xml:space="preserve"> </w:t>
      </w:r>
      <w:r>
        <w:t xml:space="preserve">ústavy </w:t>
      </w:r>
      <w:r w:rsidRPr="00E40098">
        <w:t xml:space="preserve">a v rámci </w:t>
      </w:r>
      <w:r>
        <w:t>výkonu kontrolnej činnosti i mimo nej napr. v rámci kontrolných dní na staveniskách</w:t>
      </w:r>
      <w:r w:rsidR="004E3E22">
        <w:t>,</w:t>
      </w:r>
      <w:r>
        <w:t xml:space="preserve"> </w:t>
      </w:r>
      <w:r w:rsidRPr="00E40098">
        <w:t>poskytli poradenstvo na úseku BOZP</w:t>
      </w:r>
      <w:r>
        <w:t xml:space="preserve">, </w:t>
      </w:r>
      <w:r w:rsidRPr="00CA5DBB">
        <w:t>propagova</w:t>
      </w:r>
      <w:r>
        <w:t>li</w:t>
      </w:r>
      <w:r w:rsidRPr="00CA5DBB">
        <w:t xml:space="preserve"> význam a činnosť inšpekcie práce</w:t>
      </w:r>
      <w:r>
        <w:t xml:space="preserve"> a</w:t>
      </w:r>
      <w:r w:rsidRPr="00CA5DBB">
        <w:t xml:space="preserve"> orgánov verejného zdravotníctva</w:t>
      </w:r>
      <w:r>
        <w:t>. Lektorskou činnosťou v oblasti BOZP a </w:t>
      </w:r>
      <w:r w:rsidR="004E3E22">
        <w:t>OPP</w:t>
      </w:r>
      <w:r>
        <w:t xml:space="preserve"> pôsobili aj na celoslovenských poradách nadriadených zboru, príslušníkov zboru a zamestnancov zboru.</w:t>
      </w:r>
    </w:p>
    <w:p w:rsidR="006B0707" w:rsidRPr="00E40098" w:rsidRDefault="006B0707" w:rsidP="009D7F84">
      <w:pPr>
        <w:pStyle w:val="Nadpis2"/>
      </w:pPr>
      <w:r>
        <w:t>Úloha A.6</w:t>
      </w:r>
      <w:r w:rsidRPr="00E40098">
        <w:t>.</w:t>
      </w:r>
    </w:p>
    <w:p w:rsidR="006B0707" w:rsidRPr="000870A3" w:rsidRDefault="006B0707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>Poskytovať odborné poradenstvo zamestnávateľom a zamestnancom zamerané na prevenciu zdravotných rizík a ochranu zdravia pri práci s osobitným zameraním na malé a stredné podniky.</w:t>
      </w:r>
    </w:p>
    <w:p w:rsidR="006B0707" w:rsidRPr="000870A3" w:rsidRDefault="006B0707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 xml:space="preserve">Termín: priebežne </w:t>
      </w:r>
    </w:p>
    <w:p w:rsidR="006B0707" w:rsidRPr="000870A3" w:rsidRDefault="006B0707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>Zodpovedný: MZ SR</w:t>
      </w:r>
    </w:p>
    <w:p w:rsidR="006B0707" w:rsidRPr="000870A3" w:rsidRDefault="006B0707" w:rsidP="002C73DB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>Spolupracujúci: MDVRR SR</w:t>
      </w:r>
    </w:p>
    <w:p w:rsidR="006B0707" w:rsidRPr="000870A3" w:rsidRDefault="006B0707" w:rsidP="009D7F84">
      <w:pPr>
        <w:ind w:firstLine="0"/>
        <w:rPr>
          <w:b/>
        </w:rPr>
      </w:pPr>
      <w:r w:rsidRPr="000870A3">
        <w:rPr>
          <w:b/>
        </w:rPr>
        <w:lastRenderedPageBreak/>
        <w:t>Vyhodnotenie plnenia úlohy A.6.: úloha je plnená priebežne</w:t>
      </w:r>
    </w:p>
    <w:p w:rsidR="006B0707" w:rsidRDefault="004F7A19" w:rsidP="009D7F84">
      <w:r>
        <w:t xml:space="preserve">ÚVZ SR a RÚVZ v roku 2018 poskytovali zamestnávateľom a zamestnancom poradenstvo najmä v oblasti zabezpečenia dohľadu nad pracovnými podmienkami zamestnancov vykonávajúcich práce v 1. a 2. </w:t>
      </w:r>
      <w:r w:rsidR="00B03663">
        <w:t>k</w:t>
      </w:r>
      <w:r>
        <w:t>ategórii</w:t>
      </w:r>
      <w:r w:rsidR="00B03663">
        <w:t>,</w:t>
      </w:r>
      <w:r>
        <w:t xml:space="preserve"> </w:t>
      </w:r>
      <w:r w:rsidR="004E3E22">
        <w:t>PZS</w:t>
      </w:r>
      <w:r>
        <w:t xml:space="preserve">, zabezpečenia posúdenia zdravotného rizika, vedenia evidencie zamestnancov podľa kategórii prác z hľadiska zdravotných rizík, vykonávania lekárskych preventívnych prehliadok vo vzťahu k práci. V oblasti expozície faktorom práce a pracovného prostredia prevládalo poradenstvo najmä </w:t>
      </w:r>
      <w:r w:rsidR="00430C52">
        <w:t xml:space="preserve">z hľadiska expozície chemickým a biologickým faktorom pri práci, fyzikálnym faktorom pracovného prostredia, práce so zobrazovacími jednotkami a fyzickej záťaže pri práci. Zamestnávateľom bolo priebežne poskytované aj poradenstvo týkajúce sa najmä rozsahu podkladov na uvedenie pracoviska do prevádzky, práce s toxickými a veľmi toxickými látkami a zmesami, vypracovania posudku o riziku, problematiky búracích prác s výskytom materiálov s obsahom azbestu, chorôb z povolania, používania účinných </w:t>
      </w:r>
      <w:r w:rsidR="004E3E22">
        <w:t>OOPP</w:t>
      </w:r>
      <w:r w:rsidR="00430C52">
        <w:t>, bezpečnej manipulácie s bremenami, zabezpečenia vhodným mikroklimatických podmienok a pitného režimu na pracovisku, fyzickej záťaže pri práci a i.</w:t>
      </w:r>
    </w:p>
    <w:p w:rsidR="00E922E8" w:rsidRDefault="00CD657F" w:rsidP="009D7F84">
      <w:r>
        <w:t xml:space="preserve">V subjektoch MDVRR SR bolo odborné poradenstvo okrem iného zamerané napr. na </w:t>
      </w:r>
      <w:r w:rsidR="006D3524">
        <w:t>vykonávanie preventívnych lekárskych prehliadok, používanie OOPP, uvádzanie pracovných priestorov do prevádzky, problematiku búracích prác s výskytom materiálov s obsahom azbestu,  bezpečnú manipuláciu s bremenami a zabezpečenia vhodných mikroklimatických podmienok</w:t>
      </w:r>
      <w:r w:rsidR="006D3524" w:rsidRPr="00E922E8">
        <w:t>.</w:t>
      </w:r>
      <w:r w:rsidR="00E922E8" w:rsidRPr="00E922E8">
        <w:t xml:space="preserve"> Veľký dôraz bol kladený na dodržiavanie zdravého životného štýlu, dodržiavanie osobnej hygieny, pitného režimu, uprednostňovania kolektívnych ochranných opatrení pred individuálnymi a zaraďovanie zamestnancov do pracovného procesu na základe posúdenia zdravotnej spôsobilosti na prácu, potreba zabez</w:t>
      </w:r>
      <w:r w:rsidR="00E922E8" w:rsidRPr="00E922E8">
        <w:rPr>
          <w:szCs w:val="24"/>
        </w:rPr>
        <w:t xml:space="preserve">pečenia rekondičných pobytov, školení a výcviku zamestnancov z oblasti </w:t>
      </w:r>
      <w:r w:rsidR="00F0268E">
        <w:rPr>
          <w:szCs w:val="24"/>
        </w:rPr>
        <w:t>BOZP.</w:t>
      </w:r>
    </w:p>
    <w:p w:rsidR="00D23BA5" w:rsidRPr="00E40098" w:rsidRDefault="00D23BA5" w:rsidP="009D7F84">
      <w:pPr>
        <w:pStyle w:val="Nadpis2"/>
      </w:pPr>
      <w:r w:rsidRPr="00707B5E">
        <w:t>Úloha A.8.</w:t>
      </w:r>
    </w:p>
    <w:p w:rsidR="00D23BA5" w:rsidRPr="000870A3" w:rsidRDefault="00D23BA5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 xml:space="preserve">Organizovať pracovné stretnutia odborníkov v oblasti BOZP </w:t>
      </w:r>
      <w:r w:rsidR="004E3E22" w:rsidRPr="000870A3">
        <w:rPr>
          <w:i/>
        </w:rPr>
        <w:t xml:space="preserve">a zástupcov zamestnancov </w:t>
      </w:r>
      <w:r w:rsidRPr="000870A3">
        <w:rPr>
          <w:i/>
        </w:rPr>
        <w:t xml:space="preserve">v záujme </w:t>
      </w:r>
      <w:r w:rsidR="007D72F6" w:rsidRPr="000870A3">
        <w:rPr>
          <w:i/>
        </w:rPr>
        <w:t>lepšieho uplatňovania</w:t>
      </w:r>
      <w:r w:rsidRPr="000870A3">
        <w:rPr>
          <w:i/>
        </w:rPr>
        <w:t xml:space="preserve"> právnych predpisov a ostatných predpisov na zaistenie BOZP v praxi.</w:t>
      </w:r>
    </w:p>
    <w:p w:rsidR="00D23BA5" w:rsidRPr="000870A3" w:rsidRDefault="00D23BA5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>Termín: každoročne</w:t>
      </w:r>
    </w:p>
    <w:p w:rsidR="00D23BA5" w:rsidRPr="000870A3" w:rsidRDefault="00D23BA5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>Zodpovední: MPSVR SR, MO SR, MH SR, MV SR</w:t>
      </w:r>
    </w:p>
    <w:p w:rsidR="00D23BA5" w:rsidRPr="000870A3" w:rsidRDefault="00D23BA5" w:rsidP="002C73DB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 xml:space="preserve">Spolupracujúci: MZ SR, </w:t>
      </w:r>
      <w:r w:rsidR="007D72F6" w:rsidRPr="000870A3">
        <w:rPr>
          <w:i/>
        </w:rPr>
        <w:t xml:space="preserve">MS SR, </w:t>
      </w:r>
      <w:r w:rsidRPr="000870A3">
        <w:rPr>
          <w:i/>
        </w:rPr>
        <w:t>KOZ SR, AZZZ SR, RÚZ, ZMOS,</w:t>
      </w:r>
      <w:r w:rsidR="007D72F6" w:rsidRPr="000870A3">
        <w:rPr>
          <w:i/>
        </w:rPr>
        <w:t xml:space="preserve"> SOPK,</w:t>
      </w:r>
      <w:r w:rsidRPr="000870A3">
        <w:rPr>
          <w:i/>
        </w:rPr>
        <w:t xml:space="preserve"> Slovenská asociácia BOZP a OPP, </w:t>
      </w:r>
      <w:r w:rsidR="007D72F6" w:rsidRPr="000870A3">
        <w:rPr>
          <w:i/>
        </w:rPr>
        <w:t>Spoločná vízia, vysoké školy</w:t>
      </w:r>
    </w:p>
    <w:p w:rsidR="00A90AE7" w:rsidRPr="000870A3" w:rsidRDefault="00D23BA5" w:rsidP="009D7F84">
      <w:pPr>
        <w:ind w:firstLine="0"/>
        <w:rPr>
          <w:b/>
          <w:lang w:eastAsia="x-none"/>
        </w:rPr>
      </w:pPr>
      <w:r w:rsidRPr="000870A3">
        <w:rPr>
          <w:b/>
        </w:rPr>
        <w:t>Vyhodnotenie plnenia úlohy A.8.: úloha je plnená priebežne</w:t>
      </w:r>
    </w:p>
    <w:p w:rsidR="00B14AAA" w:rsidRDefault="00B14AAA" w:rsidP="00E17E30">
      <w:r>
        <w:t>MPSVR SR</w:t>
      </w:r>
      <w:r w:rsidR="00E17E30">
        <w:t xml:space="preserve"> v súvislosti s plnením opatrenia</w:t>
      </w:r>
      <w:r>
        <w:t xml:space="preserve"> na zlepšenie podnikateľského prostredia  </w:t>
      </w:r>
      <w:r w:rsidRPr="00B14AAA">
        <w:t>vypracovalo</w:t>
      </w:r>
      <w:r>
        <w:t xml:space="preserve"> v roku 2018 v pracovnej skupine s NIP a sociálnymi partnermi usmernenie pre </w:t>
      </w:r>
      <w:r w:rsidRPr="00B14AAA">
        <w:t xml:space="preserve">oboznamovanie zamestnancov - neprofesionálnych vodičov </w:t>
      </w:r>
      <w:r>
        <w:t>s dopravnými predpismi</w:t>
      </w:r>
      <w:r w:rsidRPr="00B14AAA">
        <w:t xml:space="preserve"> </w:t>
      </w:r>
      <w:r>
        <w:t xml:space="preserve">podľa </w:t>
      </w:r>
      <w:r w:rsidR="00E17E30">
        <w:t xml:space="preserve">                  </w:t>
      </w:r>
      <w:r>
        <w:t xml:space="preserve">§ 7 zákona č. 124/2006 Z. z. </w:t>
      </w:r>
      <w:r w:rsidRPr="00B14AAA">
        <w:t>o</w:t>
      </w:r>
      <w:r>
        <w:t xml:space="preserve"> </w:t>
      </w:r>
      <w:r w:rsidRPr="00B14AAA">
        <w:t>BOZP</w:t>
      </w:r>
      <w:r>
        <w:t xml:space="preserve"> a o zmene a doplnení niektorých zákonov v znení neskorších predpisov. </w:t>
      </w:r>
      <w:r w:rsidR="00E17E30">
        <w:t xml:space="preserve">V súvislosti s plnením ďalšieho opatrenia na zlepšenie podnikateľského prostredia </w:t>
      </w:r>
      <w:r>
        <w:t xml:space="preserve">MPSVR SR v roku 2018 vydalo v spolupráci s NIP a sociálnymi partnermi usmernenie </w:t>
      </w:r>
      <w:r w:rsidR="00E17E30">
        <w:t>ku koordinácii bezpečnosti podľa</w:t>
      </w:r>
      <w:r w:rsidR="00E17E30" w:rsidRPr="00B14AAA">
        <w:t xml:space="preserve"> nariadenia vlády </w:t>
      </w:r>
      <w:r w:rsidR="00E17E30">
        <w:t xml:space="preserve">SR </w:t>
      </w:r>
      <w:r w:rsidR="00E17E30" w:rsidRPr="00B14AAA">
        <w:t>č. 396/2006 Z. z. o minimálnych bezpečnostných a zdravotných požiadavkách na stavenisko</w:t>
      </w:r>
      <w:r w:rsidR="00E17E30">
        <w:t xml:space="preserve">. </w:t>
      </w:r>
    </w:p>
    <w:p w:rsidR="00541E99" w:rsidRDefault="00541E99" w:rsidP="00B14AAA">
      <w:r w:rsidRPr="003C257F">
        <w:lastRenderedPageBreak/>
        <w:t>V roku 2018</w:t>
      </w:r>
      <w:r>
        <w:t xml:space="preserve"> inšpektorát práce</w:t>
      </w:r>
      <w:r w:rsidRPr="003C257F">
        <w:t xml:space="preserve"> zorganizoval pracovné stretnutia spojené so školením v oblasti sociálna legislatíva v</w:t>
      </w:r>
      <w:r w:rsidR="007D72F6">
        <w:t> </w:t>
      </w:r>
      <w:r w:rsidRPr="003C257F">
        <w:t>doprave</w:t>
      </w:r>
      <w:r w:rsidR="007D72F6">
        <w:t xml:space="preserve"> (ďalej len „</w:t>
      </w:r>
      <w:proofErr w:type="spellStart"/>
      <w:r w:rsidR="007D72F6">
        <w:t>SLvD</w:t>
      </w:r>
      <w:proofErr w:type="spellEnd"/>
      <w:r w:rsidR="007D72F6">
        <w:t>“)</w:t>
      </w:r>
      <w:r w:rsidRPr="003C257F">
        <w:t>.</w:t>
      </w:r>
    </w:p>
    <w:p w:rsidR="00BA0A2F" w:rsidRPr="00863A29" w:rsidRDefault="00BA0A2F" w:rsidP="009D7F84">
      <w:pPr>
        <w:rPr>
          <w:highlight w:val="yellow"/>
        </w:rPr>
      </w:pPr>
      <w:r w:rsidRPr="00863A29">
        <w:t>Zástupcovia NIP sa aktívne zúčastnili na</w:t>
      </w:r>
      <w:r>
        <w:t xml:space="preserve"> odborných seminároch, konferenciách a panelových diskusiách, napr.</w:t>
      </w:r>
      <w:r w:rsidRPr="00863A29">
        <w:t>: medzinárodnej konferencii „INCOBOZ 2018“; konferencii „Bezpečnosť v manipulácii“; celoslovenskom seminári vyhradených technických zariadení zdvíhacích v Novom Smokovci; 9. ročníku konferencie „ELTECH SK – Vysoké Tatry“; 2. ročníku súťaže elektromontérov v práci pod napätím, organizovanej Výc</w:t>
      </w:r>
      <w:r>
        <w:t>hodoslovenskou energetikou a.s.</w:t>
      </w:r>
      <w:r w:rsidRPr="00863A29">
        <w:t>; 10. ročníku odbornej konferencie „Bezpečnosť technických zariadení 2018“; 48. a 49. konferencii elektrotechnikov Slovenska; celoslovenskom aktualizačnom seminári pre odborníkov z oblasti bezpečnosti a ochrany zdravia pri práci, ergonómie, ochrany zdravia a ochrany pred požiarmi a na panelovej diskusii 24. ročníka medzinárodného veľtrhu elektrotechniky, energetiky, elektroniky, osvetlenia a telekomunikácií ELOSYS 201</w:t>
      </w:r>
      <w:r>
        <w:t>8</w:t>
      </w:r>
      <w:r w:rsidRPr="00863A29">
        <w:t xml:space="preserve"> v Nitre.</w:t>
      </w:r>
    </w:p>
    <w:p w:rsidR="00BA0A2F" w:rsidRPr="003C257F" w:rsidRDefault="00B479F1" w:rsidP="009D7F84">
      <w:r>
        <w:t>V rezorte MO SR sa v roku 2018 uskutočnilo päť pracovných zasadnutí koordinačnej skupiny pre činnosti súvisiace s BOZP, dvakrát zasadala rezortná komisia BOZP a rovnako dvakrát sa konali celorezortné aktualizačné semináre BOZP určené pre bezpečnostných technikov a odborných zamestnancov. V apríli 2018 usporiadalo MO SR zhromaždenie riadiacich funkcionárov MO SR a</w:t>
      </w:r>
      <w:r w:rsidR="0085658B">
        <w:t> </w:t>
      </w:r>
      <w:r w:rsidR="00E0207B">
        <w:t>OS</w:t>
      </w:r>
      <w:r>
        <w:t xml:space="preserve"> SR k oblasti BOZP určené pre vedúcich zamestnancov jednotlivých organizačných zložiek.</w:t>
      </w:r>
    </w:p>
    <w:p w:rsidR="00A90AE7" w:rsidRDefault="002A1162" w:rsidP="009D7F84">
      <w:r>
        <w:t>HBÚ v spolupráci so Slovenským združením výrobcov kameniva</w:t>
      </w:r>
      <w:r w:rsidR="002B1C97">
        <w:t xml:space="preserve"> (ďalej „SZVK“)</w:t>
      </w:r>
      <w:r>
        <w:t xml:space="preserve"> usporiadal v roku 2018 odborný seminár vo Zvolene. </w:t>
      </w:r>
      <w:r w:rsidR="002B1C97">
        <w:t>Predseda HBÚ a predseda OBÚ v </w:t>
      </w:r>
      <w:r w:rsidR="00B91774">
        <w:t>Košic</w:t>
      </w:r>
      <w:r w:rsidR="00417135">
        <w:t xml:space="preserve">iach </w:t>
      </w:r>
      <w:r w:rsidR="002B1C97">
        <w:t>prednášali osobitne zamerané pr</w:t>
      </w:r>
      <w:r w:rsidR="00E0207B">
        <w:t>ednášky na odbornom seminári SZV</w:t>
      </w:r>
      <w:r w:rsidR="002B1C97">
        <w:t>K  konajúcom sa pod záštitou MH SR v Novom Smokovci.</w:t>
      </w:r>
    </w:p>
    <w:p w:rsidR="006C0B2F" w:rsidRDefault="006C0B2F" w:rsidP="009D7F84">
      <w:r>
        <w:t>MZ SR v spolupráci s ÚVZ SR organizuje pracovné stretnutia so zástupcami zamestnancov (ale aj zamestnávateľských zväzov) pri príprave legislatívnych úprav týkajúcich sa BOZP.</w:t>
      </w:r>
      <w:r w:rsidR="00D728AC">
        <w:t xml:space="preserve"> Zástupcovia zamestnancov tiež informujú MZ SR a ÚVZ SR o situáciách, kedy uplatňovanie právneho predpisu na úseku BOZP nie je optimálne a navrhujú legislatívne zmeny.</w:t>
      </w:r>
    </w:p>
    <w:p w:rsidR="00D728AC" w:rsidRDefault="00D728AC" w:rsidP="009D7F84">
      <w:r>
        <w:t>ZVJS sa zúčastnil medzirezortnej pracovnej porady orgánov inšpekcie práce a požiarneho dozoru ozbrojených bezpečnostných zborov za účelom vzájomnej výmeny informácií súvisiacich s efektívnym výkonom inšpekcie práce a požiarneho dozoru v podmienkach ozbrojených bezpečnostných zborov a iných inštitúcií, napr. MO SR, MV SR, MF SR, FS SR, NIP, MPSVR SR, RÚVZ.</w:t>
      </w:r>
    </w:p>
    <w:p w:rsidR="00607FC9" w:rsidRDefault="00607FC9" w:rsidP="002C73DB">
      <w:r>
        <w:t>V roku 2018 zorganizovala KOZ SR</w:t>
      </w:r>
      <w:r w:rsidR="004009B6">
        <w:t xml:space="preserve"> p</w:t>
      </w:r>
      <w:r w:rsidR="001C38F9">
        <w:t>ravidelné pracovné a vzdelávacie</w:t>
      </w:r>
      <w:r w:rsidR="004009B6">
        <w:t> rokovanie odborných inšpektorov BOZP</w:t>
      </w:r>
      <w:r w:rsidR="001C38F9">
        <w:t xml:space="preserve"> z</w:t>
      </w:r>
      <w:r w:rsidR="004009B6">
        <w:t xml:space="preserve"> KOZ SR, ako aj spoločné rokov</w:t>
      </w:r>
      <w:r w:rsidR="001C38F9">
        <w:t xml:space="preserve">anie vrcholových predstaviteľov </w:t>
      </w:r>
      <w:r w:rsidR="004009B6">
        <w:t> NIP a</w:t>
      </w:r>
      <w:r w:rsidR="001C38F9">
        <w:t> hlavných inšpektorov práce z inšpektorátov práce</w:t>
      </w:r>
      <w:r w:rsidR="004009B6">
        <w:t>. Tohto rokovania sa zúčastnil aj predstaviteľ MPSVR SR a zástupca Európskeho inštitútu odborových zväzov (ETUI) z Bruselu.</w:t>
      </w:r>
    </w:p>
    <w:p w:rsidR="00D728AC" w:rsidRDefault="001C38F9" w:rsidP="009D7F84">
      <w:r>
        <w:t>AZZZ SR prostredníctvom svojho člena Zväzu chemického a farmaceutického priemyslu S</w:t>
      </w:r>
      <w:r w:rsidR="001E717F">
        <w:t>lovenskej republiky</w:t>
      </w:r>
      <w:r w:rsidR="00D5448F">
        <w:t xml:space="preserve"> (ďalej len „ZCHFP</w:t>
      </w:r>
      <w:r w:rsidR="001E717F">
        <w:t xml:space="preserve"> SR</w:t>
      </w:r>
      <w:r w:rsidR="00D5448F">
        <w:t>“)</w:t>
      </w:r>
      <w:r>
        <w:t xml:space="preserve"> sa zúčastnili viacerých pracovných stretnutí odborníkov v oblasti BOZP a zástupcov zamestnancov</w:t>
      </w:r>
      <w:r w:rsidR="00FE00D4">
        <w:t>.</w:t>
      </w:r>
    </w:p>
    <w:p w:rsidR="00D728AC" w:rsidRDefault="00A75AD8" w:rsidP="009D7F84">
      <w:r>
        <w:lastRenderedPageBreak/>
        <w:t>RÚZ</w:t>
      </w:r>
      <w:r w:rsidR="0018123A">
        <w:t xml:space="preserve"> v rámci podvýboru pre BOZP identifikovala problémové oblasti BOZP z pohľadu zamestnávateľov a s vykonanou analýzou oslovuje zástupcov zamestnávateľských, záujmových organizácií a NIP pre hľadanie spoločných riešení. Zástupcovia RÚZ sa aktívne zúčastňovali k tvorbe nových a ku konzultáciám súčasných predpisov na zaistenie BOZP.</w:t>
      </w:r>
    </w:p>
    <w:p w:rsidR="0018123A" w:rsidRDefault="0018123A" w:rsidP="009D7F84">
      <w:r>
        <w:t>Spoločná vízia zorganizovala v máji 2018 VI. ročník Me</w:t>
      </w:r>
      <w:r w:rsidR="00944F27">
        <w:t>dzinárodnej konferencie INCOBOZ, ktorej sa aktívne zúčastnili aj zástupcovia MPSVR SR.</w:t>
      </w:r>
      <w:r>
        <w:t xml:space="preserve"> </w:t>
      </w:r>
      <w:r w:rsidR="00B86983">
        <w:t>Zástupca Spoločnej vízie sa zúčastnil medzinárodnej konferencie BOZP 2018 v </w:t>
      </w:r>
      <w:proofErr w:type="spellStart"/>
      <w:r w:rsidR="00B86983">
        <w:t>Ostraviciach</w:t>
      </w:r>
      <w:proofErr w:type="spellEnd"/>
      <w:r w:rsidR="00B86983">
        <w:t>, kde p</w:t>
      </w:r>
      <w:r w:rsidR="00681C13">
        <w:t xml:space="preserve">redstavil činnosť združenia, </w:t>
      </w:r>
      <w:proofErr w:type="spellStart"/>
      <w:r w:rsidR="00681C13">
        <w:t>zdieľal</w:t>
      </w:r>
      <w:proofErr w:type="spellEnd"/>
      <w:r w:rsidR="00B86983">
        <w:t xml:space="preserve"> poznatky z</w:t>
      </w:r>
      <w:r w:rsidR="000C2EE1">
        <w:t> </w:t>
      </w:r>
      <w:r w:rsidR="00B86983">
        <w:t>ISHCCO</w:t>
      </w:r>
      <w:r w:rsidR="000C2EE1">
        <w:t>, údajov európskej komisie a vlastnej praxe.</w:t>
      </w:r>
    </w:p>
    <w:p w:rsidR="0018123A" w:rsidRDefault="00A05DB8" w:rsidP="009D7F84">
      <w:r>
        <w:t>TUKE v rámci konferencie „Aktuálne otázky BOZP“ prezentovala prednášky s problematikou aplikácie právnych predpisov.</w:t>
      </w:r>
    </w:p>
    <w:p w:rsidR="00DE13E5" w:rsidRPr="00E40098" w:rsidRDefault="00DE13E5" w:rsidP="009D7F84">
      <w:pPr>
        <w:pStyle w:val="Nadpis2"/>
      </w:pPr>
      <w:r w:rsidRPr="00E40098">
        <w:t>Úloha A.9.</w:t>
      </w:r>
    </w:p>
    <w:p w:rsidR="00DE13E5" w:rsidRPr="000870A3" w:rsidRDefault="00DE13E5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 xml:space="preserve">Organizovať odborné semináre pre vedúcich zamestnancov, ktoré pozitívne ovplyvnia ich vnímanie dôležitosti bezpečného a zdravého pracoviska. </w:t>
      </w:r>
    </w:p>
    <w:p w:rsidR="00DE13E5" w:rsidRPr="000870A3" w:rsidRDefault="00DE13E5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>Termín: priebežne</w:t>
      </w:r>
      <w:r w:rsidRPr="000870A3">
        <w:rPr>
          <w:i/>
        </w:rPr>
        <w:tab/>
      </w:r>
    </w:p>
    <w:p w:rsidR="00DE13E5" w:rsidRPr="000870A3" w:rsidRDefault="00DE13E5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 xml:space="preserve">Zodpovední: MPSVR SR, MO SR, MH SR, MV SR, MS SR </w:t>
      </w:r>
    </w:p>
    <w:p w:rsidR="00DE13E5" w:rsidRPr="000870A3" w:rsidRDefault="00DE13E5" w:rsidP="002C73DB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>Spolupracujúci: MZ SR</w:t>
      </w:r>
    </w:p>
    <w:p w:rsidR="00DE13E5" w:rsidRPr="000870A3" w:rsidRDefault="00DE13E5" w:rsidP="009D7F84">
      <w:pPr>
        <w:ind w:firstLine="0"/>
        <w:rPr>
          <w:b/>
        </w:rPr>
      </w:pPr>
      <w:r w:rsidRPr="000870A3">
        <w:rPr>
          <w:b/>
        </w:rPr>
        <w:t>Vyhodnotenie plnenia úlohy A.9.: úloha je plnená priebežne</w:t>
      </w:r>
    </w:p>
    <w:p w:rsidR="00537043" w:rsidRDefault="00537043" w:rsidP="009D7F84">
      <w:r w:rsidRPr="00502A5C">
        <w:t>V</w:t>
      </w:r>
      <w:r>
        <w:t xml:space="preserve"> rámci NIP sa v </w:t>
      </w:r>
      <w:r w:rsidRPr="00502A5C">
        <w:t>roku 2018 na podporu kampane EU-OSHA konali každoročn</w:t>
      </w:r>
      <w:r>
        <w:t>é</w:t>
      </w:r>
      <w:r w:rsidRPr="00502A5C">
        <w:t xml:space="preserve"> tri semináre k</w:t>
      </w:r>
      <w:r>
        <w:t> </w:t>
      </w:r>
      <w:r w:rsidRPr="00502A5C">
        <w:t>aktuálnej kampani, novým trendom BOZP, zmenám právnych predpisov, ich praktickému uplatňovaniu a k výsledkom inšpekcie práce. Na týchto seminároch ako prednášatelia participovali aj zástupcovia Národnej siete BOZP.</w:t>
      </w:r>
    </w:p>
    <w:p w:rsidR="00D05186" w:rsidRDefault="00D05186" w:rsidP="009D7F84">
      <w:r w:rsidRPr="00047CE0">
        <w:t>Dňa 24.</w:t>
      </w:r>
      <w:r>
        <w:t xml:space="preserve"> a 25.</w:t>
      </w:r>
      <w:r w:rsidRPr="00047CE0">
        <w:t xml:space="preserve"> apríla 2018 sa konalo zhromaždenie riadiacich funkcionárov MO SR </w:t>
      </w:r>
      <w:r>
        <w:t>a </w:t>
      </w:r>
      <w:r w:rsidR="00A75AD8">
        <w:t>OS</w:t>
      </w:r>
      <w:r>
        <w:t xml:space="preserve"> SR </w:t>
      </w:r>
      <w:r w:rsidRPr="00047CE0">
        <w:t xml:space="preserve">k oblasti </w:t>
      </w:r>
      <w:r w:rsidR="00A75AD8">
        <w:t>BOZP</w:t>
      </w:r>
      <w:r>
        <w:t>, určené výlučne pre vedúcich zamestnancov jednotlivých organizačných zložiek</w:t>
      </w:r>
      <w:r w:rsidRPr="00047CE0">
        <w:t xml:space="preserve">, na ktorom bola v rámci programu prezentovaná téma </w:t>
      </w:r>
      <w:r w:rsidR="00A75AD8">
        <w:t xml:space="preserve">BOZP </w:t>
      </w:r>
      <w:r w:rsidRPr="00047CE0">
        <w:t>z pohľadu vedúcich zamestnancov.</w:t>
      </w:r>
    </w:p>
    <w:p w:rsidR="00D05186" w:rsidRDefault="00D05186" w:rsidP="009D7F84">
      <w:r>
        <w:t>Odborní zamestnanci Centra bezpečnostných činností v rezorte MV SR zabezpečujú pre vedúcich útvarov, príslušníkov a zamestnancov MV SR informácie o platných a nových všeobe</w:t>
      </w:r>
      <w:r w:rsidR="00A75AD8">
        <w:t>cne záväzných právnych predpisoch a ostatných predpisoch</w:t>
      </w:r>
      <w:r>
        <w:t xml:space="preserve"> na zaistenie BOZP.</w:t>
      </w:r>
    </w:p>
    <w:p w:rsidR="009C2F91" w:rsidRDefault="009C2F91" w:rsidP="009D7F84">
      <w:r>
        <w:t>P</w:t>
      </w:r>
      <w:r w:rsidRPr="00075945">
        <w:t xml:space="preserve">racovníci orgánu dozoru </w:t>
      </w:r>
      <w:r>
        <w:t xml:space="preserve">ZVJS </w:t>
      </w:r>
      <w:r w:rsidRPr="00075945">
        <w:t>v rámci celoslovenských porád upozorňovali na aktuálne problémy v oblasti BOZP, ako napr. nárast počtu služobných a pracovných úrazov za I. polrok 2018 a návrh opatrení na ich znižovanie na 7</w:t>
      </w:r>
      <w:r>
        <w:t>. k</w:t>
      </w:r>
      <w:r w:rsidRPr="00075945">
        <w:t>olégiu generálneho riaditeľa zboru, ako aj porade vedúcich oddelení, skupín, referátov zamestnávania, výroby a odbytu z ústavov, ktorá sa konala v Školiacom stredisku zboru v Santovke, porady vedúcich a zástupcov oddelení logistiky ústavov v Liečebno-rehabilitačnom stredisku zboru v Omšení.</w:t>
      </w:r>
    </w:p>
    <w:p w:rsidR="00DE13E5" w:rsidRPr="00DD0820" w:rsidRDefault="009C2F91" w:rsidP="009D7F84">
      <w:r>
        <w:t>RÚVZ každoročne realizujú informačno-vzdelávacie semináre pre zamestnávateľov na témy súvisiace s oblasťami BOZP, ktoré sú na konkrétnom pracovisku nedostatočne zabezpečené a sú zistené pri výkone štátneho zdravotného dozoru, alebo vyplývajú z nedostatočnej informovanosti zamestnancov o zdravotn</w:t>
      </w:r>
      <w:r w:rsidR="00772FA3">
        <w:t>ých rizikách pri práci, alebo sú</w:t>
      </w:r>
      <w:r>
        <w:t xml:space="preserve"> témou aktuálnej kampane EU-OSHA.</w:t>
      </w:r>
    </w:p>
    <w:p w:rsidR="00DE13E5" w:rsidRPr="00E40098" w:rsidRDefault="00DE13E5" w:rsidP="009D7F84">
      <w:pPr>
        <w:pStyle w:val="Nadpis2"/>
      </w:pPr>
      <w:r w:rsidRPr="00E40098">
        <w:lastRenderedPageBreak/>
        <w:t>Úloha A.10.</w:t>
      </w:r>
    </w:p>
    <w:p w:rsidR="00DE13E5" w:rsidRPr="000870A3" w:rsidRDefault="00DE13E5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>V spolupráci so školami poskytovať žiakom informácie o práve na ochranu bezpečnosti a zdravia pri práci, o problematike BOZP a metódach prevencie rizík.</w:t>
      </w:r>
    </w:p>
    <w:p w:rsidR="00DE13E5" w:rsidRPr="000870A3" w:rsidRDefault="00DE13E5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>Termín: priebežne</w:t>
      </w:r>
    </w:p>
    <w:p w:rsidR="00DE13E5" w:rsidRPr="000870A3" w:rsidRDefault="00DE13E5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 xml:space="preserve">Zodpovední: MPSVR SR, MŠVVŠ SR </w:t>
      </w:r>
    </w:p>
    <w:p w:rsidR="00DE13E5" w:rsidRPr="000870A3" w:rsidRDefault="00DE13E5" w:rsidP="002C73DB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>Spolupracujúci: MZ SR</w:t>
      </w:r>
    </w:p>
    <w:p w:rsidR="00DE13E5" w:rsidRPr="000870A3" w:rsidRDefault="00DE13E5" w:rsidP="002C73DB">
      <w:pPr>
        <w:ind w:firstLine="0"/>
        <w:rPr>
          <w:b/>
        </w:rPr>
      </w:pPr>
      <w:r w:rsidRPr="000870A3">
        <w:rPr>
          <w:b/>
        </w:rPr>
        <w:t>Vyhodnotenie plnenia úlohy A.10.: úloha je plnená priebežne</w:t>
      </w:r>
    </w:p>
    <w:p w:rsidR="00142BFC" w:rsidRDefault="00DD0820" w:rsidP="009D7F84">
      <w:r w:rsidRPr="00EA31D1">
        <w:t xml:space="preserve">Zástupcovia NIP sa aktívne zúčastnili na vyučovaní a na štátnych skúškach na TUKE a na iných univerzitách. NIP sa v spolupráci s </w:t>
      </w:r>
      <w:r>
        <w:t>TUKE</w:t>
      </w:r>
      <w:r w:rsidRPr="00EA31D1">
        <w:t xml:space="preserve"> aktívne podieľal na organizovaní XXXI. ročníka medzinárodnej konferencie s </w:t>
      </w:r>
      <w:r w:rsidRPr="00772FA3">
        <w:t xml:space="preserve">názvom „Aktuálne otázky </w:t>
      </w:r>
      <w:r w:rsidR="00772FA3" w:rsidRPr="00772FA3">
        <w:t>BOZP</w:t>
      </w:r>
      <w:r w:rsidRPr="00772FA3">
        <w:t>“,</w:t>
      </w:r>
      <w:r w:rsidRPr="00EA31D1">
        <w:t xml:space="preserve"> ktorá sa konala v dňoch 12. - 14. novembra 2018 na Štrbskom Plese.</w:t>
      </w:r>
    </w:p>
    <w:p w:rsidR="00142BFC" w:rsidRPr="00EA31D1" w:rsidRDefault="00142BFC" w:rsidP="009D7F84">
      <w:r>
        <w:t>V rámci riešenia výskumných úloh v rámci IVPR bol vytvorený propagačno-náučný leták pre žiakov a učňov praktického vyučovania a praktickej prípravy na povolanie a to „Desatoro bezpečnosti práce žiaka/učňa pri praktickom vyučovaní a praktickej príprave na povolanie“ a pre výchovu a vzdelávanie detí v </w:t>
      </w:r>
      <w:proofErr w:type="spellStart"/>
      <w:r>
        <w:t>predprimárnom</w:t>
      </w:r>
      <w:proofErr w:type="spellEnd"/>
      <w:r>
        <w:t xml:space="preserve"> vzdelávaní bolo vytvorené pexeso s prvkami filmov o </w:t>
      </w:r>
      <w:proofErr w:type="spellStart"/>
      <w:r>
        <w:t>Napovi</w:t>
      </w:r>
      <w:proofErr w:type="spellEnd"/>
      <w:r>
        <w:t xml:space="preserve">, </w:t>
      </w:r>
      <w:r w:rsidR="00944F27">
        <w:t>ktoré slúži na propagáciu BOZP. Ď</w:t>
      </w:r>
      <w:r>
        <w:t>alej vznikla riekanka a viaceré rozprávky na rôzne témy bezpečného správania sa detí v </w:t>
      </w:r>
      <w:proofErr w:type="spellStart"/>
      <w:r>
        <w:t>predprimárnom</w:t>
      </w:r>
      <w:proofErr w:type="spellEnd"/>
      <w:r>
        <w:t xml:space="preserve"> vzdelávaní.</w:t>
      </w:r>
    </w:p>
    <w:p w:rsidR="00DE13E5" w:rsidRDefault="00AA04C6" w:rsidP="009D7F84">
      <w:r>
        <w:t>V rezorte MŠVVŠ SR je prob</w:t>
      </w:r>
      <w:r w:rsidR="00772FA3">
        <w:t xml:space="preserve">lematika poskytovania informácií </w:t>
      </w:r>
      <w:r>
        <w:t xml:space="preserve">o BOZP integrálne zapracovaná v štátnych vzdelávacích programoch (ďalej len „ŠVP“) pre odborné vzdelávanie a prípravu a zároveň v jednotlivých školských vzdelávacích programoch pre jednotlivé študijné a učebné odbory. Vo vzťahu k materiálno-technickému a priestorovému vybaveniu výchovno-vzdelávacieho procesu na stredných odborných školách sa informácie týkajúce sa problematiky BOZP zapracúvajú vo vzťahu k jednotlivým študijným a učebným odborom do normatívov materiálno-technického a priestorového vybavenia. V spolupráci s profesijnými a stavovskými organizáciami </w:t>
      </w:r>
      <w:r w:rsidR="00772FA3">
        <w:t>ŠIOV</w:t>
      </w:r>
      <w:r>
        <w:t xml:space="preserve"> vypracúva vzorové učebné osnovy pre odbory vzdelávania, v ktorých sa výchova a vzdelávanie uskutočňuje v systéme duálneho vzdelávania. Informácie o práve na ochranu BOZP, o problematike BOZP a metódach prevencie sú dôležitou súčasťou vzdelávania pedagogických zamestnancov a inštruktorov podieľajúcich sa na odbornej príprave žiakov stredných odborných škôl.</w:t>
      </w:r>
    </w:p>
    <w:p w:rsidR="00C75D4D" w:rsidRPr="00DD0820" w:rsidRDefault="001A3A3E" w:rsidP="009D7F84">
      <w:r>
        <w:t>RÚVZ pre školy vypracovávajú informačné materiály súvisiace so zdravotnými rizikami v škole (napr. nebezpečné chem</w:t>
      </w:r>
      <w:r w:rsidR="006F7691">
        <w:t>ické faktory pri praktickej výučb</w:t>
      </w:r>
      <w:r>
        <w:t>e). Zástupcovia RÚVZ</w:t>
      </w:r>
      <w:r w:rsidR="006F7691">
        <w:t xml:space="preserve"> sa aktívne podieľajú aj na výučb</w:t>
      </w:r>
      <w:r>
        <w:t>e na stredných a vysokých školách a zástupca ÚVZ SR sa každoročne zúčastňuje ako člen poroty celoslovenskej súťaže študentov stredný</w:t>
      </w:r>
      <w:r w:rsidR="00772FA3">
        <w:t>ch odborných škôl o poznatkoch z</w:t>
      </w:r>
      <w:r>
        <w:t xml:space="preserve"> oblasti </w:t>
      </w:r>
      <w:r w:rsidR="003F5B08">
        <w:t>BOZP.</w:t>
      </w:r>
    </w:p>
    <w:p w:rsidR="00DE13E5" w:rsidRPr="00E40098" w:rsidRDefault="00DE13E5" w:rsidP="009D7F84">
      <w:pPr>
        <w:pStyle w:val="Nadpis2"/>
      </w:pPr>
      <w:r w:rsidRPr="00E40098">
        <w:t>Úloha A.11.</w:t>
      </w:r>
    </w:p>
    <w:p w:rsidR="00DE13E5" w:rsidRPr="000870A3" w:rsidRDefault="00DE13E5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 xml:space="preserve">Vydávať odborné príručky, informačné a propagačné materiály pre zamestnávateľov, zástupcov zamestnancov pre BOZP, členov odborov a zamestnancov na účely propagácie právnych predpisov a ostatných predpisov na zaistenie BOZP a na ich lepšie pochopenie a uplatňovanie. Na ten účel </w:t>
      </w:r>
    </w:p>
    <w:p w:rsidR="00DE13E5" w:rsidRPr="000870A3" w:rsidRDefault="00DE13E5" w:rsidP="009D7F84">
      <w:pPr>
        <w:pStyle w:val="Normlnywebov"/>
        <w:numPr>
          <w:ilvl w:val="0"/>
          <w:numId w:val="2"/>
        </w:numPr>
        <w:spacing w:before="0" w:beforeAutospacing="0" w:after="80" w:afterAutospacing="0"/>
        <w:ind w:left="709" w:hanging="709"/>
        <w:rPr>
          <w:i/>
        </w:rPr>
      </w:pPr>
      <w:r w:rsidRPr="000870A3">
        <w:rPr>
          <w:i/>
        </w:rPr>
        <w:t>pokračovať v realizácii projektu Pravidlá dobrej praxe,</w:t>
      </w:r>
    </w:p>
    <w:p w:rsidR="00DE13E5" w:rsidRPr="000870A3" w:rsidRDefault="00DE13E5" w:rsidP="009D7F84">
      <w:pPr>
        <w:pStyle w:val="Normlnywebov"/>
        <w:numPr>
          <w:ilvl w:val="0"/>
          <w:numId w:val="2"/>
        </w:numPr>
        <w:spacing w:before="0" w:beforeAutospacing="0" w:after="80" w:afterAutospacing="0"/>
        <w:ind w:left="709" w:hanging="709"/>
        <w:rPr>
          <w:i/>
        </w:rPr>
      </w:pPr>
      <w:r w:rsidRPr="000870A3">
        <w:rPr>
          <w:i/>
        </w:rPr>
        <w:lastRenderedPageBreak/>
        <w:t>vydávať informačné materiály o BOZP pre začínajúcich podnikateľov a dať ich verejnosti k dispozícii na príslušných úradoch tak, aby podnikatelia už na začiatku podnikania mali informácie o základných povinnostiach v oblasti BOZP.</w:t>
      </w:r>
    </w:p>
    <w:p w:rsidR="00DE13E5" w:rsidRPr="000870A3" w:rsidRDefault="00DE13E5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 xml:space="preserve">Termín: každoročne </w:t>
      </w:r>
    </w:p>
    <w:p w:rsidR="00DE13E5" w:rsidRPr="000870A3" w:rsidRDefault="00DE13E5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0870A3">
        <w:rPr>
          <w:i/>
        </w:rPr>
        <w:t xml:space="preserve">Zodpovedný: MPSVR SR </w:t>
      </w:r>
    </w:p>
    <w:p w:rsidR="00DE13E5" w:rsidRPr="000870A3" w:rsidRDefault="00DE13E5" w:rsidP="002C73DB">
      <w:pPr>
        <w:pStyle w:val="Normlnywebov"/>
        <w:spacing w:before="0" w:beforeAutospacing="0" w:after="80" w:afterAutospacing="0"/>
        <w:ind w:firstLine="0"/>
        <w:rPr>
          <w:i/>
        </w:rPr>
      </w:pPr>
      <w:r w:rsidRPr="000870A3">
        <w:rPr>
          <w:i/>
        </w:rPr>
        <w:t>Spolupracujúci: MZ SR, RÚZ, KOZ SR, Technická univerzita Košice</w:t>
      </w:r>
    </w:p>
    <w:p w:rsidR="003F5B08" w:rsidRPr="000870A3" w:rsidRDefault="00DE13E5" w:rsidP="009D7F84">
      <w:pPr>
        <w:ind w:firstLine="0"/>
        <w:rPr>
          <w:b/>
        </w:rPr>
      </w:pPr>
      <w:r w:rsidRPr="000870A3">
        <w:rPr>
          <w:b/>
        </w:rPr>
        <w:t>Vyhodnotenie plnenia úlohy A.11.: úloha je plnená priebežne</w:t>
      </w:r>
    </w:p>
    <w:p w:rsidR="00DE13E5" w:rsidRDefault="003F5B08" w:rsidP="009D7F84">
      <w:pPr>
        <w:rPr>
          <w:szCs w:val="24"/>
        </w:rPr>
      </w:pPr>
      <w:r w:rsidRPr="007D6BA1">
        <w:t>NIP v roku 2018 v s</w:t>
      </w:r>
      <w:r>
        <w:t xml:space="preserve">polupráci so spoločnosťou Slovnaft, a.s. vydal odbornú príručku s názvom „Odborná spôsobilosť na obsluhu určených pracovných prostriedkov a na činnosť s nimi“. </w:t>
      </w:r>
      <w:r>
        <w:rPr>
          <w:szCs w:val="24"/>
        </w:rPr>
        <w:t>P</w:t>
      </w:r>
      <w:r w:rsidRPr="007D6BA1">
        <w:rPr>
          <w:szCs w:val="24"/>
        </w:rPr>
        <w:t>ríručka v prehľadnej forme ponúka užívateľovi základné informácie o jednotlivých odborných spôsobilostiach na obsluhu určených pracovných prostriedkov a na činnosť s nimi, ktoré sú vyšpecifikované v</w:t>
      </w:r>
      <w:r>
        <w:rPr>
          <w:szCs w:val="24"/>
        </w:rPr>
        <w:t xml:space="preserve"> predmetných</w:t>
      </w:r>
      <w:r w:rsidRPr="007D6BA1">
        <w:rPr>
          <w:szCs w:val="24"/>
        </w:rPr>
        <w:t xml:space="preserve"> </w:t>
      </w:r>
      <w:r>
        <w:rPr>
          <w:szCs w:val="24"/>
        </w:rPr>
        <w:t>vyhláškach MPSVR SR.</w:t>
      </w:r>
    </w:p>
    <w:p w:rsidR="003F5B08" w:rsidRDefault="00AB5748" w:rsidP="002C73DB">
      <w:r>
        <w:t>IVPR vydal brožúru</w:t>
      </w:r>
      <w:r w:rsidRPr="00AC09B8">
        <w:t xml:space="preserve"> </w:t>
      </w:r>
      <w:r>
        <w:t>„</w:t>
      </w:r>
      <w:r w:rsidRPr="00AC09B8">
        <w:t>Aktivity IVPR v oblasti výskumu BOZP</w:t>
      </w:r>
      <w:r>
        <w:t>“, ktorá sa ďalej distribuuje  prostredníctvom knižnice a DISSO na IVPR.</w:t>
      </w:r>
    </w:p>
    <w:p w:rsidR="00847B00" w:rsidRDefault="00847B00" w:rsidP="009D7F84">
      <w:r>
        <w:t>ÚVZ SR vydáva podrobnú odbornú informáciu ku každej novele právneho predpisu týkajúceho sa BOZP, ktorú pripraví z vecného hľadiska a spolu s RÚVZ ju uverejňuje na webových stránkach.</w:t>
      </w:r>
    </w:p>
    <w:p w:rsidR="00A45F81" w:rsidRPr="00A45F81" w:rsidRDefault="00A45F81" w:rsidP="009D7F84">
      <w:r w:rsidRPr="00A45F81">
        <w:t>KOZ SR</w:t>
      </w:r>
      <w:r>
        <w:t xml:space="preserve"> vydala v roku 2018 súhrnnú publikáciu pre zástupcov zamestnancov „Zákonník práce v úplnom znení“ a taktiež pripravila a vydala názorný stolový kalendár na rok 2019 s tematikou poskytovania prvej predlekárskej pomoci.</w:t>
      </w:r>
    </w:p>
    <w:p w:rsidR="00DE13E5" w:rsidRDefault="00DE13E5" w:rsidP="009D7F84">
      <w:pPr>
        <w:pStyle w:val="Nadpis2"/>
      </w:pPr>
      <w:r>
        <w:t>Úloha A.12.</w:t>
      </w:r>
    </w:p>
    <w:p w:rsidR="00DE13E5" w:rsidRPr="0087134E" w:rsidRDefault="00DE13E5" w:rsidP="009D7F84">
      <w:pPr>
        <w:ind w:firstLine="0"/>
        <w:rPr>
          <w:i/>
        </w:rPr>
      </w:pPr>
      <w:r w:rsidRPr="0087134E">
        <w:rPr>
          <w:i/>
        </w:rPr>
        <w:t>Podporovať a viesť zamestnancov k zodpovednému a bezpečnému správaniu sa na pracoviskách a k aktívnej spolupráci pri riešení otázok BOZP, najmä pri posudzovaní rizík a s tým spojeným prijímaním opatrení, pri vzdelávaní na všetkých úrovniach a školeniach zástupcov zamestnancov.</w:t>
      </w:r>
    </w:p>
    <w:p w:rsidR="00DE13E5" w:rsidRPr="0087134E" w:rsidRDefault="00DE13E5" w:rsidP="002C73DB">
      <w:pPr>
        <w:spacing w:after="0"/>
        <w:ind w:firstLine="0"/>
        <w:rPr>
          <w:i/>
        </w:rPr>
      </w:pPr>
      <w:r w:rsidRPr="0087134E">
        <w:rPr>
          <w:i/>
        </w:rPr>
        <w:t xml:space="preserve">Termín: každoročne </w:t>
      </w:r>
    </w:p>
    <w:p w:rsidR="00DE13E5" w:rsidRPr="0087134E" w:rsidRDefault="00DE13E5" w:rsidP="002C73DB">
      <w:pPr>
        <w:spacing w:after="0"/>
        <w:ind w:firstLine="0"/>
        <w:rPr>
          <w:i/>
        </w:rPr>
      </w:pPr>
      <w:r w:rsidRPr="0087134E">
        <w:rPr>
          <w:i/>
        </w:rPr>
        <w:t xml:space="preserve">Zodpovedný: KOZ SR, AZZZ SR, RÚZ, APZ </w:t>
      </w:r>
    </w:p>
    <w:p w:rsidR="00DE13E5" w:rsidRPr="0087134E" w:rsidRDefault="00DE13E5" w:rsidP="002C73DB">
      <w:pPr>
        <w:ind w:firstLine="0"/>
        <w:rPr>
          <w:i/>
        </w:rPr>
      </w:pPr>
      <w:r w:rsidRPr="0087134E">
        <w:rPr>
          <w:i/>
        </w:rPr>
        <w:t>Spolupracujúci: ZMOS</w:t>
      </w:r>
    </w:p>
    <w:p w:rsidR="00DE13E5" w:rsidRPr="0087134E" w:rsidRDefault="00DE13E5" w:rsidP="009D7F84">
      <w:pPr>
        <w:ind w:firstLine="0"/>
        <w:rPr>
          <w:b/>
        </w:rPr>
      </w:pPr>
      <w:r w:rsidRPr="0087134E">
        <w:rPr>
          <w:b/>
        </w:rPr>
        <w:t>Vyhodnotenie plnenia úlohy A.12.: úloha je plnená priebežne</w:t>
      </w:r>
    </w:p>
    <w:p w:rsidR="00DE13E5" w:rsidRDefault="00BB6F05" w:rsidP="009D7F84">
      <w:r>
        <w:t>Odborové zväzy združené v KOZ SR uskutočnili rad podporných a vzdelávacích aktivít a činností v oblasti BOZP. V roku 2018 bolo spoločne uskutočnených 2 098 rôznych činností spolu pre 5 924 členov odborov.</w:t>
      </w:r>
    </w:p>
    <w:p w:rsidR="00BB6F05" w:rsidRDefault="00BB6F05" w:rsidP="009D7F84">
      <w:r>
        <w:t xml:space="preserve">AZZZ SR prostredníctvom svojho člena </w:t>
      </w:r>
      <w:r w:rsidR="00D5448F">
        <w:rPr>
          <w:lang w:eastAsia="x-none"/>
        </w:rPr>
        <w:t>ZCHFP</w:t>
      </w:r>
      <w:r w:rsidR="001E717F">
        <w:rPr>
          <w:lang w:eastAsia="x-none"/>
        </w:rPr>
        <w:t xml:space="preserve"> SR</w:t>
      </w:r>
      <w:r>
        <w:t xml:space="preserve"> uplatňuje súbor </w:t>
      </w:r>
      <w:r w:rsidR="00EF44F6">
        <w:t>právnych predpisov</w:t>
      </w:r>
      <w:r>
        <w:t xml:space="preserve"> BOZP, systémy riadenia BOZP a ďalšie preventívne programy na odstránenie alebo zníženie rizík vo vzťahu k práci.</w:t>
      </w:r>
    </w:p>
    <w:p w:rsidR="00BB6F05" w:rsidRPr="00BB6F05" w:rsidRDefault="00DC7273" w:rsidP="009D7F84">
      <w:r>
        <w:t xml:space="preserve">V spoločnosti U. S. </w:t>
      </w:r>
      <w:proofErr w:type="spellStart"/>
      <w:r>
        <w:t>Steel</w:t>
      </w:r>
      <w:proofErr w:type="spellEnd"/>
      <w:r>
        <w:t xml:space="preserve"> Košice s.r.o. a u ďalších, najmä väčších zamestnávateľov za podpory a v úzkej spolupráci s odborovými organizáciami je venovaná vysoká pozornosť vedenia zamestnancov k bezpečnej práci, a to najmä vydávaním vzdelávacích, propagačných a informačných materiálov.</w:t>
      </w:r>
      <w:r w:rsidR="002B3487">
        <w:t xml:space="preserve"> Spoločnosť U. S. </w:t>
      </w:r>
      <w:proofErr w:type="spellStart"/>
      <w:r w:rsidR="002B3487">
        <w:t>Steel</w:t>
      </w:r>
      <w:proofErr w:type="spellEnd"/>
      <w:r w:rsidR="002B3487">
        <w:t xml:space="preserve"> Košice s.r.o. každoročne usporadúva podujatie „</w:t>
      </w:r>
      <w:proofErr w:type="spellStart"/>
      <w:r w:rsidR="002B3487">
        <w:t>Family</w:t>
      </w:r>
      <w:proofErr w:type="spellEnd"/>
      <w:r w:rsidR="002B3487">
        <w:t xml:space="preserve"> </w:t>
      </w:r>
      <w:proofErr w:type="spellStart"/>
      <w:r w:rsidR="002B3487">
        <w:t>Safety</w:t>
      </w:r>
      <w:proofErr w:type="spellEnd"/>
      <w:r w:rsidR="002B3487">
        <w:t xml:space="preserve"> </w:t>
      </w:r>
      <w:proofErr w:type="spellStart"/>
      <w:r w:rsidR="002B3487">
        <w:t>day</w:t>
      </w:r>
      <w:proofErr w:type="spellEnd"/>
      <w:r w:rsidR="002F61C4">
        <w:t xml:space="preserve">“ pre rodinných príslušníkov zamestnancov s podtitulom „Kde </w:t>
      </w:r>
      <w:r w:rsidR="002F61C4">
        <w:lastRenderedPageBreak/>
        <w:t>pracuje m</w:t>
      </w:r>
      <w:r w:rsidR="004D65F7">
        <w:t>ôj otec, moja mama“. Je zamerané</w:t>
      </w:r>
      <w:r w:rsidR="002F61C4">
        <w:t xml:space="preserve"> na propagáciu bezpečnosti práce a návštevníci si zároveň okrem iných aktivít môžu prezrieť aj výrobné priestory.</w:t>
      </w:r>
    </w:p>
    <w:p w:rsidR="00DE13E5" w:rsidRPr="00E40098" w:rsidRDefault="00DE13E5" w:rsidP="009D7F84">
      <w:pPr>
        <w:pStyle w:val="Nadpis2"/>
      </w:pPr>
      <w:r w:rsidRPr="00E40098">
        <w:t>Časť B</w:t>
      </w:r>
    </w:p>
    <w:p w:rsidR="00DE13E5" w:rsidRPr="00E40098" w:rsidRDefault="00DE13E5" w:rsidP="009D7F84">
      <w:pPr>
        <w:pStyle w:val="Nadpis2"/>
      </w:pPr>
      <w:r w:rsidRPr="00517E90">
        <w:t xml:space="preserve">Zlepšenie fungovania orgánov inšpekcie práce a iných orgánov dozoru v oblasti BOZP </w:t>
      </w:r>
    </w:p>
    <w:p w:rsidR="00DE13E5" w:rsidRPr="00E40098" w:rsidRDefault="00DE13E5" w:rsidP="009D7F84">
      <w:pPr>
        <w:pStyle w:val="Nadpis2"/>
      </w:pPr>
      <w:r w:rsidRPr="00E40098">
        <w:t>Úloha B.1.</w:t>
      </w:r>
    </w:p>
    <w:p w:rsidR="00DE13E5" w:rsidRPr="0087134E" w:rsidRDefault="00DE13E5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87134E">
        <w:rPr>
          <w:i/>
        </w:rPr>
        <w:t>Zabezpečiť zodpovedajúce finančné, personálne zdroje a podmienky na efektívny výkon inšpekcie práce a orgánov dozoru nad BOZP vo všetkých oblastiach ich vecnej pôsobnosti, na vzdelávanie a primerané finančné ohodnotenie ich zamestnancov tak, aby bolo možné účinne vymáhať právne predpisy na zaistenie BOZP a intenzívnejšie zabezpečovať preventívnu činnosť v oblasti BOZP v súlade s odporúčaniami SLIC a zásadami MOP.</w:t>
      </w:r>
    </w:p>
    <w:p w:rsidR="00DE13E5" w:rsidRPr="0087134E" w:rsidRDefault="00DE13E5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87134E">
        <w:rPr>
          <w:i/>
        </w:rPr>
        <w:t>Termín: priebežne</w:t>
      </w:r>
    </w:p>
    <w:p w:rsidR="00DE13E5" w:rsidRPr="0087134E" w:rsidRDefault="00DE13E5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87134E">
        <w:rPr>
          <w:i/>
        </w:rPr>
        <w:t>Zodpovední: MPSVR SR, MZ SR, MH SR, MO SR, MV SR, MF SR, MS SR</w:t>
      </w:r>
    </w:p>
    <w:p w:rsidR="00DE13E5" w:rsidRPr="0087134E" w:rsidRDefault="00DE13E5" w:rsidP="009D7F84">
      <w:pPr>
        <w:ind w:firstLine="0"/>
        <w:rPr>
          <w:b/>
        </w:rPr>
      </w:pPr>
      <w:r w:rsidRPr="0087134E">
        <w:rPr>
          <w:b/>
        </w:rPr>
        <w:t>Vyhodnotenie plnenia úlohy B.1.: úloha je plnená priebežne</w:t>
      </w:r>
    </w:p>
    <w:p w:rsidR="00832BF2" w:rsidRDefault="00325C8F" w:rsidP="009D7F84">
      <w:r>
        <w:t>ÚVZ SR pravidelne informuje MZ SR o nedostatočnom personálnom, technickom a finančnom zabezpečení efektívneho výkonu štátneho zdravotného dozoru.</w:t>
      </w:r>
    </w:p>
    <w:p w:rsidR="00325C8F" w:rsidRDefault="00325C8F" w:rsidP="009D7F84">
      <w:r>
        <w:t>V podmienkach HBÚ sa ako zásadný problém ukazuje získanie kvalifikovaných zamestnancov, a to aj z toho dôvodu, že mzdy neboli okrem zákonných dôvodov navýšené tak, aby mali stimulačný charakter. Napriek uvedenému bol na oddelenie banskej bezpečnosti HBÚ v roku 2018 prijatý 1 banský inšpektor.</w:t>
      </w:r>
    </w:p>
    <w:p w:rsidR="009C5F42" w:rsidRDefault="009C5F42" w:rsidP="009D7F84">
      <w:r>
        <w:t>Činnosti a samotný výkon inšpekcie práce v rezorte MO SR sú zabezpečované v rámci personálnych kapacít a materiálneho zabezpečenia rezortu.</w:t>
      </w:r>
    </w:p>
    <w:p w:rsidR="002B3487" w:rsidRDefault="002B3487" w:rsidP="009D7F84">
      <w:r>
        <w:t>Sekcia krízového riadenia MV SR zabezpečuje finančné zdroje, personálne zdroje a podmienky na efektívny výkon Inšpekcie práce a požiarneho dozoru MV SR.</w:t>
      </w:r>
    </w:p>
    <w:p w:rsidR="00B05610" w:rsidRPr="00325C8F" w:rsidRDefault="00B05610" w:rsidP="009D7F84">
      <w:r>
        <w:t>Orgán dozoru ZVJS je personálne obsadený dvomi príslušníkmi zboru, a to z hlavného inšpektora a inšpektora orgánu dozoru ZVJS, pričom obaja majú požadovanú odbornú spôsobilosť špecialistu požiarnej ochrany a autorizovaného bezpečnostného technika. Absentuje však kvalifikovaný odborný pracovník pre oblasť inšpekcie práce u vyhradených technických zariadení tlakových, plynových, zdvíhacích a elektrických (ďalej len „VTZ“). Z tohto dôvodu orgán dozoru ZVJS úzko spolupracuje s vedúcimi revíznymi technikmi ZVJS</w:t>
      </w:r>
      <w:r w:rsidR="00B108A6">
        <w:t>, inšpektorátmi práce a oprávnenými právnickými osobami v oblasti výkonu úradných skúšok či revízii VTZ.</w:t>
      </w:r>
    </w:p>
    <w:p w:rsidR="00832BF2" w:rsidRPr="00E40098" w:rsidRDefault="00832BF2" w:rsidP="009D7F84">
      <w:pPr>
        <w:pStyle w:val="Nadpis2"/>
      </w:pPr>
      <w:r w:rsidRPr="00E40098">
        <w:t>Úloha B.2.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 xml:space="preserve">Zabezpečovať celoživotné vzdelávanie, zvyšovanie odbornej úrovne a jazykových znalostí a prehlbovanie špecializovaných vedomostí a zručností potrebných na výkon dozoru nad dodržiavaním právnych predpisov a ostatných predpisov na zaistenie BOZP. </w:t>
      </w:r>
    </w:p>
    <w:p w:rsidR="00832BF2" w:rsidRPr="0087134E" w:rsidRDefault="00832BF2" w:rsidP="002C73DB">
      <w:pPr>
        <w:spacing w:after="0"/>
        <w:ind w:firstLine="0"/>
        <w:rPr>
          <w:i/>
        </w:rPr>
      </w:pPr>
      <w:r w:rsidRPr="0087134E">
        <w:rPr>
          <w:i/>
        </w:rPr>
        <w:t>Termín: priebežne</w:t>
      </w:r>
    </w:p>
    <w:p w:rsidR="00832BF2" w:rsidRPr="0087134E" w:rsidRDefault="00832BF2" w:rsidP="002C73DB">
      <w:pPr>
        <w:spacing w:after="0"/>
        <w:ind w:firstLine="0"/>
        <w:rPr>
          <w:i/>
        </w:rPr>
      </w:pPr>
      <w:r w:rsidRPr="0087134E">
        <w:rPr>
          <w:i/>
        </w:rPr>
        <w:t xml:space="preserve">Zodpovední: MPSVR SR, MZ SR, MH SR, MO SR, MV SR, MF SR, MS SR </w:t>
      </w:r>
    </w:p>
    <w:p w:rsidR="00832BF2" w:rsidRPr="0087134E" w:rsidRDefault="00832BF2" w:rsidP="002C73DB">
      <w:pPr>
        <w:ind w:firstLine="0"/>
        <w:rPr>
          <w:i/>
        </w:rPr>
      </w:pPr>
      <w:r w:rsidRPr="0087134E">
        <w:rPr>
          <w:i/>
        </w:rPr>
        <w:t>Spolupracujúci: MŠVVŠ SR, ÚNMS SR, vysoké školy</w:t>
      </w:r>
    </w:p>
    <w:p w:rsidR="00832BF2" w:rsidRPr="0087134E" w:rsidRDefault="00832BF2" w:rsidP="009D7F84">
      <w:pPr>
        <w:ind w:firstLine="0"/>
        <w:rPr>
          <w:b/>
        </w:rPr>
      </w:pPr>
      <w:r w:rsidRPr="0087134E">
        <w:rPr>
          <w:b/>
        </w:rPr>
        <w:t xml:space="preserve">Vyhodnotenie plnenia úlohy B.2.: úloha je plnená priebežne </w:t>
      </w:r>
    </w:p>
    <w:p w:rsidR="009D21F3" w:rsidRDefault="009D21F3" w:rsidP="009D7F84">
      <w:r w:rsidRPr="00B600D5">
        <w:lastRenderedPageBreak/>
        <w:t>NIP v roku 2018 realizoval odborné vzdelávanie inšpektorov práce v oblasti BOZP so</w:t>
      </w:r>
      <w:r>
        <w:t> </w:t>
      </w:r>
      <w:r w:rsidRPr="00B600D5">
        <w:t>zameraním na vyhradené technické zariadenia zdvíhacie a elektrické, vzdelávanie inšpektorov práce so zameraním na trhový dohľad a v rámci PPV vzdelávanie na</w:t>
      </w:r>
      <w:r>
        <w:t> </w:t>
      </w:r>
      <w:r w:rsidRPr="00B600D5">
        <w:t>diskrimináciu a rodovú rovnosť a vysielanie zamestnancov, dočasné pridelenie a agentúrne zamestnávanie.</w:t>
      </w:r>
      <w:r>
        <w:t xml:space="preserve"> </w:t>
      </w:r>
      <w:r w:rsidRPr="00B600D5">
        <w:t>V priebehu roka 2018 bola aktualizovaná a</w:t>
      </w:r>
      <w:r>
        <w:t> </w:t>
      </w:r>
      <w:r w:rsidRPr="00B600D5">
        <w:t>schválená</w:t>
      </w:r>
      <w:r>
        <w:t xml:space="preserve"> koncepcia z roku 2017</w:t>
      </w:r>
      <w:r w:rsidRPr="00B600D5">
        <w:t xml:space="preserve"> pod upraveným názvom „Koncepcia vzdelávania zamestnancov sústavy inšpekcie práce“</w:t>
      </w:r>
      <w:r>
        <w:t>.</w:t>
      </w:r>
    </w:p>
    <w:p w:rsidR="001119B0" w:rsidRDefault="001119B0" w:rsidP="009D7F84">
      <w:r>
        <w:t>Zamestnanci ÚVZ SR a RÚVZ sa celoživotne vzdelávajú v súlade s požiadavkami právnych predpisov upravujúcich odbornú spôsobilosť zdravotníckych pracovníkov a výkon štátnej služby.</w:t>
      </w:r>
    </w:p>
    <w:p w:rsidR="006B67DF" w:rsidRDefault="004C450A" w:rsidP="009D7F84">
      <w:r w:rsidRPr="004C450A">
        <w:t>HBÚ zrealizoval dvojdňové špecializované odborné vzdelávanie</w:t>
      </w:r>
      <w:r>
        <w:t xml:space="preserve"> pre svojich zamestnancov</w:t>
      </w:r>
      <w:r w:rsidRPr="004C450A">
        <w:t xml:space="preserve"> z oblasti všeobecných predpisov BOZP</w:t>
      </w:r>
      <w:r>
        <w:t>, ochrany proti požiarom</w:t>
      </w:r>
      <w:r w:rsidRPr="004C450A">
        <w:t xml:space="preserve"> a</w:t>
      </w:r>
      <w:r>
        <w:t> civilnej obrany a pre vedúcich zamestnancov</w:t>
      </w:r>
      <w:r w:rsidRPr="004C450A">
        <w:t> manažérske vzdelávanie</w:t>
      </w:r>
      <w:r>
        <w:t>.</w:t>
      </w:r>
    </w:p>
    <w:p w:rsidR="006B67DF" w:rsidRPr="00FD5951" w:rsidRDefault="006B67DF" w:rsidP="009D7F84">
      <w:r>
        <w:t>I</w:t>
      </w:r>
      <w:r w:rsidRPr="00FD5951">
        <w:t xml:space="preserve">nšpektori </w:t>
      </w:r>
      <w:r>
        <w:t xml:space="preserve">MO SR sa </w:t>
      </w:r>
      <w:r w:rsidRPr="00FD5951">
        <w:t xml:space="preserve">v roku 2018 zúčastnili vzdelávacích aktivít – seminárov, konferencií a aktualizačnej odbornej prípravy podľa ich odborného zamerania. </w:t>
      </w:r>
      <w:r>
        <w:t>Taktiež</w:t>
      </w:r>
      <w:r w:rsidRPr="00FD5951">
        <w:t xml:space="preserve"> bola využitá možnosť bezplatnej účasti na seminároch v oblasti využitia elektrických zariadení.</w:t>
      </w:r>
    </w:p>
    <w:p w:rsidR="006B67DF" w:rsidRDefault="00374FFD" w:rsidP="009D7F84">
      <w:r>
        <w:t>Pracovníci orgánu dozoru ZVJS sa zúčastnili na bezplatnom seminári s názvom „Zdravé pracoviská kontrolujú nebezpečné látky“ organizovaného NIP.</w:t>
      </w:r>
    </w:p>
    <w:p w:rsidR="00620848" w:rsidRPr="001119B0" w:rsidRDefault="00620848" w:rsidP="009D7F84">
      <w:r>
        <w:t>Odbor celoživotného vzdelávania MŠVVŠ SR v roku 2018 pokračoval v akreditácii vzdelávacích programov v oblasti BOZP, zverejňoval a aktualizoval údaje o vzdelávacích inštitúciách poskytujúcich vzdelávacie programy v oblasti BOZP a i.</w:t>
      </w:r>
    </w:p>
    <w:p w:rsidR="00832BF2" w:rsidRPr="00E40098" w:rsidRDefault="00832BF2" w:rsidP="009D7F84">
      <w:pPr>
        <w:pStyle w:val="Nadpis2"/>
      </w:pPr>
      <w:r w:rsidRPr="00E40098">
        <w:t>Úloha B.3.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>Koordinovať výkon dozorných aktivít orgánov verejného zdravotníctva, orgánov inšpekcie práce a ďalších orgánov dozoru nad BOZP zameraných na kontrolu plnenia povinností zamestnávateľov v oblasti BOZP, spolupracovať pri ich výkone a realizovať spoločné dozorné aktivity.</w:t>
      </w:r>
    </w:p>
    <w:p w:rsidR="00832BF2" w:rsidRPr="0087134E" w:rsidRDefault="00832BF2" w:rsidP="002C73DB">
      <w:pPr>
        <w:spacing w:after="0"/>
        <w:ind w:firstLine="0"/>
        <w:rPr>
          <w:i/>
        </w:rPr>
      </w:pPr>
      <w:r w:rsidRPr="0087134E">
        <w:rPr>
          <w:i/>
        </w:rPr>
        <w:t>Termín: priebežne</w:t>
      </w:r>
    </w:p>
    <w:p w:rsidR="00832BF2" w:rsidRPr="0087134E" w:rsidRDefault="00832BF2" w:rsidP="002C73DB">
      <w:pPr>
        <w:ind w:firstLine="0"/>
        <w:rPr>
          <w:i/>
        </w:rPr>
      </w:pPr>
      <w:r w:rsidRPr="0087134E">
        <w:rPr>
          <w:i/>
        </w:rPr>
        <w:t>Zodpovední: MZ SR, MPSVR SR, MH SR, MO SR, MV SR, MF SR, MS SR</w:t>
      </w:r>
    </w:p>
    <w:p w:rsidR="00832BF2" w:rsidRPr="0087134E" w:rsidRDefault="00832BF2" w:rsidP="009D7F84">
      <w:pPr>
        <w:ind w:firstLine="0"/>
        <w:rPr>
          <w:b/>
        </w:rPr>
      </w:pPr>
      <w:r w:rsidRPr="0087134E">
        <w:rPr>
          <w:b/>
        </w:rPr>
        <w:t>Vyhodnotenie plnenia úlohy B.3.: úloha je plnená priebežne</w:t>
      </w:r>
    </w:p>
    <w:p w:rsidR="005F6FAE" w:rsidRDefault="003F614D" w:rsidP="009D7F84">
      <w:r w:rsidRPr="00855F1E">
        <w:t xml:space="preserve">Spolupráca orgánov inšpekcie práce a orgánov verejného zdravotníctva sa uskutočnila na národnej aj na regionálnej úrovni. NIP a </w:t>
      </w:r>
      <w:r>
        <w:t>ÚVZ SR</w:t>
      </w:r>
      <w:r w:rsidRPr="00855F1E">
        <w:t xml:space="preserve"> s</w:t>
      </w:r>
      <w:r w:rsidR="00C042E6">
        <w:t>polupracovali v rámci činnosti N</w:t>
      </w:r>
      <w:r w:rsidRPr="00855F1E">
        <w:t>árodnej siete BOZP, pri príprave odpovedí v rámci európskej siete na výmenu informácií SLIC, pri príprave hodnotenia systému inšpekcie práce pracovnou skupinou SLIC a v rámci projektu Bezpečný podnik.</w:t>
      </w:r>
      <w:r w:rsidRPr="003F614D">
        <w:t xml:space="preserve"> </w:t>
      </w:r>
      <w:r>
        <w:t>NIP a ÚVZ SR si vymenili informácie</w:t>
      </w:r>
      <w:r w:rsidRPr="00855F1E">
        <w:t xml:space="preserve"> o rizikových prácach a o pracovnej úrazovosti.</w:t>
      </w:r>
      <w:r w:rsidR="005F6FAE">
        <w:t xml:space="preserve"> </w:t>
      </w:r>
    </w:p>
    <w:p w:rsidR="00CA6A78" w:rsidRDefault="00CA6A78" w:rsidP="009D7F84">
      <w:r>
        <w:t xml:space="preserve">ÚVZ SR v spolupráci s NIP koordinujú spoločné dozorné aktivity orgánov verejného zdravotníctva a orgánov inšpekcie práce prostredníctvom Poradného orgánu hlavného hygienika SR a generálneho riaditeľa NIP pre spoluprácu a koordináciu činností </w:t>
      </w:r>
      <w:r w:rsidR="00B64395">
        <w:t>v oblasti BOZP.</w:t>
      </w:r>
    </w:p>
    <w:p w:rsidR="005F6FAE" w:rsidRDefault="00CA6A78" w:rsidP="009D7F84">
      <w:r w:rsidRPr="00855F1E">
        <w:t>Na regionálnej úrovni sa uskutočnili každý štvrťrok spoločné pracovné porady inšpektorátov práce a</w:t>
      </w:r>
      <w:r>
        <w:t> </w:t>
      </w:r>
      <w:r w:rsidRPr="00855F1E">
        <w:t>RÚVZ</w:t>
      </w:r>
      <w:r>
        <w:t>.</w:t>
      </w:r>
      <w:r w:rsidRPr="00855F1E">
        <w:t xml:space="preserve"> </w:t>
      </w:r>
      <w:r w:rsidR="005F6FAE" w:rsidRPr="00855F1E">
        <w:t xml:space="preserve">V roku 2018 bolo vykonaných 34 spoločných previerok </w:t>
      </w:r>
      <w:r w:rsidR="005F6FAE" w:rsidRPr="00855F1E">
        <w:lastRenderedPageBreak/>
        <w:t>inšpektorátov práce a RÚVZ, ktoré boli realizované podľa aktuálnej potreby a vzájomnej dohody kontrolných orgánov na regionálnej úrovni</w:t>
      </w:r>
      <w:r w:rsidR="005F6FAE">
        <w:t xml:space="preserve">. </w:t>
      </w:r>
      <w:r w:rsidR="005F6FAE" w:rsidRPr="00855F1E">
        <w:t>Na pravidelných štvrťročný</w:t>
      </w:r>
      <w:r w:rsidR="00C042E6">
        <w:t>ch stretnutiach so zástupcami RÚ</w:t>
      </w:r>
      <w:r w:rsidR="005F6FAE" w:rsidRPr="00855F1E">
        <w:t xml:space="preserve">VZ boli prekonzultované výstupné materiály z týchto spoločných kontrol. </w:t>
      </w:r>
    </w:p>
    <w:p w:rsidR="00832BF2" w:rsidRDefault="005F6FAE" w:rsidP="009D7F84">
      <w:r w:rsidRPr="00855F1E">
        <w:t>Obidva orgány sa zúčastňovali aj na</w:t>
      </w:r>
      <w:r>
        <w:t> </w:t>
      </w:r>
      <w:r w:rsidRPr="00855F1E">
        <w:t xml:space="preserve">previerkach, ktoré koordinuje Slovenská </w:t>
      </w:r>
      <w:r w:rsidR="00CA6A78">
        <w:t xml:space="preserve">inšpekcia životného prostredia </w:t>
      </w:r>
      <w:r w:rsidRPr="00855F1E">
        <w:t>so</w:t>
      </w:r>
      <w:r>
        <w:t> </w:t>
      </w:r>
      <w:r w:rsidRPr="00855F1E">
        <w:t>zameraním na prevenciu závažných priemyselných havárií, v rámci ktorého sa overovalo plnenie podmienok na zaistenie BOZP a bezpečnosti technických zariadení majúcich vplyv na</w:t>
      </w:r>
      <w:r>
        <w:t> </w:t>
      </w:r>
      <w:r w:rsidRPr="00855F1E">
        <w:t>prevenciu závažných priemyselných havárií a posudzovanie bezpečnostných správ podnikov kategórie B., na ktorých sa zúčastnili aj iné dotknuté orgány štátnej správy</w:t>
      </w:r>
      <w:r>
        <w:t>.</w:t>
      </w:r>
    </w:p>
    <w:p w:rsidR="005F6FAE" w:rsidRDefault="005F6FAE" w:rsidP="009D7F84">
      <w:r w:rsidRPr="00855F1E">
        <w:t xml:space="preserve">Kontroly </w:t>
      </w:r>
      <w:proofErr w:type="spellStart"/>
      <w:r w:rsidR="00C042E6">
        <w:t>SLvD</w:t>
      </w:r>
      <w:proofErr w:type="spellEnd"/>
      <w:r w:rsidR="00D5448F">
        <w:t xml:space="preserve"> </w:t>
      </w:r>
      <w:r w:rsidRPr="00855F1E">
        <w:t xml:space="preserve">na pozemných komunikáciách boli realizované v spolupráci s Policajným zborom </w:t>
      </w:r>
      <w:r>
        <w:t>SR</w:t>
      </w:r>
      <w:r w:rsidRPr="00855F1E">
        <w:t xml:space="preserve"> na základe dohody o spolupráci pri vykonávaní kontrol na pozemných komunikáciách, uzavretej medzi NIP a </w:t>
      </w:r>
      <w:r>
        <w:t>MV SR</w:t>
      </w:r>
      <w:r w:rsidR="00CA6A78">
        <w:t>. Okrem toho boli vykonané spoločné cestné kontroly aj s okresnými riaditeľstvami Policajného zboru SR.</w:t>
      </w:r>
    </w:p>
    <w:p w:rsidR="00CA6A78" w:rsidRDefault="00FC4084" w:rsidP="009D7F84">
      <w:r>
        <w:t>HBÚ má s NIP uzatvorenú rámcovú dohodu o výmene skúseností a vymedzení pôsobností orgánov dozoru. Spolupracuje aj so Slo</w:t>
      </w:r>
      <w:r w:rsidR="00C042E6">
        <w:t>venskou obchodnou inšpekciou, na</w:t>
      </w:r>
      <w:r>
        <w:t>jmä v rámci kontrol predaja a sklado</w:t>
      </w:r>
      <w:r w:rsidR="002C73DB">
        <w:t>vania pyrotechnických výrobkov.</w:t>
      </w:r>
    </w:p>
    <w:p w:rsidR="00832BF2" w:rsidRPr="00E40098" w:rsidRDefault="00832BF2" w:rsidP="009D7F84">
      <w:pPr>
        <w:pStyle w:val="Nadpis2"/>
      </w:pPr>
      <w:r w:rsidRPr="00E40098">
        <w:t>Časť C</w:t>
      </w:r>
    </w:p>
    <w:p w:rsidR="00832BF2" w:rsidRDefault="00832BF2" w:rsidP="009D7F84">
      <w:pPr>
        <w:pStyle w:val="Nadpis2"/>
      </w:pPr>
      <w:r w:rsidRPr="00D23AF7">
        <w:t>Zlepšovanie kvality činnosti odborníkov oprávnených na výkon odborných činností v oblasti BOZP</w:t>
      </w:r>
    </w:p>
    <w:p w:rsidR="00832BF2" w:rsidRPr="00E40098" w:rsidRDefault="00832BF2" w:rsidP="009D7F84">
      <w:pPr>
        <w:pStyle w:val="Nadpis2"/>
      </w:pPr>
      <w:r w:rsidRPr="00E40098">
        <w:t>Úloha C.1.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 xml:space="preserve">Zabezpečiť dôslednú kontrolu plnenia povinností fyzických osôb – podnikateľov a právnických osôb vykonávajúcich preventívne a ochranné služby (pracovnú zdravotnú službu, bezpečnostnotechnickú službu vrátane výkonu odborných prehliadok a odborných skúšok) a vykonávajúcich overovanie plnenia požiadaviek bezpečnosti technických zariadení. </w:t>
      </w:r>
    </w:p>
    <w:p w:rsidR="00832BF2" w:rsidRPr="0087134E" w:rsidRDefault="00832BF2" w:rsidP="002C73DB">
      <w:pPr>
        <w:spacing w:after="0"/>
        <w:ind w:firstLine="0"/>
        <w:rPr>
          <w:i/>
        </w:rPr>
      </w:pPr>
      <w:r w:rsidRPr="0087134E">
        <w:rPr>
          <w:i/>
        </w:rPr>
        <w:t xml:space="preserve">Termín: každoročne 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>Zodpovední: MZ SR, MPSVR SR</w:t>
      </w:r>
    </w:p>
    <w:p w:rsidR="00832BF2" w:rsidRPr="0087134E" w:rsidRDefault="00832BF2" w:rsidP="009D7F84">
      <w:pPr>
        <w:ind w:firstLine="0"/>
        <w:rPr>
          <w:b/>
        </w:rPr>
      </w:pPr>
      <w:r w:rsidRPr="0087134E">
        <w:rPr>
          <w:b/>
        </w:rPr>
        <w:t>Vyhodnotenie plnenia úlohy C.1.: úloha je plnená priebežne</w:t>
      </w:r>
    </w:p>
    <w:p w:rsidR="00832BF2" w:rsidRDefault="00A27AEE" w:rsidP="009D7F84">
      <w:r w:rsidRPr="00A27AEE">
        <w:t>ÚVZ SR a</w:t>
      </w:r>
      <w:r>
        <w:t> </w:t>
      </w:r>
      <w:r w:rsidRPr="00A27AEE">
        <w:t>RÚVZ</w:t>
      </w:r>
      <w:r>
        <w:t xml:space="preserve"> kontrolujú činnosť </w:t>
      </w:r>
      <w:r w:rsidR="00B03663">
        <w:t>PZS</w:t>
      </w:r>
      <w:r>
        <w:t xml:space="preserve"> a osôb, ktoré vykonávajú samostatne dohľad nad pracovnými podmienkami. ÚVZ SR vedie na svojej internetovej stránke zoznam fyzických osôb – podnikateľov a právnických osôb, ktoré vykonávajú samostatne dodávateľským spôsobom činnosť PZS (dohľad na pracovnými podmienkami) pre zamestnancov vykonávajúcich práce zaradené do 1. a 2. kategórie na základe ohlásenia.</w:t>
      </w:r>
    </w:p>
    <w:p w:rsidR="00C903E9" w:rsidRPr="001406AD" w:rsidRDefault="00C903E9" w:rsidP="009D7F84">
      <w:pPr>
        <w:rPr>
          <w:highlight w:val="yellow"/>
        </w:rPr>
      </w:pPr>
      <w:r w:rsidRPr="00EB77C6">
        <w:t>Inšpektoráty práce v rokoch 2017 a 2018 kontrolovali dodržiavanie povinností subjektov oprávnených na výkon činnosti bezpečnostnotechnickej služby</w:t>
      </w:r>
      <w:r w:rsidR="001406AD">
        <w:t>.</w:t>
      </w:r>
      <w:r w:rsidRPr="00EB77C6">
        <w:t xml:space="preserve"> </w:t>
      </w:r>
      <w:r>
        <w:t>S</w:t>
      </w:r>
      <w:r w:rsidRPr="00EB77C6">
        <w:t>kontrolovaných</w:t>
      </w:r>
      <w:r>
        <w:t xml:space="preserve"> bolo</w:t>
      </w:r>
      <w:r w:rsidRPr="00EB77C6">
        <w:t xml:space="preserve"> celkom </w:t>
      </w:r>
      <w:r>
        <w:t>83</w:t>
      </w:r>
      <w:r w:rsidRPr="00EB77C6">
        <w:t xml:space="preserve"> subjektov poskytujúcich bezpečnostnotechnické služby </w:t>
      </w:r>
      <w:r>
        <w:t xml:space="preserve">dodávateľským spôsobom, pričom bolo </w:t>
      </w:r>
      <w:r w:rsidRPr="00EB77C6">
        <w:t xml:space="preserve">zistených </w:t>
      </w:r>
      <w:r>
        <w:t>106 nedostatkov</w:t>
      </w:r>
      <w:r w:rsidR="001406AD">
        <w:t>.</w:t>
      </w:r>
    </w:p>
    <w:p w:rsidR="00832BF2" w:rsidRPr="00414693" w:rsidRDefault="00832BF2" w:rsidP="009D7F84">
      <w:pPr>
        <w:pStyle w:val="Nadpis2"/>
      </w:pPr>
      <w:r w:rsidRPr="00414693">
        <w:t>Úloha C.2.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 xml:space="preserve">Zabezpečiť dôslednú kontrolu plnenia povinností fyzických osôb – podnikateľov a právnických osôb oprávnených na výchovu a vzdelávanie v oblasti ochrany práce. </w:t>
      </w:r>
    </w:p>
    <w:p w:rsidR="00832BF2" w:rsidRPr="0087134E" w:rsidRDefault="00832BF2" w:rsidP="002C73DB">
      <w:pPr>
        <w:spacing w:after="0"/>
        <w:ind w:firstLine="0"/>
        <w:rPr>
          <w:i/>
        </w:rPr>
      </w:pPr>
      <w:r w:rsidRPr="0087134E">
        <w:rPr>
          <w:i/>
        </w:rPr>
        <w:lastRenderedPageBreak/>
        <w:t xml:space="preserve">Termín: každoročne 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>Zodpovedný: MPSVR SR</w:t>
      </w:r>
    </w:p>
    <w:p w:rsidR="00832BF2" w:rsidRPr="0087134E" w:rsidRDefault="00832BF2" w:rsidP="009D7F84">
      <w:pPr>
        <w:ind w:firstLine="0"/>
        <w:rPr>
          <w:b/>
        </w:rPr>
      </w:pPr>
      <w:r w:rsidRPr="0087134E">
        <w:rPr>
          <w:b/>
        </w:rPr>
        <w:t>Vyhodnotenie plnenia úlohy C.2.: úloha je plnená priebežne</w:t>
      </w:r>
    </w:p>
    <w:p w:rsidR="00832BF2" w:rsidRPr="001406AD" w:rsidRDefault="001406AD" w:rsidP="009D7F84">
      <w:r w:rsidRPr="00F1797B">
        <w:t xml:space="preserve">Inšpektoráty práce v roku 2018 vykonávali kontrolu dodržiavania povinností subjektov oprávnených na výchovu a vzdelávanie v oblasti ochrany práce. </w:t>
      </w:r>
      <w:r>
        <w:t>S</w:t>
      </w:r>
      <w:r w:rsidRPr="00F1797B">
        <w:t>kontrolovaných</w:t>
      </w:r>
      <w:r>
        <w:t xml:space="preserve"> bolo</w:t>
      </w:r>
      <w:r w:rsidRPr="00F1797B">
        <w:t xml:space="preserve"> 77 subjektov oprávnených na výchovu a vzdelávanie v oblasti ochrany práce v rámci všetkých skupín výchovy a vzdelávania</w:t>
      </w:r>
      <w:r>
        <w:t>, pričom</w:t>
      </w:r>
      <w:r w:rsidRPr="00F1797B">
        <w:t xml:space="preserve"> zistených</w:t>
      </w:r>
      <w:r>
        <w:t xml:space="preserve"> bolo</w:t>
      </w:r>
      <w:r w:rsidRPr="00F1797B">
        <w:t xml:space="preserve"> 295 nedostatkov, z ktorých 55 </w:t>
      </w:r>
      <w:r>
        <w:t xml:space="preserve">bolo </w:t>
      </w:r>
      <w:r w:rsidRPr="00F1797B">
        <w:t>závažných.</w:t>
      </w:r>
    </w:p>
    <w:p w:rsidR="00832BF2" w:rsidRPr="00376239" w:rsidRDefault="00832BF2" w:rsidP="009D7F84">
      <w:pPr>
        <w:pStyle w:val="Nadpis2"/>
      </w:pPr>
      <w:r w:rsidRPr="00376239">
        <w:t>Úloha C.3.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>Poskytovať odborné poradenstvo fyzickým osobám – podnikateľom a právnickým osobám oprávneným vykonávať preventívne a ochranné služby a výchovu a vzdelávanie v oblasti ochrany práce.</w:t>
      </w:r>
    </w:p>
    <w:p w:rsidR="00832BF2" w:rsidRPr="0087134E" w:rsidRDefault="00832BF2" w:rsidP="002C73DB">
      <w:pPr>
        <w:spacing w:after="0"/>
        <w:ind w:firstLine="0"/>
        <w:rPr>
          <w:i/>
        </w:rPr>
      </w:pPr>
      <w:r w:rsidRPr="0087134E">
        <w:rPr>
          <w:i/>
        </w:rPr>
        <w:t>Termín: priebežne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>Zodpovedný: MPSVR SR</w:t>
      </w:r>
    </w:p>
    <w:p w:rsidR="00832BF2" w:rsidRPr="0087134E" w:rsidRDefault="00832BF2" w:rsidP="009D7F84">
      <w:pPr>
        <w:ind w:firstLine="0"/>
        <w:rPr>
          <w:b/>
        </w:rPr>
      </w:pPr>
      <w:r w:rsidRPr="0087134E">
        <w:rPr>
          <w:b/>
        </w:rPr>
        <w:t>Vyhodnotenie plnenia úlohy C.3.: úloha je plnená priebežne</w:t>
      </w:r>
    </w:p>
    <w:p w:rsidR="00832BF2" w:rsidRDefault="00D5448F" w:rsidP="00944F27">
      <w:r w:rsidRPr="00F1797B">
        <w:t>Inšpektori práce poskytovali bezplatné poradenstvo zamestnávateľom, fyzickým osobám, ktoré sú podnikateľmi a nie sú zamestnávateľmi a zamestnancom pri výkone inšpekcie práce v kontrolovaných subjektoch, ale aj denne v priestoroch inšpektorátov práce.</w:t>
      </w:r>
    </w:p>
    <w:p w:rsidR="00D5448F" w:rsidRPr="00D5448F" w:rsidRDefault="00D5448F" w:rsidP="00944F27">
      <w:pPr>
        <w:pStyle w:val="Hlavika"/>
        <w:jc w:val="both"/>
        <w:rPr>
          <w:lang w:val="sk-SK"/>
        </w:rPr>
      </w:pPr>
      <w:r w:rsidRPr="00F1797B">
        <w:t>Kvalifikované odborné poradenstvo bolo v roku 20</w:t>
      </w:r>
      <w:r w:rsidRPr="00F1797B">
        <w:rPr>
          <w:lang w:val="sk-SK"/>
        </w:rPr>
        <w:t>18</w:t>
      </w:r>
      <w:r w:rsidRPr="00F1797B">
        <w:t xml:space="preserve"> vyžiadané v oblasti BOZP v počte </w:t>
      </w:r>
      <w:r w:rsidRPr="00F1797B">
        <w:rPr>
          <w:lang w:val="sk-SK"/>
        </w:rPr>
        <w:t>859</w:t>
      </w:r>
      <w:r w:rsidRPr="00F1797B">
        <w:t xml:space="preserve"> prípadov, v oblasti </w:t>
      </w:r>
      <w:r>
        <w:rPr>
          <w:lang w:val="sk-SK"/>
        </w:rPr>
        <w:t xml:space="preserve">pracovnoprávnych vzťahov </w:t>
      </w:r>
      <w:r w:rsidRPr="00F1797B">
        <w:t xml:space="preserve">v počte </w:t>
      </w:r>
      <w:r w:rsidRPr="00F1797B">
        <w:rPr>
          <w:lang w:val="sk-SK"/>
        </w:rPr>
        <w:t>4</w:t>
      </w:r>
      <w:r>
        <w:rPr>
          <w:lang w:val="sk-SK"/>
        </w:rPr>
        <w:t> </w:t>
      </w:r>
      <w:r w:rsidRPr="00F1797B">
        <w:rPr>
          <w:lang w:val="sk-SK"/>
        </w:rPr>
        <w:t>325</w:t>
      </w:r>
      <w:r w:rsidRPr="00F1797B">
        <w:t xml:space="preserve"> prípadov, v oblasti </w:t>
      </w:r>
      <w:proofErr w:type="spellStart"/>
      <w:r w:rsidRPr="00F1797B">
        <w:t>SLvD</w:t>
      </w:r>
      <w:proofErr w:type="spellEnd"/>
      <w:r w:rsidRPr="00F1797B">
        <w:t xml:space="preserve"> v počte 103 prípadov, v</w:t>
      </w:r>
      <w:r>
        <w:rPr>
          <w:lang w:val="sk-SK"/>
        </w:rPr>
        <w:t> </w:t>
      </w:r>
      <w:r w:rsidRPr="00F1797B">
        <w:t>oblasti trhového dohľadu v počte 103, v oblasti pracovísk jadrového zariadenia v</w:t>
      </w:r>
      <w:r>
        <w:rPr>
          <w:lang w:val="sk-SK"/>
        </w:rPr>
        <w:t> </w:t>
      </w:r>
      <w:r w:rsidRPr="00F1797B">
        <w:t>0</w:t>
      </w:r>
      <w:r>
        <w:rPr>
          <w:lang w:val="sk-SK"/>
        </w:rPr>
        <w:t> </w:t>
      </w:r>
      <w:r w:rsidRPr="00F1797B">
        <w:t xml:space="preserve">prípadoch a v oblasti kontroly nelegálneho zamestnávania v počte 56 prípadov, čo spolu predstavuje celkový počet </w:t>
      </w:r>
      <w:r w:rsidRPr="00F1797B">
        <w:rPr>
          <w:lang w:val="sk-SK"/>
        </w:rPr>
        <w:t>5</w:t>
      </w:r>
      <w:r>
        <w:rPr>
          <w:lang w:val="sk-SK"/>
        </w:rPr>
        <w:t> </w:t>
      </w:r>
      <w:r w:rsidR="00526ABF">
        <w:rPr>
          <w:lang w:val="sk-SK"/>
        </w:rPr>
        <w:t>446</w:t>
      </w:r>
      <w:r w:rsidRPr="00F1797B">
        <w:t xml:space="preserve"> poradenstiev.</w:t>
      </w:r>
      <w:r>
        <w:rPr>
          <w:lang w:val="sk-SK"/>
        </w:rPr>
        <w:t xml:space="preserve"> </w:t>
      </w:r>
      <w:r w:rsidRPr="00F1797B">
        <w:t xml:space="preserve">Oproti roku </w:t>
      </w:r>
      <w:r w:rsidR="006F7691">
        <w:rPr>
          <w:lang w:val="sk-SK"/>
        </w:rPr>
        <w:t>2017</w:t>
      </w:r>
      <w:r w:rsidRPr="00F1797B">
        <w:t>, kedy počet poskytnutých prípadov vyžiadanej poradenskej činnosti predstavoval 3 443 prípadov, bol zaznamenaný nárast o</w:t>
      </w:r>
      <w:r>
        <w:t> </w:t>
      </w:r>
      <w:r w:rsidRPr="00F1797B">
        <w:rPr>
          <w:lang w:val="sk-SK"/>
        </w:rPr>
        <w:t>2</w:t>
      </w:r>
      <w:r>
        <w:rPr>
          <w:lang w:val="sk-SK"/>
        </w:rPr>
        <w:t> </w:t>
      </w:r>
      <w:r w:rsidR="00526ABF">
        <w:rPr>
          <w:lang w:val="sk-SK"/>
        </w:rPr>
        <w:t>003</w:t>
      </w:r>
      <w:bookmarkStart w:id="2" w:name="_GoBack"/>
      <w:bookmarkEnd w:id="2"/>
      <w:r w:rsidRPr="00F1797B">
        <w:t xml:space="preserve"> prípadov.</w:t>
      </w:r>
    </w:p>
    <w:p w:rsidR="00832BF2" w:rsidRPr="00E40098" w:rsidRDefault="00832BF2" w:rsidP="009D7F84">
      <w:pPr>
        <w:pStyle w:val="Nadpis2"/>
      </w:pPr>
      <w:r w:rsidRPr="00E40098">
        <w:t>Časť D</w:t>
      </w:r>
    </w:p>
    <w:p w:rsidR="00832BF2" w:rsidRPr="00832BF2" w:rsidRDefault="00832BF2" w:rsidP="009D7F84">
      <w:pPr>
        <w:pStyle w:val="Nadpis2"/>
      </w:pPr>
      <w:r w:rsidRPr="00C065B5">
        <w:t>Uplatňovanie systémového prístupu k problematike BOZP</w:t>
      </w:r>
    </w:p>
    <w:p w:rsidR="00832BF2" w:rsidRPr="00E40098" w:rsidRDefault="00832BF2" w:rsidP="009D7F84">
      <w:pPr>
        <w:pStyle w:val="Nadpis2"/>
      </w:pPr>
      <w:r w:rsidRPr="00E40098">
        <w:t>Úloha D.</w:t>
      </w:r>
      <w:r>
        <w:t>1</w:t>
      </w:r>
      <w:r w:rsidRPr="00E40098">
        <w:t>.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>Presadzovať uplatňovanie systémového prístupu k BOZP u zamestnávateľov a v činnosti preventívnych a ochranných služieb, zapájať zamestnancov do riešenia všetkých oblastí BOZP a motivovať ich k aktívnej účasti na riešení otázok BOZP.</w:t>
      </w:r>
    </w:p>
    <w:p w:rsidR="00832BF2" w:rsidRPr="0087134E" w:rsidRDefault="00832BF2" w:rsidP="002C73DB">
      <w:pPr>
        <w:spacing w:after="0"/>
        <w:ind w:firstLine="0"/>
        <w:rPr>
          <w:i/>
        </w:rPr>
      </w:pPr>
      <w:r w:rsidRPr="0087134E">
        <w:rPr>
          <w:i/>
        </w:rPr>
        <w:t>Termín: priebežne</w:t>
      </w:r>
    </w:p>
    <w:p w:rsidR="00832BF2" w:rsidRPr="0087134E" w:rsidRDefault="00832BF2" w:rsidP="002C73DB">
      <w:pPr>
        <w:spacing w:after="0"/>
        <w:ind w:firstLine="0"/>
        <w:rPr>
          <w:i/>
        </w:rPr>
      </w:pPr>
      <w:r w:rsidRPr="0087134E">
        <w:rPr>
          <w:i/>
        </w:rPr>
        <w:t xml:space="preserve">Zodpovední: AZZZ SR, RÚZ, KOZ SR, SAMP  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>Spolupracujúci: Slovenská asociácia BOZP a OPP, Spoločná vízia, vysoké školy</w:t>
      </w:r>
    </w:p>
    <w:p w:rsidR="00832BF2" w:rsidRPr="0087134E" w:rsidRDefault="00832BF2" w:rsidP="009D7F84">
      <w:pPr>
        <w:ind w:firstLine="0"/>
        <w:rPr>
          <w:b/>
        </w:rPr>
      </w:pPr>
      <w:r w:rsidRPr="0087134E">
        <w:rPr>
          <w:b/>
        </w:rPr>
        <w:t xml:space="preserve">Vyhodnotenie plnenia úlohy D.1.: úloha je plnená priebežne </w:t>
      </w:r>
    </w:p>
    <w:p w:rsidR="00832BF2" w:rsidRDefault="00D5448F" w:rsidP="009D7F84">
      <w:r w:rsidRPr="00D5448F">
        <w:rPr>
          <w:szCs w:val="24"/>
        </w:rPr>
        <w:t>AZZZ SR</w:t>
      </w:r>
      <w:r>
        <w:rPr>
          <w:szCs w:val="24"/>
        </w:rPr>
        <w:t xml:space="preserve"> prostredníctvom svojho člena </w:t>
      </w:r>
      <w:r>
        <w:t>ZCHFP</w:t>
      </w:r>
      <w:r w:rsidR="001E717F">
        <w:t xml:space="preserve"> SR</w:t>
      </w:r>
      <w:r>
        <w:t xml:space="preserve"> aktívne </w:t>
      </w:r>
      <w:r w:rsidR="00BA0870">
        <w:t>spolupracujú preventívnymi a ochrannými službami, zapájajú zamestnancov do riešenia všetkých oblastí BOZP a motivujú ich k aktívnej účasti na riešení otázok BOZP.</w:t>
      </w:r>
    </w:p>
    <w:p w:rsidR="00AE57E1" w:rsidRPr="00D5448F" w:rsidRDefault="00AE57E1" w:rsidP="009D7F84">
      <w:pPr>
        <w:rPr>
          <w:szCs w:val="24"/>
        </w:rPr>
      </w:pPr>
      <w:r>
        <w:t xml:space="preserve">TUKE spolupracovala so spoločnosťami najmä v rámci riešenia úloh z oblasti BOZP. </w:t>
      </w:r>
    </w:p>
    <w:p w:rsidR="00832BF2" w:rsidRPr="00E40098" w:rsidRDefault="00832BF2" w:rsidP="009D7F84">
      <w:pPr>
        <w:pStyle w:val="Nadpis2"/>
      </w:pPr>
      <w:r w:rsidRPr="00E40098">
        <w:lastRenderedPageBreak/>
        <w:t>Úloha D.</w:t>
      </w:r>
      <w:r>
        <w:t>2</w:t>
      </w:r>
      <w:r w:rsidRPr="00E40098">
        <w:t>.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>Podporovať program Bezpečný podnik a kampaň Zdravé pracoviská a presadzovať u zamestnávateľov, aby si stav BOZP dobrovoľne overovali nezávislým auditom v rámci programu Bezpečný podnik.</w:t>
      </w:r>
    </w:p>
    <w:p w:rsidR="00832BF2" w:rsidRPr="0087134E" w:rsidRDefault="00832BF2" w:rsidP="002C73DB">
      <w:pPr>
        <w:spacing w:after="0"/>
        <w:ind w:firstLine="0"/>
        <w:rPr>
          <w:i/>
        </w:rPr>
      </w:pPr>
      <w:r w:rsidRPr="0087134E">
        <w:rPr>
          <w:i/>
        </w:rPr>
        <w:t>Termín: priebežne</w:t>
      </w:r>
    </w:p>
    <w:p w:rsidR="00832BF2" w:rsidRPr="0087134E" w:rsidRDefault="00832BF2" w:rsidP="002C73DB">
      <w:pPr>
        <w:spacing w:after="0"/>
        <w:ind w:firstLine="0"/>
        <w:rPr>
          <w:i/>
        </w:rPr>
      </w:pPr>
      <w:r w:rsidRPr="0087134E">
        <w:rPr>
          <w:i/>
        </w:rPr>
        <w:t xml:space="preserve">Zodpovední: MPSVR SR, MZ SR  </w:t>
      </w:r>
    </w:p>
    <w:p w:rsidR="00832BF2" w:rsidRPr="0087134E" w:rsidRDefault="00832BF2" w:rsidP="009D7F84">
      <w:pPr>
        <w:ind w:firstLine="0"/>
        <w:rPr>
          <w:i/>
        </w:rPr>
      </w:pPr>
      <w:r w:rsidRPr="0087134E">
        <w:rPr>
          <w:i/>
        </w:rPr>
        <w:t>Spolupracujúci: MH SR, MV SR, Slovenská asociácia BOZP a OPP, Spoločná vízia, AZZZ SR, RÚZ, KOZ SR, vysoké školy</w:t>
      </w:r>
    </w:p>
    <w:p w:rsidR="00832BF2" w:rsidRPr="0087134E" w:rsidRDefault="00832BF2" w:rsidP="009D7F84">
      <w:pPr>
        <w:ind w:firstLine="0"/>
        <w:rPr>
          <w:b/>
        </w:rPr>
      </w:pPr>
      <w:r w:rsidRPr="0087134E">
        <w:rPr>
          <w:b/>
        </w:rPr>
        <w:t xml:space="preserve">Vyhodnotenie plnenia úlohy D.2.: úloha je plnená priebežne </w:t>
      </w:r>
    </w:p>
    <w:p w:rsidR="00832BF2" w:rsidRDefault="00AE04BE" w:rsidP="009D7F84">
      <w:r w:rsidRPr="001C471D">
        <w:t xml:space="preserve">NIP podporoval v priebehu roka 2018 program Bezpečný podnik. </w:t>
      </w:r>
      <w:r>
        <w:t>Jeden</w:t>
      </w:r>
      <w:r w:rsidRPr="001C471D">
        <w:t xml:space="preserve"> subjekt, ktor</w:t>
      </w:r>
      <w:r>
        <w:t>ý</w:t>
      </w:r>
      <w:r w:rsidRPr="001C471D">
        <w:t xml:space="preserve"> v roku 201</w:t>
      </w:r>
      <w:r>
        <w:t>8</w:t>
      </w:r>
      <w:r w:rsidRPr="001C471D">
        <w:t xml:space="preserve"> splnil podmienky na udelenie certifikátu Bezpečný podnik, bol ocenen</w:t>
      </w:r>
      <w:r>
        <w:t>ý</w:t>
      </w:r>
      <w:r w:rsidRPr="001C471D">
        <w:t xml:space="preserve"> na XXX</w:t>
      </w:r>
      <w:r>
        <w:t>I</w:t>
      </w:r>
      <w:r w:rsidRPr="001C471D">
        <w:t xml:space="preserve">. medzinárodnej konferencii „Aktuálne otázky </w:t>
      </w:r>
      <w:r>
        <w:t>BOZP</w:t>
      </w:r>
      <w:r w:rsidRPr="001C471D">
        <w:t xml:space="preserve">“, ktorá sa konala v dňoch 12. - 14. novembra 2018 na Štrbskom Plese. </w:t>
      </w:r>
      <w:r>
        <w:t>Šiestim ďalším</w:t>
      </w:r>
      <w:r w:rsidRPr="001C471D">
        <w:t xml:space="preserve"> subjektom bola v roku 201</w:t>
      </w:r>
      <w:r>
        <w:t>8</w:t>
      </w:r>
      <w:r w:rsidRPr="001C471D">
        <w:t xml:space="preserve"> predĺžená platnosť certifikátu „Bezpečný podnik“. Zoznam ocenených subjektov sa nachádza na internetovej stránke</w:t>
      </w:r>
      <w:r>
        <w:t xml:space="preserve"> NIP.</w:t>
      </w:r>
    </w:p>
    <w:p w:rsidR="00E85EC0" w:rsidRDefault="00E85EC0" w:rsidP="009D7F84">
      <w:r>
        <w:t xml:space="preserve">ÚVZ </w:t>
      </w:r>
      <w:r w:rsidR="00110AFA">
        <w:t>SR a RÚVZ propagovali kampaň EU-</w:t>
      </w:r>
      <w:r>
        <w:t>OSHA „Zdravé pracoviská kontrolujú nebezpečné chemické látky“ na svojich webových stránkach a záujemcom poskytovali konzultácie a poradenstvo. Zástupca ÚVZ SR sa zúčastňuje na pravidelných celoslovenských stretnutiach organizovaných NIP k programu „Bezpečný podnik“. RÚVZ  vydávajú stanoviská k udeleniu certifikátu „Bezpečný podnik“.</w:t>
      </w:r>
    </w:p>
    <w:p w:rsidR="002F0226" w:rsidRDefault="00E85EC0" w:rsidP="009D7F84">
      <w:r w:rsidRPr="00E85EC0">
        <w:t>Kampane Zdravé pracoviská</w:t>
      </w:r>
      <w:r>
        <w:t xml:space="preserve"> sú v AZZZ SR prostredníctvom firiem</w:t>
      </w:r>
      <w:r w:rsidRPr="00E85EC0">
        <w:t xml:space="preserve"> združených vo ZCHFP SR presadzované v rámci systémov riadenia BOZP a prostredníctvom preventívnych programov na odstránenie alebo zníženie rizík vo vzťahu k práci. Držiteľo</w:t>
      </w:r>
      <w:r>
        <w:t>m certifikátu Bezpečný podnik je od roku 2016</w:t>
      </w:r>
      <w:r w:rsidR="00110AFA">
        <w:t xml:space="preserve"> v AZZZ SR</w:t>
      </w:r>
      <w:r w:rsidRPr="00E85EC0">
        <w:t xml:space="preserve"> spoločnosť SLOVNAFT, a.s.      </w:t>
      </w:r>
    </w:p>
    <w:p w:rsidR="002F0226" w:rsidRDefault="002F0226" w:rsidP="009D7F84">
      <w:r w:rsidRPr="002F0226">
        <w:t>Banskí inšpektori</w:t>
      </w:r>
      <w:r>
        <w:t xml:space="preserve"> HBÚ</w:t>
      </w:r>
      <w:r w:rsidRPr="002F0226">
        <w:t xml:space="preserve"> pri vykonávaní</w:t>
      </w:r>
      <w:r>
        <w:t xml:space="preserve"> prehliadok a kontrol subjektov</w:t>
      </w:r>
      <w:r w:rsidRPr="002F0226">
        <w:t> odporúčajú subjektom uplatňovať zásady riadenia a organizovania práce vo vzťahu k BOZP, vyplývajúce z programu Bezpečný podnik, resp. Zdravé pracovisko, ktoré vhodne dopĺňajú predpismi z oblasti hlavného dozoru orgánov štátnej banskej správy.</w:t>
      </w:r>
    </w:p>
    <w:p w:rsidR="002F0226" w:rsidRPr="002F0226" w:rsidRDefault="002F0226" w:rsidP="009D7F84">
      <w:r>
        <w:t>TUKE sa aktívne zúčastňovala v rámci riadenia akcie „Bezpečný podnik“, ktorú následne vyhodnocovala v rámci konferencie „Aktuálne otázky BOZP“.</w:t>
      </w:r>
    </w:p>
    <w:p w:rsidR="00832BF2" w:rsidRPr="009F5870" w:rsidRDefault="00832BF2" w:rsidP="009D7F84">
      <w:pPr>
        <w:pStyle w:val="Nadpis2"/>
        <w:rPr>
          <w:szCs w:val="24"/>
        </w:rPr>
      </w:pPr>
      <w:r w:rsidRPr="00E40098">
        <w:t>Časť E</w:t>
      </w:r>
    </w:p>
    <w:p w:rsidR="00832BF2" w:rsidRPr="00E40098" w:rsidRDefault="00832BF2" w:rsidP="009D7F84">
      <w:pPr>
        <w:pStyle w:val="Nadpis2"/>
      </w:pPr>
      <w:r w:rsidRPr="00E40098">
        <w:t>Spolupráca v oblasti BOZP</w:t>
      </w:r>
    </w:p>
    <w:p w:rsidR="00832BF2" w:rsidRPr="00E40098" w:rsidRDefault="00832BF2" w:rsidP="009D7F84">
      <w:pPr>
        <w:pStyle w:val="Nadpis2"/>
      </w:pPr>
      <w:r w:rsidRPr="00E40098">
        <w:t>Úloha E.1.</w:t>
      </w:r>
    </w:p>
    <w:p w:rsidR="00832BF2" w:rsidRPr="0087134E" w:rsidRDefault="00832BF2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87134E">
        <w:rPr>
          <w:i/>
        </w:rPr>
        <w:t>Uplatňovať primerané a účinné formy spolupráce medzi dozornými orgánmi v oblasti BOZP a inštitúciami z oblasti výskumu, vývoja, vzdelávania, verejného zdravia, bezpečnosti technických zariadení a iných oblastí súvisiacich s BOZP.</w:t>
      </w:r>
    </w:p>
    <w:p w:rsidR="00832BF2" w:rsidRPr="0087134E" w:rsidRDefault="00832BF2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87134E">
        <w:rPr>
          <w:i/>
        </w:rPr>
        <w:t xml:space="preserve">Termín: priebežne  </w:t>
      </w:r>
    </w:p>
    <w:p w:rsidR="00832BF2" w:rsidRPr="0087134E" w:rsidRDefault="00832BF2" w:rsidP="002C73DB">
      <w:pPr>
        <w:pStyle w:val="Normlnywebov"/>
        <w:spacing w:before="0" w:beforeAutospacing="0" w:after="0" w:afterAutospacing="0"/>
        <w:ind w:firstLine="0"/>
        <w:rPr>
          <w:i/>
        </w:rPr>
      </w:pPr>
      <w:r w:rsidRPr="0087134E">
        <w:rPr>
          <w:i/>
        </w:rPr>
        <w:t xml:space="preserve">Zodpovední: MPSVR SR, MZ SR, MH SR, MŠVVŠ SR </w:t>
      </w:r>
    </w:p>
    <w:p w:rsidR="00832BF2" w:rsidRPr="0087134E" w:rsidRDefault="00832BF2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87134E">
        <w:rPr>
          <w:i/>
        </w:rPr>
        <w:t>Spolupracujúci: SOPK, vysoké školy, SAV</w:t>
      </w:r>
    </w:p>
    <w:p w:rsidR="00832BF2" w:rsidRPr="0087134E" w:rsidRDefault="00832BF2" w:rsidP="009D7F84">
      <w:pPr>
        <w:ind w:firstLine="0"/>
        <w:rPr>
          <w:b/>
        </w:rPr>
      </w:pPr>
      <w:r w:rsidRPr="0087134E">
        <w:rPr>
          <w:b/>
        </w:rPr>
        <w:t>Vyhodnotenie plnenia úlohy E.1.: úloha je plnená priebežne</w:t>
      </w:r>
    </w:p>
    <w:p w:rsidR="00832BF2" w:rsidRDefault="00F44318" w:rsidP="009D7F84">
      <w:r w:rsidRPr="00D967CF">
        <w:lastRenderedPageBreak/>
        <w:t xml:space="preserve">NIP spolupracoval s </w:t>
      </w:r>
      <w:r>
        <w:t>ÚNMS SR</w:t>
      </w:r>
      <w:r w:rsidRPr="00D967CF">
        <w:t xml:space="preserve"> vo veci prípravy nového zákona o trhovom dohľade, pri</w:t>
      </w:r>
      <w:r>
        <w:t> </w:t>
      </w:r>
      <w:r w:rsidRPr="00D967CF">
        <w:t xml:space="preserve">zabezpečení účasti zástupcov inšpekcie práce </w:t>
      </w:r>
      <w:r>
        <w:t xml:space="preserve">v európskych poradných výboroch </w:t>
      </w:r>
      <w:r w:rsidRPr="00D967CF">
        <w:t>a</w:t>
      </w:r>
      <w:r>
        <w:t> </w:t>
      </w:r>
      <w:r w:rsidRPr="00D967CF">
        <w:t>v technických komisiách pre jednotlivé skupiny určených výrobkov.</w:t>
      </w:r>
    </w:p>
    <w:p w:rsidR="00F44318" w:rsidRDefault="00F44318" w:rsidP="009D7F84">
      <w:r>
        <w:t>Zástupcovia NIP sa v rámci spolupráce s univerzitami a vysokými školami podieľali na zabezpečení vyučovania a zúčastnili sa na štátnych skúškach.</w:t>
      </w:r>
    </w:p>
    <w:p w:rsidR="00F44318" w:rsidRDefault="00F44318" w:rsidP="009D7F84">
      <w:r>
        <w:t xml:space="preserve">Zástupcovia ÚVZ SR a RÚVZ sa podieľajú na </w:t>
      </w:r>
      <w:proofErr w:type="spellStart"/>
      <w:r>
        <w:t>pre</w:t>
      </w:r>
      <w:r w:rsidR="00963F9F">
        <w:t>graduálnej</w:t>
      </w:r>
      <w:proofErr w:type="spellEnd"/>
      <w:r w:rsidR="00963F9F">
        <w:t xml:space="preserve"> a postgraduálnej výučb</w:t>
      </w:r>
      <w:r>
        <w:t>e na stredných a vysokých školách.</w:t>
      </w:r>
    </w:p>
    <w:p w:rsidR="002B3F8C" w:rsidRDefault="002B3F8C" w:rsidP="009D7F84">
      <w:r>
        <w:t>HBÚ na seminároch a školeniach</w:t>
      </w:r>
      <w:r w:rsidRPr="00204F27">
        <w:t xml:space="preserve"> zabezpečuje aj účasť odborníkov zo školstva, vedy a výskumu a dotknutých inštitúcií, čo platí i opačne, kedy banskí inšpektori</w:t>
      </w:r>
      <w:r>
        <w:t xml:space="preserve"> HBÚ</w:t>
      </w:r>
      <w:r w:rsidRPr="00204F27">
        <w:t xml:space="preserve"> vykonáv</w:t>
      </w:r>
      <w:r>
        <w:t>ajú lektorskú činnosť napr. na</w:t>
      </w:r>
      <w:r w:rsidRPr="00204F27">
        <w:t xml:space="preserve"> TU</w:t>
      </w:r>
      <w:r>
        <w:t>KE</w:t>
      </w:r>
      <w:r w:rsidRPr="00204F27">
        <w:t>.</w:t>
      </w:r>
      <w:r w:rsidR="00321FBB">
        <w:t xml:space="preserve"> N</w:t>
      </w:r>
      <w:r w:rsidR="00321FBB" w:rsidRPr="00D91A15">
        <w:t>a XX. Odbornom seminári SZVK, ktorý sa konal pod záštitou MH SR</w:t>
      </w:r>
      <w:r w:rsidR="00963F9F">
        <w:t xml:space="preserve"> </w:t>
      </w:r>
      <w:r w:rsidR="00321FBB">
        <w:t>prednášal osobitne zameranú prednášku aj dekan Fakulty baníctva, ekológie, riadenia a </w:t>
      </w:r>
      <w:proofErr w:type="spellStart"/>
      <w:r w:rsidR="00321FBB">
        <w:t>geotechnológií</w:t>
      </w:r>
      <w:proofErr w:type="spellEnd"/>
      <w:r w:rsidR="00321FBB">
        <w:t xml:space="preserve"> TUKE.</w:t>
      </w:r>
    </w:p>
    <w:p w:rsidR="008E6443" w:rsidRDefault="008E6443" w:rsidP="009D7F84">
      <w:pPr>
        <w:rPr>
          <w:b/>
          <w:szCs w:val="24"/>
        </w:rPr>
      </w:pPr>
      <w:r>
        <w:t>Z</w:t>
      </w:r>
      <w:r w:rsidRPr="00AC071A">
        <w:t>ástupca</w:t>
      </w:r>
      <w:r>
        <w:t xml:space="preserve"> MŠVV</w:t>
      </w:r>
      <w:r w:rsidRPr="00AC071A">
        <w:t xml:space="preserve">Š SR </w:t>
      </w:r>
      <w:r>
        <w:t xml:space="preserve">sa </w:t>
      </w:r>
      <w:r w:rsidRPr="00AC071A">
        <w:t xml:space="preserve">zúčastnil na pracovnom stretnutí členov Národnej siete </w:t>
      </w:r>
      <w:r w:rsidR="00C7639D">
        <w:t>EU-OSHA</w:t>
      </w:r>
      <w:r w:rsidRPr="00AC071A">
        <w:t xml:space="preserve">, ktoré sa uskutočnilo na </w:t>
      </w:r>
      <w:r>
        <w:t>NIP</w:t>
      </w:r>
      <w:r w:rsidRPr="00AC071A">
        <w:t>. Jeho predmetom bola podpora a rozvoj vzájomnej spolupráce v oblasti BOZP medzi zúčastnenými subjektmi.</w:t>
      </w:r>
    </w:p>
    <w:p w:rsidR="00D47028" w:rsidRPr="00E40098" w:rsidRDefault="00D47028" w:rsidP="009D7F84">
      <w:pPr>
        <w:pStyle w:val="Nadpis2"/>
      </w:pPr>
      <w:r w:rsidRPr="00E40098">
        <w:t>Úloha E.2.</w:t>
      </w:r>
    </w:p>
    <w:p w:rsidR="00D47028" w:rsidRPr="0087134E" w:rsidRDefault="00D47028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87134E">
        <w:rPr>
          <w:i/>
        </w:rPr>
        <w:t xml:space="preserve">Zapájať odborníkov BOZP do medzinárodnej spolupráce v rámci expertných skupín, technických komisií, projektov európskych a medzinárodných inštitúcií. </w:t>
      </w:r>
    </w:p>
    <w:p w:rsidR="00D47028" w:rsidRPr="0087134E" w:rsidRDefault="00D47028" w:rsidP="005F484B">
      <w:pPr>
        <w:pStyle w:val="Normlnywebov"/>
        <w:spacing w:before="0" w:beforeAutospacing="0" w:after="0" w:afterAutospacing="0"/>
        <w:ind w:firstLine="0"/>
        <w:rPr>
          <w:i/>
        </w:rPr>
      </w:pPr>
      <w:r w:rsidRPr="0087134E">
        <w:rPr>
          <w:i/>
        </w:rPr>
        <w:t xml:space="preserve">Termín: priebežne  </w:t>
      </w:r>
    </w:p>
    <w:p w:rsidR="00D47028" w:rsidRPr="0087134E" w:rsidRDefault="00D47028" w:rsidP="009D7F84">
      <w:pPr>
        <w:pStyle w:val="Normlnywebov"/>
        <w:spacing w:before="0" w:beforeAutospacing="0" w:after="80" w:afterAutospacing="0"/>
        <w:ind w:firstLine="0"/>
        <w:rPr>
          <w:i/>
        </w:rPr>
      </w:pPr>
      <w:r w:rsidRPr="0087134E">
        <w:rPr>
          <w:i/>
        </w:rPr>
        <w:t>Zodpovední: MPSVR SR, MZ SR, MO SR, MV SR, MH SR, MS SR, MŠVVŠ SR Spolupracujúci: KOZ SR, RÚZ, SOPK, APZ, vysoké školy</w:t>
      </w:r>
    </w:p>
    <w:p w:rsidR="00D47028" w:rsidRPr="0087134E" w:rsidRDefault="00D47028" w:rsidP="009D7F84">
      <w:pPr>
        <w:ind w:firstLine="0"/>
        <w:rPr>
          <w:b/>
        </w:rPr>
      </w:pPr>
      <w:r w:rsidRPr="0087134E">
        <w:rPr>
          <w:b/>
        </w:rPr>
        <w:t xml:space="preserve">Vyhodnotenie plnenia úlohy E.2.: úloha je plnená priebežne </w:t>
      </w:r>
    </w:p>
    <w:p w:rsidR="00E17E30" w:rsidRDefault="00E17E30" w:rsidP="00E17E30">
      <w:r>
        <w:t>Zástupca MPSVR SR sa v roku 2018 aktívne zúčastnil medzinárodnej konferencie</w:t>
      </w:r>
      <w:r w:rsidRPr="006F7A38">
        <w:t xml:space="preserve"> a veľtrhu BOZP 112 EXPO</w:t>
      </w:r>
      <w:r>
        <w:t xml:space="preserve"> v Belehrade a na hodnotení systému inšpekcie práce pracovnou skupinou SLIC.</w:t>
      </w:r>
    </w:p>
    <w:p w:rsidR="00854B00" w:rsidRDefault="00E17E30" w:rsidP="00E17E30">
      <w:r>
        <w:t xml:space="preserve"> </w:t>
      </w:r>
      <w:r w:rsidR="00854B00" w:rsidRPr="00C31D99">
        <w:t xml:space="preserve">NIP zabezpečoval spoluprácu s inšpekciou práce členských štátov EÚ, prioritne so susediacimi štátmi pri riešení problematiky BOZP, ako aj v rámci </w:t>
      </w:r>
      <w:proofErr w:type="spellStart"/>
      <w:r w:rsidR="00854B00" w:rsidRPr="00C31D99">
        <w:t>SLvD</w:t>
      </w:r>
      <w:proofErr w:type="spellEnd"/>
      <w:r w:rsidR="00854B00" w:rsidRPr="00C31D99">
        <w:t xml:space="preserve"> na národnej aj regionálnej úrovni.</w:t>
      </w:r>
    </w:p>
    <w:p w:rsidR="00854B00" w:rsidRPr="00C31D99" w:rsidRDefault="00854B00" w:rsidP="009D7F84">
      <w:r w:rsidRPr="00C31D99">
        <w:t>Zamestnanci NIP aktívne pracovali v medzinárodných pracovných skupinách, napr. v pracovnej skupine SLIC pre strategický manažment, pre implementáciu nariadenia REACH (CHEMEX), inšpekciu práce zameranú na kontrolu technických požiadaviek na stroje a technické zariadenia (MACHEX)</w:t>
      </w:r>
      <w:r>
        <w:t xml:space="preserve"> a i. </w:t>
      </w:r>
      <w:r w:rsidRPr="00C31D99">
        <w:t>Významnou bola aj spolupráca orgánov inšpekcie práce prostredníctvom národného koordinátora Siete pre rýchlu výmenu informácií SLIC – KSS.</w:t>
      </w:r>
    </w:p>
    <w:p w:rsidR="00854B00" w:rsidRDefault="00AA3A97" w:rsidP="009D7F84">
      <w:r w:rsidRPr="00C31D99">
        <w:t>NIP má</w:t>
      </w:r>
      <w:r w:rsidR="00110AFA">
        <w:t xml:space="preserve"> zastúpenie v Riadiacej rade EU-</w:t>
      </w:r>
      <w:r w:rsidRPr="00C31D99">
        <w:t xml:space="preserve">OSHA a aktívne sa podieľa na jeho činnosti. Zároveň je </w:t>
      </w:r>
      <w:proofErr w:type="spellStart"/>
      <w:r w:rsidRPr="00C31D99">
        <w:t>Focal</w:t>
      </w:r>
      <w:proofErr w:type="spellEnd"/>
      <w:r w:rsidRPr="00C31D99">
        <w:t xml:space="preserve"> Point na národnej úrovni.</w:t>
      </w:r>
    </w:p>
    <w:p w:rsidR="00AA3A97" w:rsidRDefault="00AA3A97" w:rsidP="009D7F84">
      <w:r w:rsidRPr="00C31D99">
        <w:t xml:space="preserve">V súvislosti s kontrolou </w:t>
      </w:r>
      <w:proofErr w:type="spellStart"/>
      <w:r w:rsidR="00110AFA">
        <w:t>SLvD</w:t>
      </w:r>
      <w:proofErr w:type="spellEnd"/>
      <w:r w:rsidR="00110AFA">
        <w:t xml:space="preserve"> </w:t>
      </w:r>
      <w:r w:rsidRPr="00C31D99">
        <w:t>boli na národnej úrovni uskutočnené spoločné kontrolné akcie s partnerskými o</w:t>
      </w:r>
      <w:r>
        <w:t xml:space="preserve">rganizáciami z Českej republiky, Maďarska </w:t>
      </w:r>
      <w:r w:rsidRPr="00C31D99">
        <w:t>a</w:t>
      </w:r>
      <w:r>
        <w:t> </w:t>
      </w:r>
      <w:r w:rsidRPr="00C31D99">
        <w:t>Poľska</w:t>
      </w:r>
      <w:r>
        <w:t>.</w:t>
      </w:r>
    </w:p>
    <w:p w:rsidR="00AA3A97" w:rsidRDefault="00AA3A97" w:rsidP="009D7F84">
      <w:r w:rsidRPr="001B32F2">
        <w:lastRenderedPageBreak/>
        <w:t xml:space="preserve">Spolupráca medzi orgánmi trhového dohľadu členských štátov EÚ aktívne prebiehala prostredníctvom systému IC SMS, ktorého používateľom sú </w:t>
      </w:r>
      <w:r>
        <w:t>dvaja</w:t>
      </w:r>
      <w:r w:rsidRPr="001B32F2">
        <w:t xml:space="preserve"> určení zamestnanci NIP a prístup k informáciám v systéme má aj 24 vybraných a zaškolených inšpektorov práce.</w:t>
      </w:r>
    </w:p>
    <w:p w:rsidR="0016063A" w:rsidRDefault="00AA3A97" w:rsidP="009D7F84">
      <w:r>
        <w:t xml:space="preserve">Zástupcovia sústavy inšpekcie práce sa zúčastnili viacerých medzinárodných konferencií, seminárov a iných podujatí, ako napr. </w:t>
      </w:r>
      <w:r w:rsidRPr="006F7A38">
        <w:t>na stretnutí vysokých ri</w:t>
      </w:r>
      <w:r>
        <w:t xml:space="preserve">adiacich pracovníkov krajín V4 v Budapešti, </w:t>
      </w:r>
      <w:r w:rsidRPr="006F7A38">
        <w:t>na XVIII. konferencii „Bezpečnosť a ochrana zdravia pri práci 2018“</w:t>
      </w:r>
      <w:r>
        <w:t xml:space="preserve"> v </w:t>
      </w:r>
      <w:proofErr w:type="spellStart"/>
      <w:r>
        <w:t>Ostraviciach</w:t>
      </w:r>
      <w:proofErr w:type="spellEnd"/>
      <w:r>
        <w:t xml:space="preserve">, </w:t>
      </w:r>
      <w:r w:rsidRPr="006F7A38">
        <w:t>na medzinárodnom veľtrhu strojárenstva, a zváracej techniky MACH-TECH</w:t>
      </w:r>
      <w:r>
        <w:t xml:space="preserve"> v Budapešti, </w:t>
      </w:r>
      <w:r w:rsidRPr="006F7A38">
        <w:t xml:space="preserve">na seminári </w:t>
      </w:r>
      <w:r w:rsidR="00110AFA">
        <w:t>„</w:t>
      </w:r>
      <w:r w:rsidRPr="006F7A38">
        <w:t>Vysielanie zamestnancov v kontexte voľného pohybu osôb a koordinácie systémov sociálneho zabezpečenia</w:t>
      </w:r>
      <w:r w:rsidR="00110AFA">
        <w:t>“</w:t>
      </w:r>
      <w:r>
        <w:t xml:space="preserve"> v Rige, </w:t>
      </w:r>
      <w:r w:rsidRPr="006F7A38">
        <w:t>na</w:t>
      </w:r>
      <w:r>
        <w:t> </w:t>
      </w:r>
      <w:r w:rsidRPr="006F7A38">
        <w:t>medzinárodnej konferencii a veľtrhu BOZP 112 EXPO</w:t>
      </w:r>
      <w:r>
        <w:t xml:space="preserve"> v Belehrade a i.</w:t>
      </w:r>
    </w:p>
    <w:p w:rsidR="00D47028" w:rsidRDefault="006B1122" w:rsidP="009D7F84">
      <w:r w:rsidRPr="006B1122">
        <w:t xml:space="preserve">ÚVZ SR </w:t>
      </w:r>
      <w:r>
        <w:t>v spolupráci s hlavnou odborníčkou hlavného hygienika SR pre odbor preventívne pracovné lekárstvo a </w:t>
      </w:r>
      <w:proofErr w:type="spellStart"/>
      <w:r>
        <w:t>toxikológia</w:t>
      </w:r>
      <w:proofErr w:type="spellEnd"/>
      <w:r>
        <w:t xml:space="preserve"> v roku 2018 spolupracoval s Európskou komisiou na príprave zmien a doplnení smernice o ochrane pracovníkov pred rizikami z vystavenia účinkom karcinogénov alebo </w:t>
      </w:r>
      <w:proofErr w:type="spellStart"/>
      <w:r>
        <w:t>mutagénov</w:t>
      </w:r>
      <w:proofErr w:type="spellEnd"/>
      <w:r>
        <w:t xml:space="preserve"> pri práci.</w:t>
      </w:r>
    </w:p>
    <w:p w:rsidR="006B1122" w:rsidRDefault="006B1122" w:rsidP="009D7F84">
      <w:r>
        <w:t>Odborní pracovníci ÚVZ SR a RÚVZ spolupracovali počas roka 2018 s viacerými medzinárodnými organizáciami (napr. SLIC, WHO, EU-OSHA, OECD). Pre SLIC v rámci siete KSS pripravili odpovede na otázky súvisiace s ochranou zdravia pri práci a s faktormi práce a pracovného prostredia.</w:t>
      </w:r>
    </w:p>
    <w:p w:rsidR="006B1122" w:rsidRDefault="006B1122" w:rsidP="009D7F84">
      <w:r>
        <w:t>Rezort MO SR v spolupráci s NIP ako národným kontaktným miestom EU-OSHA sa zapojil do kampane EU-OSHA „Zdravé pracoviská kontrolujú nebezpečné látky“.</w:t>
      </w:r>
    </w:p>
    <w:p w:rsidR="00445DF2" w:rsidRDefault="008548B2" w:rsidP="00944F27">
      <w:r>
        <w:rPr>
          <w:szCs w:val="24"/>
        </w:rPr>
        <w:t xml:space="preserve">HBÚ pokračuje v spolupráci s banskými úradmi v okolitých krajinách. </w:t>
      </w:r>
      <w:r w:rsidRPr="00204F27">
        <w:t>Zástupcovia HBÚ sa pravidelne zúčastňujú stretnutí zástupcov štátnych banských správ EÚ, ktoré sú organizované každoročne.</w:t>
      </w:r>
      <w:r w:rsidRPr="00C3634E">
        <w:rPr>
          <w:color w:val="FF0000"/>
        </w:rPr>
        <w:t xml:space="preserve"> </w:t>
      </w:r>
      <w:r w:rsidRPr="000759BE">
        <w:t>V dňoch 23. - 25.</w:t>
      </w:r>
      <w:r>
        <w:t xml:space="preserve"> septembra</w:t>
      </w:r>
      <w:r w:rsidRPr="000759BE">
        <w:t xml:space="preserve"> 201</w:t>
      </w:r>
      <w:r>
        <w:t>8</w:t>
      </w:r>
      <w:r w:rsidRPr="000759BE">
        <w:t xml:space="preserve"> sa predseda HBÚ a vedúci kancelárie predsedu zúčastnili na XXIV. stretnutí predstaviteľov štátnych banských správ EÚ, ktoré sa konalo v</w:t>
      </w:r>
      <w:r>
        <w:t xml:space="preserve"> rakúskom </w:t>
      </w:r>
      <w:r w:rsidRPr="000759BE">
        <w:t>Salzburgu</w:t>
      </w:r>
      <w:r>
        <w:t xml:space="preserve">. </w:t>
      </w:r>
      <w:r w:rsidRPr="000759BE">
        <w:t>Ústrednou témou rokovania bolo havarijné plánovanie a reakcia na krízy pri banskej činnosti na povrchu a v podzemí.</w:t>
      </w:r>
      <w:r>
        <w:rPr>
          <w:szCs w:val="24"/>
        </w:rPr>
        <w:t xml:space="preserve"> </w:t>
      </w:r>
      <w:r w:rsidR="00445DF2">
        <w:rPr>
          <w:szCs w:val="24"/>
        </w:rPr>
        <w:t xml:space="preserve">HBÚ je </w:t>
      </w:r>
      <w:r w:rsidR="00445DF2" w:rsidRPr="000759BE">
        <w:t xml:space="preserve">prostredníctvom svojho zástupcu členom stálej pracovnej skupiny pre bezpečnosť práce v baniach v rámci Poradného výboru pre </w:t>
      </w:r>
      <w:r w:rsidR="00944F27">
        <w:t>BOZP</w:t>
      </w:r>
      <w:r w:rsidR="00445DF2" w:rsidRPr="000759BE">
        <w:t xml:space="preserve">. </w:t>
      </w:r>
    </w:p>
    <w:p w:rsidR="002C70F4" w:rsidRDefault="002C70F4" w:rsidP="009D7F84">
      <w:r>
        <w:t>ZVJS prizval na odbornú príprav</w:t>
      </w:r>
      <w:r w:rsidR="008D2F3B">
        <w:t>u členov požiarnych družstiev ZV</w:t>
      </w:r>
      <w:r>
        <w:t xml:space="preserve">JS vo </w:t>
      </w:r>
      <w:proofErr w:type="spellStart"/>
      <w:r>
        <w:t>Výcvikovon</w:t>
      </w:r>
      <w:proofErr w:type="spellEnd"/>
      <w:r>
        <w:t xml:space="preserve"> centre </w:t>
      </w:r>
      <w:proofErr w:type="spellStart"/>
      <w:r w:rsidR="00110AFA">
        <w:t>HaZz</w:t>
      </w:r>
      <w:proofErr w:type="spellEnd"/>
      <w:r w:rsidR="00110AFA">
        <w:t>.</w:t>
      </w:r>
      <w:r>
        <w:t xml:space="preserve"> v Lešti odborného pracovníka </w:t>
      </w:r>
      <w:proofErr w:type="spellStart"/>
      <w:r>
        <w:t>Vězeňské</w:t>
      </w:r>
      <w:proofErr w:type="spellEnd"/>
      <w:r>
        <w:t xml:space="preserve"> služby České republiky, ktorý v rámci svojho vystúpenia oboznámil prítomných s výkonom dozoru nad BOZP v českom väzenstve.</w:t>
      </w:r>
    </w:p>
    <w:p w:rsidR="00C222B9" w:rsidRDefault="002C70F4" w:rsidP="009D7F84">
      <w:r>
        <w:t xml:space="preserve">Rezort MŠVVŠ SR umožnil </w:t>
      </w:r>
      <w:r w:rsidR="00C222B9">
        <w:t xml:space="preserve">slovenským výskumníkom zapájať sa do špičkových projektov výskumu a vývoja v rámci európskeho programu na podporu výskumu a inovácií Horizont 2020. </w:t>
      </w:r>
      <w:r w:rsidR="00C222B9" w:rsidRPr="00C222B9">
        <w:t>Témy blízke BOZP je možné identifikovať v rámci posledného pracovného programu na roky 2018 – 2020, ktorého súčasťou sú aj výzvy na tému zdravia, kvality života a demografických zmien.</w:t>
      </w:r>
    </w:p>
    <w:p w:rsidR="002C70F4" w:rsidRDefault="00C222B9" w:rsidP="009D7F84">
      <w:r w:rsidRPr="00A87E78">
        <w:t xml:space="preserve">Zástupca KOZ SR prednášal na tému "Pôsobenie odborov </w:t>
      </w:r>
      <w:r>
        <w:t xml:space="preserve">v oblasti BOZP </w:t>
      </w:r>
      <w:r w:rsidRPr="00A87E78">
        <w:t xml:space="preserve">s cieľom zlepšenia postavenia </w:t>
      </w:r>
      <w:r>
        <w:t xml:space="preserve">zástupcov </w:t>
      </w:r>
      <w:r w:rsidRPr="00A87E78">
        <w:t xml:space="preserve">zamestnancov a zvýšenia </w:t>
      </w:r>
      <w:r>
        <w:t xml:space="preserve">celkovej </w:t>
      </w:r>
      <w:r w:rsidRPr="00A87E78">
        <w:t>úrovne starostlivosti o</w:t>
      </w:r>
      <w:r>
        <w:t> bezpečnosť a ochranu zdravia pri práci</w:t>
      </w:r>
      <w:r w:rsidRPr="00A87E78">
        <w:t xml:space="preserve"> na troch seminároch, ktoré podporovali kampaň </w:t>
      </w:r>
      <w:r>
        <w:t>EU-OSHA.</w:t>
      </w:r>
    </w:p>
    <w:p w:rsidR="002C70F4" w:rsidRPr="0016063A" w:rsidRDefault="00EB0BB1" w:rsidP="009D7F84">
      <w:r>
        <w:lastRenderedPageBreak/>
        <w:t xml:space="preserve">Zástupca RÚZ je členom a aktívne sa zúčastňuje zasadnutí </w:t>
      </w:r>
      <w:proofErr w:type="spellStart"/>
      <w:r>
        <w:t>Group</w:t>
      </w:r>
      <w:proofErr w:type="spellEnd"/>
      <w:r>
        <w:t xml:space="preserve"> – </w:t>
      </w:r>
      <w:proofErr w:type="spellStart"/>
      <w:r>
        <w:t>Busines</w:t>
      </w:r>
      <w:proofErr w:type="spellEnd"/>
      <w:r>
        <w:t xml:space="preserve"> a EU-OSHA a je poradným členom </w:t>
      </w:r>
      <w:proofErr w:type="spellStart"/>
      <w:r>
        <w:t>Focal</w:t>
      </w:r>
      <w:proofErr w:type="spellEnd"/>
      <w:r>
        <w:t xml:space="preserve"> Pointu pri NIP.</w:t>
      </w:r>
    </w:p>
    <w:p w:rsidR="00D47028" w:rsidRPr="00E40098" w:rsidRDefault="00D47028" w:rsidP="009D7F84">
      <w:pPr>
        <w:pStyle w:val="Nadpis2"/>
      </w:pPr>
      <w:r>
        <w:t>Úloha E.4</w:t>
      </w:r>
      <w:r w:rsidRPr="00E40098">
        <w:t xml:space="preserve">. </w:t>
      </w:r>
    </w:p>
    <w:p w:rsidR="00D47028" w:rsidRPr="00DB0402" w:rsidRDefault="00D47028" w:rsidP="009D7F84">
      <w:pPr>
        <w:ind w:firstLine="0"/>
        <w:rPr>
          <w:i/>
        </w:rPr>
      </w:pPr>
      <w:r w:rsidRPr="00DB0402">
        <w:rPr>
          <w:i/>
        </w:rPr>
        <w:t>Dohodnúť efektívne formy spolupráce so sociálnymi partnermi a expertmi z iných rezortov na zlepšovaní BOZP a zabezpečiť účasť na odborných seminároch a konferenciách zameraných na BOZP a organizovaných akreditovanými a certifikovanými inštitútmi a inými inštitúciami.</w:t>
      </w:r>
    </w:p>
    <w:p w:rsidR="00D47028" w:rsidRPr="00DB0402" w:rsidRDefault="00D47028" w:rsidP="005F484B">
      <w:pPr>
        <w:spacing w:after="0"/>
        <w:ind w:firstLine="0"/>
        <w:rPr>
          <w:i/>
        </w:rPr>
      </w:pPr>
      <w:r w:rsidRPr="00DB0402">
        <w:rPr>
          <w:i/>
        </w:rPr>
        <w:t>Termín: priebežne</w:t>
      </w:r>
    </w:p>
    <w:p w:rsidR="00D47028" w:rsidRPr="00DB0402" w:rsidRDefault="00D47028" w:rsidP="009D7F84">
      <w:pPr>
        <w:ind w:firstLine="0"/>
        <w:rPr>
          <w:i/>
        </w:rPr>
      </w:pPr>
      <w:r w:rsidRPr="00DB0402">
        <w:rPr>
          <w:i/>
        </w:rPr>
        <w:t xml:space="preserve">Zodpovední: </w:t>
      </w:r>
      <w:r w:rsidR="004668CA" w:rsidRPr="00DB0402">
        <w:rPr>
          <w:i/>
        </w:rPr>
        <w:t>MO SR, MV SR,</w:t>
      </w:r>
      <w:r w:rsidRPr="00DB0402">
        <w:rPr>
          <w:i/>
        </w:rPr>
        <w:t xml:space="preserve"> MF S</w:t>
      </w:r>
      <w:r w:rsidR="004668CA" w:rsidRPr="00DB0402">
        <w:rPr>
          <w:i/>
        </w:rPr>
        <w:t>R,</w:t>
      </w:r>
      <w:r w:rsidRPr="00DB0402">
        <w:rPr>
          <w:i/>
        </w:rPr>
        <w:t xml:space="preserve"> MS SR </w:t>
      </w:r>
    </w:p>
    <w:p w:rsidR="00D47028" w:rsidRPr="00DB0402" w:rsidRDefault="00D47028" w:rsidP="009D7F84">
      <w:pPr>
        <w:ind w:firstLine="0"/>
        <w:rPr>
          <w:b/>
        </w:rPr>
      </w:pPr>
      <w:r w:rsidRPr="00DB0402">
        <w:rPr>
          <w:b/>
        </w:rPr>
        <w:t xml:space="preserve">Vyhodnotenie plnenia úlohy E.4.: úloha je plnená priebežne </w:t>
      </w:r>
    </w:p>
    <w:p w:rsidR="008E36EB" w:rsidRDefault="008E36EB" w:rsidP="009D7F84">
      <w:r w:rsidRPr="00EE3293">
        <w:t>Zamestnanci rezortu</w:t>
      </w:r>
      <w:r>
        <w:t xml:space="preserve"> MO SR</w:t>
      </w:r>
      <w:r w:rsidRPr="00EE3293">
        <w:t xml:space="preserve">, odborníci v oblasti </w:t>
      </w:r>
      <w:r>
        <w:t>BOZP</w:t>
      </w:r>
      <w:r w:rsidRPr="00EE3293">
        <w:t xml:space="preserve"> ako aj inšpektori práce a inšpektori technických zariadení sa v uplynulom roku zúčastnili viacerých odborných seminárov a konferencií, ktoré organizovali súkromné vzdelávacie inštitúcie</w:t>
      </w:r>
      <w:r>
        <w:t xml:space="preserve">. </w:t>
      </w:r>
      <w:r w:rsidRPr="006D69B7">
        <w:t xml:space="preserve">Zástupca rezortu </w:t>
      </w:r>
      <w:r>
        <w:t>MO SR</w:t>
      </w:r>
      <w:r w:rsidRPr="006D69B7">
        <w:t xml:space="preserve"> sa zúčastnil seminára pre </w:t>
      </w:r>
      <w:r>
        <w:t>BOZP</w:t>
      </w:r>
      <w:r w:rsidRPr="006D69B7">
        <w:t xml:space="preserve">, ktorý organizovala </w:t>
      </w:r>
      <w:r>
        <w:t>EU-OSHA</w:t>
      </w:r>
      <w:r w:rsidRPr="006D69B7">
        <w:t xml:space="preserve"> </w:t>
      </w:r>
      <w:r>
        <w:t>v </w:t>
      </w:r>
      <w:proofErr w:type="spellStart"/>
      <w:r>
        <w:t>Bilbau</w:t>
      </w:r>
      <w:proofErr w:type="spellEnd"/>
      <w:r w:rsidRPr="006D69B7">
        <w:t>, Španielsko.</w:t>
      </w:r>
    </w:p>
    <w:p w:rsidR="00D47028" w:rsidRDefault="00A23FAA" w:rsidP="009D7F84">
      <w:pPr>
        <w:rPr>
          <w:szCs w:val="24"/>
        </w:rPr>
      </w:pPr>
      <w:r w:rsidRPr="00EE3293">
        <w:t xml:space="preserve">V roku 2018 pokračovala spolupráca s inými zložkami inšpekcie práce orgánov osobitnej inšpekcie práce </w:t>
      </w:r>
      <w:r>
        <w:t>MO SR</w:t>
      </w:r>
      <w:r w:rsidRPr="00EE3293">
        <w:t xml:space="preserve">, </w:t>
      </w:r>
      <w:r>
        <w:t>MV SR</w:t>
      </w:r>
      <w:r w:rsidRPr="00EE3293">
        <w:t xml:space="preserve">, </w:t>
      </w:r>
      <w:r>
        <w:t>ZVJS</w:t>
      </w:r>
      <w:r w:rsidRPr="00EE3293">
        <w:t xml:space="preserve"> a</w:t>
      </w:r>
      <w:r>
        <w:t> FS SR</w:t>
      </w:r>
      <w:r w:rsidRPr="00EE3293">
        <w:t xml:space="preserve">. </w:t>
      </w:r>
      <w:r>
        <w:t>Na z</w:t>
      </w:r>
      <w:r w:rsidR="00C86FC3">
        <w:t>áklade tejto vzájomnej spoluprác</w:t>
      </w:r>
      <w:r>
        <w:t xml:space="preserve">e </w:t>
      </w:r>
      <w:r>
        <w:rPr>
          <w:szCs w:val="24"/>
        </w:rPr>
        <w:t>v</w:t>
      </w:r>
      <w:r w:rsidR="004668CA">
        <w:rPr>
          <w:szCs w:val="24"/>
        </w:rPr>
        <w:t> dňoch 15. – 16. mája 2018 organizovalo FR SR každoročné medzirezortné pracovné stretnutie jednotlivých orgánov dozoru príslušných rezortov za účelom vzájomnej výmeny informácií súvisia</w:t>
      </w:r>
      <w:r w:rsidR="001963F4">
        <w:rPr>
          <w:szCs w:val="24"/>
        </w:rPr>
        <w:t>ci</w:t>
      </w:r>
      <w:r w:rsidR="004668CA">
        <w:rPr>
          <w:szCs w:val="24"/>
        </w:rPr>
        <w:t>ch s </w:t>
      </w:r>
      <w:r w:rsidR="001963F4">
        <w:rPr>
          <w:szCs w:val="24"/>
        </w:rPr>
        <w:t>e</w:t>
      </w:r>
      <w:r w:rsidR="004668CA">
        <w:rPr>
          <w:szCs w:val="24"/>
        </w:rPr>
        <w:t>fektívnym výkonom inšpekcie práce a požiarneho dozoru v podmienkach ozbrojených bezpečnostných zborov a iných inštitúcií, napr. inšpektoráty práce, RÚVZ a i.</w:t>
      </w:r>
    </w:p>
    <w:p w:rsidR="00A84D3E" w:rsidRPr="004668CA" w:rsidRDefault="00A23FAA" w:rsidP="009D7F84">
      <w:pPr>
        <w:rPr>
          <w:szCs w:val="24"/>
        </w:rPr>
      </w:pPr>
      <w:r>
        <w:t>ZVJS</w:t>
      </w:r>
      <w:r w:rsidR="00A84D3E">
        <w:t xml:space="preserve"> v rámci spolupráce v  oblasti BOZP a OPP v roku 2018 spolupracoval s rôznymi subjektmi, a to MPSVR SR</w:t>
      </w:r>
      <w:r w:rsidR="00A84D3E" w:rsidRPr="00D75F84">
        <w:t xml:space="preserve">, </w:t>
      </w:r>
      <w:r w:rsidR="00A84D3E">
        <w:t>NIP</w:t>
      </w:r>
      <w:r w:rsidR="00A84D3E" w:rsidRPr="00D75F84">
        <w:t xml:space="preserve">, </w:t>
      </w:r>
      <w:r w:rsidR="00A84D3E">
        <w:t>I</w:t>
      </w:r>
      <w:r w:rsidR="00A84D3E" w:rsidRPr="00D75F84">
        <w:t>nšpektorátom práce v</w:t>
      </w:r>
      <w:r w:rsidR="00BE4CAA">
        <w:t> </w:t>
      </w:r>
      <w:r w:rsidR="00A84D3E" w:rsidRPr="00D75F84">
        <w:t>Trenčíne</w:t>
      </w:r>
      <w:r w:rsidR="00BE4CAA">
        <w:t xml:space="preserve"> a Prešove</w:t>
      </w:r>
      <w:r w:rsidR="00A84D3E" w:rsidRPr="00D75F84">
        <w:t>, M</w:t>
      </w:r>
      <w:r w:rsidR="00A84D3E">
        <w:t xml:space="preserve">O SR, </w:t>
      </w:r>
      <w:r w:rsidR="00A84D3E" w:rsidRPr="00D75F84">
        <w:t>M</w:t>
      </w:r>
      <w:r w:rsidR="00A84D3E">
        <w:t>V SR</w:t>
      </w:r>
      <w:r w:rsidR="00A84D3E" w:rsidRPr="00D75F84">
        <w:t xml:space="preserve">, </w:t>
      </w:r>
      <w:proofErr w:type="spellStart"/>
      <w:r w:rsidR="00A84D3E">
        <w:t>HaZz</w:t>
      </w:r>
      <w:proofErr w:type="spellEnd"/>
      <w:r w:rsidR="00C86FC3">
        <w:t>.</w:t>
      </w:r>
      <w:r w:rsidR="00A84D3E" w:rsidRPr="00D75F84">
        <w:t>, F</w:t>
      </w:r>
      <w:r w:rsidR="00BC1350">
        <w:t>S</w:t>
      </w:r>
      <w:r w:rsidR="00A84D3E">
        <w:t xml:space="preserve"> </w:t>
      </w:r>
      <w:r w:rsidR="00A84D3E" w:rsidRPr="00D75F84">
        <w:t>S</w:t>
      </w:r>
      <w:r w:rsidR="00A84D3E">
        <w:t>R</w:t>
      </w:r>
      <w:r w:rsidR="00BE4CAA">
        <w:t>,</w:t>
      </w:r>
      <w:r w:rsidR="00A84D3E" w:rsidRPr="00D75F84">
        <w:t xml:space="preserve"> ďalej so zástupcami zamestnancov</w:t>
      </w:r>
      <w:r w:rsidR="00A84D3E">
        <w:t xml:space="preserve"> pre BOZP, KOZ SR, </w:t>
      </w:r>
      <w:r w:rsidR="00A84D3E" w:rsidRPr="00D75F84">
        <w:t>odborovou organizáciou zboru, ako aj so samosprávou odsúdených v</w:t>
      </w:r>
      <w:r w:rsidR="00A84D3E">
        <w:t> </w:t>
      </w:r>
      <w:r w:rsidR="00A84D3E" w:rsidRPr="00D75F84">
        <w:t>ústavoch</w:t>
      </w:r>
      <w:r w:rsidR="00A84D3E">
        <w:t xml:space="preserve">. Jednalo sa zväčša o </w:t>
      </w:r>
      <w:r w:rsidR="00A84D3E" w:rsidRPr="00D75F84">
        <w:t>zabezpečovan</w:t>
      </w:r>
      <w:r w:rsidR="00A84D3E">
        <w:t>ie</w:t>
      </w:r>
      <w:r w:rsidR="00A84D3E" w:rsidRPr="00D75F84">
        <w:t xml:space="preserve"> vzdelávacích aktivít</w:t>
      </w:r>
      <w:r w:rsidR="00A84D3E">
        <w:t xml:space="preserve">, </w:t>
      </w:r>
      <w:r w:rsidR="00A84D3E" w:rsidRPr="00D75F84">
        <w:t>pracovných stretnutí,</w:t>
      </w:r>
      <w:r w:rsidR="00A84D3E">
        <w:t xml:space="preserve"> </w:t>
      </w:r>
      <w:r w:rsidR="00A84D3E" w:rsidRPr="00D75F84">
        <w:t>interných predpisov v oblasti BOZP</w:t>
      </w:r>
      <w:r w:rsidR="00A84D3E">
        <w:t xml:space="preserve">, ďalej pri </w:t>
      </w:r>
      <w:r w:rsidR="00A84D3E" w:rsidRPr="00D75F84">
        <w:t xml:space="preserve">vyšetrovaní príčiny a okolností vzniku závažného pracovného úrazu </w:t>
      </w:r>
      <w:r w:rsidR="00A84D3E">
        <w:t xml:space="preserve">s následkom smrti </w:t>
      </w:r>
      <w:r w:rsidR="00A84D3E" w:rsidRPr="00D75F84">
        <w:t>na pracovisk</w:t>
      </w:r>
      <w:r w:rsidR="00A84D3E">
        <w:t>u</w:t>
      </w:r>
      <w:r w:rsidR="00A84D3E" w:rsidRPr="00D75F84">
        <w:t xml:space="preserve"> </w:t>
      </w:r>
      <w:r w:rsidR="00C86FC3">
        <w:t xml:space="preserve">a </w:t>
      </w:r>
      <w:r w:rsidR="00A84D3E" w:rsidRPr="00D75F84">
        <w:t>mimo pracov</w:t>
      </w:r>
      <w:r w:rsidR="00A84D3E">
        <w:t>i</w:t>
      </w:r>
      <w:r w:rsidR="00A84D3E" w:rsidRPr="00D75F84">
        <w:t>sk</w:t>
      </w:r>
      <w:r w:rsidR="00A84D3E">
        <w:t>a</w:t>
      </w:r>
      <w:r w:rsidR="00A84D3E" w:rsidRPr="00D75F84">
        <w:t xml:space="preserve"> zboru</w:t>
      </w:r>
      <w:r w:rsidR="00A84D3E">
        <w:t>, šetrení podnetov a pod.</w:t>
      </w:r>
      <w:r w:rsidR="00A563D6">
        <w:t xml:space="preserve"> V spolupráci s vojenským Úradom hlavného lekára Ružomberok sa </w:t>
      </w:r>
      <w:r w:rsidR="00A563D6" w:rsidRPr="00BD0058">
        <w:t>uskutočnili pre príslušníkov</w:t>
      </w:r>
      <w:r w:rsidR="00A563D6">
        <w:t xml:space="preserve"> ZVJS</w:t>
      </w:r>
      <w:r w:rsidR="00A563D6" w:rsidRPr="00BD0058">
        <w:t xml:space="preserve"> dva trojdňové kurzy prvej pomoci</w:t>
      </w:r>
      <w:r w:rsidR="001C0052">
        <w:t>.</w:t>
      </w:r>
    </w:p>
    <w:p w:rsidR="00D47028" w:rsidRPr="00E40098" w:rsidRDefault="00D47028" w:rsidP="009D7F84">
      <w:pPr>
        <w:pStyle w:val="Nadpis2"/>
      </w:pPr>
      <w:r w:rsidRPr="00E40098">
        <w:t xml:space="preserve">Úloha E.5. </w:t>
      </w:r>
    </w:p>
    <w:p w:rsidR="00D47028" w:rsidRPr="00DB0402" w:rsidRDefault="00D47028" w:rsidP="009D7F84">
      <w:pPr>
        <w:ind w:firstLine="0"/>
        <w:rPr>
          <w:i/>
        </w:rPr>
      </w:pPr>
      <w:r w:rsidRPr="00DB0402">
        <w:rPr>
          <w:i/>
        </w:rPr>
        <w:t>Ďalej zlepšovať vzájomnú výmenu informácií súvisiacich s efektívnym výkonom dozoru medzi dozornými orgánmi a inými inštitúciami.</w:t>
      </w:r>
    </w:p>
    <w:p w:rsidR="00D47028" w:rsidRPr="00DB0402" w:rsidRDefault="00D47028" w:rsidP="005F484B">
      <w:pPr>
        <w:spacing w:after="0"/>
        <w:ind w:firstLine="0"/>
        <w:rPr>
          <w:i/>
        </w:rPr>
      </w:pPr>
      <w:r w:rsidRPr="00DB0402">
        <w:rPr>
          <w:i/>
        </w:rPr>
        <w:t>Termín: priebežne</w:t>
      </w:r>
    </w:p>
    <w:p w:rsidR="00D47028" w:rsidRPr="00DB0402" w:rsidRDefault="00D47028" w:rsidP="005F484B">
      <w:pPr>
        <w:spacing w:after="0"/>
        <w:ind w:firstLine="0"/>
        <w:rPr>
          <w:i/>
        </w:rPr>
      </w:pPr>
      <w:r w:rsidRPr="00DB0402">
        <w:rPr>
          <w:i/>
        </w:rPr>
        <w:t xml:space="preserve">Zodpovední: MZ SR, MPSVR SR </w:t>
      </w:r>
    </w:p>
    <w:p w:rsidR="00D47028" w:rsidRPr="00DB0402" w:rsidRDefault="00D47028" w:rsidP="009D7F84">
      <w:pPr>
        <w:ind w:firstLine="0"/>
        <w:rPr>
          <w:i/>
        </w:rPr>
      </w:pPr>
      <w:r w:rsidRPr="00DB0402">
        <w:rPr>
          <w:i/>
        </w:rPr>
        <w:t>Spolupracujúci: MO SR, MV SR, MF SR, MS SR, Slovenská asociácia BOZP a OPP, Spoločná vízia, oprávnené právnické osoby</w:t>
      </w:r>
    </w:p>
    <w:p w:rsidR="00D47028" w:rsidRPr="00DB0402" w:rsidRDefault="00D47028" w:rsidP="009D7F84">
      <w:pPr>
        <w:ind w:firstLine="0"/>
        <w:rPr>
          <w:b/>
        </w:rPr>
      </w:pPr>
      <w:r w:rsidRPr="00DB0402">
        <w:rPr>
          <w:b/>
        </w:rPr>
        <w:t xml:space="preserve">Vyhodnotenie plnenia úlohy E.5.: úloha je plnená priebežne </w:t>
      </w:r>
    </w:p>
    <w:p w:rsidR="00A42F20" w:rsidRDefault="00A42F20" w:rsidP="009D7F84">
      <w:r w:rsidRPr="006F7A38">
        <w:t>NIP a ÚVZ SR si pravidelne každoročne vymieňajú informácie zo svojich databáz v oblasti pracovnej úrazovosti a v oblasti vyhlásených rizikových prác.</w:t>
      </w:r>
    </w:p>
    <w:p w:rsidR="00BC1350" w:rsidRDefault="00BC1350" w:rsidP="009D7F84">
      <w:r w:rsidRPr="00CF2C9C">
        <w:lastRenderedPageBreak/>
        <w:t>NIP spolupracuje pri dozore v oblasti nebezpečných látok a prípravkov a pri výmene informácií o týchto látkach najmä so S</w:t>
      </w:r>
      <w:r>
        <w:t>lovenskou inšpekciou životného prostredia.</w:t>
      </w:r>
      <w:r w:rsidRPr="00CF2C9C">
        <w:t xml:space="preserve"> </w:t>
      </w:r>
      <w:r>
        <w:t>Inšpektori práce a zamestnanec NIP majú p</w:t>
      </w:r>
      <w:r w:rsidRPr="00CF2C9C">
        <w:t xml:space="preserve">rístup do databázy registrovaných nebezpečných látok a prípravkov prostredníctvom systému </w:t>
      </w:r>
      <w:r w:rsidRPr="00874C85">
        <w:t>PD-NEA.</w:t>
      </w:r>
      <w:r>
        <w:t xml:space="preserve"> </w:t>
      </w:r>
      <w:r w:rsidRPr="00AF5CAC">
        <w:t>V súvislosti s výkonom trhového dohľadu zamestnanci orgánov inšpekcie práce využívajú aj prístup do databázy nebezpečných výrobkov - IC SMS.</w:t>
      </w:r>
    </w:p>
    <w:p w:rsidR="00BC1350" w:rsidRPr="00D30ED2" w:rsidRDefault="00BC1350" w:rsidP="009D7F84">
      <w:r w:rsidRPr="00921065">
        <w:t>NIP efektívne využíval možnosť pripojenia sa na databázu Sociálnej poisťovne na kontrolu nelegálneho zamestnávania a na overovanie plnenia legislatívnych požiadaviek pri vydávaní oprávnení na výkon BTS a na výchovu a vzdelávanie v oblasti ochrany práce.</w:t>
      </w:r>
      <w:r>
        <w:t xml:space="preserve"> </w:t>
      </w:r>
    </w:p>
    <w:p w:rsidR="00D47028" w:rsidRPr="00A42F20" w:rsidRDefault="00A42F20" w:rsidP="009D7F84">
      <w:r w:rsidRPr="00A42F20">
        <w:t>ÚVZ SR</w:t>
      </w:r>
      <w:r>
        <w:t xml:space="preserve"> a RÚVZ poskytujú orgánom inšpekcie práce, poisťovniam a ďalším inštitúciám informácie o podnikoch, v ktorých zamestnanci vykonávajú rizikové práce.</w:t>
      </w:r>
    </w:p>
    <w:p w:rsidR="00D47028" w:rsidRPr="009C0D8B" w:rsidRDefault="00D47028" w:rsidP="009D7F84">
      <w:pPr>
        <w:pStyle w:val="Nadpis2"/>
      </w:pPr>
      <w:r>
        <w:t>Úloha E.6</w:t>
      </w:r>
      <w:r w:rsidRPr="009C0D8B">
        <w:t>.</w:t>
      </w:r>
    </w:p>
    <w:p w:rsidR="00D47028" w:rsidRPr="00DB0402" w:rsidRDefault="00D47028" w:rsidP="009D7F84">
      <w:pPr>
        <w:ind w:firstLine="0"/>
        <w:rPr>
          <w:i/>
        </w:rPr>
      </w:pPr>
      <w:r w:rsidRPr="00DB0402">
        <w:rPr>
          <w:i/>
        </w:rPr>
        <w:t>Pripraviť a implementovať vecný a časový harmonogram realizácie stratégie BOZP na úrovni zodpovedných a spolupracujúcich inštitúcií vrátane zapojenia sociálnych partnerov na národnej, odvetvovej, prípadne podnikovej úrovni.</w:t>
      </w:r>
    </w:p>
    <w:p w:rsidR="00D47028" w:rsidRPr="00DB0402" w:rsidRDefault="00D47028" w:rsidP="005F484B">
      <w:pPr>
        <w:spacing w:after="0"/>
        <w:ind w:firstLine="0"/>
        <w:rPr>
          <w:i/>
        </w:rPr>
      </w:pPr>
      <w:r w:rsidRPr="00DB0402">
        <w:rPr>
          <w:i/>
        </w:rPr>
        <w:t>Termín: priebežne</w:t>
      </w:r>
    </w:p>
    <w:p w:rsidR="00D47028" w:rsidRPr="00DB0402" w:rsidRDefault="00D47028" w:rsidP="005F484B">
      <w:pPr>
        <w:spacing w:after="0"/>
        <w:ind w:firstLine="0"/>
        <w:rPr>
          <w:i/>
        </w:rPr>
      </w:pPr>
      <w:r w:rsidRPr="00DB0402">
        <w:rPr>
          <w:i/>
        </w:rPr>
        <w:t>Zodpovední: MPSVR SR, MZ SR, MH SR, MO SR, MV SR, MF SR, MS SR, MŠVVŠ SR Spolupracujúci: KOZ SR, AZZZ SR, RÚZ, SOPK, Slovenská asociácia BOZP a OPP, Spoločná vízia</w:t>
      </w:r>
    </w:p>
    <w:p w:rsidR="00D47028" w:rsidRPr="00DB0402" w:rsidRDefault="00D47028" w:rsidP="009D7F84">
      <w:pPr>
        <w:ind w:firstLine="0"/>
        <w:rPr>
          <w:b/>
        </w:rPr>
      </w:pPr>
      <w:r w:rsidRPr="00DB0402">
        <w:rPr>
          <w:b/>
        </w:rPr>
        <w:t>Vyhodnotenie plnenia úlohy E.6.: úloha je plnená priebežne</w:t>
      </w:r>
    </w:p>
    <w:p w:rsidR="0074792A" w:rsidRDefault="0074792A" w:rsidP="009D7F84">
      <w:r w:rsidRPr="00E40098">
        <w:t>Rezort MPSVR SR</w:t>
      </w:r>
      <w:r>
        <w:t>, MŠVVŠ SR, MO SR,</w:t>
      </w:r>
      <w:r w:rsidRPr="00E40098">
        <w:t xml:space="preserve"> MH SR </w:t>
      </w:r>
      <w:r>
        <w:t>(</w:t>
      </w:r>
      <w:r w:rsidRPr="00E40098">
        <w:t>HBÚ</w:t>
      </w:r>
      <w:r>
        <w:t xml:space="preserve">) pri plnení úloh stratégie BOZP </w:t>
      </w:r>
      <w:r w:rsidRPr="00E40098">
        <w:t>postupoval v súlade s vecným a časovým harmonogr</w:t>
      </w:r>
      <w:r>
        <w:t>amom realizácie tejto stratégie</w:t>
      </w:r>
      <w:r w:rsidRPr="00E40098">
        <w:t xml:space="preserve">. </w:t>
      </w:r>
    </w:p>
    <w:p w:rsidR="0074792A" w:rsidRPr="00681153" w:rsidRDefault="0074792A" w:rsidP="009D7F84">
      <w:r w:rsidRPr="001228BA">
        <w:t>Úlohy vyplývajúce zo stratégie BOZP týkajúce sa ochrany zdravia pri práci sú súčasťou plánovaných úloh, programov a projektov, ktoré realizujú ÚVZ SR a jednotlivé RÚVZ.</w:t>
      </w:r>
      <w:r w:rsidRPr="002547F2">
        <w:t xml:space="preserve"> </w:t>
      </w:r>
      <w:r w:rsidRPr="00CB7F58">
        <w:t xml:space="preserve">Na plnenie zámerov a priorít stratégie BOZP </w:t>
      </w:r>
      <w:r>
        <w:t xml:space="preserve">má ZVJS </w:t>
      </w:r>
      <w:r w:rsidRPr="002142A7">
        <w:t>vy</w:t>
      </w:r>
      <w:r>
        <w:t xml:space="preserve">pracovanú koncepciu BOZP a </w:t>
      </w:r>
      <w:r w:rsidRPr="002142A7">
        <w:t>príslušné ústavy majú prijaté vlastné koncepcie BOZP, v ktorých sú</w:t>
      </w:r>
      <w:r>
        <w:t xml:space="preserve"> implementované základné ciele s</w:t>
      </w:r>
      <w:r w:rsidRPr="002142A7">
        <w:t>tratégie BOZP a program jej realizácie</w:t>
      </w:r>
      <w:r w:rsidR="00681153">
        <w:t>.</w:t>
      </w:r>
    </w:p>
    <w:p w:rsidR="00AB356B" w:rsidRPr="00E40098" w:rsidRDefault="00AB356B" w:rsidP="009D7F84">
      <w:pPr>
        <w:pStyle w:val="Nadpis2"/>
      </w:pPr>
      <w:r w:rsidRPr="00E40098">
        <w:t>Časť F</w:t>
      </w:r>
    </w:p>
    <w:p w:rsidR="00AB356B" w:rsidRDefault="00AB356B" w:rsidP="009D7F84">
      <w:pPr>
        <w:pStyle w:val="Nadpis2"/>
      </w:pPr>
      <w:r w:rsidRPr="009C0D8B">
        <w:t>Rozvoj výskumu a uplatňovania jeho výsledkov a vzdelávania v oblasti BOZP</w:t>
      </w:r>
    </w:p>
    <w:p w:rsidR="00AB356B" w:rsidRPr="00E40098" w:rsidRDefault="00AB356B" w:rsidP="009D7F84">
      <w:pPr>
        <w:pStyle w:val="Nadpis2"/>
      </w:pPr>
      <w:r w:rsidRPr="00E40098">
        <w:t>Úloha F.</w:t>
      </w:r>
      <w:r>
        <w:t>1</w:t>
      </w:r>
      <w:r w:rsidRPr="00E40098">
        <w:t>.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V záujme zabezpečovania dôstojných pracovných podmienok v kontexte spoločenského a technologického rozvoja zaradiť výskum v oblasti BOZP medzi priority štátneho výskumu a vývoja.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>Termín: priebežne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 xml:space="preserve">Zodpovední: MŠVVŠ SR 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Spolupracujúci: MPSVR SR, MZ SR, SAV, vysoké školy</w:t>
      </w:r>
    </w:p>
    <w:p w:rsidR="00AB356B" w:rsidRPr="00DB0402" w:rsidRDefault="00AB356B" w:rsidP="009D7F84">
      <w:pPr>
        <w:ind w:firstLine="0"/>
        <w:rPr>
          <w:b/>
        </w:rPr>
      </w:pPr>
      <w:r w:rsidRPr="00DB0402">
        <w:rPr>
          <w:b/>
        </w:rPr>
        <w:t>Vyhodnotenie plnenia úlohy F.1.: úloha je plnená priebežne</w:t>
      </w:r>
    </w:p>
    <w:p w:rsidR="00AB356B" w:rsidRPr="00C67B5B" w:rsidRDefault="00681153" w:rsidP="009D7F84">
      <w:pPr>
        <w:rPr>
          <w:b/>
          <w:bCs/>
        </w:rPr>
      </w:pPr>
      <w:r w:rsidRPr="00AC071A">
        <w:t>Základným nástrojom národnej podpory výskumu a vývoja na Slovensku je všeobecná výzva Agentúry na podporu výskumu a vývoja.</w:t>
      </w:r>
      <w:r>
        <w:t xml:space="preserve"> MŠVVŠ SR umožnili záujemcom</w:t>
      </w:r>
      <w:r w:rsidRPr="00AC071A">
        <w:t xml:space="preserve"> o riešenie výskumných projektov v oblasti BOZP uchádzať </w:t>
      </w:r>
      <w:r>
        <w:t xml:space="preserve">sa </w:t>
      </w:r>
      <w:r w:rsidRPr="00AC071A">
        <w:t xml:space="preserve">o podporu v rámci Všeobecnej výzvy </w:t>
      </w:r>
      <w:r w:rsidRPr="00AC071A">
        <w:lastRenderedPageBreak/>
        <w:t>2018, ktorá bola otvorená od 13.9.2018 do 13.11.2018.</w:t>
      </w:r>
      <w:r>
        <w:t xml:space="preserve"> </w:t>
      </w:r>
      <w:r w:rsidRPr="00681153">
        <w:rPr>
          <w:bCs/>
        </w:rPr>
        <w:t>Výška podpory na jeden projekt je 250 000 EUR.</w:t>
      </w:r>
    </w:p>
    <w:p w:rsidR="00AB356B" w:rsidRPr="00E40098" w:rsidRDefault="00AB356B" w:rsidP="009D7F84">
      <w:pPr>
        <w:pStyle w:val="Nadpis2"/>
      </w:pPr>
      <w:r w:rsidRPr="00E40098">
        <w:t>Úloha F.</w:t>
      </w:r>
      <w:r>
        <w:t>2</w:t>
      </w:r>
      <w:r w:rsidRPr="00E40098">
        <w:t>.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Presadzovať výskum BOZP zameraný na nové technológie a uplatňovanie konceptu inteligentného priemyslu, na zmeny vo svete práce a na nové kombinácie rizikových faktorov, najmä sociálne rizikové faktory, demografické zmeny a starnutie pracovnej sily a mentálne zdravie, a to v kontexte integrovanej bezpečnosti (</w:t>
      </w:r>
      <w:proofErr w:type="spellStart"/>
      <w:r w:rsidRPr="00DB0402">
        <w:rPr>
          <w:i/>
        </w:rPr>
        <w:t>Safety</w:t>
      </w:r>
      <w:proofErr w:type="spellEnd"/>
      <w:r w:rsidRPr="00DB0402">
        <w:rPr>
          <w:i/>
        </w:rPr>
        <w:t xml:space="preserve"> a </w:t>
      </w:r>
      <w:proofErr w:type="spellStart"/>
      <w:r w:rsidRPr="00DB0402">
        <w:rPr>
          <w:i/>
        </w:rPr>
        <w:t>Security</w:t>
      </w:r>
      <w:proofErr w:type="spellEnd"/>
      <w:r w:rsidRPr="00DB0402">
        <w:rPr>
          <w:i/>
        </w:rPr>
        <w:t>).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>Termín: priebežne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 xml:space="preserve">Zodpovední: MPSVR SR, MV SR, MŠVVŠ SR 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Spolupracujúci: MZ SR, vysoké školy, SA</w:t>
      </w:r>
      <w:r w:rsidR="00C86FC3" w:rsidRPr="00DB0402">
        <w:rPr>
          <w:i/>
        </w:rPr>
        <w:t>V</w:t>
      </w:r>
    </w:p>
    <w:p w:rsidR="00D47028" w:rsidRPr="00DB0402" w:rsidRDefault="00AB356B" w:rsidP="009D7F84">
      <w:pPr>
        <w:ind w:firstLine="0"/>
        <w:rPr>
          <w:b/>
        </w:rPr>
      </w:pPr>
      <w:r w:rsidRPr="00DB0402">
        <w:rPr>
          <w:b/>
        </w:rPr>
        <w:t>Vyhodnotenie plnenia úlohy F.2.: úloha je plnená priebežne</w:t>
      </w:r>
    </w:p>
    <w:p w:rsidR="00012546" w:rsidRDefault="00012546" w:rsidP="009D7F84">
      <w:r w:rsidRPr="00111B1F">
        <w:t>NIP podporuje výskum v oblasti nových technológií zberom údajov pre EU</w:t>
      </w:r>
      <w:r w:rsidR="00C86FC3">
        <w:t>-</w:t>
      </w:r>
      <w:r>
        <w:t>OSHA v spolupráci s</w:t>
      </w:r>
      <w:r w:rsidRPr="00111B1F">
        <w:t xml:space="preserve"> </w:t>
      </w:r>
      <w:r>
        <w:t>IVPR</w:t>
      </w:r>
      <w:r w:rsidRPr="00111B1F">
        <w:t>. Úlohy súvisiace s demografickými zmenami a so starnutím pracovnej sily zabezpečuje priebežne plnením úloh, ktoré sú v kompetencii NIP v rámci Národného programu aktívneho starnutia schváleného vládou SR.</w:t>
      </w:r>
      <w:r>
        <w:t xml:space="preserve"> </w:t>
      </w:r>
    </w:p>
    <w:p w:rsidR="004250C9" w:rsidRDefault="004250C9" w:rsidP="009D7F84">
      <w:r w:rsidRPr="002D537A">
        <w:t>IVPR sa spolupodieľa na</w:t>
      </w:r>
      <w:r w:rsidR="00436FFB">
        <w:t xml:space="preserve"> výskume orientovanom na riešenie</w:t>
      </w:r>
      <w:r w:rsidRPr="002D537A">
        <w:t xml:space="preserve"> otázok BOZP v kontexte dôstojných pracovných podmienok, nových technológií a ich rizík pre zdravie zamestnancov a starnúcej populácie. Taktiež výskum BOZP orientuje na systém výchovy a vzdelávania BOZP v odbornom školskom vzdelávaní a </w:t>
      </w:r>
      <w:proofErr w:type="spellStart"/>
      <w:r w:rsidRPr="002D537A">
        <w:t>predprimárnom</w:t>
      </w:r>
      <w:proofErr w:type="spellEnd"/>
      <w:r w:rsidRPr="002D537A">
        <w:t xml:space="preserve"> vzdelávaní.</w:t>
      </w:r>
      <w:r>
        <w:t xml:space="preserve"> </w:t>
      </w:r>
      <w:r w:rsidRPr="002D537A">
        <w:t xml:space="preserve">Spolupodieľa sa prostredníctvom riešenia výskumných úloh a následne </w:t>
      </w:r>
      <w:proofErr w:type="spellStart"/>
      <w:r w:rsidRPr="002D537A">
        <w:t>disemináciou</w:t>
      </w:r>
      <w:proofErr w:type="spellEnd"/>
      <w:r w:rsidRPr="002D537A">
        <w:t xml:space="preserve"> výsledkov týchto výskumných úloh v printových a elektronických médiách, prezentovaním na seminároch, </w:t>
      </w:r>
      <w:proofErr w:type="spellStart"/>
      <w:r w:rsidRPr="002D537A">
        <w:t>workshopoch</w:t>
      </w:r>
      <w:proofErr w:type="spellEnd"/>
      <w:r w:rsidRPr="002D537A">
        <w:t xml:space="preserve"> a konferenciách.</w:t>
      </w:r>
    </w:p>
    <w:p w:rsidR="00D47028" w:rsidRPr="00504698" w:rsidRDefault="004250C9" w:rsidP="009D7F84">
      <w:r>
        <w:t>MŠVVŠ SR v období rokov 2016 – 2018 zr</w:t>
      </w:r>
      <w:r w:rsidR="00436FFB">
        <w:t xml:space="preserve">ealizovalo približne 80 </w:t>
      </w:r>
      <w:proofErr w:type="spellStart"/>
      <w:r w:rsidR="00436FFB">
        <w:t>projekov</w:t>
      </w:r>
      <w:proofErr w:type="spellEnd"/>
      <w:r>
        <w:t xml:space="preserve"> v oblasti výskumu a vývoja, ktoré sa zameriavali aj na oblasť BOZP, demografické zmeny a starnutie </w:t>
      </w:r>
      <w:r w:rsidR="00504698">
        <w:t>pracovnej sily.</w:t>
      </w:r>
    </w:p>
    <w:p w:rsidR="00AB356B" w:rsidRPr="00E40098" w:rsidRDefault="00AB356B" w:rsidP="009D7F84">
      <w:pPr>
        <w:pStyle w:val="Nadpis2"/>
      </w:pPr>
      <w:r w:rsidRPr="00E40098">
        <w:t>Úloha F.</w:t>
      </w:r>
      <w:r>
        <w:t>3</w:t>
      </w:r>
      <w:r w:rsidRPr="00E40098">
        <w:t>.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Informovať odbornú a laickú verejnosť o otázkach BOZP prostredníctvom odborných konferencií a seminárov vrátane vedeckých a medzinárodných, ktoré budú odborne garantovať vzdelávacie a výskumné  inštitúcie, napr. vysoké školy.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>Termín: priebežne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 xml:space="preserve">Zodpovedný: MPSVR SR 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Spolupracujúci: MZ SR, vysoké školy</w:t>
      </w:r>
    </w:p>
    <w:p w:rsidR="00AB356B" w:rsidRPr="00DB0402" w:rsidRDefault="00AB356B" w:rsidP="009D7F84">
      <w:pPr>
        <w:ind w:firstLine="0"/>
        <w:rPr>
          <w:b/>
        </w:rPr>
      </w:pPr>
      <w:r w:rsidRPr="00DB0402">
        <w:rPr>
          <w:b/>
        </w:rPr>
        <w:t xml:space="preserve">Vyhodnotenie plnenia úlohy F.3.: úloha </w:t>
      </w:r>
      <w:r w:rsidR="00504698" w:rsidRPr="00DB0402">
        <w:rPr>
          <w:b/>
        </w:rPr>
        <w:t>je plnená priebežne</w:t>
      </w:r>
      <w:r w:rsidRPr="00DB0402">
        <w:rPr>
          <w:b/>
        </w:rPr>
        <w:t xml:space="preserve"> </w:t>
      </w:r>
    </w:p>
    <w:p w:rsidR="00504698" w:rsidRPr="006E4AE3" w:rsidRDefault="00504698" w:rsidP="009D7F84">
      <w:r>
        <w:t xml:space="preserve">Zástupcovia NIP sa v roku 2018 zúčastnili viacerých odborných podujatí, napr. </w:t>
      </w:r>
      <w:r w:rsidRPr="006F7A38">
        <w:t>v Budapešti na stretnutí vysokých riadiacich pracovníkov krajín V4  organizovanej v rámci maďarského predsedníctva krajín V4, v </w:t>
      </w:r>
      <w:proofErr w:type="spellStart"/>
      <w:r w:rsidRPr="006F7A38">
        <w:t>Ostraviciach</w:t>
      </w:r>
      <w:proofErr w:type="spellEnd"/>
      <w:r w:rsidRPr="006F7A38">
        <w:t xml:space="preserve"> na</w:t>
      </w:r>
      <w:r>
        <w:t> </w:t>
      </w:r>
      <w:r w:rsidRPr="006F7A38">
        <w:t>XVIII.</w:t>
      </w:r>
      <w:r>
        <w:t> </w:t>
      </w:r>
      <w:r w:rsidRPr="006F7A38">
        <w:t>konferencii „Bezpečnosť a ochrana zdravia pri práci 2018“, v Budapešti na</w:t>
      </w:r>
      <w:r>
        <w:t> </w:t>
      </w:r>
      <w:r w:rsidRPr="006F7A38">
        <w:t>medz</w:t>
      </w:r>
      <w:r w:rsidR="00FB07F7">
        <w:t>inárodnom veľtrhu strojárenstva</w:t>
      </w:r>
      <w:r w:rsidRPr="006F7A38">
        <w:t xml:space="preserve"> a zváracej techniky MACH-TECH,</w:t>
      </w:r>
      <w:r>
        <w:t xml:space="preserve"> </w:t>
      </w:r>
      <w:r w:rsidRPr="006F7A38">
        <w:t>v Rige na</w:t>
      </w:r>
      <w:r>
        <w:t> </w:t>
      </w:r>
      <w:r w:rsidRPr="006F7A38">
        <w:t xml:space="preserve">seminári </w:t>
      </w:r>
      <w:r w:rsidR="00FB07F7">
        <w:t>„</w:t>
      </w:r>
      <w:r w:rsidRPr="006F7A38">
        <w:t>Vysielanie zamestnancov v kontexte voľného pohybu osôb a koordinácie sy</w:t>
      </w:r>
      <w:r>
        <w:t>stémov sociálneho zabezpečenia</w:t>
      </w:r>
      <w:r w:rsidR="00FB07F7">
        <w:t>“</w:t>
      </w:r>
      <w:r>
        <w:t xml:space="preserve">, </w:t>
      </w:r>
      <w:r w:rsidRPr="006F7A38">
        <w:t xml:space="preserve">v Belehrade </w:t>
      </w:r>
      <w:r w:rsidRPr="006F7A38">
        <w:lastRenderedPageBreak/>
        <w:t>na</w:t>
      </w:r>
      <w:r>
        <w:t> </w:t>
      </w:r>
      <w:r w:rsidRPr="006F7A38">
        <w:t xml:space="preserve">medzinárodnej konferencii a veľtrhu BOZP 112 EXPO, v Haagu na konferencii Európskeho orgánu práce </w:t>
      </w:r>
      <w:r>
        <w:t>(</w:t>
      </w:r>
      <w:r w:rsidRPr="006F7A38">
        <w:t>ELA</w:t>
      </w:r>
      <w:r>
        <w:t>).</w:t>
      </w:r>
    </w:p>
    <w:p w:rsidR="00D23E68" w:rsidRDefault="00504698" w:rsidP="009D7F84">
      <w:r>
        <w:t xml:space="preserve">Zástupcovia ÚVZ a RÚVZ sa v roku 2018 zúčastnili týchto odborných podujatí: seminár Zdravé pracoviská – Ochrana zdravia pri práci s nebezpečnými chemickými faktormi, seminár pre profesionálnych odborových inšpektorov BOZP KOZ SR, Tematický kurz Slovenskej zdravotníckej univerzity – Novinky v zdraví pri práci a i. Počas európskeho týždňa BOZP </w:t>
      </w:r>
      <w:r w:rsidR="00D23E68">
        <w:t>úrady verejného zdravotníctva</w:t>
      </w:r>
      <w:r>
        <w:t xml:space="preserve"> </w:t>
      </w:r>
      <w:r w:rsidR="00D23E68">
        <w:t>každoročne usporadúvajú dni otvorených dverí.</w:t>
      </w:r>
    </w:p>
    <w:p w:rsidR="00436FFB" w:rsidRDefault="00D23E68" w:rsidP="009D7F84">
      <w:r>
        <w:t>TUKE realizovala túto úlohu v spolupráci s NIP zorganizovaním konfe</w:t>
      </w:r>
      <w:r w:rsidR="00436FFB">
        <w:t xml:space="preserve">rencie „Aktuálne otázky BOZP“. </w:t>
      </w:r>
    </w:p>
    <w:p w:rsidR="00AB356B" w:rsidRPr="00D23E68" w:rsidRDefault="00AB356B" w:rsidP="009D7F84">
      <w:pPr>
        <w:pStyle w:val="Nadpis2"/>
        <w:rPr>
          <w:szCs w:val="24"/>
        </w:rPr>
      </w:pPr>
      <w:r w:rsidRPr="00E40098">
        <w:t>Úloha F.</w:t>
      </w:r>
      <w:r>
        <w:t>4</w:t>
      </w:r>
      <w:r w:rsidRPr="00E40098">
        <w:t>.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Publikovať a medializovať informácie, ktoré popularizujú aktuálne výsledky výskumu BOZP a sprístupňovať výsledky výskumu v oblasti BOZP príslušným orgánom štátnej správy a čo najširšiemu okruhu odborníkov a laickej verejnosti.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>Termín: priebežne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 xml:space="preserve">Zodpovední: MPSVR SR, MV SR, MŠVVŠ SR 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Spolupracujúci: vysoké školy, SAV</w:t>
      </w:r>
    </w:p>
    <w:p w:rsidR="00832BF2" w:rsidRPr="00DB0402" w:rsidRDefault="00AB356B" w:rsidP="009D7F84">
      <w:pPr>
        <w:ind w:firstLine="0"/>
        <w:rPr>
          <w:b/>
        </w:rPr>
      </w:pPr>
      <w:r w:rsidRPr="00DB0402">
        <w:rPr>
          <w:b/>
        </w:rPr>
        <w:t>Vyhodnotenie plnenia úlohy F.4.: úloha je plnená priebežne</w:t>
      </w:r>
    </w:p>
    <w:p w:rsidR="00D23E68" w:rsidRPr="001566B1" w:rsidRDefault="00D23E68" w:rsidP="009D7F84">
      <w:r w:rsidRPr="001566B1">
        <w:t>V roku 2018 IVPR riešil nasledovné výskumné úlohy:</w:t>
      </w:r>
    </w:p>
    <w:p w:rsidR="00D23E68" w:rsidRPr="001566B1" w:rsidRDefault="00D23E68" w:rsidP="009D7F84">
      <w:pPr>
        <w:pStyle w:val="Normlnywebov"/>
        <w:numPr>
          <w:ilvl w:val="0"/>
          <w:numId w:val="3"/>
        </w:numPr>
        <w:spacing w:before="0" w:beforeAutospacing="0" w:after="80" w:afterAutospacing="0"/>
      </w:pPr>
      <w:r w:rsidRPr="001566B1">
        <w:t xml:space="preserve">Výchova a vzdelávanie k BOZP a prevencii rizík v školských vzdelávacích programoch v odbornom vzdelávaní a príprave žiakov na povolanie vo vybraných stredných školách vzhľadom na potreby príslušných odvetví hospodárstva SR </w:t>
      </w:r>
    </w:p>
    <w:p w:rsidR="00D23E68" w:rsidRPr="001566B1" w:rsidRDefault="00D23E68" w:rsidP="009D7F84">
      <w:pPr>
        <w:pStyle w:val="Normlnywebov"/>
        <w:numPr>
          <w:ilvl w:val="0"/>
          <w:numId w:val="3"/>
        </w:numPr>
        <w:spacing w:before="0" w:beforeAutospacing="0" w:after="80" w:afterAutospacing="0"/>
      </w:pPr>
      <w:r w:rsidRPr="001566B1">
        <w:t>Výchova a vzdelávanie k bezpečnému správaniu sa v </w:t>
      </w:r>
      <w:proofErr w:type="spellStart"/>
      <w:r w:rsidRPr="001566B1">
        <w:t>predprimárnom</w:t>
      </w:r>
      <w:proofErr w:type="spellEnd"/>
      <w:r w:rsidRPr="001566B1">
        <w:t xml:space="preserve"> vzdelávaní - prvý krok k</w:t>
      </w:r>
      <w:r w:rsidR="008C7E76">
        <w:t> celoživotnému vzdelávaniu BOZP</w:t>
      </w:r>
    </w:p>
    <w:p w:rsidR="00D23E68" w:rsidRPr="007C2655" w:rsidRDefault="00D23E68" w:rsidP="009D7F84">
      <w:pPr>
        <w:pStyle w:val="Normlnywebov"/>
        <w:numPr>
          <w:ilvl w:val="0"/>
          <w:numId w:val="3"/>
        </w:numPr>
        <w:spacing w:before="0" w:beforeAutospacing="0" w:after="80" w:afterAutospacing="0"/>
      </w:pPr>
      <w:r w:rsidRPr="007C2655">
        <w:t xml:space="preserve">Uplatnenie a podpora starších občanov na trhu práce. Empirický prieskum. Námety na politiky </w:t>
      </w:r>
    </w:p>
    <w:p w:rsidR="00AB356B" w:rsidRDefault="008C7E76" w:rsidP="009D7F84">
      <w:r w:rsidRPr="009C6A0B">
        <w:t>IVPR vydalo sumár výskumných úloh a prehľad výskumných akti</w:t>
      </w:r>
      <w:r>
        <w:t>vít v oblasti BOZP ako príručku,</w:t>
      </w:r>
      <w:r w:rsidRPr="009C6A0B">
        <w:t xml:space="preserve"> </w:t>
      </w:r>
      <w:r>
        <w:t>ktorá j</w:t>
      </w:r>
      <w:r w:rsidRPr="009C6A0B">
        <w:t>e zverejnená na web</w:t>
      </w:r>
      <w:r>
        <w:t>ovej</w:t>
      </w:r>
      <w:r w:rsidRPr="009C6A0B">
        <w:t xml:space="preserve"> stránke IVPR a v printovej podobe bola </w:t>
      </w:r>
      <w:proofErr w:type="spellStart"/>
      <w:r w:rsidRPr="009C6A0B">
        <w:t>diseminovaná</w:t>
      </w:r>
      <w:proofErr w:type="spellEnd"/>
      <w:r w:rsidRPr="009C6A0B">
        <w:t xml:space="preserve"> na akciách v oblasti BOZP</w:t>
      </w:r>
      <w:r>
        <w:t>.</w:t>
      </w:r>
    </w:p>
    <w:p w:rsidR="008C7E76" w:rsidRPr="009C6A0B" w:rsidRDefault="008C7E76" w:rsidP="009D7F84">
      <w:r w:rsidRPr="009C6A0B">
        <w:t>Prenos výsledkov výskumu v oblasti BOZP sa zabezpečoval  nasledovnými spôsobmi:</w:t>
      </w:r>
    </w:p>
    <w:p w:rsidR="008C7E76" w:rsidRPr="009C6A0B" w:rsidRDefault="008C7E76" w:rsidP="009D7F84">
      <w:pPr>
        <w:pStyle w:val="Default"/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9C6A0B">
        <w:rPr>
          <w:rFonts w:ascii="Times New Roman" w:hAnsi="Times New Roman" w:cs="Times New Roman"/>
          <w:color w:val="auto"/>
        </w:rPr>
        <w:t>správami z výskumných úloh zverejnenými na internetovej stránke IVPR,</w:t>
      </w:r>
    </w:p>
    <w:p w:rsidR="008C7E76" w:rsidRPr="009C6A0B" w:rsidRDefault="008C7E76" w:rsidP="009D7F84">
      <w:pPr>
        <w:pStyle w:val="Default"/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9C6A0B">
        <w:rPr>
          <w:rFonts w:ascii="Times New Roman" w:hAnsi="Times New Roman" w:cs="Times New Roman"/>
          <w:color w:val="auto"/>
        </w:rPr>
        <w:t>popularizačnými článkami v odborných časopisoch,</w:t>
      </w:r>
    </w:p>
    <w:p w:rsidR="008C7E76" w:rsidRPr="009C6A0B" w:rsidRDefault="008C7E76" w:rsidP="009D7F84">
      <w:pPr>
        <w:pStyle w:val="Default"/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9C6A0B">
        <w:rPr>
          <w:rFonts w:ascii="Times New Roman" w:hAnsi="Times New Roman" w:cs="Times New Roman"/>
          <w:color w:val="auto"/>
        </w:rPr>
        <w:t>propagáciou prostredníctvom publikácií vydávaných IVPR,</w:t>
      </w:r>
    </w:p>
    <w:p w:rsidR="008C7E76" w:rsidRPr="009C6A0B" w:rsidRDefault="008C7E76" w:rsidP="009D7F84">
      <w:pPr>
        <w:pStyle w:val="Default"/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9C6A0B">
        <w:rPr>
          <w:rFonts w:ascii="Times New Roman" w:hAnsi="Times New Roman" w:cs="Times New Roman"/>
          <w:color w:val="auto"/>
        </w:rPr>
        <w:t>prostredníctvom  činnosti Koordinačného výboru BOZP,</w:t>
      </w:r>
    </w:p>
    <w:p w:rsidR="008C7E76" w:rsidRDefault="008C7E76" w:rsidP="009D7F84">
      <w:pPr>
        <w:pStyle w:val="Default"/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9C6A0B">
        <w:rPr>
          <w:rFonts w:ascii="Times New Roman" w:hAnsi="Times New Roman" w:cs="Times New Roman"/>
          <w:color w:val="auto"/>
        </w:rPr>
        <w:t xml:space="preserve">prostredníctvom národnej siete </w:t>
      </w:r>
      <w:proofErr w:type="spellStart"/>
      <w:r w:rsidRPr="009C6A0B">
        <w:rPr>
          <w:rFonts w:ascii="Times New Roman" w:hAnsi="Times New Roman" w:cs="Times New Roman"/>
          <w:color w:val="auto"/>
        </w:rPr>
        <w:t>Focal</w:t>
      </w:r>
      <w:proofErr w:type="spellEnd"/>
      <w:r w:rsidRPr="009C6A0B">
        <w:rPr>
          <w:rFonts w:ascii="Times New Roman" w:hAnsi="Times New Roman" w:cs="Times New Roman"/>
          <w:color w:val="auto"/>
        </w:rPr>
        <w:t xml:space="preserve"> Point EU-OSHA,</w:t>
      </w:r>
    </w:p>
    <w:p w:rsidR="008C7E76" w:rsidRPr="009C6A0B" w:rsidRDefault="008C7E76" w:rsidP="009D7F84">
      <w:pPr>
        <w:pStyle w:val="Default"/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prostredníctvom zapojenia sa do projektov,</w:t>
      </w:r>
    </w:p>
    <w:p w:rsidR="008C7E76" w:rsidRPr="009C6A0B" w:rsidRDefault="008C7E76" w:rsidP="009D7F84">
      <w:pPr>
        <w:pStyle w:val="Default"/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9C6A0B">
        <w:rPr>
          <w:rFonts w:ascii="Times New Roman" w:hAnsi="Times New Roman" w:cs="Times New Roman"/>
          <w:color w:val="auto"/>
        </w:rPr>
        <w:t>na verejných propagačných podujatiach (semináre a konferencie).</w:t>
      </w:r>
    </w:p>
    <w:p w:rsidR="008C7E76" w:rsidRDefault="008C7E76" w:rsidP="009D7F84">
      <w:r w:rsidRPr="007177ED">
        <w:rPr>
          <w:bCs/>
        </w:rPr>
        <w:t>IVPR intenzívne spolupracoval s</w:t>
      </w:r>
      <w:r>
        <w:rPr>
          <w:bCs/>
        </w:rPr>
        <w:t xml:space="preserve"> NIP </w:t>
      </w:r>
      <w:r w:rsidR="00B86604">
        <w:rPr>
          <w:bCs/>
        </w:rPr>
        <w:t xml:space="preserve">na realizácii </w:t>
      </w:r>
      <w:r w:rsidR="00B86604">
        <w:t>dvoch výskumných úloh</w:t>
      </w:r>
      <w:r w:rsidRPr="00D44374">
        <w:t xml:space="preserve">: „Výchova a vzdelávanie k BOZP a prevencii rizík v školských vzdelávacích programoch v odbornom vzdelávaní a príprave žiakov na povolanie vo vybraných stredných školách vzhľadom na </w:t>
      </w:r>
      <w:r w:rsidRPr="00D44374">
        <w:lastRenderedPageBreak/>
        <w:t xml:space="preserve">potreby príslušných odvetví hospodárstva SR“ a „Výchova </w:t>
      </w:r>
      <w:r>
        <w:t>a </w:t>
      </w:r>
      <w:r w:rsidRPr="00D44374">
        <w:t xml:space="preserve">vzdelávanie k bezpečnému správaniu sa v </w:t>
      </w:r>
      <w:proofErr w:type="spellStart"/>
      <w:r w:rsidRPr="00D44374">
        <w:t>predprimárnom</w:t>
      </w:r>
      <w:proofErr w:type="spellEnd"/>
      <w:r w:rsidRPr="00D44374">
        <w:t xml:space="preserve"> vzdelávaní</w:t>
      </w:r>
      <w:r>
        <w:t xml:space="preserve"> –</w:t>
      </w:r>
      <w:r w:rsidRPr="00D44374">
        <w:t xml:space="preserve"> prvý</w:t>
      </w:r>
      <w:r>
        <w:t xml:space="preserve"> </w:t>
      </w:r>
      <w:r w:rsidRPr="00D44374">
        <w:t>krok k</w:t>
      </w:r>
      <w:r>
        <w:t> </w:t>
      </w:r>
      <w:r w:rsidRPr="00D44374">
        <w:t>celoživotnému vzdelávaniu BOZP“</w:t>
      </w:r>
      <w:r>
        <w:t>.</w:t>
      </w:r>
    </w:p>
    <w:p w:rsidR="000A7C16" w:rsidRDefault="000A7C16" w:rsidP="009D7F84">
      <w:r>
        <w:t>V rezorte MŠVVŠ SR je p</w:t>
      </w:r>
      <w:r w:rsidR="00E4695E" w:rsidRPr="00E4695E">
        <w:t>opularizácia výsledkov výskumu a</w:t>
      </w:r>
      <w:r>
        <w:t> </w:t>
      </w:r>
      <w:r w:rsidR="00E4695E" w:rsidRPr="00E4695E">
        <w:t>vývoja zabe</w:t>
      </w:r>
      <w:r w:rsidR="00E4695E">
        <w:t>zpečená v rámci spolupráce MŠVV</w:t>
      </w:r>
      <w:r w:rsidR="00E4695E" w:rsidRPr="00E4695E">
        <w:t>Š SR a</w:t>
      </w:r>
      <w:r>
        <w:t xml:space="preserve"> Centra vedecko-technických informácií SR. </w:t>
      </w:r>
      <w:r w:rsidRPr="00AC071A">
        <w:rPr>
          <w:rFonts w:cs="Times New Roman"/>
        </w:rPr>
        <w:t>Výsledky výskumov sú sprístupnené prostredníctvom viacerých akti</w:t>
      </w:r>
      <w:r w:rsidR="00B86604">
        <w:rPr>
          <w:rFonts w:cs="Times New Roman"/>
        </w:rPr>
        <w:t>vít</w:t>
      </w:r>
      <w:r w:rsidR="00944F27">
        <w:rPr>
          <w:rFonts w:cs="Times New Roman"/>
        </w:rPr>
        <w:t>,</w:t>
      </w:r>
      <w:r w:rsidR="00B86604">
        <w:rPr>
          <w:rFonts w:cs="Times New Roman"/>
        </w:rPr>
        <w:t xml:space="preserve"> ako napr. vedecké cukrárne</w:t>
      </w:r>
      <w:r w:rsidRPr="00AC071A">
        <w:rPr>
          <w:rFonts w:cs="Times New Roman"/>
        </w:rPr>
        <w:t xml:space="preserve"> </w:t>
      </w:r>
      <w:r>
        <w:rPr>
          <w:rFonts w:cs="Times New Roman"/>
        </w:rPr>
        <w:t>a kaviarne. V spolupráci s MŠVV</w:t>
      </w:r>
      <w:r w:rsidRPr="00AC071A">
        <w:rPr>
          <w:rFonts w:cs="Times New Roman"/>
        </w:rPr>
        <w:t xml:space="preserve">Š SR sa každoročne organizuje </w:t>
      </w:r>
      <w:r>
        <w:rPr>
          <w:rFonts w:cs="Times New Roman"/>
        </w:rPr>
        <w:t>„</w:t>
      </w:r>
      <w:r w:rsidRPr="00AC071A">
        <w:rPr>
          <w:rFonts w:cs="Times New Roman"/>
        </w:rPr>
        <w:t>Týždeň vedy a techniky na Slovensku</w:t>
      </w:r>
      <w:r>
        <w:rPr>
          <w:rFonts w:cs="Times New Roman"/>
        </w:rPr>
        <w:t>“</w:t>
      </w:r>
      <w:r w:rsidRPr="00AC071A">
        <w:rPr>
          <w:rFonts w:cs="Times New Roman"/>
        </w:rPr>
        <w:t>. Zároveň je zabezpečená medializácia výsledkov výskumu a vývoja prostredníctvom tradičných médií ako aj sociálnych sietí.</w:t>
      </w:r>
      <w:r>
        <w:rPr>
          <w:rFonts w:cs="Times New Roman"/>
        </w:rPr>
        <w:t xml:space="preserve"> </w:t>
      </w:r>
      <w:r>
        <w:t>MŠVV</w:t>
      </w:r>
      <w:r w:rsidRPr="00AC071A">
        <w:t>Š SR každoročne zverejňuje zoznam všetkých financovaných projektov VEGA a KEGA, kde sú aj proj</w:t>
      </w:r>
      <w:r>
        <w:t>ekty riešiace problematiku BOZP.</w:t>
      </w:r>
    </w:p>
    <w:p w:rsidR="000A7C16" w:rsidRPr="000A7C16" w:rsidRDefault="000A7C16" w:rsidP="009D7F84">
      <w:r>
        <w:t>TUKE plní túto úlohu formou uverejňovania odborných článkov v odborných časopisoch a taktiež ich prezentovaním v rámci odborných konferencií.</w:t>
      </w:r>
    </w:p>
    <w:p w:rsidR="00AB356B" w:rsidRDefault="00AB356B" w:rsidP="009D7F84">
      <w:pPr>
        <w:pStyle w:val="Nadpis2"/>
      </w:pPr>
      <w:r w:rsidRPr="001375D9">
        <w:t>Úloha F.</w:t>
      </w:r>
      <w:r>
        <w:t>5</w:t>
      </w:r>
      <w:r w:rsidRPr="001375D9">
        <w:t>.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Preskúmať zapracovanie problematiky BOZP a prevencie rizík do školských vzdelávacích programov najmä v odbornom vzdelávaní a príprave žiakov na vybraných stredných školách.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>Termín: 2018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>Zodpovední: MŠVVŠ SR, MPSVR SR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Spolupracujúci: MZ SR</w:t>
      </w:r>
    </w:p>
    <w:p w:rsidR="00AB356B" w:rsidRPr="00DB0402" w:rsidRDefault="00AB356B" w:rsidP="00944F27">
      <w:pPr>
        <w:ind w:firstLine="0"/>
        <w:rPr>
          <w:b/>
        </w:rPr>
      </w:pPr>
      <w:r w:rsidRPr="00DB0402">
        <w:rPr>
          <w:b/>
        </w:rPr>
        <w:t xml:space="preserve">Vyhodnotenie plnenia úlohy F.5.: úloha je </w:t>
      </w:r>
      <w:r w:rsidR="00944F27">
        <w:rPr>
          <w:b/>
        </w:rPr>
        <w:t>s</w:t>
      </w:r>
      <w:r w:rsidRPr="00DB0402">
        <w:rPr>
          <w:b/>
        </w:rPr>
        <w:t xml:space="preserve">plnená </w:t>
      </w:r>
    </w:p>
    <w:p w:rsidR="00E21F41" w:rsidRDefault="00E21F41" w:rsidP="00944F27">
      <w:r w:rsidRPr="00E21F41">
        <w:t xml:space="preserve">ŠIOV </w:t>
      </w:r>
      <w:r w:rsidR="00944F27">
        <w:t>v</w:t>
      </w:r>
      <w:r w:rsidR="00944F27" w:rsidRPr="00E21F41">
        <w:t xml:space="preserve"> súčasnosti </w:t>
      </w:r>
      <w:r w:rsidRPr="00E21F41">
        <w:t xml:space="preserve">realizuje v rámci Národného projektu </w:t>
      </w:r>
      <w:r w:rsidRPr="00B86604">
        <w:t xml:space="preserve">„Duálne vzdelávanie a zvýšenie atraktivity a kvalita odborného vzdelávania a prípravy“ </w:t>
      </w:r>
      <w:r>
        <w:t xml:space="preserve">aktivity zamerané </w:t>
      </w:r>
      <w:r w:rsidRPr="00E21F41">
        <w:t>na vzdelávanie a prípravu inštruktorov pre praktické vyučovanie v systéme duálneho vzdelávania. Dôležitou súčasťou obsahu vzdelávacieho programu je realizácia opatrení na zaistenie BOZP pri praktickom vyučovaní.</w:t>
      </w:r>
    </w:p>
    <w:p w:rsidR="00176891" w:rsidRPr="00176891" w:rsidRDefault="00176891" w:rsidP="009D7F84">
      <w:pPr>
        <w:rPr>
          <w:b/>
          <w:bCs/>
        </w:rPr>
      </w:pPr>
      <w:r>
        <w:t xml:space="preserve">Problematika zaistenia BOZP je integrálnou súčasťou obsahu výchovy a vzdelávania detí v materských školách, základných a stredných školách. </w:t>
      </w:r>
      <w:r w:rsidRPr="00176891">
        <w:rPr>
          <w:bCs/>
        </w:rPr>
        <w:t xml:space="preserve">Deti </w:t>
      </w:r>
      <w:r>
        <w:rPr>
          <w:bCs/>
        </w:rPr>
        <w:t xml:space="preserve">a žiaci </w:t>
      </w:r>
      <w:r w:rsidRPr="00176891">
        <w:rPr>
          <w:bCs/>
        </w:rPr>
        <w:t xml:space="preserve">sa prostredníctvom tohto obsahu učia </w:t>
      </w:r>
      <w:r>
        <w:rPr>
          <w:bCs/>
        </w:rPr>
        <w:t xml:space="preserve">riešiť </w:t>
      </w:r>
      <w:r w:rsidRPr="00176891">
        <w:rPr>
          <w:bCs/>
        </w:rPr>
        <w:t>na elementárnej úro</w:t>
      </w:r>
      <w:r>
        <w:rPr>
          <w:bCs/>
        </w:rPr>
        <w:t>vni situácie ohrozujúce zdravie, nevyhnutnosťou je rešpektovanie hygieny, zdravého prostredia uče</w:t>
      </w:r>
      <w:r w:rsidR="00B86604">
        <w:rPr>
          <w:bCs/>
        </w:rPr>
        <w:t>b</w:t>
      </w:r>
      <w:r>
        <w:rPr>
          <w:bCs/>
        </w:rPr>
        <w:t xml:space="preserve">ní a ostatných priestorov školy. </w:t>
      </w:r>
      <w:r w:rsidRPr="00AC071A">
        <w:rPr>
          <w:rFonts w:cs="Times New Roman"/>
        </w:rPr>
        <w:t>BOZP v</w:t>
      </w:r>
      <w:r>
        <w:rPr>
          <w:rFonts w:cs="Times New Roman"/>
        </w:rPr>
        <w:t> stredných odborných školách</w:t>
      </w:r>
      <w:r w:rsidRPr="00AC071A">
        <w:rPr>
          <w:rFonts w:cs="Times New Roman"/>
        </w:rPr>
        <w:t xml:space="preserve"> a konzervatóriách je povinnou súčasťou výchovy a vzdelávania.</w:t>
      </w:r>
      <w:r>
        <w:rPr>
          <w:bCs/>
        </w:rPr>
        <w:t xml:space="preserve"> </w:t>
      </w:r>
      <w:r w:rsidR="00BD66FE" w:rsidRPr="00AC071A">
        <w:rPr>
          <w:rFonts w:cs="Times New Roman"/>
        </w:rPr>
        <w:t xml:space="preserve">Výchova a vzdelávanie k BOZP je súčasťou každého </w:t>
      </w:r>
      <w:r w:rsidR="00BD66FE">
        <w:rPr>
          <w:rFonts w:cs="Times New Roman"/>
        </w:rPr>
        <w:t>školského vzdelávacieho programu</w:t>
      </w:r>
      <w:r w:rsidR="00BD66FE" w:rsidRPr="00AC071A">
        <w:rPr>
          <w:rFonts w:cs="Times New Roman"/>
        </w:rPr>
        <w:t xml:space="preserve"> v každom odbore vzdelávania a je realizovaná na všetkých </w:t>
      </w:r>
      <w:r w:rsidR="00BD66FE">
        <w:rPr>
          <w:rFonts w:cs="Times New Roman"/>
        </w:rPr>
        <w:t>stredných odborných školách</w:t>
      </w:r>
      <w:r w:rsidR="00BD66FE" w:rsidRPr="00AC071A">
        <w:rPr>
          <w:rFonts w:cs="Times New Roman"/>
        </w:rPr>
        <w:t xml:space="preserve"> a konzervatóriách v</w:t>
      </w:r>
      <w:r w:rsidR="00BD66FE">
        <w:rPr>
          <w:rFonts w:cs="Times New Roman"/>
        </w:rPr>
        <w:t> SR.</w:t>
      </w:r>
    </w:p>
    <w:p w:rsidR="00DE13E5" w:rsidRPr="00BD66FE" w:rsidRDefault="00BD66FE" w:rsidP="009D7F84">
      <w:r>
        <w:t xml:space="preserve">V rámci IVPR bola vypísaná výskumná úloha </w:t>
      </w:r>
      <w:r w:rsidRPr="00AD6E31">
        <w:t>„Výchova a vzdelávanie k BOZP a prevencii rizík v školských vzdelávacích programoch v odbornom vzdelávaní a príprave žiakov na</w:t>
      </w:r>
      <w:r>
        <w:t> </w:t>
      </w:r>
      <w:r w:rsidRPr="00AD6E31">
        <w:t>povolanie vo vybraných stredných školách vzhľadom na potreby príslušných odvetví hospodárstva SR“.</w:t>
      </w:r>
      <w:r>
        <w:t xml:space="preserve"> V tejto úlohe sa výskum </w:t>
      </w:r>
      <w:r w:rsidRPr="00D44374">
        <w:t>zameral na školské vzdelávacie programy ISCED</w:t>
      </w:r>
      <w:r>
        <w:t> </w:t>
      </w:r>
      <w:r w:rsidRPr="00D44374">
        <w:t>3</w:t>
      </w:r>
      <w:r>
        <w:t>, na</w:t>
      </w:r>
      <w:r w:rsidRPr="00D44374">
        <w:t xml:space="preserve"> duálne vzdelávanie a zavedenie BOZP do </w:t>
      </w:r>
      <w:r>
        <w:t xml:space="preserve">učebných </w:t>
      </w:r>
      <w:r w:rsidRPr="00D44374">
        <w:t>osnov</w:t>
      </w:r>
      <w:r>
        <w:t>.</w:t>
      </w:r>
    </w:p>
    <w:p w:rsidR="00AB356B" w:rsidRPr="001F3A95" w:rsidRDefault="00AB356B" w:rsidP="009D7F84">
      <w:pPr>
        <w:pStyle w:val="Nadpis2"/>
        <w:rPr>
          <w:szCs w:val="24"/>
        </w:rPr>
      </w:pPr>
      <w:r w:rsidRPr="001F3A95">
        <w:lastRenderedPageBreak/>
        <w:t>Časť G</w:t>
      </w:r>
    </w:p>
    <w:p w:rsidR="00AB356B" w:rsidRPr="00E40098" w:rsidRDefault="00AB356B" w:rsidP="009D7F84">
      <w:pPr>
        <w:pStyle w:val="Nadpis2"/>
      </w:pPr>
      <w:r w:rsidRPr="00E40098">
        <w:t>Predpisy na zaistenie BOZP</w:t>
      </w:r>
    </w:p>
    <w:p w:rsidR="00AB356B" w:rsidRPr="00E40098" w:rsidRDefault="00AB356B" w:rsidP="009D7F84">
      <w:pPr>
        <w:pStyle w:val="Nadpis2"/>
      </w:pPr>
      <w:r w:rsidRPr="00E40098">
        <w:t>Úloha G.1.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 xml:space="preserve">Pokračovať v aktualizácii právnych predpisov na zaistenie BOZP vrátane ich zjednodušenia </w:t>
      </w:r>
      <w:r w:rsidR="00944F27">
        <w:rPr>
          <w:i/>
        </w:rPr>
        <w:t xml:space="preserve">a </w:t>
      </w:r>
      <w:r w:rsidRPr="00DB0402">
        <w:rPr>
          <w:i/>
        </w:rPr>
        <w:t>minimalizovania administratívnej záťaže, ak to je možné.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>Termín: priebežne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Zodpovedný: MPSVR SR</w:t>
      </w:r>
    </w:p>
    <w:p w:rsidR="00DE13E5" w:rsidRPr="00DB0402" w:rsidRDefault="00AB356B" w:rsidP="009D7F84">
      <w:pPr>
        <w:ind w:firstLine="0"/>
        <w:rPr>
          <w:b/>
        </w:rPr>
      </w:pPr>
      <w:r w:rsidRPr="00DB0402">
        <w:rPr>
          <w:b/>
        </w:rPr>
        <w:t>Vyhodnotenie plnenia úlohy G.1.: úloha je plnená priebežne</w:t>
      </w:r>
    </w:p>
    <w:p w:rsidR="00EE5FF4" w:rsidRDefault="00EE5FF4" w:rsidP="00E25BCE">
      <w:pPr>
        <w:spacing w:before="120" w:after="120"/>
        <w:ind w:firstLine="708"/>
      </w:pPr>
      <w:r w:rsidRPr="002C0598">
        <w:t>V</w:t>
      </w:r>
      <w:r>
        <w:t> priebehu roka</w:t>
      </w:r>
      <w:r w:rsidRPr="002C0598">
        <w:t xml:space="preserve"> 2018 </w:t>
      </w:r>
      <w:r>
        <w:t xml:space="preserve">MPSVR SR v spolupráci s </w:t>
      </w:r>
      <w:r w:rsidRPr="002C0598">
        <w:t xml:space="preserve">NIP </w:t>
      </w:r>
      <w:r>
        <w:t>pripravilo</w:t>
      </w:r>
      <w:r w:rsidRPr="002C0598">
        <w:t xml:space="preserve"> </w:t>
      </w:r>
      <w:r>
        <w:t xml:space="preserve">v pracovnej skupine návrh na zmenu zákona č. 125/2006 Z. z. </w:t>
      </w:r>
      <w:r w:rsidRPr="00EE5FF4">
        <w:t xml:space="preserve">o inšpekcii práce a o zmene a doplnení zákona </w:t>
      </w:r>
      <w:r w:rsidR="00E25BCE">
        <w:t xml:space="preserve">                          </w:t>
      </w:r>
      <w:r w:rsidRPr="00EE5FF4">
        <w:t>č. 82/2005 Z. z. o nelegálnej práci a nelegálnom zamestnávaní a o zmene a doplnení niektorých zákonov v znení neskorších predpisov</w:t>
      </w:r>
      <w:r>
        <w:t xml:space="preserve">, ktorého zmena vyplývala z plánu legislatívnych úloh vlády SR na rok 2018, a v tej súvislosti aj návrhu na zmenu zákona </w:t>
      </w:r>
      <w:r w:rsidR="00E25BCE">
        <w:t xml:space="preserve">                  </w:t>
      </w:r>
      <w:r>
        <w:t xml:space="preserve">č. 124/2006 Z. z. </w:t>
      </w:r>
      <w:r w:rsidRPr="00EE5FF4">
        <w:t xml:space="preserve">o BOZP a o zmene a doplnení niektorých zákonov v znení neskorších predpisov </w:t>
      </w:r>
      <w:r>
        <w:t>a zákona č. 82/2005 Z. z. o nelegálnej práci a</w:t>
      </w:r>
      <w:r w:rsidRPr="00EE5FF4">
        <w:t xml:space="preserve"> nelegálnom zamestnávaní a o zmene a doplnení niektorých zákonov v znení neskorších predpisov</w:t>
      </w:r>
      <w:r w:rsidR="00E25BCE">
        <w:t>.</w:t>
      </w:r>
    </w:p>
    <w:p w:rsidR="00EE5FF4" w:rsidRDefault="00EE5FF4" w:rsidP="00EE5FF4">
      <w:pPr>
        <w:spacing w:before="120" w:after="120"/>
        <w:ind w:firstLine="708"/>
      </w:pPr>
      <w:r>
        <w:t>Uvedený návrh bol po predbežnom pripomienkovom konaní pripravený na predloženie na medzirezortné pripomienkové konanie, avšak z dôvodu niektorých nevyriešených otázok, bola nakoniec uvedená úloha koncom roka 2018 zrušená.</w:t>
      </w:r>
      <w:r w:rsidR="00446AC5">
        <w:t xml:space="preserve"> Naďalej však pokračuje proces riešenia.</w:t>
      </w:r>
    </w:p>
    <w:p w:rsidR="00EE5FF4" w:rsidRPr="002C0598" w:rsidRDefault="00EE5FF4" w:rsidP="00446AC5">
      <w:pPr>
        <w:spacing w:before="120" w:after="120"/>
        <w:ind w:firstLine="708"/>
      </w:pPr>
      <w:r w:rsidRPr="00AD6E4B">
        <w:t xml:space="preserve">Koncom roka 2018 NIP vypracoval návrhy na zmenu zákona č. 124/2006 Z. z. </w:t>
      </w:r>
      <w:r w:rsidR="00E25BCE" w:rsidRPr="00AD6E4B">
        <w:t xml:space="preserve">o BOZP </w:t>
      </w:r>
      <w:r w:rsidRPr="00AD6E4B">
        <w:t>vo vzťahu k zvýšeniu úrovne BOZP a</w:t>
      </w:r>
      <w:r w:rsidR="00E25BCE" w:rsidRPr="00AD6E4B">
        <w:t xml:space="preserve"> k </w:t>
      </w:r>
      <w:r w:rsidRPr="00AD6E4B">
        <w:t xml:space="preserve">zníženiu byrokratickej záťaže podnikateľského prostredia a orgánov inšpekcie práce, </w:t>
      </w:r>
      <w:r w:rsidR="00446AC5">
        <w:t>ktoré je možné predložiť na diskusiu a následne zvážiť zaradenie do legislatívneho procesu</w:t>
      </w:r>
      <w:r w:rsidRPr="00AD6E4B">
        <w:t>.</w:t>
      </w:r>
    </w:p>
    <w:p w:rsidR="00AB356B" w:rsidRPr="00E40098" w:rsidRDefault="00AB356B" w:rsidP="009D7F84">
      <w:pPr>
        <w:pStyle w:val="Nadpis2"/>
      </w:pPr>
      <w:r w:rsidRPr="00E40098">
        <w:t>Časť H</w:t>
      </w:r>
    </w:p>
    <w:p w:rsidR="00AB356B" w:rsidRPr="00E40098" w:rsidRDefault="00AB356B" w:rsidP="009D7F84">
      <w:pPr>
        <w:pStyle w:val="Nadpis2"/>
      </w:pPr>
      <w:r w:rsidRPr="00E40098">
        <w:t>Financovanie</w:t>
      </w:r>
    </w:p>
    <w:p w:rsidR="00AB356B" w:rsidRPr="00E40098" w:rsidRDefault="00AB356B" w:rsidP="009D7F84">
      <w:pPr>
        <w:pStyle w:val="Nadpis2"/>
      </w:pPr>
      <w:r w:rsidRPr="00E40098">
        <w:t>Úloha H.1.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Zabezpečiť financovanie stratégie BOZP pri príprave návrhu rozpočtovej kapitoly na nasledujúci rok.</w:t>
      </w:r>
    </w:p>
    <w:p w:rsidR="00AB356B" w:rsidRPr="00DB0402" w:rsidRDefault="00AB356B" w:rsidP="005F484B">
      <w:pPr>
        <w:spacing w:after="0"/>
        <w:ind w:firstLine="0"/>
        <w:rPr>
          <w:i/>
        </w:rPr>
      </w:pPr>
      <w:r w:rsidRPr="00DB0402">
        <w:rPr>
          <w:i/>
        </w:rPr>
        <w:t xml:space="preserve">Termín: každoročne </w:t>
      </w:r>
    </w:p>
    <w:p w:rsidR="00AB356B" w:rsidRPr="00DB0402" w:rsidRDefault="00AB356B" w:rsidP="009D7F84">
      <w:pPr>
        <w:ind w:firstLine="0"/>
        <w:rPr>
          <w:i/>
        </w:rPr>
      </w:pPr>
      <w:r w:rsidRPr="00DB0402">
        <w:rPr>
          <w:i/>
        </w:rPr>
        <w:t>Zodpovední: príslušní ministri</w:t>
      </w:r>
    </w:p>
    <w:p w:rsidR="00AB356B" w:rsidRPr="00DB0402" w:rsidRDefault="00AB356B" w:rsidP="009D7F84">
      <w:pPr>
        <w:ind w:firstLine="0"/>
        <w:rPr>
          <w:b/>
        </w:rPr>
      </w:pPr>
      <w:r w:rsidRPr="00DB0402">
        <w:rPr>
          <w:b/>
        </w:rPr>
        <w:t>Vyhodnotenie plnenia úlohy H.1.: úloha je plnená priebežne</w:t>
      </w:r>
    </w:p>
    <w:p w:rsidR="00AB356B" w:rsidRPr="0051312F" w:rsidRDefault="0051312F" w:rsidP="009D7F84">
      <w:r>
        <w:t xml:space="preserve">Jednotlivé rezorty </w:t>
      </w:r>
      <w:r w:rsidRPr="006858D3">
        <w:t>zabezpečoval</w:t>
      </w:r>
      <w:r>
        <w:t>i</w:t>
      </w:r>
      <w:r w:rsidRPr="006858D3">
        <w:t xml:space="preserve"> finančné prostriedky podľa možností rozpočtu príslušnej kapitoly. Okrem svojich finančných prostriedkov NIP zabezpečoval aktivity na podporu plnenia úloh stra</w:t>
      </w:r>
      <w:r w:rsidR="00B86604">
        <w:t>tégie BOZP aj z prostriedkov EU-</w:t>
      </w:r>
      <w:r w:rsidRPr="006858D3">
        <w:t>OSHA. NIP naplánoval zabezpečenie finančných prostriedkov na prevenciu v oblasti BOZP aj v spolupráci so sociálnymi partnermi</w:t>
      </w:r>
      <w:r>
        <w:t>.</w:t>
      </w:r>
    </w:p>
    <w:p w:rsidR="00AB356B" w:rsidRPr="007F2F1A" w:rsidRDefault="00AB356B" w:rsidP="009D7F84">
      <w:pPr>
        <w:pStyle w:val="Nadpis1"/>
      </w:pPr>
      <w:r w:rsidRPr="00A95FE1">
        <w:lastRenderedPageBreak/>
        <w:t>D. Záver</w:t>
      </w:r>
    </w:p>
    <w:p w:rsidR="0051312F" w:rsidRPr="006C0FD1" w:rsidRDefault="0051312F" w:rsidP="0062434C">
      <w:r w:rsidRPr="006858D3">
        <w:t>Primárnym cieľom stratégie BOZP je podporiť znižovanie počtu pracovných úrazov, najmä závažných pracovných úrazov so smrteľnými ná</w:t>
      </w:r>
      <w:r w:rsidR="00B86604">
        <w:t>sledkami</w:t>
      </w:r>
      <w:r w:rsidR="0062434C">
        <w:t xml:space="preserve">, </w:t>
      </w:r>
      <w:r w:rsidRPr="006858D3">
        <w:t>s </w:t>
      </w:r>
      <w:r w:rsidR="0062434C">
        <w:t xml:space="preserve">celoživotnými následkami, resp. s </w:t>
      </w:r>
      <w:r w:rsidRPr="006858D3">
        <w:t>ťažkou ujmou na zdraví</w:t>
      </w:r>
      <w:r w:rsidR="0062434C">
        <w:t>,</w:t>
      </w:r>
      <w:r w:rsidR="00B621DA">
        <w:t xml:space="preserve"> a to v porovnaní so stavom dosiahnutým v roku 2012</w:t>
      </w:r>
      <w:r w:rsidRPr="006858D3">
        <w:t>, ako aj eliminovanie príčin chorôb z povolania, zlepšovanie prevencie a posilňovanie kultúry práce.</w:t>
      </w:r>
    </w:p>
    <w:p w:rsidR="0092567A" w:rsidRDefault="00B86604" w:rsidP="00C126B2">
      <w:r w:rsidRPr="00C126B2">
        <w:t>Z údajov</w:t>
      </w:r>
      <w:r w:rsidR="0092567A" w:rsidRPr="00C126B2">
        <w:t xml:space="preserve"> ŠÚ SR, SP, NIP a MZ SR o vývoji pracovnej úrazovosti a chorôb z povolania uvedených v časti B tohto hodnotenia </w:t>
      </w:r>
      <w:r w:rsidR="0051312F" w:rsidRPr="00C126B2">
        <w:t xml:space="preserve">vyplýva, </w:t>
      </w:r>
      <w:r w:rsidR="00C126B2" w:rsidRPr="00C126B2">
        <w:t xml:space="preserve">že v Slovenskej republike sa v rokoch 2012 až 2018 udržuje znížený stav pracovnej úrazovosti v absolútnych i relatívnych ukazovateľoch. Naďalej je však dôležité intenzívne presadzovanie a plnenie primárneho cieľa </w:t>
      </w:r>
      <w:r w:rsidR="0051312F" w:rsidRPr="00C126B2">
        <w:t>stratégie BOZP.</w:t>
      </w:r>
      <w:r w:rsidR="0051312F" w:rsidRPr="006858D3">
        <w:t xml:space="preserve"> </w:t>
      </w:r>
    </w:p>
    <w:p w:rsidR="0092567A" w:rsidRDefault="0051312F" w:rsidP="009D7F84">
      <w:r w:rsidRPr="006858D3">
        <w:t>K zlepšeniu plnenia úloh stratégie BOZP a úrovne pracovnej úrazovosti by malo tiež prispieť plnenie Koncepcie činnosti NIP do roku 2020</w:t>
      </w:r>
      <w:r w:rsidR="0092567A">
        <w:t xml:space="preserve">, </w:t>
      </w:r>
      <w:r w:rsidRPr="006858D3">
        <w:t xml:space="preserve">ktorá výrazne podporí plnenie opatrení na realizáciu stratégie BOZP do roku 2020. Koncepcia činnosti NIP do roku 2020, ktorej prioritou je zlepšenie ochrany zamestnancov pri práci, stanovuje ciele v jednotlivých oblastiach, ktorými sú efektivita, kvalita činnosti inšpekcie práce, prevencia a legislatíva. </w:t>
      </w:r>
    </w:p>
    <w:p w:rsidR="002947D0" w:rsidRDefault="002947D0" w:rsidP="009D7F84">
      <w:r>
        <w:t>V záujme dosiahnutia hlavného cieľa, zámerov a priorít stratégie BOZP sa v roku 2018 uskutočnili mnohé dozorné, poradenské a informačné aktivity zamerané na zamestnávateľov. O problematike BOZP bola informovaná široká odborná i laická verejnosť. Zainteresované subjekty spolu dvojstranne aj kolektívne spolupracovali. NIP intenzívne zabezpečoval prevenciu a propagáciu týkajúcu sa dodržiavania právnych predpisov podliehajúc</w:t>
      </w:r>
      <w:r w:rsidR="0062434C">
        <w:t>ich inšpekcii práce vo vzťahu k</w:t>
      </w:r>
      <w:r>
        <w:t xml:space="preserve"> zamestnávateľom, zamestnancom a iným subjektom.</w:t>
      </w:r>
    </w:p>
    <w:p w:rsidR="0051312F" w:rsidRPr="00203A5B" w:rsidRDefault="0051312F" w:rsidP="009D7F84">
      <w:r w:rsidRPr="006858D3">
        <w:t>Na základe vyhodnotenia plnenia úloh stratégie BOZP</w:t>
      </w:r>
      <w:r w:rsidR="0092567A">
        <w:t>, ktoré pripravili príslušné ministerstvá, ÚNMS SR a ďalšie inštitúcie,</w:t>
      </w:r>
      <w:r w:rsidRPr="006858D3">
        <w:t xml:space="preserve"> možno konštatovať, že v roku 201</w:t>
      </w:r>
      <w:r>
        <w:t>8</w:t>
      </w:r>
      <w:r w:rsidRPr="006858D3">
        <w:t xml:space="preserve"> sa priebežne realizovali a plnili </w:t>
      </w:r>
      <w:r>
        <w:t xml:space="preserve">všetky </w:t>
      </w:r>
      <w:r w:rsidRPr="006858D3">
        <w:t>naplánované úlohy stratégie BOZP.</w:t>
      </w:r>
    </w:p>
    <w:p w:rsidR="00756740" w:rsidRDefault="00756740" w:rsidP="00C81929">
      <w:r>
        <w:br w:type="page"/>
      </w:r>
    </w:p>
    <w:p w:rsidR="00756740" w:rsidRPr="00DB0402" w:rsidRDefault="00756740" w:rsidP="007878AA">
      <w:pPr>
        <w:pStyle w:val="Nadpis1"/>
      </w:pPr>
      <w:r w:rsidRPr="00DB0402">
        <w:lastRenderedPageBreak/>
        <w:t>Zoznam použitých skratiek</w:t>
      </w:r>
    </w:p>
    <w:p w:rsidR="00756740" w:rsidRPr="00DB5C2D" w:rsidRDefault="00756740" w:rsidP="00C81929">
      <w:r>
        <w:tab/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 xml:space="preserve">APZ </w:t>
      </w:r>
      <w:r w:rsidRPr="00756740">
        <w:tab/>
        <w:t>Asociácia priemyselných zväzov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AZZZ SR</w:t>
      </w:r>
      <w:r w:rsidRPr="00756740">
        <w:tab/>
        <w:t>Asociácia zamestnávateľských zväzov a združení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BOZP</w:t>
      </w:r>
      <w:r w:rsidRPr="00756740">
        <w:tab/>
        <w:t>bezpečnosť a ochrana zdravia pri práci</w:t>
      </w:r>
      <w:r w:rsidRPr="00756740">
        <w:tab/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>
        <w:t>EU-</w:t>
      </w:r>
      <w:r w:rsidRPr="00756740">
        <w:t>OSHA</w:t>
      </w:r>
      <w:r w:rsidRPr="00756740">
        <w:tab/>
        <w:t xml:space="preserve">Európska agentúra pre bezpečnosť a ochranu zdravia pri práci v </w:t>
      </w:r>
      <w:proofErr w:type="spellStart"/>
      <w:r w:rsidRPr="00756740">
        <w:t>Bilbao</w:t>
      </w:r>
      <w:proofErr w:type="spellEnd"/>
    </w:p>
    <w:p w:rsidR="00DB0402" w:rsidRDefault="00DB0402" w:rsidP="00DB0402">
      <w:pPr>
        <w:tabs>
          <w:tab w:val="left" w:pos="1985"/>
        </w:tabs>
        <w:spacing w:after="0"/>
        <w:ind w:firstLine="0"/>
      </w:pPr>
      <w:r>
        <w:t>EÚ</w:t>
      </w:r>
      <w:r>
        <w:tab/>
        <w:t>Európska únia</w:t>
      </w:r>
    </w:p>
    <w:p w:rsidR="00756740" w:rsidRPr="00756740" w:rsidRDefault="00DB0402" w:rsidP="00DB0402">
      <w:pPr>
        <w:tabs>
          <w:tab w:val="left" w:pos="1985"/>
        </w:tabs>
        <w:spacing w:after="0"/>
        <w:ind w:firstLine="0"/>
      </w:pPr>
      <w:proofErr w:type="spellStart"/>
      <w:r>
        <w:t>Focal</w:t>
      </w:r>
      <w:proofErr w:type="spellEnd"/>
      <w:r>
        <w:t xml:space="preserve"> Point</w:t>
      </w:r>
      <w:r>
        <w:tab/>
      </w:r>
      <w:r w:rsidR="00756740" w:rsidRPr="00756740">
        <w:t>Národné kontaktné miesto pre spoluprácu s EU OSHA pri NIP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FR SR</w:t>
      </w:r>
      <w:r w:rsidRPr="00756740">
        <w:tab/>
        <w:t>Finančné riaditeľstvo Slovenskej republiky</w:t>
      </w:r>
    </w:p>
    <w:p w:rsidR="00756740" w:rsidRDefault="00756740" w:rsidP="00DB0402">
      <w:pPr>
        <w:tabs>
          <w:tab w:val="left" w:pos="1985"/>
        </w:tabs>
        <w:spacing w:after="0"/>
        <w:ind w:firstLine="0"/>
      </w:pPr>
      <w:r>
        <w:t>FS SR</w:t>
      </w:r>
      <w:r>
        <w:tab/>
        <w:t>Finančná správa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proofErr w:type="spellStart"/>
      <w:r w:rsidRPr="00756740">
        <w:t>HaZz</w:t>
      </w:r>
      <w:proofErr w:type="spellEnd"/>
      <w:r w:rsidRPr="00756740">
        <w:t>.</w:t>
      </w:r>
      <w:r w:rsidRPr="00756740">
        <w:tab/>
        <w:t>Hasičský a Záchranný zbor</w:t>
      </w:r>
    </w:p>
    <w:p w:rsid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HBÚ</w:t>
      </w:r>
      <w:r w:rsidRPr="00756740">
        <w:tab/>
        <w:t>Hlavný banský úrad</w:t>
      </w:r>
    </w:p>
    <w:p w:rsidR="001E03F6" w:rsidRPr="00756740" w:rsidRDefault="001E03F6" w:rsidP="00DB0402">
      <w:pPr>
        <w:tabs>
          <w:tab w:val="left" w:pos="1985"/>
        </w:tabs>
        <w:spacing w:after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IC SMS</w:t>
      </w:r>
      <w:r>
        <w:rPr>
          <w:rFonts w:cs="Times New Roman"/>
          <w:szCs w:val="24"/>
        </w:rPr>
        <w:tab/>
      </w:r>
      <w:r>
        <w:t xml:space="preserve">Internetový informačný a komunikačný systém pre cezhraničnú </w:t>
      </w:r>
      <w:r w:rsidR="00DB0402">
        <w:tab/>
      </w:r>
      <w:r>
        <w:t xml:space="preserve">spoluprácu medzi orgánmi trhového dohľadu v oblasti určených </w:t>
      </w:r>
      <w:r w:rsidR="00DB0402">
        <w:tab/>
      </w:r>
      <w:r>
        <w:t>výrobkov v Európe</w:t>
      </w:r>
    </w:p>
    <w:p w:rsid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IMI</w:t>
      </w:r>
      <w:r w:rsidRPr="00756740">
        <w:tab/>
        <w:t xml:space="preserve">Informačného systém vnútorného trhu </w:t>
      </w:r>
    </w:p>
    <w:p w:rsidR="00B86983" w:rsidRPr="00756740" w:rsidRDefault="00B86983" w:rsidP="00DB0402">
      <w:pPr>
        <w:tabs>
          <w:tab w:val="left" w:pos="1985"/>
        </w:tabs>
        <w:spacing w:after="0"/>
        <w:ind w:firstLine="0"/>
        <w:rPr>
          <w:rFonts w:cs="Times New Roman"/>
        </w:rPr>
      </w:pPr>
      <w:r>
        <w:rPr>
          <w:lang w:eastAsia="x-none"/>
        </w:rPr>
        <w:t>ISHCCO</w:t>
      </w:r>
      <w:r>
        <w:rPr>
          <w:lang w:eastAsia="x-none"/>
        </w:rPr>
        <w:tab/>
      </w:r>
      <w:r>
        <w:t>Medzinárodná organizácia koordinátorov bezpečnosti na staveniskách</w:t>
      </w:r>
    </w:p>
    <w:p w:rsid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IVPR</w:t>
      </w:r>
      <w:r w:rsidRPr="00756740">
        <w:tab/>
        <w:t>Inštitút pre výskum práce a</w:t>
      </w:r>
      <w:r w:rsidR="00B86604">
        <w:t> </w:t>
      </w:r>
      <w:r w:rsidRPr="00756740">
        <w:t>rodiny</w:t>
      </w:r>
    </w:p>
    <w:p w:rsidR="00B86604" w:rsidRPr="00756740" w:rsidRDefault="00B86604" w:rsidP="00DB0402">
      <w:pPr>
        <w:tabs>
          <w:tab w:val="left" w:pos="1985"/>
        </w:tabs>
        <w:spacing w:after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KEGA</w:t>
      </w:r>
      <w:r>
        <w:rPr>
          <w:rFonts w:cs="Times New Roman"/>
          <w:szCs w:val="24"/>
        </w:rPr>
        <w:tab/>
      </w:r>
      <w:r>
        <w:t>Kultúrna a edukačná grantová agentúra MŠVVŠ SR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KOZ SR</w:t>
      </w:r>
      <w:r w:rsidRPr="00756740">
        <w:tab/>
        <w:t>Konfederácia odborových zväzov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220282">
        <w:t>KSS</w:t>
      </w:r>
      <w:r w:rsidRPr="00220282">
        <w:tab/>
      </w:r>
      <w:proofErr w:type="spellStart"/>
      <w:r w:rsidRPr="00220282">
        <w:t>Knowledge</w:t>
      </w:r>
      <w:proofErr w:type="spellEnd"/>
      <w:r w:rsidRPr="00220282">
        <w:t xml:space="preserve"> </w:t>
      </w:r>
      <w:proofErr w:type="spellStart"/>
      <w:r w:rsidRPr="00220282">
        <w:t>Sharing</w:t>
      </w:r>
      <w:proofErr w:type="spellEnd"/>
      <w:r w:rsidRPr="00220282">
        <w:t xml:space="preserve"> Site/Sieť SLIC pre rýchlu výmenu informácií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065B9D">
        <w:t>KV pre BOZP</w:t>
      </w:r>
      <w:r w:rsidRPr="00065B9D">
        <w:tab/>
        <w:t>Koordinačný výbor pre BOZP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MDVRR SR</w:t>
      </w:r>
      <w:r w:rsidRPr="00756740">
        <w:tab/>
        <w:t xml:space="preserve">Ministerstvo dopravy, výstavby a regionálneho rozvoja Slovenskej </w:t>
      </w:r>
      <w:r w:rsidR="00DB0402">
        <w:tab/>
      </w:r>
      <w:r w:rsidRPr="00756740">
        <w:t>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MF SR</w:t>
      </w:r>
      <w:r w:rsidRPr="00756740">
        <w:tab/>
        <w:t>Ministerstvo financií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MH SR</w:t>
      </w:r>
      <w:r w:rsidRPr="00756740">
        <w:tab/>
        <w:t>Ministerstvo hospodárstva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MO SR</w:t>
      </w:r>
      <w:r w:rsidRPr="00756740">
        <w:tab/>
        <w:t>Ministerstvo obrany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065B9D">
        <w:t>MOP</w:t>
      </w:r>
      <w:r w:rsidRPr="00065B9D">
        <w:tab/>
        <w:t>Medzinárodná organizácia práce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MPSVR SR</w:t>
      </w:r>
      <w:r w:rsidRPr="00756740">
        <w:tab/>
        <w:t>Ministerstvo práce, sociálnych vecí a rodiny Slovenskej republiky</w:t>
      </w:r>
      <w:r w:rsidRPr="00756740">
        <w:tab/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MS SR</w:t>
      </w:r>
      <w:r w:rsidRPr="00756740">
        <w:tab/>
        <w:t>Ministerstvo spravodlivosti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MŠVVŠ SR</w:t>
      </w:r>
      <w:r w:rsidRPr="00756740">
        <w:tab/>
        <w:t>Ministerstvo školstva, vedy, výskumu a športu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MV SR</w:t>
      </w:r>
      <w:r w:rsidRPr="00756740">
        <w:tab/>
        <w:t>Ministerstvo vnútra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MZ SR</w:t>
      </w:r>
      <w:r w:rsidRPr="00756740">
        <w:tab/>
        <w:t>Ministerstvo zdravotníctva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NIP</w:t>
      </w:r>
      <w:r w:rsidRPr="00756740">
        <w:tab/>
        <w:t>Národný inšpektorát práce</w:t>
      </w:r>
    </w:p>
    <w:p w:rsidR="00756740" w:rsidRPr="00065B9D" w:rsidRDefault="00756740" w:rsidP="00DB0402">
      <w:pPr>
        <w:tabs>
          <w:tab w:val="left" w:pos="1985"/>
        </w:tabs>
        <w:spacing w:after="0"/>
        <w:ind w:firstLine="0"/>
      </w:pPr>
      <w:r w:rsidRPr="00065B9D">
        <w:t>OBÚ</w:t>
      </w:r>
      <w:r w:rsidRPr="00065B9D">
        <w:tab/>
        <w:t>obvodný banský úrad</w:t>
      </w:r>
    </w:p>
    <w:p w:rsidR="00756740" w:rsidRPr="00065B9D" w:rsidRDefault="00756740" w:rsidP="00DB0402">
      <w:pPr>
        <w:tabs>
          <w:tab w:val="left" w:pos="1985"/>
        </w:tabs>
        <w:spacing w:after="0"/>
        <w:ind w:firstLine="0"/>
      </w:pPr>
      <w:r w:rsidRPr="00065B9D">
        <w:t>OECD</w:t>
      </w:r>
      <w:r w:rsidRPr="00065B9D">
        <w:tab/>
      </w:r>
      <w:proofErr w:type="spellStart"/>
      <w:r w:rsidRPr="00065B9D">
        <w:t>Organisation</w:t>
      </w:r>
      <w:proofErr w:type="spellEnd"/>
      <w:r w:rsidRPr="00065B9D">
        <w:t xml:space="preserve"> </w:t>
      </w:r>
      <w:proofErr w:type="spellStart"/>
      <w:r w:rsidRPr="00065B9D">
        <w:t>for</w:t>
      </w:r>
      <w:proofErr w:type="spellEnd"/>
      <w:r w:rsidRPr="00065B9D">
        <w:t xml:space="preserve"> </w:t>
      </w:r>
      <w:proofErr w:type="spellStart"/>
      <w:r w:rsidRPr="00065B9D">
        <w:t>Economic</w:t>
      </w:r>
      <w:proofErr w:type="spellEnd"/>
      <w:r w:rsidRPr="00065B9D">
        <w:t xml:space="preserve"> </w:t>
      </w:r>
      <w:proofErr w:type="spellStart"/>
      <w:r w:rsidRPr="00065B9D">
        <w:t>Co-operation</w:t>
      </w:r>
      <w:proofErr w:type="spellEnd"/>
      <w:r w:rsidRPr="00065B9D">
        <w:t xml:space="preserve"> and </w:t>
      </w:r>
      <w:proofErr w:type="spellStart"/>
      <w:r w:rsidRPr="00065B9D">
        <w:t>Development</w:t>
      </w:r>
      <w:proofErr w:type="spellEnd"/>
      <w:r w:rsidRPr="00065B9D">
        <w:t xml:space="preserve">/ Organizácia </w:t>
      </w:r>
      <w:r w:rsidR="00DB0402">
        <w:tab/>
      </w:r>
      <w:r w:rsidRPr="00065B9D">
        <w:t>pre hospodársku spoluprácu a rozvoj</w:t>
      </w:r>
    </w:p>
    <w:p w:rsidR="00756740" w:rsidRPr="00065B9D" w:rsidRDefault="00756740" w:rsidP="00DB0402">
      <w:pPr>
        <w:tabs>
          <w:tab w:val="left" w:pos="1985"/>
        </w:tabs>
        <w:spacing w:after="0"/>
        <w:ind w:firstLine="0"/>
      </w:pPr>
      <w:r w:rsidRPr="00065B9D">
        <w:t>OOP</w:t>
      </w:r>
      <w:r w:rsidRPr="00065B9D">
        <w:tab/>
        <w:t>ochrana pred požiarmi</w:t>
      </w:r>
    </w:p>
    <w:p w:rsidR="00756740" w:rsidRPr="00065B9D" w:rsidRDefault="00756740" w:rsidP="00DB0402">
      <w:pPr>
        <w:tabs>
          <w:tab w:val="left" w:pos="1985"/>
        </w:tabs>
        <w:spacing w:after="0"/>
        <w:ind w:firstLine="0"/>
      </w:pPr>
      <w:r w:rsidRPr="00065B9D">
        <w:t>OOPP</w:t>
      </w:r>
      <w:r w:rsidRPr="00065B9D">
        <w:tab/>
        <w:t>osobné ochranné pracovné prostriedky</w:t>
      </w:r>
    </w:p>
    <w:p w:rsidR="00756740" w:rsidRPr="00065B9D" w:rsidRDefault="00756740" w:rsidP="00DB0402">
      <w:pPr>
        <w:tabs>
          <w:tab w:val="left" w:pos="1985"/>
        </w:tabs>
        <w:spacing w:after="0"/>
        <w:ind w:firstLine="0"/>
      </w:pPr>
      <w:r w:rsidRPr="00065B9D">
        <w:t>OS SR</w:t>
      </w:r>
      <w:r w:rsidRPr="00065B9D">
        <w:tab/>
        <w:t>Ozbrojené sily Slovenskej republiky</w:t>
      </w:r>
    </w:p>
    <w:p w:rsidR="00756740" w:rsidRPr="00065B9D" w:rsidRDefault="00DB0402" w:rsidP="00DB0402">
      <w:pPr>
        <w:tabs>
          <w:tab w:val="left" w:pos="1985"/>
        </w:tabs>
        <w:spacing w:after="0"/>
        <w:ind w:firstLine="0"/>
      </w:pPr>
      <w:r>
        <w:t>PZS</w:t>
      </w:r>
      <w:r>
        <w:tab/>
      </w:r>
      <w:r w:rsidR="00756740" w:rsidRPr="00065B9D">
        <w:t>pracovná zdravotná služba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065B9D">
        <w:t xml:space="preserve">REACH </w:t>
      </w:r>
      <w:r w:rsidRPr="00065B9D">
        <w:tab/>
        <w:t xml:space="preserve">Nariadenie Európskeho parlamentu a Rady (ES) č. 1907/2006/ES  z 18. </w:t>
      </w:r>
      <w:r w:rsidR="00DB0402">
        <w:tab/>
      </w:r>
      <w:r w:rsidRPr="00065B9D">
        <w:t xml:space="preserve">decembra 2006 o registrácii, hodnotení, autorizácii a obmedzovaní </w:t>
      </w:r>
      <w:r w:rsidR="00DB0402">
        <w:lastRenderedPageBreak/>
        <w:tab/>
      </w:r>
      <w:r w:rsidRPr="00065B9D">
        <w:t xml:space="preserve">chemických látok (REACH) a o zriadení Európskej chemickej agentúry, </w:t>
      </w:r>
      <w:r w:rsidR="00DB0402">
        <w:tab/>
      </w:r>
      <w:r w:rsidRPr="00065B9D">
        <w:t xml:space="preserve">o zmene a doplnení smernice 1999/45/ES a o zrušení nariadenia Rady </w:t>
      </w:r>
      <w:r w:rsidR="00DB0402">
        <w:tab/>
      </w:r>
      <w:r w:rsidRPr="00065B9D">
        <w:t xml:space="preserve">(EHS) č. 793/93 a nariadenia Komisie (ES) č. 1488/94, smernice Rady </w:t>
      </w:r>
      <w:r w:rsidR="00DB0402">
        <w:tab/>
      </w:r>
      <w:r w:rsidRPr="00065B9D">
        <w:t xml:space="preserve">76/769/EHS a smerníc Komisie 91/155/EHS, 93/67/EHS, 93/105/ES a </w:t>
      </w:r>
      <w:r w:rsidR="00DB0402">
        <w:tab/>
      </w:r>
      <w:r w:rsidRPr="00065B9D">
        <w:t>2000/21/ES</w:t>
      </w:r>
    </w:p>
    <w:p w:rsidR="00756740" w:rsidRPr="00756740" w:rsidRDefault="00DB0402" w:rsidP="00DB0402">
      <w:pPr>
        <w:tabs>
          <w:tab w:val="left" w:pos="1985"/>
        </w:tabs>
        <w:spacing w:after="0"/>
        <w:ind w:firstLine="0"/>
      </w:pPr>
      <w:r>
        <w:t xml:space="preserve">RÚVZ </w:t>
      </w:r>
      <w:r>
        <w:tab/>
      </w:r>
      <w:r w:rsidR="00756740" w:rsidRPr="00756740">
        <w:t>regionálny úrad verejného zdravotníctva</w:t>
      </w:r>
    </w:p>
    <w:p w:rsidR="00756740" w:rsidRPr="00756740" w:rsidRDefault="00DB0402" w:rsidP="00DB0402">
      <w:pPr>
        <w:tabs>
          <w:tab w:val="left" w:pos="1985"/>
        </w:tabs>
        <w:spacing w:after="0"/>
        <w:ind w:firstLine="0"/>
      </w:pPr>
      <w:r>
        <w:t xml:space="preserve">RÚZ </w:t>
      </w:r>
      <w:r>
        <w:tab/>
      </w:r>
      <w:r w:rsidR="00756740" w:rsidRPr="00756740">
        <w:t>Republiková únia zamestnávateľov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 xml:space="preserve">SAMP </w:t>
      </w:r>
      <w:r w:rsidRPr="00756740">
        <w:tab/>
        <w:t>Slovenská asociácia malých a stredných podnikov a živnostníkov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SAV</w:t>
      </w:r>
      <w:r w:rsidRPr="00756740">
        <w:tab/>
        <w:t>Slovenská akadémia vied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SLIC</w:t>
      </w:r>
      <w:r w:rsidRPr="00756740">
        <w:tab/>
        <w:t>Výbor hlavných inšpektorov práce EÚ</w:t>
      </w:r>
    </w:p>
    <w:p w:rsidR="00756740" w:rsidRPr="00756740" w:rsidRDefault="00DB0402" w:rsidP="00DB0402">
      <w:pPr>
        <w:tabs>
          <w:tab w:val="left" w:pos="1985"/>
        </w:tabs>
        <w:spacing w:after="0"/>
        <w:ind w:firstLine="0"/>
      </w:pPr>
      <w:r>
        <w:t xml:space="preserve">Slovenská asociácia </w:t>
      </w:r>
      <w:r w:rsidR="00756740" w:rsidRPr="00756740">
        <w:t>Slovenská   asociácia   pre   bezpečnosť  a  ochranu  zdravia  pri  práci</w:t>
      </w:r>
    </w:p>
    <w:p w:rsidR="007D72F6" w:rsidRDefault="00756740" w:rsidP="00DB0402">
      <w:pPr>
        <w:tabs>
          <w:tab w:val="left" w:pos="1985"/>
        </w:tabs>
        <w:spacing w:after="0"/>
        <w:ind w:firstLine="0"/>
      </w:pPr>
      <w:r w:rsidRPr="00756740">
        <w:t xml:space="preserve">BOZP a OPP </w:t>
      </w:r>
      <w:r w:rsidRPr="00756740">
        <w:tab/>
        <w:t>a ochranu pred požiarmi</w:t>
      </w:r>
    </w:p>
    <w:p w:rsidR="00756740" w:rsidRPr="00756740" w:rsidRDefault="007D72F6" w:rsidP="00DB0402">
      <w:pPr>
        <w:tabs>
          <w:tab w:val="left" w:pos="1985"/>
        </w:tabs>
        <w:spacing w:after="0"/>
        <w:ind w:firstLine="0"/>
      </w:pPr>
      <w:proofErr w:type="spellStart"/>
      <w:r>
        <w:t>SLvD</w:t>
      </w:r>
      <w:proofErr w:type="spellEnd"/>
      <w:r>
        <w:tab/>
        <w:t>sociálna legislatíva v doprave</w:t>
      </w:r>
      <w:r w:rsidR="00756740" w:rsidRPr="00756740">
        <w:tab/>
      </w:r>
      <w:r w:rsidR="00756740" w:rsidRPr="00756740">
        <w:tab/>
      </w:r>
      <w:r w:rsidR="00756740" w:rsidRPr="00756740">
        <w:tab/>
      </w:r>
      <w:r w:rsidR="00756740" w:rsidRPr="00756740">
        <w:tab/>
      </w:r>
    </w:p>
    <w:p w:rsid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SOPK</w:t>
      </w:r>
      <w:r w:rsidRPr="00756740">
        <w:tab/>
        <w:t>Slovenská obchodná a priemyselná komora</w:t>
      </w:r>
    </w:p>
    <w:p w:rsidR="00FF0659" w:rsidRDefault="00FF0659" w:rsidP="00DB0402">
      <w:pPr>
        <w:tabs>
          <w:tab w:val="left" w:pos="1985"/>
        </w:tabs>
        <w:spacing w:after="0"/>
        <w:ind w:firstLine="0"/>
      </w:pPr>
      <w:r>
        <w:t>SR</w:t>
      </w:r>
      <w:r>
        <w:tab/>
        <w:t>Slovenská republika</w:t>
      </w:r>
    </w:p>
    <w:p w:rsidR="00E0207B" w:rsidRPr="00756740" w:rsidRDefault="00E0207B" w:rsidP="00DB0402">
      <w:pPr>
        <w:tabs>
          <w:tab w:val="left" w:pos="1985"/>
        </w:tabs>
        <w:spacing w:after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SZVK</w:t>
      </w:r>
      <w:r>
        <w:rPr>
          <w:rFonts w:cs="Times New Roman"/>
          <w:szCs w:val="24"/>
        </w:rPr>
        <w:tab/>
      </w:r>
      <w:r>
        <w:t>Slovenské združenie výrobcov kameniva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 xml:space="preserve">SŽZ </w:t>
      </w:r>
      <w:r w:rsidRPr="00756740">
        <w:tab/>
        <w:t>Slovenský živnostenský zväz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ŠIOV</w:t>
      </w:r>
      <w:r w:rsidRPr="00756740">
        <w:tab/>
        <w:t>Štátny inštitút odborného vzdelávania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  <w:rPr>
          <w:noProof/>
          <w:lang w:eastAsia="sk-SK"/>
        </w:rPr>
      </w:pPr>
      <w:r w:rsidRPr="00756740">
        <w:t>ŠÚ SR</w:t>
      </w:r>
      <w:r w:rsidRPr="00756740">
        <w:tab/>
      </w:r>
      <w:r w:rsidRPr="00756740">
        <w:rPr>
          <w:noProof/>
          <w:lang w:eastAsia="sk-SK"/>
        </w:rPr>
        <w:t>Štatistický úrad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065B9D">
        <w:t>ŠVP</w:t>
      </w:r>
      <w:r w:rsidRPr="00065B9D">
        <w:tab/>
        <w:t>štátny vzdelávací program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TUKE</w:t>
      </w:r>
      <w:r w:rsidRPr="00756740">
        <w:tab/>
        <w:t>Technická univerzita Košice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ÚNMS SR</w:t>
      </w:r>
      <w:r w:rsidRPr="00756740">
        <w:tab/>
        <w:t>Úrad pre normalizáciu, metrológiu a skúšobníctvo Slovenskej republiky</w:t>
      </w:r>
    </w:p>
    <w:p w:rsid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ÚVZ SR</w:t>
      </w:r>
      <w:r w:rsidRPr="00756740">
        <w:tab/>
        <w:t>Úrad verejného zdravotníctva Slovenskej republiky</w:t>
      </w:r>
    </w:p>
    <w:p w:rsidR="00B86604" w:rsidRDefault="00B86604" w:rsidP="00DB0402">
      <w:pPr>
        <w:tabs>
          <w:tab w:val="left" w:pos="1985"/>
        </w:tabs>
        <w:spacing w:after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VEGA</w:t>
      </w:r>
      <w:r>
        <w:rPr>
          <w:rFonts w:cs="Times New Roman"/>
          <w:szCs w:val="24"/>
        </w:rPr>
        <w:tab/>
      </w:r>
      <w:r>
        <w:t>Vedecká grantová agentúra MŠVVŠ SR a SAV</w:t>
      </w:r>
    </w:p>
    <w:p w:rsidR="00220282" w:rsidRDefault="00220282" w:rsidP="00DB0402">
      <w:pPr>
        <w:tabs>
          <w:tab w:val="left" w:pos="1985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VTZ</w:t>
      </w:r>
      <w:r>
        <w:rPr>
          <w:rFonts w:cs="Times New Roman"/>
        </w:rPr>
        <w:tab/>
      </w:r>
      <w:r>
        <w:t>vyhradené technické zariadenia tlakové, plynové, zdvíhacie a elektrické</w:t>
      </w:r>
    </w:p>
    <w:p w:rsidR="009339C9" w:rsidRPr="00756740" w:rsidRDefault="009339C9" w:rsidP="00DB0402">
      <w:pPr>
        <w:tabs>
          <w:tab w:val="left" w:pos="1985"/>
        </w:tabs>
        <w:spacing w:after="0"/>
        <w:ind w:firstLine="0"/>
        <w:rPr>
          <w:rFonts w:cs="Times New Roman"/>
          <w:szCs w:val="24"/>
        </w:rPr>
      </w:pPr>
      <w:r>
        <w:t>ZCHFP SR</w:t>
      </w:r>
      <w:r>
        <w:rPr>
          <w:rFonts w:cs="Times New Roman"/>
          <w:szCs w:val="24"/>
        </w:rPr>
        <w:tab/>
      </w:r>
      <w:r>
        <w:t>Zväz chemického a farmaceutického priemyslu Slovenskej republiky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ZMOS</w:t>
      </w:r>
      <w:r w:rsidRPr="00756740">
        <w:tab/>
        <w:t>Združenie miest a obcí Slovenska</w:t>
      </w:r>
    </w:p>
    <w:p w:rsidR="00756740" w:rsidRPr="00756740" w:rsidRDefault="00756740" w:rsidP="00DB0402">
      <w:pPr>
        <w:tabs>
          <w:tab w:val="left" w:pos="1985"/>
        </w:tabs>
        <w:spacing w:after="0"/>
        <w:ind w:firstLine="0"/>
      </w:pPr>
      <w:r w:rsidRPr="00756740">
        <w:t>ZVJS</w:t>
      </w:r>
      <w:r w:rsidRPr="00756740">
        <w:tab/>
        <w:t>Zbor väzenskej a justičnej stráže</w:t>
      </w:r>
    </w:p>
    <w:p w:rsidR="005F484B" w:rsidRDefault="005F484B" w:rsidP="00C81929"/>
    <w:p w:rsidR="005F484B" w:rsidRPr="005F484B" w:rsidRDefault="005F484B" w:rsidP="005F484B"/>
    <w:p w:rsidR="005F484B" w:rsidRPr="005F484B" w:rsidRDefault="005F484B" w:rsidP="005F484B"/>
    <w:p w:rsidR="005F484B" w:rsidRPr="005F484B" w:rsidRDefault="005F484B" w:rsidP="005F484B"/>
    <w:p w:rsidR="005F484B" w:rsidRDefault="005F484B" w:rsidP="005F484B"/>
    <w:p w:rsidR="00AB356B" w:rsidRPr="005F484B" w:rsidRDefault="00AB356B" w:rsidP="005F484B">
      <w:pPr>
        <w:jc w:val="center"/>
      </w:pPr>
    </w:p>
    <w:sectPr w:rsidR="00AB356B" w:rsidRPr="005F484B" w:rsidSect="00202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30" w:rsidRDefault="00E52530" w:rsidP="00C81929">
      <w:r>
        <w:separator/>
      </w:r>
    </w:p>
  </w:endnote>
  <w:endnote w:type="continuationSeparator" w:id="0">
    <w:p w:rsidR="00E52530" w:rsidRDefault="00E52530" w:rsidP="00C8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851739"/>
      <w:docPartObj>
        <w:docPartGallery w:val="Page Numbers (Bottom of Page)"/>
        <w:docPartUnique/>
      </w:docPartObj>
    </w:sdtPr>
    <w:sdtEndPr/>
    <w:sdtContent>
      <w:p w:rsidR="00446AC5" w:rsidRDefault="00446AC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ABF">
          <w:rPr>
            <w:noProof/>
          </w:rPr>
          <w:t>15</w:t>
        </w:r>
        <w:r>
          <w:fldChar w:fldCharType="end"/>
        </w:r>
      </w:p>
    </w:sdtContent>
  </w:sdt>
  <w:p w:rsidR="00446AC5" w:rsidRDefault="00446A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30" w:rsidRDefault="00E52530" w:rsidP="00C81929">
      <w:r>
        <w:separator/>
      </w:r>
    </w:p>
  </w:footnote>
  <w:footnote w:type="continuationSeparator" w:id="0">
    <w:p w:rsidR="00E52530" w:rsidRDefault="00E52530" w:rsidP="00C8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26A"/>
    <w:multiLevelType w:val="hybridMultilevel"/>
    <w:tmpl w:val="A09631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2794"/>
    <w:multiLevelType w:val="hybridMultilevel"/>
    <w:tmpl w:val="051C4F8A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7E5A78"/>
    <w:multiLevelType w:val="hybridMultilevel"/>
    <w:tmpl w:val="FBC66B36"/>
    <w:lvl w:ilvl="0" w:tplc="ECFC1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E21B5"/>
    <w:multiLevelType w:val="hybridMultilevel"/>
    <w:tmpl w:val="B9E63B9A"/>
    <w:lvl w:ilvl="0" w:tplc="618CBE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3C2761"/>
    <w:multiLevelType w:val="hybridMultilevel"/>
    <w:tmpl w:val="E2D211C0"/>
    <w:lvl w:ilvl="0" w:tplc="6C124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72BD"/>
    <w:multiLevelType w:val="hybridMultilevel"/>
    <w:tmpl w:val="1E1A1CDC"/>
    <w:lvl w:ilvl="0" w:tplc="ECFC1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6D"/>
    <w:rsid w:val="00010F4A"/>
    <w:rsid w:val="00012546"/>
    <w:rsid w:val="00035E1A"/>
    <w:rsid w:val="00065B9D"/>
    <w:rsid w:val="000870A3"/>
    <w:rsid w:val="000A7C16"/>
    <w:rsid w:val="000C2EE1"/>
    <w:rsid w:val="000C6ED0"/>
    <w:rsid w:val="000D1040"/>
    <w:rsid w:val="000D4A7E"/>
    <w:rsid w:val="000E0A4D"/>
    <w:rsid w:val="000F6DF9"/>
    <w:rsid w:val="00110AFA"/>
    <w:rsid w:val="001119B0"/>
    <w:rsid w:val="001340E6"/>
    <w:rsid w:val="001406AD"/>
    <w:rsid w:val="00142BFC"/>
    <w:rsid w:val="0016063A"/>
    <w:rsid w:val="00165DD2"/>
    <w:rsid w:val="00176891"/>
    <w:rsid w:val="00177A5E"/>
    <w:rsid w:val="0018123A"/>
    <w:rsid w:val="00191BAE"/>
    <w:rsid w:val="001963F4"/>
    <w:rsid w:val="00196886"/>
    <w:rsid w:val="00196D6D"/>
    <w:rsid w:val="001A3A3E"/>
    <w:rsid w:val="001A6B09"/>
    <w:rsid w:val="001C0052"/>
    <w:rsid w:val="001C38F9"/>
    <w:rsid w:val="001E03F6"/>
    <w:rsid w:val="001E717F"/>
    <w:rsid w:val="001F3329"/>
    <w:rsid w:val="00202718"/>
    <w:rsid w:val="00214718"/>
    <w:rsid w:val="00220282"/>
    <w:rsid w:val="002250CB"/>
    <w:rsid w:val="002460A9"/>
    <w:rsid w:val="0026096D"/>
    <w:rsid w:val="002947D0"/>
    <w:rsid w:val="002A1162"/>
    <w:rsid w:val="002B1C97"/>
    <w:rsid w:val="002B3487"/>
    <w:rsid w:val="002B3F8C"/>
    <w:rsid w:val="002C70F4"/>
    <w:rsid w:val="002C73DB"/>
    <w:rsid w:val="002F0226"/>
    <w:rsid w:val="002F61C4"/>
    <w:rsid w:val="00321FBB"/>
    <w:rsid w:val="003235CE"/>
    <w:rsid w:val="00324B5C"/>
    <w:rsid w:val="00325C8F"/>
    <w:rsid w:val="0034248D"/>
    <w:rsid w:val="003463E3"/>
    <w:rsid w:val="003477C6"/>
    <w:rsid w:val="00374FFD"/>
    <w:rsid w:val="00376D47"/>
    <w:rsid w:val="003F5B08"/>
    <w:rsid w:val="003F614D"/>
    <w:rsid w:val="004009B6"/>
    <w:rsid w:val="00417135"/>
    <w:rsid w:val="004250C9"/>
    <w:rsid w:val="00430C52"/>
    <w:rsid w:val="00433784"/>
    <w:rsid w:val="00436816"/>
    <w:rsid w:val="00436FFB"/>
    <w:rsid w:val="00445DF2"/>
    <w:rsid w:val="00446AC5"/>
    <w:rsid w:val="00455AA5"/>
    <w:rsid w:val="004668CA"/>
    <w:rsid w:val="004838DC"/>
    <w:rsid w:val="00494D78"/>
    <w:rsid w:val="004C145A"/>
    <w:rsid w:val="004C2E9A"/>
    <w:rsid w:val="004C450A"/>
    <w:rsid w:val="004D65F7"/>
    <w:rsid w:val="004E3E22"/>
    <w:rsid w:val="004F7A19"/>
    <w:rsid w:val="00504698"/>
    <w:rsid w:val="0051312F"/>
    <w:rsid w:val="00526ABF"/>
    <w:rsid w:val="00532CE1"/>
    <w:rsid w:val="00536606"/>
    <w:rsid w:val="00537043"/>
    <w:rsid w:val="00541E99"/>
    <w:rsid w:val="005737EF"/>
    <w:rsid w:val="00576E9B"/>
    <w:rsid w:val="005B7830"/>
    <w:rsid w:val="005F484B"/>
    <w:rsid w:val="005F6FAE"/>
    <w:rsid w:val="00607FC9"/>
    <w:rsid w:val="00620848"/>
    <w:rsid w:val="00620C6C"/>
    <w:rsid w:val="0062434C"/>
    <w:rsid w:val="00664CAD"/>
    <w:rsid w:val="00681153"/>
    <w:rsid w:val="00681C13"/>
    <w:rsid w:val="00694D7E"/>
    <w:rsid w:val="00695ADF"/>
    <w:rsid w:val="00697A4A"/>
    <w:rsid w:val="006A15DE"/>
    <w:rsid w:val="006B03E5"/>
    <w:rsid w:val="006B0707"/>
    <w:rsid w:val="006B1122"/>
    <w:rsid w:val="006B67DF"/>
    <w:rsid w:val="006C0B2F"/>
    <w:rsid w:val="006D03B5"/>
    <w:rsid w:val="006D3524"/>
    <w:rsid w:val="006F7691"/>
    <w:rsid w:val="00700A14"/>
    <w:rsid w:val="00745798"/>
    <w:rsid w:val="0074792A"/>
    <w:rsid w:val="00756740"/>
    <w:rsid w:val="00772FA3"/>
    <w:rsid w:val="007878AA"/>
    <w:rsid w:val="007A0060"/>
    <w:rsid w:val="007C392F"/>
    <w:rsid w:val="007D72F6"/>
    <w:rsid w:val="007E73C6"/>
    <w:rsid w:val="007F706A"/>
    <w:rsid w:val="0082147E"/>
    <w:rsid w:val="00832BF2"/>
    <w:rsid w:val="00847B00"/>
    <w:rsid w:val="008548B2"/>
    <w:rsid w:val="00854B00"/>
    <w:rsid w:val="0085658B"/>
    <w:rsid w:val="00861397"/>
    <w:rsid w:val="00864845"/>
    <w:rsid w:val="0087134E"/>
    <w:rsid w:val="0089477A"/>
    <w:rsid w:val="008A1CE1"/>
    <w:rsid w:val="008B452D"/>
    <w:rsid w:val="008C7E76"/>
    <w:rsid w:val="008D2F3B"/>
    <w:rsid w:val="008D4D50"/>
    <w:rsid w:val="008D7BEB"/>
    <w:rsid w:val="008D7CC4"/>
    <w:rsid w:val="008E36EB"/>
    <w:rsid w:val="008E62B5"/>
    <w:rsid w:val="008E6443"/>
    <w:rsid w:val="0092567A"/>
    <w:rsid w:val="009339C9"/>
    <w:rsid w:val="00944F27"/>
    <w:rsid w:val="00963913"/>
    <w:rsid w:val="00963F9F"/>
    <w:rsid w:val="009754F8"/>
    <w:rsid w:val="00994F30"/>
    <w:rsid w:val="009C2F91"/>
    <w:rsid w:val="009C5F42"/>
    <w:rsid w:val="009D21F3"/>
    <w:rsid w:val="009D7F84"/>
    <w:rsid w:val="009E4827"/>
    <w:rsid w:val="009F3F9E"/>
    <w:rsid w:val="009F5870"/>
    <w:rsid w:val="00A05DB8"/>
    <w:rsid w:val="00A23FAA"/>
    <w:rsid w:val="00A27AEE"/>
    <w:rsid w:val="00A42F20"/>
    <w:rsid w:val="00A45F81"/>
    <w:rsid w:val="00A526B4"/>
    <w:rsid w:val="00A563D6"/>
    <w:rsid w:val="00A75AD8"/>
    <w:rsid w:val="00A84D3E"/>
    <w:rsid w:val="00A867EE"/>
    <w:rsid w:val="00A90AE7"/>
    <w:rsid w:val="00AA04C6"/>
    <w:rsid w:val="00AA3A97"/>
    <w:rsid w:val="00AA4C2B"/>
    <w:rsid w:val="00AB356B"/>
    <w:rsid w:val="00AB5748"/>
    <w:rsid w:val="00AD1AA3"/>
    <w:rsid w:val="00AD2A2D"/>
    <w:rsid w:val="00AD6E4B"/>
    <w:rsid w:val="00AE04BE"/>
    <w:rsid w:val="00AE57E1"/>
    <w:rsid w:val="00AF50D1"/>
    <w:rsid w:val="00B03663"/>
    <w:rsid w:val="00B05610"/>
    <w:rsid w:val="00B108A6"/>
    <w:rsid w:val="00B14AAA"/>
    <w:rsid w:val="00B26BFA"/>
    <w:rsid w:val="00B27149"/>
    <w:rsid w:val="00B30734"/>
    <w:rsid w:val="00B42D26"/>
    <w:rsid w:val="00B479F1"/>
    <w:rsid w:val="00B621DA"/>
    <w:rsid w:val="00B64395"/>
    <w:rsid w:val="00B86604"/>
    <w:rsid w:val="00B86983"/>
    <w:rsid w:val="00B91774"/>
    <w:rsid w:val="00B9193E"/>
    <w:rsid w:val="00BA0870"/>
    <w:rsid w:val="00BA0A2F"/>
    <w:rsid w:val="00BB37D7"/>
    <w:rsid w:val="00BB6F05"/>
    <w:rsid w:val="00BB730C"/>
    <w:rsid w:val="00BC1350"/>
    <w:rsid w:val="00BD66FE"/>
    <w:rsid w:val="00BE4CAA"/>
    <w:rsid w:val="00C042E6"/>
    <w:rsid w:val="00C126B2"/>
    <w:rsid w:val="00C222B9"/>
    <w:rsid w:val="00C67B5B"/>
    <w:rsid w:val="00C75D4D"/>
    <w:rsid w:val="00C7639D"/>
    <w:rsid w:val="00C81929"/>
    <w:rsid w:val="00C86FC3"/>
    <w:rsid w:val="00C903E9"/>
    <w:rsid w:val="00CA6A78"/>
    <w:rsid w:val="00CB6B98"/>
    <w:rsid w:val="00CC03E2"/>
    <w:rsid w:val="00CD657F"/>
    <w:rsid w:val="00CD6803"/>
    <w:rsid w:val="00CE719D"/>
    <w:rsid w:val="00D05186"/>
    <w:rsid w:val="00D23BA5"/>
    <w:rsid w:val="00D23E68"/>
    <w:rsid w:val="00D3799F"/>
    <w:rsid w:val="00D47028"/>
    <w:rsid w:val="00D52828"/>
    <w:rsid w:val="00D5448F"/>
    <w:rsid w:val="00D55508"/>
    <w:rsid w:val="00D728AC"/>
    <w:rsid w:val="00D766D1"/>
    <w:rsid w:val="00D82ACB"/>
    <w:rsid w:val="00DB0402"/>
    <w:rsid w:val="00DC62C5"/>
    <w:rsid w:val="00DC7273"/>
    <w:rsid w:val="00DD0820"/>
    <w:rsid w:val="00DE13E5"/>
    <w:rsid w:val="00DE7CB6"/>
    <w:rsid w:val="00E0207B"/>
    <w:rsid w:val="00E17E30"/>
    <w:rsid w:val="00E21F41"/>
    <w:rsid w:val="00E25BCE"/>
    <w:rsid w:val="00E4695E"/>
    <w:rsid w:val="00E52530"/>
    <w:rsid w:val="00E76347"/>
    <w:rsid w:val="00E7704A"/>
    <w:rsid w:val="00E778C8"/>
    <w:rsid w:val="00E85EC0"/>
    <w:rsid w:val="00E922A5"/>
    <w:rsid w:val="00E922E8"/>
    <w:rsid w:val="00EB0BB1"/>
    <w:rsid w:val="00EC7148"/>
    <w:rsid w:val="00EE5FF4"/>
    <w:rsid w:val="00EF44F6"/>
    <w:rsid w:val="00F0268E"/>
    <w:rsid w:val="00F44318"/>
    <w:rsid w:val="00F53959"/>
    <w:rsid w:val="00F74F58"/>
    <w:rsid w:val="00F91108"/>
    <w:rsid w:val="00FB07F7"/>
    <w:rsid w:val="00FC4084"/>
    <w:rsid w:val="00FC7919"/>
    <w:rsid w:val="00FE00D4"/>
    <w:rsid w:val="00FE1A70"/>
    <w:rsid w:val="00FF0659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402"/>
    <w:pPr>
      <w:spacing w:after="80"/>
      <w:ind w:firstLine="425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196D6D"/>
    <w:pPr>
      <w:keepNext/>
      <w:outlineLvl w:val="0"/>
    </w:pPr>
    <w:rPr>
      <w:rFonts w:eastAsia="Times New Roman" w:cs="Times New Roman"/>
      <w:b/>
      <w:bCs/>
      <w:szCs w:val="24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E76347"/>
    <w:pPr>
      <w:keepNext/>
      <w:keepLines/>
      <w:ind w:firstLine="0"/>
      <w:outlineLvl w:val="1"/>
    </w:pPr>
    <w:rPr>
      <w:rFonts w:eastAsiaTheme="majorEastAsia" w:cstheme="majorBidi"/>
      <w:b/>
      <w:bCs/>
      <w:i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A0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6D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rsid w:val="00196D6D"/>
    <w:pPr>
      <w:jc w:val="center"/>
    </w:pPr>
    <w:rPr>
      <w:rFonts w:eastAsia="Times New Roman" w:cs="Times New Roman"/>
      <w:b/>
      <w:bCs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96D6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196D6D"/>
    <w:pPr>
      <w:jc w:val="center"/>
    </w:pPr>
    <w:rPr>
      <w:rFonts w:eastAsia="Times New Roman" w:cs="Times New Roman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99"/>
    <w:rsid w:val="00196D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196D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96D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96D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6D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6D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6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D6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A0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ywebov">
    <w:name w:val="Normal (Web)"/>
    <w:basedOn w:val="Normlny"/>
    <w:unhideWhenUsed/>
    <w:rsid w:val="007A0060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6347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styleId="Hypertextovprepojenie">
    <w:name w:val="Hyperlink"/>
    <w:rsid w:val="0026096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6096D"/>
    <w:rPr>
      <w:color w:val="800080" w:themeColor="followedHyperlink"/>
      <w:u w:val="single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D4A7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D4A7E"/>
    <w:rPr>
      <w:rFonts w:ascii="Times New Roman" w:hAnsi="Times New Roman"/>
      <w:sz w:val="16"/>
      <w:szCs w:val="16"/>
    </w:rPr>
  </w:style>
  <w:style w:type="paragraph" w:customStyle="1" w:styleId="Odsekzoznamu1">
    <w:name w:val="Odsek zoznamu1"/>
    <w:basedOn w:val="Normlny"/>
    <w:rsid w:val="00D23BA5"/>
    <w:pPr>
      <w:ind w:left="720"/>
      <w:jc w:val="left"/>
    </w:pPr>
    <w:rPr>
      <w:rFonts w:eastAsia="Calibri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AB356B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Bezriadkovania">
    <w:name w:val="No Spacing"/>
    <w:uiPriority w:val="1"/>
    <w:qFormat/>
    <w:rsid w:val="00AB35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45F8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45F81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5F81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C903E9"/>
    <w:pPr>
      <w:tabs>
        <w:tab w:val="center" w:pos="4536"/>
        <w:tab w:val="right" w:pos="9072"/>
      </w:tabs>
      <w:jc w:val="left"/>
    </w:pPr>
    <w:rPr>
      <w:rFonts w:eastAsia="Times New Roman" w:cs="Times New Roman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C903E9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445D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5DF2"/>
    <w:rPr>
      <w:rFonts w:ascii="Times New Roman" w:hAnsi="Times New Roman"/>
      <w:sz w:val="24"/>
    </w:rPr>
  </w:style>
  <w:style w:type="paragraph" w:customStyle="1" w:styleId="Default">
    <w:name w:val="Default"/>
    <w:rsid w:val="008C7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402"/>
    <w:pPr>
      <w:spacing w:after="80"/>
      <w:ind w:firstLine="425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196D6D"/>
    <w:pPr>
      <w:keepNext/>
      <w:outlineLvl w:val="0"/>
    </w:pPr>
    <w:rPr>
      <w:rFonts w:eastAsia="Times New Roman" w:cs="Times New Roman"/>
      <w:b/>
      <w:bCs/>
      <w:szCs w:val="24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E76347"/>
    <w:pPr>
      <w:keepNext/>
      <w:keepLines/>
      <w:ind w:firstLine="0"/>
      <w:outlineLvl w:val="1"/>
    </w:pPr>
    <w:rPr>
      <w:rFonts w:eastAsiaTheme="majorEastAsia" w:cstheme="majorBidi"/>
      <w:b/>
      <w:bCs/>
      <w:i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A0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6D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rsid w:val="00196D6D"/>
    <w:pPr>
      <w:jc w:val="center"/>
    </w:pPr>
    <w:rPr>
      <w:rFonts w:eastAsia="Times New Roman" w:cs="Times New Roman"/>
      <w:b/>
      <w:bCs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96D6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196D6D"/>
    <w:pPr>
      <w:jc w:val="center"/>
    </w:pPr>
    <w:rPr>
      <w:rFonts w:eastAsia="Times New Roman" w:cs="Times New Roman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99"/>
    <w:rsid w:val="00196D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196D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96D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96D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6D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6D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6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D6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A0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ywebov">
    <w:name w:val="Normal (Web)"/>
    <w:basedOn w:val="Normlny"/>
    <w:unhideWhenUsed/>
    <w:rsid w:val="007A0060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6347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styleId="Hypertextovprepojenie">
    <w:name w:val="Hyperlink"/>
    <w:rsid w:val="0026096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6096D"/>
    <w:rPr>
      <w:color w:val="800080" w:themeColor="followedHyperlink"/>
      <w:u w:val="single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D4A7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D4A7E"/>
    <w:rPr>
      <w:rFonts w:ascii="Times New Roman" w:hAnsi="Times New Roman"/>
      <w:sz w:val="16"/>
      <w:szCs w:val="16"/>
    </w:rPr>
  </w:style>
  <w:style w:type="paragraph" w:customStyle="1" w:styleId="Odsekzoznamu1">
    <w:name w:val="Odsek zoznamu1"/>
    <w:basedOn w:val="Normlny"/>
    <w:rsid w:val="00D23BA5"/>
    <w:pPr>
      <w:ind w:left="720"/>
      <w:jc w:val="left"/>
    </w:pPr>
    <w:rPr>
      <w:rFonts w:eastAsia="Calibri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AB356B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Bezriadkovania">
    <w:name w:val="No Spacing"/>
    <w:uiPriority w:val="1"/>
    <w:qFormat/>
    <w:rsid w:val="00AB35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45F8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45F81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5F81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C903E9"/>
    <w:pPr>
      <w:tabs>
        <w:tab w:val="center" w:pos="4536"/>
        <w:tab w:val="right" w:pos="9072"/>
      </w:tabs>
      <w:jc w:val="left"/>
    </w:pPr>
    <w:rPr>
      <w:rFonts w:eastAsia="Times New Roman" w:cs="Times New Roman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C903E9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445D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5DF2"/>
    <w:rPr>
      <w:rFonts w:ascii="Times New Roman" w:hAnsi="Times New Roman"/>
      <w:sz w:val="24"/>
    </w:rPr>
  </w:style>
  <w:style w:type="paragraph" w:customStyle="1" w:styleId="Default">
    <w:name w:val="Default"/>
    <w:rsid w:val="008C7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469A-AF67-47C0-BA45-FE9E81A3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10367</Words>
  <Characters>59096</Characters>
  <Application>Microsoft Office Word</Application>
  <DocSecurity>0</DocSecurity>
  <Lines>492</Lines>
  <Paragraphs>138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Kubičárová Petra</cp:lastModifiedBy>
  <cp:revision>2</cp:revision>
  <cp:lastPrinted>2019-06-05T09:27:00Z</cp:lastPrinted>
  <dcterms:created xsi:type="dcterms:W3CDTF">2019-06-11T11:02:00Z</dcterms:created>
  <dcterms:modified xsi:type="dcterms:W3CDTF">2019-06-11T11:02:00Z</dcterms:modified>
</cp:coreProperties>
</file>