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D63124" w:rsidRDefault="008A1252" w:rsidP="007B71A4">
            <w:pPr>
              <w:jc w:val="center"/>
              <w:rPr>
                <w:b/>
                <w:sz w:val="28"/>
                <w:szCs w:val="28"/>
              </w:rPr>
            </w:pPr>
            <w:r w:rsidRPr="00D63124">
              <w:rPr>
                <w:b/>
                <w:sz w:val="28"/>
                <w:szCs w:val="28"/>
              </w:rPr>
              <w:t>Analýza v</w:t>
            </w:r>
            <w:r w:rsidR="009F2DFA" w:rsidRPr="00D63124">
              <w:rPr>
                <w:b/>
                <w:sz w:val="28"/>
                <w:szCs w:val="28"/>
              </w:rPr>
              <w:t>plyv</w:t>
            </w:r>
            <w:r w:rsidRPr="00D63124">
              <w:rPr>
                <w:b/>
                <w:sz w:val="28"/>
                <w:szCs w:val="28"/>
              </w:rPr>
              <w:t>ov</w:t>
            </w:r>
            <w:r w:rsidR="009F2DFA" w:rsidRPr="00D63124">
              <w:rPr>
                <w:b/>
                <w:sz w:val="28"/>
                <w:szCs w:val="28"/>
              </w:rPr>
              <w:t xml:space="preserve"> na podnikateľské prostredie </w:t>
            </w:r>
          </w:p>
          <w:p w:rsidR="009F2DFA" w:rsidRPr="00F04CCD" w:rsidRDefault="009F2DFA" w:rsidP="00780BA6">
            <w:pPr>
              <w:jc w:val="center"/>
              <w:rPr>
                <w:b/>
              </w:rPr>
            </w:pPr>
            <w:r w:rsidRPr="00D63124">
              <w:rPr>
                <w:b/>
                <w:sz w:val="28"/>
                <w:szCs w:val="28"/>
              </w:rPr>
              <w:t xml:space="preserve">(vrátane </w:t>
            </w:r>
            <w:r w:rsidR="00780BA6" w:rsidRPr="00D63124">
              <w:rPr>
                <w:b/>
                <w:sz w:val="28"/>
                <w:szCs w:val="28"/>
              </w:rPr>
              <w:t xml:space="preserve">testu </w:t>
            </w:r>
            <w:r w:rsidRPr="00D63124">
              <w:rPr>
                <w:b/>
                <w:sz w:val="28"/>
                <w:szCs w:val="28"/>
              </w:rPr>
              <w:t>MSP)</w:t>
            </w:r>
          </w:p>
        </w:tc>
      </w:tr>
      <w:tr w:rsidR="009F2DFA" w:rsidRPr="00F04CCD" w:rsidTr="007B71A4">
        <w:trPr>
          <w:trHeight w:val="567"/>
        </w:trPr>
        <w:tc>
          <w:tcPr>
            <w:tcW w:w="9212" w:type="dxa"/>
            <w:shd w:val="clear" w:color="auto" w:fill="D9D9D9" w:themeFill="background1" w:themeFillShade="D9"/>
          </w:tcPr>
          <w:p w:rsidR="009F2DFA" w:rsidRPr="00D63124" w:rsidRDefault="009F2DFA" w:rsidP="007B71A4">
            <w:pPr>
              <w:rPr>
                <w:b/>
                <w:sz w:val="24"/>
                <w:szCs w:val="24"/>
              </w:rPr>
            </w:pPr>
            <w:r w:rsidRPr="00D63124">
              <w:rPr>
                <w:b/>
                <w:sz w:val="24"/>
                <w:szCs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D63124" w:rsidRDefault="009F2DFA" w:rsidP="007B71A4">
                      <w:pPr>
                        <w:jc w:val="center"/>
                      </w:pPr>
                      <w:r w:rsidRPr="00D63124">
                        <w:rPr>
                          <w:rFonts w:ascii="MS Mincho" w:eastAsia="MS Mincho" w:hAnsi="MS Mincho" w:cs="MS Mincho" w:hint="eastAsia"/>
                        </w:rPr>
                        <w:t>☐</w:t>
                      </w:r>
                    </w:p>
                  </w:tc>
                </w:sdtContent>
              </w:sdt>
              <w:tc>
                <w:tcPr>
                  <w:tcW w:w="8545" w:type="dxa"/>
                </w:tcPr>
                <w:p w:rsidR="009F2DFA" w:rsidRPr="00D63124" w:rsidRDefault="009F2DFA" w:rsidP="007B71A4">
                  <w:r w:rsidRPr="00D63124">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D63124" w:rsidRDefault="009F2DFA" w:rsidP="007B71A4">
                      <w:pPr>
                        <w:jc w:val="center"/>
                      </w:pPr>
                      <w:r w:rsidRPr="00D63124">
                        <w:rPr>
                          <w:rFonts w:ascii="MS Mincho" w:eastAsia="MS Mincho" w:hAnsi="MS Mincho" w:cs="MS Mincho" w:hint="eastAsia"/>
                        </w:rPr>
                        <w:t>☐</w:t>
                      </w:r>
                    </w:p>
                  </w:tc>
                </w:sdtContent>
              </w:sdt>
              <w:tc>
                <w:tcPr>
                  <w:tcW w:w="8545" w:type="dxa"/>
                </w:tcPr>
                <w:p w:rsidR="009F2DFA" w:rsidRPr="00D63124" w:rsidRDefault="009F2DFA" w:rsidP="007B71A4">
                  <w:r w:rsidRPr="00D63124">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D63124" w:rsidRDefault="00B60C83" w:rsidP="007B71A4">
                      <w:pPr>
                        <w:jc w:val="center"/>
                      </w:pPr>
                      <w:r w:rsidRPr="00D63124">
                        <w:rPr>
                          <w:rFonts w:ascii="MS Gothic" w:eastAsia="MS Gothic" w:hAnsi="MS Gothic" w:hint="eastAsia"/>
                        </w:rPr>
                        <w:t>☒</w:t>
                      </w:r>
                    </w:p>
                  </w:tc>
                </w:sdtContent>
              </w:sdt>
              <w:tc>
                <w:tcPr>
                  <w:tcW w:w="8545" w:type="dxa"/>
                </w:tcPr>
                <w:p w:rsidR="009F2DFA" w:rsidRPr="00D63124" w:rsidRDefault="009F2DFA" w:rsidP="007B71A4">
                  <w:r w:rsidRPr="00D63124">
                    <w:t>na všetky kategórie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D63124" w:rsidRDefault="002B1108" w:rsidP="007B71A4">
            <w:pPr>
              <w:rPr>
                <w:b/>
                <w:sz w:val="24"/>
                <w:szCs w:val="24"/>
              </w:rPr>
            </w:pPr>
            <w:r w:rsidRPr="00D63124">
              <w:rPr>
                <w:b/>
                <w:sz w:val="24"/>
                <w:szCs w:val="24"/>
              </w:rPr>
              <w:t>3</w:t>
            </w:r>
            <w:r w:rsidR="009F2DFA" w:rsidRPr="00D63124">
              <w:rPr>
                <w:b/>
                <w:sz w:val="24"/>
                <w:szCs w:val="24"/>
              </w:rPr>
              <w:t>.1 Dotknuté podnikateľské subjekty</w:t>
            </w:r>
          </w:p>
          <w:p w:rsidR="009F2DFA" w:rsidRPr="00F04CCD" w:rsidRDefault="009F2DFA" w:rsidP="007B71A4">
            <w:pPr>
              <w:ind w:left="284"/>
              <w:rPr>
                <w:b/>
              </w:rPr>
            </w:pPr>
            <w:r w:rsidRPr="00D63124">
              <w:rPr>
                <w:sz w:val="24"/>
                <w:szCs w:val="24"/>
              </w:rPr>
              <w:t xml:space="preserve"> - </w:t>
            </w:r>
            <w:r w:rsidRPr="00D63124">
              <w:rPr>
                <w:b/>
                <w:sz w:val="24"/>
                <w:szCs w:val="24"/>
              </w:rPr>
              <w:t>z toho MSP</w:t>
            </w:r>
          </w:p>
        </w:tc>
      </w:tr>
      <w:tr w:rsidR="009F2DFA" w:rsidRPr="00F04CCD" w:rsidTr="007B71A4">
        <w:tc>
          <w:tcPr>
            <w:tcW w:w="9212" w:type="dxa"/>
            <w:tcBorders>
              <w:bottom w:val="single" w:sz="4" w:space="0" w:color="auto"/>
            </w:tcBorders>
          </w:tcPr>
          <w:p w:rsidR="009F2DFA" w:rsidRPr="00D63124" w:rsidRDefault="009F2DFA" w:rsidP="007B71A4">
            <w:pPr>
              <w:rPr>
                <w:i/>
              </w:rPr>
            </w:pPr>
            <w:r w:rsidRPr="00D63124">
              <w:rPr>
                <w:i/>
              </w:rPr>
              <w:t>Uveďte, aké podnikateľské subjekty budú predkladaným návrhom ovplyvnené.</w:t>
            </w:r>
          </w:p>
          <w:p w:rsidR="009F2DFA" w:rsidRPr="00D63124" w:rsidRDefault="009F2DFA" w:rsidP="007B71A4">
            <w:pPr>
              <w:rPr>
                <w:i/>
              </w:rPr>
            </w:pPr>
            <w:r w:rsidRPr="00D63124">
              <w:rPr>
                <w:i/>
              </w:rPr>
              <w:t>Aký je ich počet?</w:t>
            </w:r>
          </w:p>
        </w:tc>
      </w:tr>
      <w:tr w:rsidR="009F2DFA" w:rsidRPr="00F04CCD" w:rsidTr="007B71A4">
        <w:trPr>
          <w:trHeight w:val="1440"/>
        </w:trPr>
        <w:tc>
          <w:tcPr>
            <w:tcW w:w="9212" w:type="dxa"/>
            <w:tcBorders>
              <w:bottom w:val="single" w:sz="4" w:space="0" w:color="auto"/>
            </w:tcBorders>
          </w:tcPr>
          <w:p w:rsidR="009F2DFA" w:rsidRPr="00D63124" w:rsidRDefault="00B60C83" w:rsidP="007B71A4">
            <w:pPr>
              <w:rPr>
                <w:color w:val="000000" w:themeColor="text1"/>
              </w:rPr>
            </w:pPr>
            <w:r w:rsidRPr="00D63124">
              <w:rPr>
                <w:color w:val="000000" w:themeColor="text1"/>
              </w:rPr>
              <w:t>Držitelia vozidiel právnické osoby a fyzické osoby oprávnené na podnikanie. Rozdelenie evidovaných vozidiel v Slovenskej republike z hľadiska typov držiteľov je nasledovné:</w:t>
            </w:r>
          </w:p>
          <w:p w:rsidR="00302574" w:rsidRPr="00D63124" w:rsidRDefault="00302574" w:rsidP="007B71A4">
            <w:pPr>
              <w:rPr>
                <w:color w:val="FF0000"/>
              </w:rPr>
            </w:pPr>
          </w:p>
          <w:tbl>
            <w:tblPr>
              <w:tblW w:w="7088" w:type="dxa"/>
              <w:tblCellMar>
                <w:left w:w="70" w:type="dxa"/>
                <w:right w:w="70" w:type="dxa"/>
              </w:tblCellMar>
              <w:tblLook w:val="04A0" w:firstRow="1" w:lastRow="0" w:firstColumn="1" w:lastColumn="0" w:noHBand="0" w:noVBand="1"/>
            </w:tblPr>
            <w:tblGrid>
              <w:gridCol w:w="3686"/>
              <w:gridCol w:w="3402"/>
            </w:tblGrid>
            <w:tr w:rsidR="00302574" w:rsidRPr="00D63124" w:rsidTr="00F30987">
              <w:trPr>
                <w:trHeight w:val="300"/>
              </w:trPr>
              <w:tc>
                <w:tcPr>
                  <w:tcW w:w="3686" w:type="dxa"/>
                  <w:tcBorders>
                    <w:top w:val="nil"/>
                    <w:left w:val="nil"/>
                    <w:bottom w:val="single" w:sz="4" w:space="0" w:color="95B3D7"/>
                    <w:right w:val="nil"/>
                  </w:tcBorders>
                  <w:shd w:val="clear" w:color="DCE6F1" w:fill="DCE6F1"/>
                  <w:noWrap/>
                  <w:vAlign w:val="bottom"/>
                  <w:hideMark/>
                </w:tcPr>
                <w:p w:rsidR="00302574" w:rsidRPr="00D63124" w:rsidRDefault="00302574" w:rsidP="00302574">
                  <w:pPr>
                    <w:rPr>
                      <w:b/>
                      <w:bCs/>
                      <w:color w:val="000000"/>
                    </w:rPr>
                  </w:pPr>
                  <w:r w:rsidRPr="00D63124">
                    <w:rPr>
                      <w:b/>
                      <w:bCs/>
                      <w:color w:val="000000"/>
                    </w:rPr>
                    <w:t>Držiteľ vozidla</w:t>
                  </w:r>
                </w:p>
              </w:tc>
              <w:tc>
                <w:tcPr>
                  <w:tcW w:w="3402" w:type="dxa"/>
                  <w:tcBorders>
                    <w:top w:val="nil"/>
                    <w:left w:val="nil"/>
                    <w:bottom w:val="single" w:sz="4" w:space="0" w:color="95B3D7"/>
                    <w:right w:val="nil"/>
                  </w:tcBorders>
                  <w:shd w:val="clear" w:color="DCE6F1" w:fill="DCE6F1"/>
                  <w:noWrap/>
                  <w:vAlign w:val="bottom"/>
                  <w:hideMark/>
                </w:tcPr>
                <w:p w:rsidR="00302574" w:rsidRPr="00D63124" w:rsidRDefault="00302574" w:rsidP="00302574">
                  <w:pPr>
                    <w:rPr>
                      <w:b/>
                      <w:bCs/>
                      <w:color w:val="000000"/>
                    </w:rPr>
                  </w:pPr>
                  <w:r w:rsidRPr="00D63124">
                    <w:rPr>
                      <w:b/>
                      <w:bCs/>
                      <w:color w:val="000000"/>
                    </w:rPr>
                    <w:t>Počet evidovaných vozidiel</w:t>
                  </w:r>
                </w:p>
              </w:tc>
            </w:tr>
            <w:tr w:rsidR="00302574" w:rsidRPr="00D63124" w:rsidTr="00F30987">
              <w:trPr>
                <w:trHeight w:val="300"/>
              </w:trPr>
              <w:tc>
                <w:tcPr>
                  <w:tcW w:w="3686" w:type="dxa"/>
                  <w:tcBorders>
                    <w:top w:val="nil"/>
                    <w:left w:val="nil"/>
                    <w:bottom w:val="nil"/>
                    <w:right w:val="nil"/>
                  </w:tcBorders>
                  <w:shd w:val="clear" w:color="auto" w:fill="auto"/>
                  <w:noWrap/>
                  <w:vAlign w:val="bottom"/>
                  <w:hideMark/>
                </w:tcPr>
                <w:p w:rsidR="00302574" w:rsidRPr="00D63124" w:rsidRDefault="00302574" w:rsidP="00302574">
                  <w:pPr>
                    <w:rPr>
                      <w:color w:val="000000"/>
                    </w:rPr>
                  </w:pPr>
                  <w:r w:rsidRPr="00D63124">
                    <w:rPr>
                      <w:color w:val="000000"/>
                    </w:rPr>
                    <w:t>Fyzická osoba - podnikateľ</w:t>
                  </w:r>
                </w:p>
              </w:tc>
              <w:tc>
                <w:tcPr>
                  <w:tcW w:w="3402" w:type="dxa"/>
                  <w:tcBorders>
                    <w:top w:val="nil"/>
                    <w:left w:val="nil"/>
                    <w:bottom w:val="nil"/>
                    <w:right w:val="nil"/>
                  </w:tcBorders>
                  <w:shd w:val="clear" w:color="auto" w:fill="auto"/>
                  <w:noWrap/>
                  <w:vAlign w:val="bottom"/>
                  <w:hideMark/>
                </w:tcPr>
                <w:p w:rsidR="00302574" w:rsidRPr="00D63124" w:rsidRDefault="00302574" w:rsidP="00302574">
                  <w:pPr>
                    <w:jc w:val="right"/>
                    <w:rPr>
                      <w:color w:val="000000"/>
                    </w:rPr>
                  </w:pPr>
                  <w:r w:rsidRPr="00D63124">
                    <w:rPr>
                      <w:color w:val="000000"/>
                    </w:rPr>
                    <w:t>120 507</w:t>
                  </w:r>
                </w:p>
              </w:tc>
            </w:tr>
            <w:tr w:rsidR="00302574" w:rsidRPr="00D63124" w:rsidTr="00F30987">
              <w:trPr>
                <w:trHeight w:val="300"/>
              </w:trPr>
              <w:tc>
                <w:tcPr>
                  <w:tcW w:w="3686" w:type="dxa"/>
                  <w:tcBorders>
                    <w:top w:val="nil"/>
                    <w:left w:val="nil"/>
                    <w:bottom w:val="nil"/>
                    <w:right w:val="nil"/>
                  </w:tcBorders>
                  <w:shd w:val="clear" w:color="auto" w:fill="auto"/>
                  <w:noWrap/>
                  <w:vAlign w:val="bottom"/>
                  <w:hideMark/>
                </w:tcPr>
                <w:p w:rsidR="00302574" w:rsidRPr="00D63124" w:rsidRDefault="00302574" w:rsidP="00302574">
                  <w:pPr>
                    <w:rPr>
                      <w:color w:val="000000"/>
                    </w:rPr>
                  </w:pPr>
                  <w:r w:rsidRPr="00D63124">
                    <w:rPr>
                      <w:color w:val="000000"/>
                    </w:rPr>
                    <w:t>Občania SR a cudzinci</w:t>
                  </w:r>
                </w:p>
              </w:tc>
              <w:tc>
                <w:tcPr>
                  <w:tcW w:w="3402" w:type="dxa"/>
                  <w:tcBorders>
                    <w:top w:val="nil"/>
                    <w:left w:val="nil"/>
                    <w:bottom w:val="nil"/>
                    <w:right w:val="nil"/>
                  </w:tcBorders>
                  <w:shd w:val="clear" w:color="auto" w:fill="auto"/>
                  <w:noWrap/>
                  <w:vAlign w:val="bottom"/>
                  <w:hideMark/>
                </w:tcPr>
                <w:p w:rsidR="00302574" w:rsidRPr="00D63124" w:rsidRDefault="00302574" w:rsidP="00302574">
                  <w:pPr>
                    <w:jc w:val="right"/>
                    <w:rPr>
                      <w:color w:val="000000"/>
                    </w:rPr>
                  </w:pPr>
                  <w:r w:rsidRPr="00D63124">
                    <w:rPr>
                      <w:color w:val="000000"/>
                    </w:rPr>
                    <w:t>2 330 996</w:t>
                  </w:r>
                </w:p>
              </w:tc>
            </w:tr>
            <w:tr w:rsidR="00302574" w:rsidRPr="00D63124" w:rsidTr="00F30987">
              <w:trPr>
                <w:trHeight w:val="300"/>
              </w:trPr>
              <w:tc>
                <w:tcPr>
                  <w:tcW w:w="3686" w:type="dxa"/>
                  <w:tcBorders>
                    <w:top w:val="nil"/>
                    <w:left w:val="nil"/>
                    <w:bottom w:val="nil"/>
                    <w:right w:val="nil"/>
                  </w:tcBorders>
                  <w:shd w:val="clear" w:color="auto" w:fill="auto"/>
                  <w:noWrap/>
                  <w:vAlign w:val="bottom"/>
                  <w:hideMark/>
                </w:tcPr>
                <w:p w:rsidR="00302574" w:rsidRPr="00D63124" w:rsidRDefault="00302574" w:rsidP="00302574">
                  <w:pPr>
                    <w:rPr>
                      <w:color w:val="000000"/>
                    </w:rPr>
                  </w:pPr>
                  <w:r w:rsidRPr="00D63124">
                    <w:rPr>
                      <w:color w:val="000000"/>
                    </w:rPr>
                    <w:t>Právnická osoba - organizácia</w:t>
                  </w:r>
                </w:p>
              </w:tc>
              <w:tc>
                <w:tcPr>
                  <w:tcW w:w="3402" w:type="dxa"/>
                  <w:tcBorders>
                    <w:top w:val="nil"/>
                    <w:left w:val="nil"/>
                    <w:bottom w:val="nil"/>
                    <w:right w:val="nil"/>
                  </w:tcBorders>
                  <w:shd w:val="clear" w:color="auto" w:fill="auto"/>
                  <w:noWrap/>
                  <w:vAlign w:val="bottom"/>
                  <w:hideMark/>
                </w:tcPr>
                <w:p w:rsidR="00302574" w:rsidRPr="00D63124" w:rsidRDefault="00302574" w:rsidP="00302574">
                  <w:pPr>
                    <w:jc w:val="right"/>
                    <w:rPr>
                      <w:color w:val="000000"/>
                    </w:rPr>
                  </w:pPr>
                  <w:r w:rsidRPr="00D63124">
                    <w:rPr>
                      <w:color w:val="000000"/>
                    </w:rPr>
                    <w:t>635 620</w:t>
                  </w:r>
                </w:p>
              </w:tc>
            </w:tr>
            <w:tr w:rsidR="00302574" w:rsidRPr="00D63124" w:rsidTr="00F30987">
              <w:trPr>
                <w:trHeight w:val="300"/>
              </w:trPr>
              <w:tc>
                <w:tcPr>
                  <w:tcW w:w="3686" w:type="dxa"/>
                  <w:tcBorders>
                    <w:top w:val="single" w:sz="4" w:space="0" w:color="95B3D7"/>
                    <w:left w:val="nil"/>
                    <w:bottom w:val="nil"/>
                    <w:right w:val="nil"/>
                  </w:tcBorders>
                  <w:shd w:val="clear" w:color="DCE6F1" w:fill="DCE6F1"/>
                  <w:noWrap/>
                  <w:vAlign w:val="bottom"/>
                  <w:hideMark/>
                </w:tcPr>
                <w:p w:rsidR="00302574" w:rsidRPr="00D63124" w:rsidRDefault="00302574" w:rsidP="00302574">
                  <w:pPr>
                    <w:rPr>
                      <w:b/>
                      <w:bCs/>
                      <w:color w:val="000000"/>
                    </w:rPr>
                  </w:pPr>
                  <w:r w:rsidRPr="00D63124">
                    <w:rPr>
                      <w:b/>
                      <w:bCs/>
                      <w:color w:val="000000"/>
                    </w:rPr>
                    <w:t>Celkový súčet</w:t>
                  </w:r>
                </w:p>
              </w:tc>
              <w:tc>
                <w:tcPr>
                  <w:tcW w:w="3402" w:type="dxa"/>
                  <w:tcBorders>
                    <w:top w:val="single" w:sz="4" w:space="0" w:color="95B3D7"/>
                    <w:left w:val="nil"/>
                    <w:bottom w:val="nil"/>
                    <w:right w:val="nil"/>
                  </w:tcBorders>
                  <w:shd w:val="clear" w:color="DCE6F1" w:fill="DCE6F1"/>
                  <w:noWrap/>
                  <w:vAlign w:val="bottom"/>
                  <w:hideMark/>
                </w:tcPr>
                <w:p w:rsidR="00302574" w:rsidRPr="00D63124" w:rsidRDefault="00302574" w:rsidP="00302574">
                  <w:pPr>
                    <w:jc w:val="right"/>
                    <w:rPr>
                      <w:b/>
                      <w:bCs/>
                      <w:color w:val="000000"/>
                    </w:rPr>
                  </w:pPr>
                  <w:r w:rsidRPr="00D63124">
                    <w:rPr>
                      <w:b/>
                      <w:bCs/>
                      <w:color w:val="000000"/>
                    </w:rPr>
                    <w:t>3 087 123</w:t>
                  </w:r>
                </w:p>
              </w:tc>
            </w:tr>
          </w:tbl>
          <w:p w:rsidR="00B60C83" w:rsidRPr="00D63124" w:rsidRDefault="00B60C83" w:rsidP="007B71A4"/>
          <w:p w:rsidR="00743ECD" w:rsidRPr="00D63124" w:rsidRDefault="00743ECD" w:rsidP="00B3707A">
            <w:pPr>
              <w:jc w:val="both"/>
            </w:pPr>
            <w:r w:rsidRPr="00D63124">
              <w:t>Navrhovaným umožnením povoľovania výnimky z ustanovenia § 39 od</w:t>
            </w:r>
            <w:r w:rsidR="00B3707A">
              <w:t>s. 4 zákona o cestnej premávke [</w:t>
            </w:r>
            <w:r w:rsidRPr="00D63124">
              <w:t>zmena v § 104 ods. 1 písm. a) zákona o cestnej premávke</w:t>
            </w:r>
            <w:r w:rsidR="00B3707A">
              <w:t>]</w:t>
            </w:r>
            <w:r w:rsidR="00454CB0" w:rsidRPr="00D63124">
              <w:t xml:space="preserve"> sa</w:t>
            </w:r>
            <w:r w:rsidRPr="00D63124">
              <w:t xml:space="preserve"> za konkrétnych podmienok </w:t>
            </w:r>
            <w:r w:rsidR="00454CB0" w:rsidRPr="00D63124">
              <w:t>určených</w:t>
            </w:r>
            <w:r w:rsidRPr="00D63124">
              <w:t xml:space="preserve"> orgánom Policajného zboru, resp. MV SR</w:t>
            </w:r>
            <w:r w:rsidR="00B3707A">
              <w:t>,</w:t>
            </w:r>
            <w:r w:rsidRPr="00D63124">
              <w:t xml:space="preserve"> povolí výnimka zo zákazu jazdy </w:t>
            </w:r>
            <w:r w:rsidR="00B3707A">
              <w:t>u</w:t>
            </w:r>
            <w:r w:rsidRPr="00D63124">
              <w:t>stanovených vozidiel na ceste III. triedy. Prijatím takejto úpravy sa predpokladá z pohľadu bezpečnosti a plynulosti cestnej premávky</w:t>
            </w:r>
            <w:r w:rsidR="00454CB0" w:rsidRPr="00D63124">
              <w:t xml:space="preserve"> </w:t>
            </w:r>
            <w:r w:rsidRPr="00D63124">
              <w:t>zníženi</w:t>
            </w:r>
            <w:r w:rsidR="00454CB0" w:rsidRPr="00D63124">
              <w:t>e</w:t>
            </w:r>
            <w:r w:rsidRPr="00D63124">
              <w:t xml:space="preserve"> intenzity cestnej premávky, najmä na cestách vyššej kategórie vo väčších mestách u tranzitnej dopravy, čo bude mať bezprostredný vplyv na zníženie počtu kolíznych bodov, čím dôjde k zníženiu počtu dopravných nehôd a škodových udalostí, dôjde k zamedzeniu vzniku náhlych kolón pomaly jazdiacich nákladných vozidiel, čo sa zároveň pozitívne odrazí na plynulosti cestnej premávky. V neposlednom rade </w:t>
            </w:r>
            <w:r w:rsidR="00454CB0" w:rsidRPr="00D63124">
              <w:t xml:space="preserve">skrátením trasy dopravy </w:t>
            </w:r>
            <w:r w:rsidRPr="00D63124">
              <w:t>dôjde k vytvoreniu priaznivejšieho prostredia v o</w:t>
            </w:r>
            <w:r w:rsidR="00454CB0" w:rsidRPr="00D63124">
              <w:t xml:space="preserve">blasti podnikania v autodoprave okrem iného aj znížením nákladov na PHM a na čas dopravy. </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D63124" w:rsidRDefault="002B1108" w:rsidP="007B71A4">
            <w:pPr>
              <w:rPr>
                <w:b/>
                <w:sz w:val="24"/>
                <w:szCs w:val="24"/>
              </w:rPr>
            </w:pPr>
            <w:r w:rsidRPr="00D63124">
              <w:rPr>
                <w:b/>
                <w:sz w:val="24"/>
                <w:szCs w:val="24"/>
              </w:rPr>
              <w:t>3</w:t>
            </w:r>
            <w:r w:rsidR="009F2DFA" w:rsidRPr="00D63124">
              <w:rPr>
                <w:b/>
                <w:sz w:val="24"/>
                <w:szCs w:val="24"/>
              </w:rPr>
              <w:t>.2 Vyhodnotenie konzultácií</w:t>
            </w:r>
          </w:p>
          <w:p w:rsidR="009F2DFA" w:rsidRPr="00F04CCD" w:rsidRDefault="009F2DFA" w:rsidP="007B71A4">
            <w:pPr>
              <w:rPr>
                <w:b/>
              </w:rPr>
            </w:pPr>
            <w:r w:rsidRPr="00D63124">
              <w:rPr>
                <w:sz w:val="24"/>
                <w:szCs w:val="24"/>
              </w:rPr>
              <w:t xml:space="preserve">       - </w:t>
            </w:r>
            <w:r w:rsidRPr="00D63124">
              <w:rPr>
                <w:b/>
                <w:sz w:val="24"/>
                <w:szCs w:val="24"/>
              </w:rPr>
              <w:t>z toho MSP</w:t>
            </w:r>
          </w:p>
        </w:tc>
      </w:tr>
      <w:tr w:rsidR="009F2DFA" w:rsidRPr="00F04CCD" w:rsidTr="007B71A4">
        <w:trPr>
          <w:trHeight w:val="557"/>
        </w:trPr>
        <w:tc>
          <w:tcPr>
            <w:tcW w:w="9212" w:type="dxa"/>
            <w:tcBorders>
              <w:bottom w:val="single" w:sz="4" w:space="0" w:color="auto"/>
            </w:tcBorders>
          </w:tcPr>
          <w:p w:rsidR="009F2DFA" w:rsidRPr="00D63124" w:rsidRDefault="009F2DFA" w:rsidP="007B71A4">
            <w:pPr>
              <w:rPr>
                <w:i/>
              </w:rPr>
            </w:pPr>
            <w:r w:rsidRPr="00D63124">
              <w:rPr>
                <w:i/>
              </w:rPr>
              <w:t>Uveďte, akou formou (verejné alebo cielené konzultácie a prečo) a s kým bol návrh konzultovaný.</w:t>
            </w:r>
          </w:p>
          <w:p w:rsidR="009F2DFA" w:rsidRPr="00D63124" w:rsidRDefault="009F2DFA" w:rsidP="007B71A4">
            <w:pPr>
              <w:rPr>
                <w:i/>
              </w:rPr>
            </w:pPr>
            <w:r w:rsidRPr="00D63124">
              <w:rPr>
                <w:i/>
              </w:rPr>
              <w:t>Ako dlho trvali konzultácie?</w:t>
            </w:r>
          </w:p>
          <w:p w:rsidR="009F2DFA" w:rsidRPr="00D63124" w:rsidRDefault="009F2DFA" w:rsidP="007B71A4">
            <w:pPr>
              <w:rPr>
                <w:i/>
              </w:rPr>
            </w:pPr>
            <w:r w:rsidRPr="00D63124">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646D09" w:rsidRPr="00D63124" w:rsidRDefault="00646D09" w:rsidP="00646D09">
            <w:pPr>
              <w:jc w:val="both"/>
            </w:pPr>
            <w:r w:rsidRPr="00D63124">
              <w:t>Materiál vychádza z plnenia úlohy B.8. z uznesenia vlády SR č. 327/2017, ktoré uložilo ministrovi vnútra SR zjednodušiť vybavovanie elektronických podaní na úseku evidovania vozidiel. Novela zákona č. 8/2009 Z. z. o cestnej premávke bola navrhnutá do Plánu legislatívnych úloh vlády SR na rok 2018 na prerokovanie na rokovaní vlády SR v mesiaci apríl 2018</w:t>
            </w:r>
            <w:r w:rsidR="003A3AEF" w:rsidRPr="00D63124">
              <w:t xml:space="preserve"> s odložením predloženia do 30. </w:t>
            </w:r>
            <w:r w:rsidR="00B1201C" w:rsidRPr="00D63124">
              <w:t>júna</w:t>
            </w:r>
            <w:r w:rsidR="003A3AEF" w:rsidRPr="00D63124">
              <w:t xml:space="preserve"> 201</w:t>
            </w:r>
            <w:r w:rsidR="00B1201C" w:rsidRPr="00D63124">
              <w:t>9</w:t>
            </w:r>
            <w:r w:rsidRPr="00D63124">
              <w:t>.</w:t>
            </w:r>
          </w:p>
          <w:p w:rsidR="009F2DFA" w:rsidRPr="00D63124" w:rsidRDefault="00BC4BA8" w:rsidP="003A3AEF">
            <w:pPr>
              <w:jc w:val="both"/>
            </w:pPr>
            <w:r w:rsidRPr="00D63124">
              <w:t>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na dopravnom inšpektoráte bude žiadosť systémovo zasielaná na spracovanie do nového pracoviska v Slovenskej Ľupči, kde sa vytlačí papierové osvedčenie o evidencii časť II, objedná sa elektronické osvedčenie o evidencii časť I a pripravia sa na odoslanie tabuľky s evidenčným číslom. Pre občanov by to znamenalo úplné vylúčenie potreby osobnej návštevy dopravného inšpektorátu pri evidovaní novozakúpených vozidiel, ako aj vozidiel jednotlivo dovezených do SR z cudziny prostredníctvom elektronickej služby zavedenej za tento účel.</w:t>
            </w:r>
            <w:r w:rsidR="00B10726" w:rsidRPr="00D63124">
              <w:t xml:space="preserve"> </w:t>
            </w:r>
          </w:p>
          <w:p w:rsidR="00E87E7C" w:rsidRPr="00D63124" w:rsidRDefault="00E87E7C" w:rsidP="00E87E7C">
            <w:pPr>
              <w:jc w:val="both"/>
            </w:pPr>
            <w:r w:rsidRPr="00D63124">
              <w:t>Ministerstvo hospodárstva SR rozhodlo o potrebe vykonania konzultácií s podnikateľskými subjektmi na základe Plánu legislatívnych úloh vlády SR. Na základe tohto rozhodnutia boli na úseku</w:t>
            </w:r>
            <w:r w:rsidR="00D46D3F" w:rsidRPr="00D63124">
              <w:t xml:space="preserve"> navrhovaných</w:t>
            </w:r>
            <w:r w:rsidRPr="00D63124">
              <w:t xml:space="preserve"> opatrení na zefektívnenie prihlasovania vozidiel a vykonávania následných zm</w:t>
            </w:r>
            <w:bookmarkStart w:id="0" w:name="_GoBack"/>
            <w:bookmarkEnd w:id="0"/>
            <w:r w:rsidRPr="00D63124">
              <w:t xml:space="preserve">ien </w:t>
            </w:r>
            <w:r w:rsidR="00687D54" w:rsidRPr="00D63124">
              <w:t>detegované</w:t>
            </w:r>
            <w:r w:rsidR="00D46D3F" w:rsidRPr="00D63124">
              <w:t xml:space="preserve"> subjekty, ktorých činnosť </w:t>
            </w:r>
            <w:r w:rsidRPr="00D63124">
              <w:t xml:space="preserve">sa dotýka </w:t>
            </w:r>
            <w:r w:rsidR="00D46D3F" w:rsidRPr="00D63124">
              <w:t>alebo môže dotýkať predmetnej problematiky</w:t>
            </w:r>
            <w:r w:rsidR="00687D54" w:rsidRPr="00D63124">
              <w:t xml:space="preserve">, jedná sa predovšetkým o </w:t>
            </w:r>
            <w:r w:rsidRPr="00D63124">
              <w:t xml:space="preserve">predajcov nových vozidiel, subjektov, ktoré predávajú vozidlá evidované v Slovenskej republike a v iných štátoch. Opatrenia sa môžu dotýkať ďalších subjektov napr. leasingových spoločností alebo Slovenskej kancelárie poisťovateľov. Vzhľadom na uvedené </w:t>
            </w:r>
            <w:r w:rsidR="00687D54" w:rsidRPr="00D63124">
              <w:t>bolo navrhnuté</w:t>
            </w:r>
            <w:r w:rsidRPr="00D63124">
              <w:t xml:space="preserve"> osloviť nasledovné subjekty podnikateľského prostredia na konzultácie:</w:t>
            </w:r>
          </w:p>
          <w:p w:rsidR="00E87E7C" w:rsidRPr="00D63124" w:rsidRDefault="00E87E7C" w:rsidP="00687D54">
            <w:pPr>
              <w:tabs>
                <w:tab w:val="left" w:pos="284"/>
              </w:tabs>
              <w:jc w:val="both"/>
            </w:pPr>
            <w:r w:rsidRPr="00D63124">
              <w:t>1.</w:t>
            </w:r>
            <w:r w:rsidRPr="00D63124">
              <w:tab/>
              <w:t>Zväz automobilového priemyslu SR</w:t>
            </w:r>
            <w:r w:rsidR="00687D54" w:rsidRPr="00D63124">
              <w:t>,</w:t>
            </w:r>
            <w:r w:rsidRPr="00D63124">
              <w:t xml:space="preserve"> e-mail: </w:t>
            </w:r>
            <w:hyperlink r:id="rId7" w:history="1">
              <w:r w:rsidR="00B3707A" w:rsidRPr="003F03F5">
                <w:rPr>
                  <w:rStyle w:val="Hypertextovprepojenie"/>
                </w:rPr>
                <w:t>zapsr@zapsr.sk</w:t>
              </w:r>
            </w:hyperlink>
            <w:r w:rsidR="00B3707A">
              <w:t xml:space="preserve"> </w:t>
            </w:r>
          </w:p>
          <w:p w:rsidR="00E87E7C" w:rsidRPr="00D63124" w:rsidRDefault="00E87E7C" w:rsidP="00687D54">
            <w:pPr>
              <w:tabs>
                <w:tab w:val="left" w:pos="284"/>
              </w:tabs>
              <w:jc w:val="both"/>
            </w:pPr>
            <w:r w:rsidRPr="00D63124">
              <w:t>2.</w:t>
            </w:r>
            <w:r w:rsidRPr="00D63124">
              <w:tab/>
              <w:t xml:space="preserve">Slovenská asociácia poisťovní, e-mail: </w:t>
            </w:r>
            <w:hyperlink r:id="rId8" w:history="1">
              <w:r w:rsidR="00B3707A" w:rsidRPr="003F03F5">
                <w:rPr>
                  <w:rStyle w:val="Hypertextovprepojenie"/>
                </w:rPr>
                <w:t>milan.daras@slaspo.sk</w:t>
              </w:r>
            </w:hyperlink>
            <w:r w:rsidR="00B3707A">
              <w:t xml:space="preserve"> </w:t>
            </w:r>
          </w:p>
          <w:p w:rsidR="00E87E7C" w:rsidRPr="00D63124" w:rsidRDefault="00E87E7C" w:rsidP="00687D54">
            <w:pPr>
              <w:tabs>
                <w:tab w:val="left" w:pos="284"/>
              </w:tabs>
              <w:jc w:val="both"/>
            </w:pPr>
            <w:r w:rsidRPr="00D63124">
              <w:lastRenderedPageBreak/>
              <w:t>3.</w:t>
            </w:r>
            <w:r w:rsidRPr="00D63124">
              <w:tab/>
              <w:t xml:space="preserve">Slovenská asociácia správcovských spoločností, e-mail: </w:t>
            </w:r>
            <w:hyperlink r:id="rId9" w:history="1">
              <w:r w:rsidR="00B3707A" w:rsidRPr="003F03F5">
                <w:rPr>
                  <w:rStyle w:val="Hypertextovprepojenie"/>
                </w:rPr>
                <w:t>vlcek@sass-sk.sk</w:t>
              </w:r>
            </w:hyperlink>
            <w:r w:rsidR="00B3707A">
              <w:t xml:space="preserve"> </w:t>
            </w:r>
          </w:p>
          <w:p w:rsidR="00E87E7C" w:rsidRPr="00D63124" w:rsidRDefault="00E87E7C" w:rsidP="00687D54">
            <w:pPr>
              <w:tabs>
                <w:tab w:val="left" w:pos="284"/>
              </w:tabs>
              <w:jc w:val="both"/>
            </w:pPr>
            <w:r w:rsidRPr="00D63124">
              <w:t>4.</w:t>
            </w:r>
            <w:r w:rsidRPr="00D63124">
              <w:tab/>
              <w:t xml:space="preserve">Slovenská kancelária poisťovateľov, e-mail: </w:t>
            </w:r>
            <w:hyperlink r:id="rId10" w:history="1">
              <w:r w:rsidR="00B3707A" w:rsidRPr="003F03F5">
                <w:rPr>
                  <w:rStyle w:val="Hypertextovprepojenie"/>
                </w:rPr>
                <w:t>skp@skp.sk</w:t>
              </w:r>
            </w:hyperlink>
            <w:r w:rsidR="00B3707A">
              <w:t xml:space="preserve"> </w:t>
            </w:r>
          </w:p>
          <w:p w:rsidR="00E87E7C" w:rsidRPr="00D63124" w:rsidRDefault="00E87E7C" w:rsidP="00687D54">
            <w:pPr>
              <w:tabs>
                <w:tab w:val="left" w:pos="284"/>
              </w:tabs>
              <w:jc w:val="both"/>
            </w:pPr>
            <w:r w:rsidRPr="00D63124">
              <w:t>5.</w:t>
            </w:r>
            <w:r w:rsidRPr="00D63124">
              <w:tab/>
              <w:t xml:space="preserve">Asociácia leasingových spoločností SR, e-mail: </w:t>
            </w:r>
            <w:hyperlink r:id="rId11" w:history="1">
              <w:r w:rsidR="00B3707A" w:rsidRPr="003F03F5">
                <w:rPr>
                  <w:rStyle w:val="Hypertextovprepojenie"/>
                </w:rPr>
                <w:t>lizing@alssr.sk</w:t>
              </w:r>
            </w:hyperlink>
            <w:r w:rsidR="00B3707A">
              <w:t xml:space="preserve"> </w:t>
            </w:r>
          </w:p>
          <w:p w:rsidR="00E87E7C" w:rsidRPr="00D63124" w:rsidRDefault="00E87E7C" w:rsidP="00687D54">
            <w:pPr>
              <w:tabs>
                <w:tab w:val="left" w:pos="284"/>
              </w:tabs>
              <w:ind w:left="284" w:hanging="284"/>
              <w:jc w:val="both"/>
            </w:pPr>
            <w:r w:rsidRPr="00D63124">
              <w:t>6.</w:t>
            </w:r>
            <w:r w:rsidRPr="00D63124">
              <w:tab/>
              <w:t>Združenie prevádzkovateľov hromadnej mestskej dopr</w:t>
            </w:r>
            <w:r w:rsidR="00687D54" w:rsidRPr="00D63124">
              <w:t xml:space="preserve">avy v mestských aglomeráciách, </w:t>
            </w:r>
            <w:r w:rsidRPr="00D63124">
              <w:t xml:space="preserve">e-mail: </w:t>
            </w:r>
            <w:hyperlink r:id="rId12" w:history="1">
              <w:r w:rsidR="00B3707A" w:rsidRPr="003F03F5">
                <w:rPr>
                  <w:rStyle w:val="Hypertextovprepojenie"/>
                </w:rPr>
                <w:t>jergus.zdruzeniemhd@gmail.com</w:t>
              </w:r>
            </w:hyperlink>
            <w:r w:rsidR="00687D54" w:rsidRPr="00D63124">
              <w:t>.</w:t>
            </w:r>
          </w:p>
          <w:p w:rsidR="00E87E7C" w:rsidRPr="00D63124" w:rsidRDefault="00E87E7C" w:rsidP="00E87E7C">
            <w:pPr>
              <w:jc w:val="both"/>
            </w:pPr>
          </w:p>
          <w:p w:rsidR="00687D54" w:rsidRPr="00D63124" w:rsidRDefault="00E87E7C" w:rsidP="00E87E7C">
            <w:pPr>
              <w:jc w:val="both"/>
            </w:pPr>
            <w:r w:rsidRPr="00D63124">
              <w:t xml:space="preserve">V súvislosti s prípravou materiálu na konzultácie s podnikateľskými subjektmi </w:t>
            </w:r>
            <w:r w:rsidR="00932AF4" w:rsidRPr="00D63124">
              <w:t xml:space="preserve">predkladateľa </w:t>
            </w:r>
            <w:r w:rsidRPr="00D63124">
              <w:t>oslovili zástupcovia spoločnosti ČESMAD Slovakia</w:t>
            </w:r>
            <w:r w:rsidR="000412C9" w:rsidRPr="00D63124">
              <w:t xml:space="preserve"> ako subjekt, ktorému bola realizácia konzultácií oznámená prostredníctvom Zväzu automobilového priemyslu SR. Spoločnosť ČESMAD Slovakia predložila svoje návrhy na úpravu zákona</w:t>
            </w:r>
            <w:r w:rsidRPr="00D63124">
              <w:t xml:space="preserve"> k problematike </w:t>
            </w:r>
          </w:p>
          <w:p w:rsidR="00687D54" w:rsidRPr="00B3707A" w:rsidRDefault="00E87E7C" w:rsidP="00B3707A">
            <w:pPr>
              <w:pStyle w:val="Odsekzoznamu"/>
              <w:numPr>
                <w:ilvl w:val="0"/>
                <w:numId w:val="14"/>
              </w:numPr>
              <w:spacing w:after="0" w:line="240" w:lineRule="auto"/>
              <w:ind w:left="306" w:hanging="283"/>
              <w:jc w:val="both"/>
              <w:rPr>
                <w:rFonts w:ascii="Times New Roman" w:hAnsi="Times New Roman" w:cs="Times New Roman"/>
                <w:sz w:val="20"/>
                <w:szCs w:val="20"/>
              </w:rPr>
            </w:pPr>
            <w:r w:rsidRPr="00B3707A">
              <w:rPr>
                <w:rFonts w:ascii="Times New Roman" w:hAnsi="Times New Roman" w:cs="Times New Roman"/>
                <w:sz w:val="20"/>
                <w:szCs w:val="20"/>
              </w:rPr>
              <w:t xml:space="preserve">zníženia veku vodičov nákladnej a autobusovej dopravy a </w:t>
            </w:r>
          </w:p>
          <w:p w:rsidR="00687D54" w:rsidRPr="00B3707A" w:rsidRDefault="00E87E7C" w:rsidP="00B3707A">
            <w:pPr>
              <w:pStyle w:val="Odsekzoznamu"/>
              <w:numPr>
                <w:ilvl w:val="0"/>
                <w:numId w:val="14"/>
              </w:numPr>
              <w:spacing w:after="0" w:line="240" w:lineRule="auto"/>
              <w:ind w:left="306" w:hanging="283"/>
              <w:jc w:val="both"/>
              <w:rPr>
                <w:rFonts w:ascii="Times New Roman" w:hAnsi="Times New Roman" w:cs="Times New Roman"/>
                <w:sz w:val="20"/>
                <w:szCs w:val="20"/>
              </w:rPr>
            </w:pPr>
            <w:r w:rsidRPr="00B3707A">
              <w:rPr>
                <w:rFonts w:ascii="Times New Roman" w:hAnsi="Times New Roman" w:cs="Times New Roman"/>
                <w:sz w:val="20"/>
                <w:szCs w:val="20"/>
              </w:rPr>
              <w:t xml:space="preserve">umožnenia dojazdu nákladných vozidiel v štátne sviatky celý deň a v nedeľu do 12:00 pokiaľ má vodič cieľ cesty na území SR. </w:t>
            </w:r>
          </w:p>
          <w:p w:rsidR="00E87E7C" w:rsidRPr="00D63124" w:rsidRDefault="00E87E7C" w:rsidP="00E87E7C">
            <w:pPr>
              <w:jc w:val="both"/>
            </w:pPr>
            <w:r w:rsidRPr="00D63124">
              <w:t xml:space="preserve">Konzultácie sa uskutočnili </w:t>
            </w:r>
            <w:r w:rsidR="00687D54" w:rsidRPr="00D63124">
              <w:t xml:space="preserve">na základe dohody so zástupcami spoločnosti ČESMAD Slovakia formou pracovného stretnutia a diskusie </w:t>
            </w:r>
            <w:r w:rsidR="000412C9" w:rsidRPr="00D63124">
              <w:t>v priestoroch</w:t>
            </w:r>
            <w:r w:rsidRPr="00D63124">
              <w:t xml:space="preserve"> odbor</w:t>
            </w:r>
            <w:r w:rsidR="000412C9" w:rsidRPr="00D63124">
              <w:t>u</w:t>
            </w:r>
            <w:r w:rsidRPr="00D63124">
              <w:t xml:space="preserve"> dopravnej polície Prezídia PZ dňa 10.4.2018, na základe ktorých bola prijatá dohoda o zapracovaní pripomienok spoločnosti ČESMAD Slovakia</w:t>
            </w:r>
            <w:r w:rsidR="00687D54" w:rsidRPr="00D63124">
              <w:t xml:space="preserve"> vo vzťahu k problematike zníženia veku podľa písmena a) do návrhu novely zákona a vo vzťahu k dojazdu podľa písmena b) bolo dohodnuté, že táto časť sa nebude zapracovávať do návrhu.</w:t>
            </w:r>
          </w:p>
          <w:p w:rsidR="000412C9" w:rsidRPr="00D63124" w:rsidRDefault="00932AF4" w:rsidP="001519D2">
            <w:pPr>
              <w:jc w:val="both"/>
            </w:pPr>
            <w:r w:rsidRPr="00D63124">
              <w:t>Predkladateľ proaktívne vyhľadával</w:t>
            </w:r>
            <w:r w:rsidR="001519D2" w:rsidRPr="00D63124">
              <w:t xml:space="preserve"> podnikateľ</w:t>
            </w:r>
            <w:r w:rsidR="00071F4B" w:rsidRPr="00D63124">
              <w:t>s</w:t>
            </w:r>
            <w:r w:rsidR="001519D2" w:rsidRPr="00D63124">
              <w:t>ké</w:t>
            </w:r>
            <w:r w:rsidRPr="00D63124">
              <w:t xml:space="preserve"> subjekty, ktoré boli označené ako subjekty, ktoré by mohli byť prijatím návrhu zákona priamo dotknuté. Týmto subjektom bola zaslaná základná informácia o zamýšľanom okruhu zmien v</w:t>
            </w:r>
            <w:r w:rsidR="001519D2" w:rsidRPr="00D63124">
              <w:t> </w:t>
            </w:r>
            <w:r w:rsidRPr="00D63124">
              <w:t>zákone</w:t>
            </w:r>
            <w:r w:rsidR="001519D2" w:rsidRPr="00D63124">
              <w:t>.</w:t>
            </w:r>
          </w:p>
          <w:p w:rsidR="001519D2" w:rsidRPr="00D63124" w:rsidRDefault="001519D2" w:rsidP="001519D2">
            <w:pPr>
              <w:jc w:val="both"/>
            </w:pPr>
            <w:r w:rsidRPr="00D63124">
              <w:t xml:space="preserve">Vzhľadom na to, že žiaden z oslovených podnikateľský subjektov neprejavil záujem zapojiť sa do konzultácií k predmetnému materiálu, ďalšie konzultácie </w:t>
            </w:r>
            <w:r w:rsidRPr="00D63124">
              <w:rPr>
                <w:bCs/>
              </w:rPr>
              <w:t>nie je</w:t>
            </w:r>
            <w:r w:rsidRPr="00D63124">
              <w:t xml:space="preserve"> potrebné vykonať.</w:t>
            </w:r>
          </w:p>
        </w:tc>
      </w:tr>
      <w:tr w:rsidR="009F2DFA" w:rsidRPr="00F04CCD" w:rsidTr="007B71A4">
        <w:tc>
          <w:tcPr>
            <w:tcW w:w="9212" w:type="dxa"/>
            <w:shd w:val="clear" w:color="auto" w:fill="D9D9D9" w:themeFill="background1" w:themeFillShade="D9"/>
          </w:tcPr>
          <w:p w:rsidR="009F2DFA" w:rsidRPr="00D63124" w:rsidRDefault="002B1108" w:rsidP="007B71A4">
            <w:pPr>
              <w:rPr>
                <w:b/>
                <w:sz w:val="24"/>
                <w:szCs w:val="24"/>
              </w:rPr>
            </w:pPr>
            <w:r w:rsidRPr="00D63124">
              <w:rPr>
                <w:b/>
                <w:sz w:val="24"/>
                <w:szCs w:val="24"/>
              </w:rPr>
              <w:lastRenderedPageBreak/>
              <w:t>3</w:t>
            </w:r>
            <w:r w:rsidR="009F2DFA" w:rsidRPr="00D63124">
              <w:rPr>
                <w:b/>
                <w:sz w:val="24"/>
                <w:szCs w:val="24"/>
              </w:rPr>
              <w:t>.3 Náklady regulácie</w:t>
            </w:r>
          </w:p>
          <w:p w:rsidR="009F2DFA" w:rsidRPr="00F04CCD" w:rsidRDefault="009F2DFA" w:rsidP="007B71A4">
            <w:pPr>
              <w:rPr>
                <w:b/>
              </w:rPr>
            </w:pPr>
            <w:r w:rsidRPr="00D63124">
              <w:rPr>
                <w:sz w:val="24"/>
                <w:szCs w:val="24"/>
              </w:rPr>
              <w:t xml:space="preserve">      - </w:t>
            </w:r>
            <w:r w:rsidRPr="00D63124">
              <w:rPr>
                <w:b/>
                <w:sz w:val="24"/>
                <w:szCs w:val="24"/>
              </w:rPr>
              <w:t>z toho MSP</w:t>
            </w:r>
          </w:p>
        </w:tc>
      </w:tr>
      <w:tr w:rsidR="009F2DFA" w:rsidRPr="00F04CCD" w:rsidTr="007B71A4">
        <w:tc>
          <w:tcPr>
            <w:tcW w:w="9212" w:type="dxa"/>
            <w:tcBorders>
              <w:bottom w:val="single" w:sz="4" w:space="0" w:color="auto"/>
            </w:tcBorders>
          </w:tcPr>
          <w:p w:rsidR="009F2DFA" w:rsidRPr="00D63124" w:rsidRDefault="002B1108" w:rsidP="007B71A4">
            <w:pPr>
              <w:rPr>
                <w:b/>
                <w:sz w:val="24"/>
              </w:rPr>
            </w:pPr>
            <w:r w:rsidRPr="00D63124">
              <w:rPr>
                <w:b/>
                <w:sz w:val="24"/>
              </w:rPr>
              <w:t>3</w:t>
            </w:r>
            <w:r w:rsidR="009F2DFA" w:rsidRPr="00D63124">
              <w:rPr>
                <w:b/>
                <w:sz w:val="24"/>
              </w:rPr>
              <w:t>.3.1 Priame finančné náklady</w:t>
            </w:r>
          </w:p>
          <w:p w:rsidR="009F2DFA" w:rsidRPr="00D63124" w:rsidRDefault="009F2DFA" w:rsidP="00D63124">
            <w:pPr>
              <w:jc w:val="both"/>
              <w:rPr>
                <w:i/>
              </w:rPr>
            </w:pPr>
            <w:r w:rsidRPr="00D63124">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D63124" w:rsidRDefault="00BC4BA8" w:rsidP="002623C1">
            <w:pPr>
              <w:rPr>
                <w:b/>
                <w:i/>
              </w:rPr>
            </w:pPr>
            <w:r w:rsidRPr="00D63124">
              <w:t>Navrhovaným materiálom nedochádza</w:t>
            </w:r>
            <w:r w:rsidRPr="00D63124">
              <w:rPr>
                <w:i/>
              </w:rPr>
              <w:t xml:space="preserve"> </w:t>
            </w:r>
            <w:r w:rsidRPr="00D63124">
              <w:t xml:space="preserve">k zvýšeniu/zníženiu priamych finančných nákladov. </w:t>
            </w:r>
          </w:p>
        </w:tc>
      </w:tr>
      <w:tr w:rsidR="009F2DFA" w:rsidRPr="00F04CCD" w:rsidTr="007B71A4">
        <w:tc>
          <w:tcPr>
            <w:tcW w:w="9212" w:type="dxa"/>
            <w:tcBorders>
              <w:bottom w:val="single" w:sz="4" w:space="0" w:color="auto"/>
            </w:tcBorders>
          </w:tcPr>
          <w:p w:rsidR="009F2DFA" w:rsidRPr="00D63124" w:rsidRDefault="002B1108" w:rsidP="007B71A4">
            <w:pPr>
              <w:rPr>
                <w:b/>
                <w:sz w:val="24"/>
              </w:rPr>
            </w:pPr>
            <w:r w:rsidRPr="00D63124">
              <w:rPr>
                <w:b/>
                <w:sz w:val="24"/>
              </w:rPr>
              <w:t>3</w:t>
            </w:r>
            <w:r w:rsidR="009F2DFA" w:rsidRPr="00D63124">
              <w:rPr>
                <w:b/>
                <w:sz w:val="24"/>
              </w:rPr>
              <w:t>.3.2 Nepriame finančné náklady</w:t>
            </w:r>
          </w:p>
          <w:p w:rsidR="009F2DFA" w:rsidRPr="00D63124" w:rsidRDefault="009F2DFA" w:rsidP="00D63124">
            <w:pPr>
              <w:jc w:val="both"/>
              <w:rPr>
                <w:i/>
              </w:rPr>
            </w:pPr>
            <w:r w:rsidRPr="00D63124">
              <w:rPr>
                <w:i/>
              </w:rPr>
              <w:t xml:space="preserve">Vyžaduje si predkladaný návrh dodatočné náklady na nákup tovarov alebo služieb? </w:t>
            </w:r>
            <w:r w:rsidR="00B31A8E" w:rsidRPr="00D63124">
              <w:rPr>
                <w:i/>
              </w:rPr>
              <w:t xml:space="preserve">Zvyšuje predkladaný návrh náklady súvisiace so zamestnávaním? </w:t>
            </w:r>
            <w:r w:rsidRPr="00D63124">
              <w:rPr>
                <w:i/>
              </w:rPr>
              <w:t>Ak áno, popíšte a vyčíslite ich. Uveďte tiež spôsob ich výpočtu.</w:t>
            </w:r>
          </w:p>
        </w:tc>
      </w:tr>
      <w:tr w:rsidR="009F2DFA" w:rsidRPr="00F04CCD" w:rsidTr="007B71A4">
        <w:tc>
          <w:tcPr>
            <w:tcW w:w="9212" w:type="dxa"/>
            <w:tcBorders>
              <w:bottom w:val="single" w:sz="4" w:space="0" w:color="auto"/>
            </w:tcBorders>
          </w:tcPr>
          <w:p w:rsidR="002623C1" w:rsidRPr="00D63124" w:rsidRDefault="00BC4BA8" w:rsidP="00932AF4">
            <w:pPr>
              <w:jc w:val="both"/>
            </w:pPr>
            <w:r w:rsidRPr="00D63124">
              <w:t xml:space="preserve">Nepriame náklady bude potrebné zabezpečiť </w:t>
            </w:r>
            <w:r w:rsidR="00505DA7" w:rsidRPr="00D63124">
              <w:t>na preberanie zásielok s tabuľkami s evidenčným číslom a dokladmi od vozidiel kuriérom z pripravovaného centrálneho pracoviska v Slovenskej Ľupči a ich doručovanie držiteľom vozidiel, ako aj preberanie pôvodných tabuliek s evidenčným číslom a dokladov od vozidiel od držiteľov vozidiel. Vyčíslenie nákladov bude zrejmé po prejednaní cenovej po</w:t>
            </w:r>
            <w:r w:rsidR="00071F4B" w:rsidRPr="00D63124">
              <w:t>nuky od Slovenskej pošty, a. s.</w:t>
            </w:r>
            <w:r w:rsidR="00505DA7" w:rsidRPr="00D63124">
              <w:t xml:space="preserve"> </w:t>
            </w:r>
          </w:p>
          <w:p w:rsidR="00E14401" w:rsidRPr="00D63124" w:rsidRDefault="00E14401" w:rsidP="00932AF4">
            <w:pPr>
              <w:jc w:val="both"/>
            </w:pPr>
            <w:r w:rsidRPr="00D63124">
              <w:t>Tieto náklady sa nedotknú občanov ani podnikateľských subjektov, náklady bude znášať Ministerstvo vnútra SR. Uvedené náklady nebudú prenesené do zvýšenia súčasne platných správnych poplatkov.</w:t>
            </w:r>
          </w:p>
        </w:tc>
      </w:tr>
      <w:tr w:rsidR="009F2DFA" w:rsidRPr="00F04CCD" w:rsidTr="007B71A4">
        <w:tc>
          <w:tcPr>
            <w:tcW w:w="9212" w:type="dxa"/>
            <w:tcBorders>
              <w:bottom w:val="single" w:sz="4" w:space="0" w:color="auto"/>
            </w:tcBorders>
          </w:tcPr>
          <w:p w:rsidR="009F2DFA" w:rsidRPr="00D63124" w:rsidRDefault="002B1108" w:rsidP="007B71A4">
            <w:pPr>
              <w:rPr>
                <w:b/>
                <w:sz w:val="24"/>
              </w:rPr>
            </w:pPr>
            <w:r w:rsidRPr="00D63124">
              <w:rPr>
                <w:b/>
                <w:sz w:val="24"/>
              </w:rPr>
              <w:t>3</w:t>
            </w:r>
            <w:r w:rsidR="009F2DFA" w:rsidRPr="00D63124">
              <w:rPr>
                <w:b/>
                <w:sz w:val="24"/>
              </w:rPr>
              <w:t>.3.3 Administratívne náklady</w:t>
            </w:r>
          </w:p>
          <w:p w:rsidR="009F2DFA" w:rsidRPr="00D63124" w:rsidRDefault="009F2DFA" w:rsidP="00D63124">
            <w:pPr>
              <w:jc w:val="both"/>
              <w:rPr>
                <w:i/>
              </w:rPr>
            </w:pPr>
            <w:r w:rsidRPr="00D63124">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226E0A">
        <w:trPr>
          <w:trHeight w:val="352"/>
        </w:trPr>
        <w:tc>
          <w:tcPr>
            <w:tcW w:w="9212" w:type="dxa"/>
            <w:tcBorders>
              <w:bottom w:val="single" w:sz="4" w:space="0" w:color="auto"/>
            </w:tcBorders>
            <w:vAlign w:val="center"/>
          </w:tcPr>
          <w:p w:rsidR="009939E7" w:rsidRPr="00D63124" w:rsidRDefault="00505DA7" w:rsidP="00226E0A">
            <w:pPr>
              <w:rPr>
                <w:b/>
                <w:i/>
              </w:rPr>
            </w:pPr>
            <w:r w:rsidRPr="00D63124">
              <w:t>Nie</w:t>
            </w:r>
          </w:p>
        </w:tc>
      </w:tr>
      <w:tr w:rsidR="009F2DFA" w:rsidRPr="00F04CCD" w:rsidTr="007B71A4">
        <w:trPr>
          <w:trHeight w:val="2318"/>
        </w:trPr>
        <w:tc>
          <w:tcPr>
            <w:tcW w:w="9212" w:type="dxa"/>
            <w:tcBorders>
              <w:bottom w:val="single" w:sz="4" w:space="0" w:color="auto"/>
            </w:tcBorders>
          </w:tcPr>
          <w:p w:rsidR="009F2DFA" w:rsidRPr="00D63124" w:rsidRDefault="002B1108" w:rsidP="007B71A4">
            <w:pPr>
              <w:rPr>
                <w:sz w:val="24"/>
              </w:rPr>
            </w:pPr>
            <w:r w:rsidRPr="00D63124">
              <w:rPr>
                <w:b/>
                <w:sz w:val="24"/>
              </w:rPr>
              <w:t>3</w:t>
            </w:r>
            <w:r w:rsidR="009F2DFA" w:rsidRPr="00D63124">
              <w:rPr>
                <w:b/>
                <w:sz w:val="24"/>
              </w:rPr>
              <w:t>.3.4 Súhrnná tabuľka nákladov regulácie</w:t>
            </w:r>
          </w:p>
          <w:p w:rsidR="009F2DFA" w:rsidRPr="00D63124"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D63124" w:rsidTr="007B71A4">
              <w:tc>
                <w:tcPr>
                  <w:tcW w:w="2993" w:type="dxa"/>
                </w:tcPr>
                <w:p w:rsidR="009F2DFA" w:rsidRPr="00D63124" w:rsidRDefault="009F2DFA" w:rsidP="007B71A4">
                  <w:pPr>
                    <w:rPr>
                      <w:i/>
                    </w:rPr>
                  </w:pPr>
                </w:p>
              </w:tc>
              <w:tc>
                <w:tcPr>
                  <w:tcW w:w="2994" w:type="dxa"/>
                </w:tcPr>
                <w:p w:rsidR="009F2DFA" w:rsidRPr="00D63124" w:rsidRDefault="009F2DFA" w:rsidP="007B71A4">
                  <w:pPr>
                    <w:jc w:val="center"/>
                    <w:rPr>
                      <w:i/>
                    </w:rPr>
                  </w:pPr>
                  <w:r w:rsidRPr="00D63124">
                    <w:rPr>
                      <w:i/>
                    </w:rPr>
                    <w:t>Náklady na 1 podnikateľa</w:t>
                  </w:r>
                </w:p>
              </w:tc>
              <w:tc>
                <w:tcPr>
                  <w:tcW w:w="2994" w:type="dxa"/>
                </w:tcPr>
                <w:p w:rsidR="009F2DFA" w:rsidRPr="00D63124" w:rsidRDefault="009F2DFA" w:rsidP="007B71A4">
                  <w:pPr>
                    <w:jc w:val="center"/>
                    <w:rPr>
                      <w:i/>
                    </w:rPr>
                  </w:pPr>
                  <w:r w:rsidRPr="00D63124">
                    <w:rPr>
                      <w:i/>
                    </w:rPr>
                    <w:t>Náklady na celé podnikateľské prostredie</w:t>
                  </w:r>
                </w:p>
              </w:tc>
            </w:tr>
            <w:tr w:rsidR="009F2DFA" w:rsidRPr="00D63124" w:rsidTr="007B71A4">
              <w:tc>
                <w:tcPr>
                  <w:tcW w:w="2993" w:type="dxa"/>
                </w:tcPr>
                <w:p w:rsidR="009F2DFA" w:rsidRPr="00D63124" w:rsidRDefault="009F2DFA" w:rsidP="007B71A4">
                  <w:pPr>
                    <w:rPr>
                      <w:i/>
                    </w:rPr>
                  </w:pPr>
                  <w:r w:rsidRPr="00D63124">
                    <w:rPr>
                      <w:i/>
                    </w:rPr>
                    <w:t>Priame finančné náklady</w:t>
                  </w:r>
                </w:p>
              </w:tc>
              <w:tc>
                <w:tcPr>
                  <w:tcW w:w="2994" w:type="dxa"/>
                </w:tcPr>
                <w:p w:rsidR="009F2DFA" w:rsidRPr="00D63124" w:rsidRDefault="009F2DFA" w:rsidP="007B71A4">
                  <w:pPr>
                    <w:jc w:val="center"/>
                    <w:rPr>
                      <w:i/>
                    </w:rPr>
                  </w:pPr>
                  <w:r w:rsidRPr="00D63124">
                    <w:rPr>
                      <w:i/>
                    </w:rPr>
                    <w:t>0</w:t>
                  </w:r>
                </w:p>
              </w:tc>
              <w:tc>
                <w:tcPr>
                  <w:tcW w:w="2994" w:type="dxa"/>
                </w:tcPr>
                <w:p w:rsidR="009F2DFA" w:rsidRPr="00D63124" w:rsidRDefault="009F2DFA" w:rsidP="007B71A4">
                  <w:pPr>
                    <w:jc w:val="center"/>
                    <w:rPr>
                      <w:i/>
                    </w:rPr>
                  </w:pPr>
                  <w:r w:rsidRPr="00D63124">
                    <w:rPr>
                      <w:i/>
                    </w:rPr>
                    <w:t>0</w:t>
                  </w:r>
                </w:p>
              </w:tc>
            </w:tr>
            <w:tr w:rsidR="009F2DFA" w:rsidRPr="00D63124" w:rsidTr="007B71A4">
              <w:tc>
                <w:tcPr>
                  <w:tcW w:w="2993" w:type="dxa"/>
                </w:tcPr>
                <w:p w:rsidR="009F2DFA" w:rsidRPr="00D63124" w:rsidRDefault="009F2DFA" w:rsidP="007B71A4">
                  <w:pPr>
                    <w:rPr>
                      <w:i/>
                    </w:rPr>
                  </w:pPr>
                  <w:r w:rsidRPr="00D63124">
                    <w:rPr>
                      <w:i/>
                    </w:rPr>
                    <w:t>Nepriame finančné náklady</w:t>
                  </w:r>
                </w:p>
              </w:tc>
              <w:tc>
                <w:tcPr>
                  <w:tcW w:w="2994" w:type="dxa"/>
                </w:tcPr>
                <w:p w:rsidR="009F2DFA" w:rsidRPr="00D63124" w:rsidRDefault="009F2DFA" w:rsidP="007B71A4">
                  <w:pPr>
                    <w:jc w:val="center"/>
                    <w:rPr>
                      <w:i/>
                    </w:rPr>
                  </w:pPr>
                  <w:r w:rsidRPr="00D63124">
                    <w:rPr>
                      <w:i/>
                    </w:rPr>
                    <w:t>0</w:t>
                  </w:r>
                </w:p>
              </w:tc>
              <w:tc>
                <w:tcPr>
                  <w:tcW w:w="2994" w:type="dxa"/>
                </w:tcPr>
                <w:p w:rsidR="009F2DFA" w:rsidRPr="00D63124" w:rsidRDefault="009F2DFA" w:rsidP="007B71A4">
                  <w:pPr>
                    <w:jc w:val="center"/>
                    <w:rPr>
                      <w:i/>
                    </w:rPr>
                  </w:pPr>
                  <w:r w:rsidRPr="00D63124">
                    <w:rPr>
                      <w:i/>
                    </w:rPr>
                    <w:t>0</w:t>
                  </w:r>
                </w:p>
              </w:tc>
            </w:tr>
            <w:tr w:rsidR="009F2DFA" w:rsidRPr="00D63124" w:rsidTr="007B71A4">
              <w:tc>
                <w:tcPr>
                  <w:tcW w:w="2993" w:type="dxa"/>
                </w:tcPr>
                <w:p w:rsidR="009F2DFA" w:rsidRPr="00D63124" w:rsidRDefault="009F2DFA" w:rsidP="007B71A4">
                  <w:pPr>
                    <w:rPr>
                      <w:i/>
                    </w:rPr>
                  </w:pPr>
                  <w:r w:rsidRPr="00D63124">
                    <w:rPr>
                      <w:i/>
                    </w:rPr>
                    <w:t>Administratívne náklady</w:t>
                  </w:r>
                </w:p>
              </w:tc>
              <w:tc>
                <w:tcPr>
                  <w:tcW w:w="2994" w:type="dxa"/>
                </w:tcPr>
                <w:p w:rsidR="009F2DFA" w:rsidRPr="00D63124" w:rsidRDefault="009F2DFA" w:rsidP="007B71A4">
                  <w:pPr>
                    <w:jc w:val="center"/>
                    <w:rPr>
                      <w:i/>
                    </w:rPr>
                  </w:pPr>
                  <w:r w:rsidRPr="00D63124">
                    <w:rPr>
                      <w:i/>
                    </w:rPr>
                    <w:t>0</w:t>
                  </w:r>
                </w:p>
              </w:tc>
              <w:tc>
                <w:tcPr>
                  <w:tcW w:w="2994" w:type="dxa"/>
                </w:tcPr>
                <w:p w:rsidR="009F2DFA" w:rsidRPr="00D63124" w:rsidRDefault="009F2DFA" w:rsidP="007B71A4">
                  <w:pPr>
                    <w:jc w:val="center"/>
                    <w:rPr>
                      <w:i/>
                    </w:rPr>
                  </w:pPr>
                  <w:r w:rsidRPr="00D63124">
                    <w:rPr>
                      <w:i/>
                    </w:rPr>
                    <w:t>0</w:t>
                  </w:r>
                </w:p>
              </w:tc>
            </w:tr>
            <w:tr w:rsidR="009F2DFA" w:rsidRPr="00D63124" w:rsidTr="007B71A4">
              <w:tc>
                <w:tcPr>
                  <w:tcW w:w="2993" w:type="dxa"/>
                </w:tcPr>
                <w:p w:rsidR="009F2DFA" w:rsidRPr="00D63124" w:rsidRDefault="009F2DFA" w:rsidP="007B71A4">
                  <w:pPr>
                    <w:rPr>
                      <w:b/>
                      <w:i/>
                    </w:rPr>
                  </w:pPr>
                  <w:r w:rsidRPr="00D63124">
                    <w:rPr>
                      <w:b/>
                      <w:i/>
                    </w:rPr>
                    <w:t>Celkové náklady regulácie</w:t>
                  </w:r>
                </w:p>
              </w:tc>
              <w:tc>
                <w:tcPr>
                  <w:tcW w:w="2994" w:type="dxa"/>
                </w:tcPr>
                <w:p w:rsidR="009F2DFA" w:rsidRPr="00D63124" w:rsidRDefault="009F2DFA" w:rsidP="007B71A4">
                  <w:pPr>
                    <w:jc w:val="center"/>
                    <w:rPr>
                      <w:b/>
                      <w:i/>
                    </w:rPr>
                  </w:pPr>
                  <w:r w:rsidRPr="00D63124">
                    <w:rPr>
                      <w:b/>
                      <w:i/>
                    </w:rPr>
                    <w:t>0</w:t>
                  </w:r>
                </w:p>
              </w:tc>
              <w:tc>
                <w:tcPr>
                  <w:tcW w:w="2994" w:type="dxa"/>
                </w:tcPr>
                <w:p w:rsidR="009F2DFA" w:rsidRPr="00D63124" w:rsidRDefault="009F2DFA" w:rsidP="007B71A4">
                  <w:pPr>
                    <w:jc w:val="center"/>
                    <w:rPr>
                      <w:b/>
                      <w:i/>
                    </w:rPr>
                  </w:pPr>
                  <w:r w:rsidRPr="00D63124">
                    <w:rPr>
                      <w:b/>
                      <w:i/>
                    </w:rPr>
                    <w:t>0</w:t>
                  </w:r>
                </w:p>
              </w:tc>
            </w:tr>
          </w:tbl>
          <w:p w:rsidR="009F2DFA" w:rsidRPr="00D63124" w:rsidRDefault="009F2DFA" w:rsidP="007B71A4">
            <w:pPr>
              <w:rPr>
                <w:i/>
              </w:rPr>
            </w:pPr>
          </w:p>
        </w:tc>
      </w:tr>
      <w:tr w:rsidR="009F2DFA" w:rsidRPr="00F04CCD" w:rsidTr="007B71A4">
        <w:tc>
          <w:tcPr>
            <w:tcW w:w="9212" w:type="dxa"/>
            <w:shd w:val="clear" w:color="auto" w:fill="D9D9D9" w:themeFill="background1" w:themeFillShade="D9"/>
          </w:tcPr>
          <w:p w:rsidR="009F2DFA" w:rsidRPr="00D63124" w:rsidRDefault="002B1108" w:rsidP="007B71A4">
            <w:pPr>
              <w:rPr>
                <w:b/>
                <w:sz w:val="24"/>
              </w:rPr>
            </w:pPr>
            <w:r w:rsidRPr="00D63124">
              <w:rPr>
                <w:b/>
                <w:sz w:val="24"/>
              </w:rPr>
              <w:t>3</w:t>
            </w:r>
            <w:r w:rsidR="009F2DFA" w:rsidRPr="00D63124">
              <w:rPr>
                <w:b/>
                <w:sz w:val="24"/>
              </w:rPr>
              <w:t>.4 Konkurencieschopnosť a správanie sa podnikov na trhu</w:t>
            </w:r>
          </w:p>
          <w:p w:rsidR="009F2DFA" w:rsidRPr="00F04CCD" w:rsidRDefault="009F2DFA" w:rsidP="007B71A4">
            <w:r w:rsidRPr="00D63124">
              <w:rPr>
                <w:b/>
                <w:sz w:val="24"/>
              </w:rPr>
              <w:t xml:space="preserve">       </w:t>
            </w:r>
            <w:r w:rsidRPr="00D63124">
              <w:rPr>
                <w:sz w:val="24"/>
              </w:rPr>
              <w:t xml:space="preserve">- </w:t>
            </w:r>
            <w:r w:rsidRPr="00D63124">
              <w:rPr>
                <w:b/>
                <w:sz w:val="24"/>
              </w:rPr>
              <w:t>z toho MSP</w:t>
            </w:r>
          </w:p>
        </w:tc>
      </w:tr>
      <w:tr w:rsidR="009F2DFA" w:rsidRPr="00F04CCD" w:rsidTr="007B71A4">
        <w:tc>
          <w:tcPr>
            <w:tcW w:w="9212" w:type="dxa"/>
            <w:tcBorders>
              <w:bottom w:val="single" w:sz="4" w:space="0" w:color="auto"/>
            </w:tcBorders>
          </w:tcPr>
          <w:p w:rsidR="009F2DFA" w:rsidRPr="00D63124" w:rsidRDefault="009F2DFA" w:rsidP="00D63124">
            <w:pPr>
              <w:jc w:val="both"/>
              <w:rPr>
                <w:i/>
              </w:rPr>
            </w:pPr>
            <w:r w:rsidRPr="00D63124">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2DFA" w:rsidRPr="00D63124" w:rsidRDefault="009F2DFA" w:rsidP="00D63124">
            <w:pPr>
              <w:jc w:val="both"/>
              <w:rPr>
                <w:i/>
              </w:rPr>
            </w:pPr>
            <w:r w:rsidRPr="00D63124">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D63124" w:rsidRDefault="009F2DFA" w:rsidP="00D63124">
            <w:pPr>
              <w:jc w:val="both"/>
              <w:rPr>
                <w:i/>
              </w:rPr>
            </w:pPr>
            <w:r w:rsidRPr="00D63124">
              <w:rPr>
                <w:i/>
              </w:rPr>
              <w:t>Ako ovplyvní cenu alebo dostupnosť základných zdrojov (suroviny, mechanizmy, pracovná sila, energie atď.)?</w:t>
            </w:r>
          </w:p>
          <w:p w:rsidR="009F2DFA" w:rsidRPr="00D63124" w:rsidRDefault="009F2DFA" w:rsidP="00D63124">
            <w:pPr>
              <w:jc w:val="both"/>
              <w:rPr>
                <w:i/>
              </w:rPr>
            </w:pPr>
            <w:r w:rsidRPr="00D63124">
              <w:rPr>
                <w:i/>
              </w:rPr>
              <w:t>Ovplyvňuje prístup k financiám? Ak áno, ako?</w:t>
            </w:r>
          </w:p>
        </w:tc>
      </w:tr>
      <w:tr w:rsidR="009F2DFA" w:rsidRPr="00F04CCD" w:rsidTr="00226E0A">
        <w:trPr>
          <w:trHeight w:val="417"/>
        </w:trPr>
        <w:tc>
          <w:tcPr>
            <w:tcW w:w="9212" w:type="dxa"/>
            <w:tcBorders>
              <w:bottom w:val="single" w:sz="4" w:space="0" w:color="auto"/>
            </w:tcBorders>
            <w:vAlign w:val="center"/>
          </w:tcPr>
          <w:p w:rsidR="009F2DFA" w:rsidRPr="00D63124" w:rsidRDefault="00505DA7" w:rsidP="00D63124">
            <w:pPr>
              <w:jc w:val="both"/>
              <w:rPr>
                <w:b/>
              </w:rPr>
            </w:pPr>
            <w:r w:rsidRPr="00D63124">
              <w:t>Nie</w:t>
            </w:r>
          </w:p>
        </w:tc>
      </w:tr>
      <w:tr w:rsidR="009F2DFA" w:rsidRPr="00F04CCD" w:rsidTr="007B71A4">
        <w:tc>
          <w:tcPr>
            <w:tcW w:w="9212" w:type="dxa"/>
            <w:shd w:val="clear" w:color="auto" w:fill="D9D9D9" w:themeFill="background1" w:themeFillShade="D9"/>
          </w:tcPr>
          <w:p w:rsidR="009F2DFA" w:rsidRPr="00D63124" w:rsidRDefault="002B1108" w:rsidP="007B71A4">
            <w:pPr>
              <w:rPr>
                <w:b/>
                <w:sz w:val="24"/>
                <w:szCs w:val="24"/>
              </w:rPr>
            </w:pPr>
            <w:r w:rsidRPr="00D63124">
              <w:rPr>
                <w:b/>
                <w:sz w:val="24"/>
                <w:szCs w:val="24"/>
              </w:rPr>
              <w:t>3</w:t>
            </w:r>
            <w:r w:rsidR="009F2DFA" w:rsidRPr="00D63124">
              <w:rPr>
                <w:b/>
                <w:sz w:val="24"/>
                <w:szCs w:val="24"/>
              </w:rPr>
              <w:t xml:space="preserve">.5 Inovácie </w:t>
            </w:r>
          </w:p>
          <w:p w:rsidR="009F2DFA" w:rsidRPr="00F04CCD" w:rsidRDefault="009F2DFA" w:rsidP="007B71A4">
            <w:pPr>
              <w:rPr>
                <w:b/>
              </w:rPr>
            </w:pPr>
            <w:r w:rsidRPr="00D63124">
              <w:rPr>
                <w:sz w:val="24"/>
                <w:szCs w:val="24"/>
              </w:rPr>
              <w:t xml:space="preserve">       - </w:t>
            </w:r>
            <w:r w:rsidRPr="00D63124">
              <w:rPr>
                <w:b/>
                <w:sz w:val="24"/>
                <w:szCs w:val="24"/>
              </w:rPr>
              <w:t>z toho MSP</w:t>
            </w:r>
          </w:p>
        </w:tc>
      </w:tr>
      <w:tr w:rsidR="009F2DFA" w:rsidRPr="00F04CCD" w:rsidTr="007B71A4">
        <w:tc>
          <w:tcPr>
            <w:tcW w:w="9212" w:type="dxa"/>
          </w:tcPr>
          <w:p w:rsidR="009F2DFA" w:rsidRPr="00D63124" w:rsidRDefault="009F2DFA" w:rsidP="00D63124">
            <w:pPr>
              <w:jc w:val="both"/>
              <w:rPr>
                <w:i/>
              </w:rPr>
            </w:pPr>
            <w:r w:rsidRPr="00D63124">
              <w:rPr>
                <w:i/>
              </w:rPr>
              <w:t>Uveďte, ako podporuje navrhovaná zmena inovácie.</w:t>
            </w:r>
          </w:p>
          <w:p w:rsidR="009F2DFA" w:rsidRPr="00D63124" w:rsidRDefault="009F2DFA" w:rsidP="00D63124">
            <w:pPr>
              <w:jc w:val="both"/>
              <w:rPr>
                <w:i/>
              </w:rPr>
            </w:pPr>
            <w:r w:rsidRPr="00D63124">
              <w:rPr>
                <w:i/>
              </w:rPr>
              <w:t>Zjednodušuje uvedenie alebo rozšírenie nových výrobných metód, technológií a výrobkov na trh?</w:t>
            </w:r>
          </w:p>
          <w:p w:rsidR="009F2DFA" w:rsidRPr="00D63124" w:rsidRDefault="009F2DFA" w:rsidP="00D63124">
            <w:pPr>
              <w:jc w:val="both"/>
              <w:rPr>
                <w:i/>
              </w:rPr>
            </w:pPr>
            <w:r w:rsidRPr="00D63124">
              <w:rPr>
                <w:i/>
              </w:rPr>
              <w:t xml:space="preserve">Uveďte, ako vplýva navrhovaná zmena na </w:t>
            </w:r>
            <w:r w:rsidR="00904C9B" w:rsidRPr="00D63124">
              <w:rPr>
                <w:i/>
              </w:rPr>
              <w:t xml:space="preserve">jednotlivé </w:t>
            </w:r>
            <w:r w:rsidRPr="00D63124">
              <w:rPr>
                <w:i/>
              </w:rPr>
              <w:t>práva duševného vlastníctva (</w:t>
            </w:r>
            <w:r w:rsidR="00904C9B" w:rsidRPr="00D63124">
              <w:rPr>
                <w:i/>
              </w:rPr>
              <w:t xml:space="preserve">napr. </w:t>
            </w:r>
            <w:r w:rsidRPr="00D63124">
              <w:rPr>
                <w:i/>
              </w:rPr>
              <w:t xml:space="preserve">patenty, ochranné známky, </w:t>
            </w:r>
            <w:r w:rsidR="00904C9B" w:rsidRPr="00D63124">
              <w:rPr>
                <w:i/>
              </w:rPr>
              <w:t>autorské práva</w:t>
            </w:r>
            <w:r w:rsidRPr="00D63124">
              <w:rPr>
                <w:i/>
              </w:rPr>
              <w:t>, vlastníctvo know-how).</w:t>
            </w:r>
          </w:p>
          <w:p w:rsidR="009F2DFA" w:rsidRPr="00D63124" w:rsidRDefault="009F2DFA" w:rsidP="00D63124">
            <w:pPr>
              <w:jc w:val="both"/>
              <w:rPr>
                <w:i/>
              </w:rPr>
            </w:pPr>
            <w:r w:rsidRPr="00D63124">
              <w:rPr>
                <w:i/>
              </w:rPr>
              <w:t>Podporuje vyššiu efektivitu výroby/využívania zdrojov? Ak áno, ako?</w:t>
            </w:r>
          </w:p>
          <w:p w:rsidR="00837639" w:rsidRPr="00D63124" w:rsidRDefault="00837639" w:rsidP="00D63124">
            <w:pPr>
              <w:jc w:val="both"/>
            </w:pPr>
            <w:r w:rsidRPr="00D63124">
              <w:rPr>
                <w:i/>
              </w:rPr>
              <w:t>Vytvorí zmena nové pracovné miesta pre zamestnancov výskumu a vývoja v SR?</w:t>
            </w:r>
          </w:p>
        </w:tc>
      </w:tr>
      <w:tr w:rsidR="009F2DFA" w:rsidRPr="00F04CCD" w:rsidTr="00226E0A">
        <w:trPr>
          <w:trHeight w:val="411"/>
        </w:trPr>
        <w:tc>
          <w:tcPr>
            <w:tcW w:w="9212" w:type="dxa"/>
            <w:vAlign w:val="center"/>
          </w:tcPr>
          <w:p w:rsidR="009F2DFA" w:rsidRPr="00D63124" w:rsidRDefault="00505DA7" w:rsidP="00226E0A">
            <w:pPr>
              <w:rPr>
                <w:b/>
              </w:rPr>
            </w:pPr>
            <w:r w:rsidRPr="00D63124">
              <w:t>Nie</w:t>
            </w:r>
          </w:p>
        </w:tc>
      </w:tr>
    </w:tbl>
    <w:p w:rsidR="009F2DFA" w:rsidRPr="00F04CCD" w:rsidRDefault="009F2DFA" w:rsidP="009939E7"/>
    <w:sectPr w:rsidR="009F2DFA" w:rsidRPr="00F04CC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17" w:rsidRDefault="00F40F17" w:rsidP="009F2DFA">
      <w:r>
        <w:separator/>
      </w:r>
    </w:p>
  </w:endnote>
  <w:endnote w:type="continuationSeparator" w:id="0">
    <w:p w:rsidR="00F40F17" w:rsidRDefault="00F40F17"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rsidR="009F2DFA" w:rsidRDefault="009F2DFA" w:rsidP="006E7868">
        <w:pPr>
          <w:pStyle w:val="Pta"/>
          <w:jc w:val="center"/>
        </w:pPr>
        <w:r>
          <w:fldChar w:fldCharType="begin"/>
        </w:r>
        <w:r>
          <w:instrText>PAGE   \* MERGEFORMAT</w:instrText>
        </w:r>
        <w:r>
          <w:fldChar w:fldCharType="separate"/>
        </w:r>
        <w:r w:rsidR="00F40F1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17" w:rsidRDefault="00F40F17" w:rsidP="009F2DFA">
      <w:r>
        <w:separator/>
      </w:r>
    </w:p>
  </w:footnote>
  <w:footnote w:type="continuationSeparator" w:id="0">
    <w:p w:rsidR="00F40F17" w:rsidRDefault="00F40F17" w:rsidP="009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D53C3E"/>
    <w:multiLevelType w:val="hybridMultilevel"/>
    <w:tmpl w:val="74A410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B2F5A00"/>
    <w:multiLevelType w:val="hybridMultilevel"/>
    <w:tmpl w:val="E0387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1"/>
  </w:num>
  <w:num w:numId="6">
    <w:abstractNumId w:val="6"/>
  </w:num>
  <w:num w:numId="7">
    <w:abstractNumId w:val="12"/>
  </w:num>
  <w:num w:numId="8">
    <w:abstractNumId w:val="3"/>
  </w:num>
  <w:num w:numId="9">
    <w:abstractNumId w:val="0"/>
  </w:num>
  <w:num w:numId="10">
    <w:abstractNumId w:val="13"/>
  </w:num>
  <w:num w:numId="11">
    <w:abstractNumId w:val="7"/>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412C9"/>
    <w:rsid w:val="00071F4B"/>
    <w:rsid w:val="000C2AFC"/>
    <w:rsid w:val="001519D2"/>
    <w:rsid w:val="00154881"/>
    <w:rsid w:val="001C56FD"/>
    <w:rsid w:val="002206AE"/>
    <w:rsid w:val="00226E0A"/>
    <w:rsid w:val="002623C1"/>
    <w:rsid w:val="002B1108"/>
    <w:rsid w:val="00302574"/>
    <w:rsid w:val="00312597"/>
    <w:rsid w:val="003A3AEF"/>
    <w:rsid w:val="00454CB0"/>
    <w:rsid w:val="004E3888"/>
    <w:rsid w:val="004E3D92"/>
    <w:rsid w:val="00505DA7"/>
    <w:rsid w:val="0052297F"/>
    <w:rsid w:val="00583E16"/>
    <w:rsid w:val="00646D09"/>
    <w:rsid w:val="00680E38"/>
    <w:rsid w:val="00687D54"/>
    <w:rsid w:val="006E7868"/>
    <w:rsid w:val="00735E0B"/>
    <w:rsid w:val="00743ECD"/>
    <w:rsid w:val="007622ED"/>
    <w:rsid w:val="00780BA6"/>
    <w:rsid w:val="007E189D"/>
    <w:rsid w:val="0081269A"/>
    <w:rsid w:val="00837639"/>
    <w:rsid w:val="00841558"/>
    <w:rsid w:val="008A1252"/>
    <w:rsid w:val="00904C9B"/>
    <w:rsid w:val="00926DE1"/>
    <w:rsid w:val="00932AF4"/>
    <w:rsid w:val="0094654A"/>
    <w:rsid w:val="009939E7"/>
    <w:rsid w:val="009F2DFA"/>
    <w:rsid w:val="00A03603"/>
    <w:rsid w:val="00A27389"/>
    <w:rsid w:val="00A51F07"/>
    <w:rsid w:val="00A560C6"/>
    <w:rsid w:val="00AA52FB"/>
    <w:rsid w:val="00AE0824"/>
    <w:rsid w:val="00AF6C81"/>
    <w:rsid w:val="00B10726"/>
    <w:rsid w:val="00B1201C"/>
    <w:rsid w:val="00B31A8E"/>
    <w:rsid w:val="00B3707A"/>
    <w:rsid w:val="00B60C83"/>
    <w:rsid w:val="00BA073A"/>
    <w:rsid w:val="00BC4BA8"/>
    <w:rsid w:val="00CA3F6E"/>
    <w:rsid w:val="00CB3623"/>
    <w:rsid w:val="00D46D3F"/>
    <w:rsid w:val="00D63124"/>
    <w:rsid w:val="00E14401"/>
    <w:rsid w:val="00E83EC8"/>
    <w:rsid w:val="00E86AD1"/>
    <w:rsid w:val="00E87E7C"/>
    <w:rsid w:val="00F121BF"/>
    <w:rsid w:val="00F30987"/>
    <w:rsid w:val="00F40F17"/>
    <w:rsid w:val="00F41620"/>
    <w:rsid w:val="00FB5C13"/>
    <w:rsid w:val="00FD4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8877"/>
  <w15:docId w15:val="{70A47C69-BB4C-41F7-B095-4A870138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B3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73206">
      <w:bodyDiv w:val="1"/>
      <w:marLeft w:val="0"/>
      <w:marRight w:val="0"/>
      <w:marTop w:val="0"/>
      <w:marBottom w:val="0"/>
      <w:divBdr>
        <w:top w:val="none" w:sz="0" w:space="0" w:color="auto"/>
        <w:left w:val="none" w:sz="0" w:space="0" w:color="auto"/>
        <w:bottom w:val="none" w:sz="0" w:space="0" w:color="auto"/>
        <w:right w:val="none" w:sz="0" w:space="0" w:color="auto"/>
      </w:divBdr>
    </w:div>
    <w:div w:id="16315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daras@slaspo.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psr@zapsr.sk" TargetMode="External"/><Relationship Id="rId12" Type="http://schemas.openxmlformats.org/officeDocument/2006/relationships/hyperlink" Target="mailto:jergus.zdruzeniemh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zing@alssr.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p@skp.sk" TargetMode="External"/><Relationship Id="rId4" Type="http://schemas.openxmlformats.org/officeDocument/2006/relationships/webSettings" Target="webSettings.xml"/><Relationship Id="rId9" Type="http://schemas.openxmlformats.org/officeDocument/2006/relationships/hyperlink" Target="mailto:vlcek@sass-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1351</Words>
  <Characters>7706</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Katarina.Manduchova2@minv.sk</dc:creator>
  <cp:lastModifiedBy>Martin Birnstein</cp:lastModifiedBy>
  <cp:revision>8</cp:revision>
  <dcterms:created xsi:type="dcterms:W3CDTF">2019-04-05T12:35:00Z</dcterms:created>
  <dcterms:modified xsi:type="dcterms:W3CDTF">2019-05-07T09:53:00Z</dcterms:modified>
</cp:coreProperties>
</file>