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E4" w:rsidRPr="006711CA" w:rsidRDefault="00F42BE4" w:rsidP="00F42BE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711CA">
        <w:rPr>
          <w:b/>
          <w:bCs/>
          <w:sz w:val="28"/>
          <w:szCs w:val="28"/>
        </w:rPr>
        <w:t>Doložka vybraných vplyvov</w:t>
      </w:r>
    </w:p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42BE4" w:rsidRPr="006711CA" w:rsidTr="004C3ADD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jc w:val="both"/>
              <w:rPr>
                <w:sz w:val="22"/>
                <w:szCs w:val="20"/>
              </w:rPr>
            </w:pPr>
            <w:r w:rsidRPr="008F461D">
              <w:rPr>
                <w:sz w:val="22"/>
              </w:rPr>
              <w:t xml:space="preserve">Návrh nariadenia vlády Slovenskej republiky, ktorým sa ustanovuje výška sadzby na jednu hodinu osobnej asistencie a výška peňažného príspevku na opatrovanie. 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BB7EAE" w:rsidRDefault="00F42BE4" w:rsidP="004C3ADD">
            <w:pPr>
              <w:rPr>
                <w:sz w:val="22"/>
                <w:szCs w:val="22"/>
              </w:rPr>
            </w:pPr>
            <w:r w:rsidRPr="00BB7EAE">
              <w:rPr>
                <w:sz w:val="22"/>
                <w:szCs w:val="22"/>
              </w:rPr>
              <w:t>Ministerstvo práce, sociálnych vecí a rodiny Slovenskej republiky</w:t>
            </w:r>
          </w:p>
        </w:tc>
      </w:tr>
      <w:tr w:rsidR="00F42BE4" w:rsidRPr="006711CA" w:rsidTr="004C3ADD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jc w:val="center"/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sz w:val="20"/>
                <w:szCs w:val="20"/>
              </w:rPr>
              <w:t> </w:t>
            </w:r>
            <w:r w:rsidRPr="006711CA">
              <w:rPr>
                <w:sz w:val="28"/>
                <w:szCs w:val="28"/>
              </w:rPr>
              <w:t></w:t>
            </w:r>
            <w:r w:rsidRPr="006711CA">
              <w:rPr>
                <w:sz w:val="20"/>
                <w:szCs w:val="20"/>
              </w:rPr>
              <w:t>  Materiál nelegislatívnej povahy</w:t>
            </w:r>
          </w:p>
        </w:tc>
      </w:tr>
      <w:tr w:rsidR="00F42BE4" w:rsidRPr="006711CA" w:rsidTr="004C3AD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sz w:val="20"/>
                <w:szCs w:val="20"/>
              </w:rPr>
              <w:t> </w:t>
            </w:r>
            <w:r w:rsidRPr="008F461D">
              <w:rPr>
                <w:rFonts w:ascii="MS Mincho" w:eastAsia="MS Mincho" w:hAnsi="MS Mincho" w:cs="MS Mincho" w:hint="eastAsia"/>
              </w:rPr>
              <w:t>☒</w:t>
            </w:r>
            <w:r w:rsidRPr="008F461D">
              <w:rPr>
                <w:sz w:val="20"/>
                <w:szCs w:val="20"/>
              </w:rPr>
              <w:t xml:space="preserve">  </w:t>
            </w:r>
            <w:r w:rsidRPr="006711CA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F42BE4" w:rsidRPr="006711CA" w:rsidTr="004C3AD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sz w:val="20"/>
                <w:szCs w:val="20"/>
              </w:rPr>
              <w:t> </w:t>
            </w:r>
            <w:r w:rsidRPr="006711CA">
              <w:rPr>
                <w:sz w:val="28"/>
                <w:szCs w:val="28"/>
              </w:rPr>
              <w:t></w:t>
            </w:r>
            <w:r w:rsidRPr="006711CA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F42BE4" w:rsidRPr="006711CA" w:rsidTr="004C3ADD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8F461D" w:rsidRDefault="00F42BE4" w:rsidP="004C3ADD">
            <w:pPr>
              <w:rPr>
                <w:sz w:val="20"/>
                <w:szCs w:val="20"/>
              </w:rPr>
            </w:pPr>
          </w:p>
          <w:p w:rsidR="00F42BE4" w:rsidRPr="008F461D" w:rsidRDefault="00F42BE4" w:rsidP="004C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až 5.4.2019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42BE4" w:rsidRPr="008F461D" w:rsidRDefault="00F42BE4" w:rsidP="004C3ADD">
            <w:pPr>
              <w:rPr>
                <w:sz w:val="20"/>
                <w:szCs w:val="20"/>
              </w:rPr>
            </w:pPr>
            <w:r w:rsidRPr="008F4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 apríl</w:t>
            </w:r>
            <w:r w:rsidRPr="008F461D">
              <w:rPr>
                <w:sz w:val="20"/>
                <w:szCs w:val="20"/>
              </w:rPr>
              <w:t xml:space="preserve"> 2019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6711CA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42BE4" w:rsidRPr="008F461D" w:rsidRDefault="00F42BE4" w:rsidP="004C3ADD">
            <w:pPr>
              <w:rPr>
                <w:sz w:val="20"/>
                <w:szCs w:val="20"/>
              </w:rPr>
            </w:pPr>
            <w:r w:rsidRPr="008F4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29. </w:t>
            </w:r>
            <w:r w:rsidRPr="008F461D">
              <w:rPr>
                <w:sz w:val="20"/>
                <w:szCs w:val="20"/>
              </w:rPr>
              <w:t xml:space="preserve">máj  2019  </w:t>
            </w:r>
          </w:p>
        </w:tc>
      </w:tr>
    </w:tbl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8F461D" w:rsidRDefault="00F42BE4" w:rsidP="004C3ADD">
            <w:pPr>
              <w:jc w:val="both"/>
              <w:rPr>
                <w:sz w:val="20"/>
                <w:szCs w:val="20"/>
              </w:rPr>
            </w:pPr>
            <w:r w:rsidRPr="008F461D">
              <w:rPr>
                <w:sz w:val="20"/>
                <w:szCs w:val="20"/>
              </w:rPr>
              <w:t xml:space="preserve">   </w:t>
            </w:r>
          </w:p>
          <w:p w:rsidR="00F42BE4" w:rsidRPr="006711CA" w:rsidRDefault="00F42BE4" w:rsidP="00EF1F42">
            <w:pPr>
              <w:ind w:right="-8"/>
              <w:jc w:val="both"/>
              <w:rPr>
                <w:sz w:val="20"/>
                <w:szCs w:val="20"/>
              </w:rPr>
            </w:pPr>
            <w:r w:rsidRPr="008F461D">
              <w:rPr>
                <w:sz w:val="22"/>
                <w:szCs w:val="22"/>
              </w:rPr>
              <w:t xml:space="preserve"> Návrhom nariadenia </w:t>
            </w:r>
            <w:r>
              <w:rPr>
                <w:sz w:val="22"/>
                <w:szCs w:val="22"/>
              </w:rPr>
              <w:t xml:space="preserve">vlády Slovenskej republiky </w:t>
            </w:r>
            <w:r w:rsidRPr="008F461D">
              <w:rPr>
                <w:sz w:val="22"/>
                <w:szCs w:val="22"/>
              </w:rPr>
              <w:t xml:space="preserve">sa navrhuje zvýšiť sadzbu na jednu hodinu osobnej asistencie podľa § 22 ods. 9 zákona č. 447/2008 Z. z. o peňažných príspevkoch na kompenzáciu ťažkého zdravotného postihnutia a o zmene a doplnení niektorých zákonov v znení neskorších predpisov. Sadzba na jednu hodinu osobnej asistencie je stanovená  na účely výpočtu výšky peňažného príspevku </w:t>
            </w:r>
            <w:r>
              <w:rPr>
                <w:sz w:val="22"/>
                <w:szCs w:val="22"/>
              </w:rPr>
              <w:t>n</w:t>
            </w:r>
            <w:r w:rsidRPr="008F461D">
              <w:rPr>
                <w:sz w:val="22"/>
                <w:szCs w:val="22"/>
              </w:rPr>
              <w:t xml:space="preserve">a osobnú asistenciu. Súčasne </w:t>
            </w:r>
            <w:r>
              <w:rPr>
                <w:sz w:val="22"/>
                <w:szCs w:val="22"/>
              </w:rPr>
              <w:t>s</w:t>
            </w:r>
            <w:r w:rsidRPr="008F461D">
              <w:rPr>
                <w:sz w:val="22"/>
                <w:szCs w:val="22"/>
              </w:rPr>
              <w:t xml:space="preserve">a navrhuje zvyšovať výšky peňažného príspevku na opatrovanie podľa § 40 ods. 7 až 10 zákona č. 447/2008 Z. z. o peňažných príspevkoch na kompenzáciu ťažkého zdravotného postihnutia a o zmene a doplnení niektorých zákonov v znení neskorších predpisov. Uvedený § 40 v ods. 7 až 10 stanovuje základné výšky peňažného príspevku na opatrovanie </w:t>
            </w:r>
            <w:r w:rsidRPr="008F461D">
              <w:rPr>
                <w:bCs/>
                <w:sz w:val="22"/>
                <w:szCs w:val="22"/>
              </w:rPr>
              <w:t>v závislosti od toho, či opatrovanie vykonáva fyzická osoba, ktorá poberá niektorú zo zákonom ustanovených dôchodkových dávok, resp. ju nepoberá (v tzv. produktívnom veku)</w:t>
            </w:r>
            <w:r>
              <w:rPr>
                <w:bCs/>
                <w:sz w:val="22"/>
                <w:szCs w:val="22"/>
              </w:rPr>
              <w:t>,</w:t>
            </w:r>
            <w:r w:rsidRPr="008F461D">
              <w:rPr>
                <w:bCs/>
                <w:sz w:val="22"/>
                <w:szCs w:val="22"/>
              </w:rPr>
              <w:t xml:space="preserve"> v závislosti od </w:t>
            </w:r>
            <w:r>
              <w:rPr>
                <w:bCs/>
                <w:sz w:val="22"/>
                <w:szCs w:val="22"/>
              </w:rPr>
              <w:t xml:space="preserve">počtu opatrovaných </w:t>
            </w:r>
            <w:r w:rsidRPr="008F461D">
              <w:rPr>
                <w:bCs/>
                <w:sz w:val="22"/>
                <w:szCs w:val="22"/>
              </w:rPr>
              <w:t>fyzick</w:t>
            </w:r>
            <w:r>
              <w:rPr>
                <w:bCs/>
                <w:sz w:val="22"/>
                <w:szCs w:val="22"/>
              </w:rPr>
              <w:t>ých</w:t>
            </w:r>
            <w:r w:rsidRPr="008F461D">
              <w:rPr>
                <w:bCs/>
                <w:sz w:val="22"/>
                <w:szCs w:val="22"/>
              </w:rPr>
              <w:t xml:space="preserve"> os</w:t>
            </w:r>
            <w:r>
              <w:rPr>
                <w:bCs/>
                <w:sz w:val="22"/>
                <w:szCs w:val="22"/>
              </w:rPr>
              <w:t>ôb</w:t>
            </w:r>
            <w:r w:rsidRPr="008F461D">
              <w:rPr>
                <w:bCs/>
                <w:sz w:val="22"/>
                <w:szCs w:val="22"/>
              </w:rPr>
              <w:t xml:space="preserve">  s ťažkým zdravotným postihnutím </w:t>
            </w:r>
            <w:r>
              <w:rPr>
                <w:bCs/>
                <w:sz w:val="22"/>
                <w:szCs w:val="22"/>
              </w:rPr>
              <w:t xml:space="preserve">a od </w:t>
            </w:r>
            <w:r w:rsidRPr="008F461D">
              <w:rPr>
                <w:bCs/>
                <w:sz w:val="22"/>
                <w:szCs w:val="22"/>
              </w:rPr>
              <w:t>rozsahu poskytovaného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F461D">
              <w:rPr>
                <w:bCs/>
                <w:sz w:val="22"/>
                <w:szCs w:val="22"/>
              </w:rPr>
              <w:t>opatrovania.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Default="00F42BE4" w:rsidP="004C3ADD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</w:t>
            </w:r>
          </w:p>
          <w:p w:rsidR="00F42BE4" w:rsidRPr="006711CA" w:rsidRDefault="00F42BE4" w:rsidP="004C3ADD">
            <w:pPr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</w:t>
            </w:r>
            <w:r w:rsidRPr="008F461D">
              <w:rPr>
                <w:sz w:val="22"/>
                <w:szCs w:val="22"/>
              </w:rPr>
              <w:t>Cieľom návrhu nariadenia</w:t>
            </w:r>
            <w:r w:rsidR="00776CA2">
              <w:rPr>
                <w:sz w:val="22"/>
                <w:szCs w:val="22"/>
              </w:rPr>
              <w:t xml:space="preserve"> vlády Slovenskej republiky</w:t>
            </w:r>
            <w:r w:rsidRPr="008F461D">
              <w:rPr>
                <w:sz w:val="22"/>
                <w:szCs w:val="22"/>
              </w:rPr>
              <w:t xml:space="preserve"> je zvýšením sadzby na jednu hodinu osobnej asistencie a zvýšením základných výšok peňažného príspevku na opatrovanie zlepšiť podmienky </w:t>
            </w:r>
            <w:r w:rsidR="00CF47A1">
              <w:rPr>
                <w:sz w:val="22"/>
                <w:szCs w:val="22"/>
              </w:rPr>
              <w:t xml:space="preserve">          </w:t>
            </w:r>
            <w:r w:rsidRPr="008F461D">
              <w:rPr>
                <w:sz w:val="22"/>
                <w:szCs w:val="22"/>
              </w:rPr>
              <w:t>pre osoby, ktoré poskytujú osobnú asistenciu alebo opatrujú fyzickú osobu s ťažkým zdravotným postihnutím</w:t>
            </w:r>
            <w:r>
              <w:rPr>
                <w:sz w:val="22"/>
                <w:szCs w:val="22"/>
              </w:rPr>
              <w:t>, ktorá je odkázaná na pomoc inej fyzickej osoby</w:t>
            </w:r>
            <w:r w:rsidRPr="008F461D">
              <w:rPr>
                <w:sz w:val="22"/>
                <w:szCs w:val="22"/>
              </w:rPr>
              <w:t xml:space="preserve">.  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BB7EAE" w:rsidRDefault="00F42BE4" w:rsidP="004C3ADD">
            <w:pPr>
              <w:jc w:val="both"/>
              <w:rPr>
                <w:sz w:val="22"/>
                <w:szCs w:val="22"/>
              </w:rPr>
            </w:pPr>
            <w:r>
              <w:rPr>
                <w:color w:val="00B050"/>
                <w:sz w:val="20"/>
                <w:szCs w:val="20"/>
              </w:rPr>
              <w:t xml:space="preserve">    </w:t>
            </w:r>
          </w:p>
          <w:p w:rsidR="00F42BE4" w:rsidRPr="006711CA" w:rsidRDefault="00F42BE4" w:rsidP="004C3ADD">
            <w:pPr>
              <w:jc w:val="both"/>
              <w:rPr>
                <w:sz w:val="20"/>
                <w:szCs w:val="20"/>
              </w:rPr>
            </w:pPr>
            <w:r w:rsidRPr="00BB7EAE">
              <w:rPr>
                <w:sz w:val="22"/>
                <w:szCs w:val="22"/>
              </w:rPr>
              <w:t>Zákonom vymedzený okruh fyzických osôb s ťažkým zdravotným postihnutím, fyzických osôb poberajúcich peňažný príspevok na opatrovanie  fyzických osôb vykonávajúcich osobnú asistenciu.</w:t>
            </w:r>
            <w:r w:rsidRPr="00BB7EAE">
              <w:rPr>
                <w:sz w:val="20"/>
                <w:szCs w:val="20"/>
              </w:rPr>
              <w:t xml:space="preserve"> 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Default="00F42BE4" w:rsidP="004C3ADD">
            <w:pPr>
              <w:rPr>
                <w:color w:val="00B050"/>
                <w:sz w:val="20"/>
                <w:szCs w:val="20"/>
              </w:rPr>
            </w:pPr>
          </w:p>
          <w:p w:rsidR="00F42BE4" w:rsidRPr="00E8169A" w:rsidRDefault="00F42BE4" w:rsidP="004C3ADD">
            <w:pPr>
              <w:rPr>
                <w:sz w:val="22"/>
                <w:szCs w:val="22"/>
              </w:rPr>
            </w:pPr>
            <w:r w:rsidRPr="00E8169A">
              <w:rPr>
                <w:sz w:val="22"/>
                <w:szCs w:val="22"/>
              </w:rPr>
              <w:t>Neboli posudzované alternatívne riešenia.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E8169A">
              <w:rPr>
                <w:sz w:val="22"/>
                <w:szCs w:val="22"/>
              </w:rPr>
              <w:lastRenderedPageBreak/>
              <w:t>Predpokladá sa prijatie/zmena vykonávacích predpisov?</w:t>
            </w:r>
            <w:r w:rsidRPr="006711CA">
              <w:rPr>
                <w:sz w:val="20"/>
                <w:szCs w:val="20"/>
              </w:rPr>
              <w:t xml:space="preserve">                          </w:t>
            </w:r>
            <w:r w:rsidRPr="006711CA">
              <w:rPr>
                <w:sz w:val="28"/>
                <w:szCs w:val="28"/>
              </w:rPr>
              <w:t></w:t>
            </w:r>
            <w:r w:rsidRPr="006711CA">
              <w:rPr>
                <w:sz w:val="20"/>
                <w:szCs w:val="20"/>
              </w:rPr>
              <w:t xml:space="preserve">   Áno           </w:t>
            </w:r>
            <w:r w:rsidRPr="00E8169A">
              <w:rPr>
                <w:sz w:val="20"/>
                <w:szCs w:val="20"/>
              </w:rPr>
              <w:t xml:space="preserve"> x  </w:t>
            </w:r>
            <w:r w:rsidRPr="006711CA">
              <w:rPr>
                <w:sz w:val="20"/>
                <w:szCs w:val="20"/>
              </w:rPr>
              <w:t>Nie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42BE4" w:rsidRPr="006711CA" w:rsidRDefault="00F42BE4" w:rsidP="00F42BE4">
      <w:pPr>
        <w:ind w:left="142" w:hanging="142"/>
        <w:rPr>
          <w:sz w:val="20"/>
          <w:szCs w:val="20"/>
        </w:rPr>
      </w:pPr>
      <w:r w:rsidRPr="006711CA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F42BE4" w:rsidRDefault="00F42BE4" w:rsidP="00F42BE4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6711CA">
        <w:rPr>
          <w:sz w:val="20"/>
          <w:szCs w:val="20"/>
        </w:rPr>
        <w:t>** nepovinné</w:t>
      </w:r>
    </w:p>
    <w:p w:rsidR="00F42BE4" w:rsidRPr="006711CA" w:rsidRDefault="00F42BE4" w:rsidP="00F42BE4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F42BE4" w:rsidRPr="006711CA" w:rsidTr="004C3ADD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rozpočet verejnej správy</w:t>
            </w:r>
            <w:r w:rsidRPr="006711CA">
              <w:rPr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x    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931B28" w:rsidP="00111EB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11EBF" w:rsidRPr="00972905">
              <w:rPr>
                <w:sz w:val="20"/>
                <w:szCs w:val="20"/>
              </w:rPr>
              <w:t>x</w:t>
            </w:r>
            <w:r w:rsidR="00F42BE4" w:rsidRPr="00586BDC">
              <w:rPr>
                <w:sz w:val="20"/>
                <w:szCs w:val="20"/>
              </w:rPr>
              <w:t xml:space="preserve">    </w:t>
            </w:r>
            <w:r w:rsidR="00F42BE4" w:rsidRPr="00376AF8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111EBF">
            <w:pPr>
              <w:rPr>
                <w:sz w:val="20"/>
                <w:szCs w:val="20"/>
              </w:rPr>
            </w:pPr>
            <w:r w:rsidRPr="00376AF8">
              <w:rPr>
                <w:sz w:val="28"/>
                <w:szCs w:val="28"/>
              </w:rPr>
              <w:t xml:space="preserve"> </w:t>
            </w:r>
            <w:r w:rsidR="00111EBF"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>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>  Čiastočne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podnikateľské prostredie</w:t>
            </w:r>
            <w:r w:rsidRPr="006711CA">
              <w:rPr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</w:t>
            </w:r>
            <w:r w:rsidR="00B332F5">
              <w:rPr>
                <w:sz w:val="20"/>
                <w:szCs w:val="20"/>
              </w:rPr>
              <w:t xml:space="preserve"> </w:t>
            </w:r>
            <w:r w:rsidRPr="00376AF8">
              <w:rPr>
                <w:sz w:val="20"/>
                <w:szCs w:val="20"/>
              </w:rPr>
              <w:t xml:space="preserve"> x  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služby pre občana z toho</w:t>
            </w:r>
            <w:r w:rsidRPr="006711CA">
              <w:rPr>
                <w:sz w:val="20"/>
                <w:szCs w:val="20"/>
              </w:rPr>
              <w:br/>
              <w:t>    vplyvy služieb verejnej správy na občana</w:t>
            </w:r>
            <w:r w:rsidRPr="006711CA">
              <w:rPr>
                <w:sz w:val="20"/>
                <w:szCs w:val="20"/>
              </w:rPr>
              <w:br/>
              <w:t>    vplyvy na procesy služieb vo verejnej</w:t>
            </w:r>
            <w:r w:rsidRPr="006711CA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br/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br/>
              <w:t> 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br/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</w:tbl>
    <w:p w:rsidR="00F42BE4" w:rsidRPr="006711CA" w:rsidRDefault="00F42BE4" w:rsidP="00F42BE4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</w:t>
            </w:r>
            <w:r w:rsidRPr="00376AF8">
              <w:rPr>
                <w:sz w:val="22"/>
                <w:szCs w:val="22"/>
              </w:rPr>
              <w:t>Zvýšenie peňažného príspevku na opatrovanie a zvýšenie sadzby na jednu hodinu osobnej asistencie bude mať pozitívny sociálny vplyv na fyzické osoby s ťažkým zdravotným postihnutím, ako aj fyzické osoby, ktoré ich opatrujú alebo im poskytujú osobnú asistenciu</w:t>
            </w:r>
            <w:r>
              <w:rPr>
                <w:sz w:val="22"/>
                <w:szCs w:val="22"/>
              </w:rPr>
              <w:t xml:space="preserve"> a súčasne bude mať negatívny vplyv    na rozpočet verejnej správy</w:t>
            </w:r>
            <w:r w:rsidRPr="00376AF8">
              <w:rPr>
                <w:sz w:val="22"/>
                <w:szCs w:val="22"/>
              </w:rPr>
              <w:t>. Návrh nebude mať vplyv na životné prostredie, vplyv na informatizáciu, podnikateľské prostredie</w:t>
            </w:r>
            <w:r>
              <w:rPr>
                <w:sz w:val="22"/>
                <w:szCs w:val="22"/>
              </w:rPr>
              <w:t>,</w:t>
            </w:r>
            <w:r w:rsidRPr="00376AF8">
              <w:rPr>
                <w:sz w:val="22"/>
                <w:szCs w:val="22"/>
              </w:rPr>
              <w:t xml:space="preserve"> vplyv na slu</w:t>
            </w:r>
            <w:r>
              <w:rPr>
                <w:sz w:val="22"/>
                <w:szCs w:val="22"/>
              </w:rPr>
              <w:t>žby verejnej správy pre občana ani na manželstvo, rodičovstvo a rodinu.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Cs/>
                <w:sz w:val="22"/>
                <w:szCs w:val="22"/>
              </w:rPr>
            </w:pPr>
            <w:r w:rsidRPr="006711CA">
              <w:rPr>
                <w:bCs/>
                <w:sz w:val="22"/>
                <w:szCs w:val="22"/>
              </w:rPr>
              <w:t>  11.  Kontakt na spracovateľa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Default="00F125CF" w:rsidP="004C3ADD">
            <w:pPr>
              <w:rPr>
                <w:rStyle w:val="Hypertextovprepojenie"/>
                <w:bCs/>
                <w:sz w:val="22"/>
                <w:szCs w:val="22"/>
              </w:rPr>
            </w:pPr>
            <w:hyperlink r:id="rId5" w:history="1">
              <w:r w:rsidR="00F42BE4" w:rsidRPr="006711CA">
                <w:rPr>
                  <w:rStyle w:val="Hypertextovprepojenie"/>
                  <w:bCs/>
                  <w:sz w:val="22"/>
                  <w:szCs w:val="22"/>
                </w:rPr>
                <w:t>michal.krivosik@employment.gov.sk</w:t>
              </w:r>
            </w:hyperlink>
          </w:p>
          <w:p w:rsidR="00F42BE4" w:rsidRPr="006711CA" w:rsidRDefault="00F125CF" w:rsidP="004C3ADD">
            <w:pPr>
              <w:rPr>
                <w:bCs/>
                <w:sz w:val="22"/>
                <w:szCs w:val="22"/>
              </w:rPr>
            </w:pPr>
            <w:hyperlink r:id="rId6" w:history="1">
              <w:r w:rsidR="00F42BE4" w:rsidRPr="00937268">
                <w:rPr>
                  <w:rStyle w:val="Hypertextovprepojenie"/>
                  <w:bCs/>
                  <w:sz w:val="22"/>
                  <w:szCs w:val="22"/>
                </w:rPr>
                <w:t>vlasta.golkovska@employment.gov.sk</w:t>
              </w:r>
            </w:hyperlink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376AF8" w:rsidRDefault="00F42BE4" w:rsidP="004C3ADD">
            <w:pPr>
              <w:jc w:val="both"/>
              <w:rPr>
                <w:color w:val="FF0000"/>
                <w:sz w:val="22"/>
                <w:szCs w:val="22"/>
              </w:rPr>
            </w:pPr>
            <w:r w:rsidRPr="00376AF8">
              <w:rPr>
                <w:sz w:val="22"/>
                <w:szCs w:val="22"/>
              </w:rPr>
              <w:t>Informačný systé</w:t>
            </w:r>
            <w:r>
              <w:rPr>
                <w:sz w:val="22"/>
                <w:szCs w:val="22"/>
              </w:rPr>
              <w:t>m MPSVR SR RSD MIS</w:t>
            </w:r>
          </w:p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42BE4" w:rsidRPr="006711CA" w:rsidTr="004C3ADD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Stanovisko komisie:</w:t>
            </w:r>
          </w:p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 xml:space="preserve">K vplyvom na rozpočet verejnej správy </w:t>
            </w:r>
          </w:p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 xml:space="preserve">Z materiálu vyplýva negatívny, rozpočtovo nezabezpečený vplyv na rozpočet verejnej správy v sume 17 249 678 eur v roku 2019, v sume 43 118 830 eur v roku 2020, v sume 44 990 801 eur v roku 2021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C6424E">
              <w:rPr>
                <w:bCs/>
                <w:sz w:val="22"/>
                <w:szCs w:val="22"/>
              </w:rPr>
              <w:t>a v sume 46 277 897 eur v roku 2022, pričom v časti 2.1.1. sa uvádza, že kapitola MPSVR SR v rozpočte na roky 2019 až 2022 nemá zabezpečené krytie zvýšených výdavkov a bude požadovať pokryť vyčíslený vplyv na roky 2019 až 2022 v plnom rozsahu. S uvedeným rozpočtovo nekrytým vplyvom zásadne Komisia nesúhlasí. Predmetné výdavky Komisia žiada zabezpečiť v rámci limitu výdavkov kapitoly MPSVR SR na príslušný rozpočtový rok.</w:t>
            </w:r>
          </w:p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lastRenderedPageBreak/>
              <w:t xml:space="preserve">Záver: Stála pracovná komisia na posudzovanie vybraných vplyvov vyjadruje </w:t>
            </w:r>
            <w:r w:rsidRPr="00C6424E">
              <w:rPr>
                <w:b/>
                <w:bCs/>
                <w:sz w:val="22"/>
                <w:szCs w:val="22"/>
              </w:rPr>
              <w:t>nesúhlasné stanovisko</w:t>
            </w:r>
          </w:p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>s materiálom predloženým na predbežné pripomienkové konanie s odporúčaním na jeho dopracovanie podľa pripomienok</w:t>
            </w:r>
            <w:r>
              <w:rPr>
                <w:bCs/>
                <w:sz w:val="22"/>
                <w:szCs w:val="22"/>
              </w:rPr>
              <w:t>.</w:t>
            </w:r>
          </w:p>
          <w:p w:rsid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62274D" w:rsidRDefault="0062274D" w:rsidP="00C6424E">
            <w:pPr>
              <w:jc w:val="both"/>
              <w:rPr>
                <w:bCs/>
                <w:sz w:val="22"/>
                <w:szCs w:val="22"/>
              </w:rPr>
            </w:pPr>
          </w:p>
          <w:p w:rsidR="00C6424E" w:rsidRPr="00291E2E" w:rsidRDefault="00C6424E" w:rsidP="00C6424E">
            <w:pPr>
              <w:rPr>
                <w:sz w:val="22"/>
                <w:szCs w:val="22"/>
              </w:rPr>
            </w:pPr>
            <w:r w:rsidRPr="00291E2E">
              <w:rPr>
                <w:sz w:val="22"/>
                <w:szCs w:val="22"/>
              </w:rPr>
              <w:t xml:space="preserve">Stanovisko predkladateľa: </w:t>
            </w:r>
          </w:p>
          <w:p w:rsidR="00C6424E" w:rsidRPr="00291E2E" w:rsidRDefault="00C6424E" w:rsidP="00C6424E">
            <w:pPr>
              <w:rPr>
                <w:rFonts w:eastAsia="Calibri"/>
                <w:sz w:val="22"/>
                <w:szCs w:val="22"/>
              </w:rPr>
            </w:pPr>
            <w:r w:rsidRPr="00291E2E">
              <w:rPr>
                <w:sz w:val="22"/>
                <w:szCs w:val="22"/>
              </w:rPr>
              <w:t>Pripomienka neakceptovaná.</w:t>
            </w:r>
            <w:r w:rsidRPr="00291E2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42BE4" w:rsidRPr="006711CA" w:rsidRDefault="00C6424E" w:rsidP="0062274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Pripomienka sa neakceptuje. Zvyšovanie uvedených peňažných príspevkov predstavuje verejný prísľub vlády Slovenskej republiky. Navrhované zvyšovanie vychádza </w:t>
            </w:r>
            <w:r w:rsidR="0062274D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 </w:t>
            </w:r>
            <w:r w:rsidR="00864C3A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 xml:space="preserve">rogramovým vyhlásením vlády </w:t>
            </w:r>
            <w:r w:rsidR="00864C3A">
              <w:rPr>
                <w:bCs/>
                <w:sz w:val="22"/>
                <w:szCs w:val="22"/>
              </w:rPr>
              <w:t xml:space="preserve">Slovenskej republiky </w:t>
            </w:r>
            <w:r>
              <w:rPr>
                <w:bCs/>
                <w:sz w:val="22"/>
                <w:szCs w:val="22"/>
              </w:rPr>
              <w:t xml:space="preserve">na roky 2016 </w:t>
            </w:r>
            <w:r w:rsidR="0062274D">
              <w:rPr>
                <w:bCs/>
                <w:sz w:val="22"/>
                <w:szCs w:val="22"/>
              </w:rPr>
              <w:t>–</w:t>
            </w:r>
            <w:r w:rsidR="0073502F">
              <w:rPr>
                <w:bCs/>
                <w:sz w:val="22"/>
                <w:szCs w:val="22"/>
              </w:rPr>
              <w:t xml:space="preserve"> 20</w:t>
            </w:r>
            <w:r>
              <w:rPr>
                <w:bCs/>
                <w:sz w:val="22"/>
                <w:szCs w:val="22"/>
              </w:rPr>
              <w:t>20</w:t>
            </w:r>
            <w:r w:rsidR="0062274D">
              <w:rPr>
                <w:bCs/>
                <w:sz w:val="22"/>
                <w:szCs w:val="22"/>
              </w:rPr>
              <w:t xml:space="preserve"> a je s ním súladné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F42BE4" w:rsidRPr="006711CA" w:rsidRDefault="00F42BE4" w:rsidP="00F42BE4"/>
    <w:p w:rsidR="00F42BE4" w:rsidRDefault="00F42BE4" w:rsidP="00F42BE4"/>
    <w:p w:rsidR="00CC2608" w:rsidRDefault="00CC2608"/>
    <w:sectPr w:rsidR="00CC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4"/>
    <w:rsid w:val="0001168A"/>
    <w:rsid w:val="00111EBF"/>
    <w:rsid w:val="0017408C"/>
    <w:rsid w:val="00291E2E"/>
    <w:rsid w:val="00307E68"/>
    <w:rsid w:val="00586BDC"/>
    <w:rsid w:val="0062274D"/>
    <w:rsid w:val="0073502F"/>
    <w:rsid w:val="007544CE"/>
    <w:rsid w:val="00776CA2"/>
    <w:rsid w:val="00864C3A"/>
    <w:rsid w:val="00931B28"/>
    <w:rsid w:val="00972905"/>
    <w:rsid w:val="00B332F5"/>
    <w:rsid w:val="00C6424E"/>
    <w:rsid w:val="00CC2608"/>
    <w:rsid w:val="00CF47A1"/>
    <w:rsid w:val="00EF1F42"/>
    <w:rsid w:val="00F125CF"/>
    <w:rsid w:val="00F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42B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F42BE4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42B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F42BE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sta.golkovska@employment.gov.sk" TargetMode="External"/><Relationship Id="rId5" Type="http://schemas.openxmlformats.org/officeDocument/2006/relationships/hyperlink" Target="mailto:michal.krivosik@employment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Krivosik Michal</cp:lastModifiedBy>
  <cp:revision>2</cp:revision>
  <dcterms:created xsi:type="dcterms:W3CDTF">2019-05-14T09:16:00Z</dcterms:created>
  <dcterms:modified xsi:type="dcterms:W3CDTF">2019-05-14T09:16:00Z</dcterms:modified>
</cp:coreProperties>
</file>