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39582B" w:rsidRDefault="0039582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9582B">
        <w:trPr>
          <w:divId w:val="161949059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1.  Základné údaje</w:t>
            </w:r>
          </w:p>
        </w:tc>
      </w:tr>
      <w:tr w:rsidR="0039582B">
        <w:trPr>
          <w:divId w:val="161949059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Názov materiálu</w:t>
            </w:r>
          </w:p>
        </w:tc>
      </w:tr>
      <w:tr w:rsidR="0039582B">
        <w:trPr>
          <w:divId w:val="161949059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sz w:val="20"/>
                <w:szCs w:val="20"/>
              </w:rPr>
            </w:pPr>
            <w:r>
              <w:rPr>
                <w:rFonts w:ascii="Times" w:hAnsi="Times" w:cs="Times"/>
                <w:sz w:val="20"/>
                <w:szCs w:val="20"/>
              </w:rPr>
              <w:t>Zákon o sčítaní obyvateľov, domov a bytov v roku 2021 a ktorým sa mení zákon č. 595/2003 Z. z. o dani z príjmov v znení neskorších predpisov a ktorým sa dopĺňajú niektoré zákony</w:t>
            </w:r>
          </w:p>
        </w:tc>
      </w:tr>
      <w:tr w:rsidR="0039582B">
        <w:trPr>
          <w:divId w:val="161949059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Predkladateľ (a spolupredkladateľ)</w:t>
            </w:r>
          </w:p>
        </w:tc>
      </w:tr>
      <w:tr w:rsidR="0039582B">
        <w:trPr>
          <w:divId w:val="161949059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sz w:val="20"/>
                <w:szCs w:val="20"/>
              </w:rPr>
            </w:pPr>
            <w:r>
              <w:rPr>
                <w:rFonts w:ascii="Times" w:hAnsi="Times" w:cs="Times"/>
                <w:sz w:val="20"/>
                <w:szCs w:val="20"/>
              </w:rPr>
              <w:t>Štatistický úrad Slovenskej republiky</w:t>
            </w:r>
          </w:p>
        </w:tc>
      </w:tr>
      <w:tr w:rsidR="0039582B">
        <w:trPr>
          <w:divId w:val="1619490599"/>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9582B" w:rsidRDefault="0039582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9582B">
        <w:trPr>
          <w:divId w:val="161949059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9582B">
        <w:trPr>
          <w:divId w:val="161949059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9582B">
        <w:trPr>
          <w:divId w:val="1619490599"/>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sz w:val="20"/>
                <w:szCs w:val="20"/>
              </w:rPr>
            </w:pPr>
          </w:p>
        </w:tc>
      </w:tr>
      <w:tr w:rsidR="0039582B">
        <w:trPr>
          <w:divId w:val="161949059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sz w:val="20"/>
                <w:szCs w:val="20"/>
              </w:rPr>
            </w:pPr>
            <w:r>
              <w:rPr>
                <w:rFonts w:ascii="Times" w:hAnsi="Times" w:cs="Times"/>
                <w:sz w:val="20"/>
                <w:szCs w:val="20"/>
              </w:rPr>
              <w:t>Začiatok:    5.2.2019</w:t>
            </w:r>
            <w:r>
              <w:rPr>
                <w:rFonts w:ascii="Times" w:hAnsi="Times" w:cs="Times"/>
                <w:sz w:val="20"/>
                <w:szCs w:val="20"/>
              </w:rPr>
              <w:br/>
              <w:t>Ukončenie: 19.2.2019</w:t>
            </w:r>
          </w:p>
        </w:tc>
      </w:tr>
      <w:tr w:rsidR="0039582B">
        <w:trPr>
          <w:divId w:val="161949059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b/>
                <w:bCs/>
                <w:sz w:val="22"/>
                <w:szCs w:val="22"/>
              </w:rPr>
            </w:pPr>
          </w:p>
        </w:tc>
      </w:tr>
      <w:tr w:rsidR="0039582B">
        <w:trPr>
          <w:divId w:val="1619490599"/>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39582B" w:rsidRDefault="0039582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9582B">
        <w:trPr>
          <w:divId w:val="6093570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2.  Definícia problému</w:t>
            </w:r>
          </w:p>
        </w:tc>
      </w:tr>
      <w:tr w:rsidR="0039582B">
        <w:trPr>
          <w:divId w:val="6093570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sz w:val="20"/>
                <w:szCs w:val="20"/>
              </w:rPr>
            </w:pPr>
            <w:r>
              <w:rPr>
                <w:rFonts w:ascii="Times" w:hAnsi="Times" w:cs="Times"/>
                <w:sz w:val="20"/>
                <w:szCs w:val="20"/>
              </w:rPr>
              <w:t>Sčítanie obyvateľov, domov a bytov (ďalej aj „sčítanie“) v roku 2021 je národným a celospoločenským záväzkom Slovenskej republiky a je jedinečnou možnosťou ako získať vzájomne prepojené, spoľahlivé, porovnateľné údaje a informácie o stave spoločnosti, o jej demografických, sociálno-ekonomických a kultúrnych štruktúrach, o životných podmienkach obyvateľov a bývaní. Sčítanie je zdrojom aktuálnych informácií, ktoré vláda, podnikatelia, tvorcovia politík na štátnej a lokálnej úrovni používajú pre plánovanie a rozdeľovanie služieb, financií a iných prostriedkov vo všetkých oblastiach v rámci Slovenskej republiky (ďalej len „SR“). Údaje získané sčítaním predstavujú pre vládu a ďalších užívateľov hodnoverné informácie, ktoré podporujú plánovanie, administratívu, rozvoj politík a vyhodnocovanie ich aktivít.</w:t>
            </w:r>
            <w:r>
              <w:rPr>
                <w:rFonts w:ascii="Times" w:hAnsi="Times" w:cs="Times"/>
                <w:sz w:val="20"/>
                <w:szCs w:val="20"/>
              </w:rPr>
              <w:br/>
            </w:r>
            <w:r>
              <w:rPr>
                <w:rFonts w:ascii="Times" w:hAnsi="Times" w:cs="Times"/>
                <w:sz w:val="20"/>
                <w:szCs w:val="20"/>
              </w:rPr>
              <w:br/>
              <w:t>Sčítanie obyvateľov, domov a bytov je obsahovo najrozsiahlejšie štatistické zisťovanie, ktorým sa na Slovensku spravidla každých desať rokov získavajú údaje o obyvateľoch, domoch a bytoch. Sčítanie v roku 2021 bude súčasťou celosvetového programu populačných, domových a bytových cenzov pod záštitou Európskej únie a Organizácie Spojených národov. Z nariadenia Európskeho parlamentu a Rady (ES) č. 763/2008 z 9. júna 2008 o sčítaní obyvateľov, domov a bytov (Ú. v. EÚ L 218, 13.8.2008), ktoré Eurostat ponechal v platnosti aj pre rok 2021, členským štátom EÚ vyplýva povinnosť uskutočniť sčítanie v tom istom roku (2021) a zisťovať v ňom údaje podľa rovnakých, resp. porovnateľných definícií. So sčítaním v roku 2021 súvisia ďalšie vykonávacie nariadenia Európskej komisie, ktoré upravujú podrobnosti sčítania.</w:t>
            </w:r>
            <w:r>
              <w:rPr>
                <w:rFonts w:ascii="Times" w:hAnsi="Times" w:cs="Times"/>
                <w:sz w:val="20"/>
                <w:szCs w:val="20"/>
              </w:rPr>
              <w:br/>
            </w:r>
            <w:r>
              <w:rPr>
                <w:rFonts w:ascii="Times" w:hAnsi="Times" w:cs="Times"/>
                <w:sz w:val="20"/>
                <w:szCs w:val="20"/>
              </w:rPr>
              <w:br/>
              <w:t>Podľa § 15 ods. 1 zákona č. 540/2001 Z. z. o štátnej štatistike v znení zákona č. 157/2018 Z. z. je sčítanie obyvateľov, domov a bytov osobitným druhom štatistického zisťovania vykonávaným Štatistickým úradom SR (ďalej len „úrad“), ktoré je súčasťou štátnej štatistiky a ktorého obsah, rozsah a spôsob vykonania upravuje osobitný predpis.</w:t>
            </w:r>
            <w:r>
              <w:rPr>
                <w:rFonts w:ascii="Times" w:hAnsi="Times" w:cs="Times"/>
                <w:sz w:val="20"/>
                <w:szCs w:val="20"/>
              </w:rPr>
              <w:br/>
            </w:r>
            <w:r>
              <w:rPr>
                <w:rFonts w:ascii="Times" w:hAnsi="Times" w:cs="Times"/>
                <w:sz w:val="20"/>
                <w:szCs w:val="20"/>
              </w:rPr>
              <w:br/>
              <w:t xml:space="preserve">Ostatné sčítanie upravoval zákon č. 263/2008 Z. z. o sčítaní obyvateľov, domov a bytov v roku 2011 a ktorým sa mení a dopĺňa zákon č. 5/2004 Z. z. o službách zamestnanosti a o zmene a doplnení niektorých zákonov v znení neskorších predpisov. Z uvedeného je zrejmé, že pre budúce sčítanie obyvateľov, domov a bytov v roku 2021 musí byť prijatý nový osobitný zákon. </w:t>
            </w:r>
          </w:p>
        </w:tc>
      </w:tr>
      <w:tr w:rsidR="0039582B">
        <w:trPr>
          <w:divId w:val="6093570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3.  Ciele a výsledný stav</w:t>
            </w:r>
          </w:p>
        </w:tc>
      </w:tr>
      <w:tr w:rsidR="0039582B">
        <w:trPr>
          <w:divId w:val="6093570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sz w:val="20"/>
                <w:szCs w:val="20"/>
              </w:rPr>
            </w:pPr>
            <w:r>
              <w:rPr>
                <w:rFonts w:ascii="Times" w:hAnsi="Times" w:cs="Times"/>
                <w:sz w:val="20"/>
                <w:szCs w:val="20"/>
              </w:rPr>
              <w:t>Cieľom predloženého návrhu zákona je upraviť podmienky sčítania obyvateľov, domov a bytov v roku 2021 tak, aby došlo k jeho riadnej a včasnej realizácii.</w:t>
            </w:r>
          </w:p>
        </w:tc>
      </w:tr>
      <w:tr w:rsidR="0039582B">
        <w:trPr>
          <w:divId w:val="6093570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4.  Dotknuté subjekty</w:t>
            </w:r>
          </w:p>
        </w:tc>
      </w:tr>
      <w:tr w:rsidR="0039582B">
        <w:trPr>
          <w:divId w:val="6093570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sz w:val="20"/>
                <w:szCs w:val="20"/>
              </w:rPr>
            </w:pPr>
            <w:r>
              <w:rPr>
                <w:rFonts w:ascii="Times" w:hAnsi="Times" w:cs="Times"/>
                <w:sz w:val="20"/>
                <w:szCs w:val="20"/>
              </w:rPr>
              <w:t>Predložený návrh zákona sa priamo dotýka:</w:t>
            </w:r>
            <w:r>
              <w:rPr>
                <w:rFonts w:ascii="Times" w:hAnsi="Times" w:cs="Times"/>
                <w:sz w:val="20"/>
                <w:szCs w:val="20"/>
              </w:rPr>
              <w:br/>
              <w:t>- povinných osôb pre sčítanie, ktorými sú:</w:t>
            </w:r>
            <w:r>
              <w:rPr>
                <w:rFonts w:ascii="Times" w:hAnsi="Times" w:cs="Times"/>
                <w:sz w:val="20"/>
                <w:szCs w:val="20"/>
              </w:rPr>
              <w:br/>
              <w:t>a) obyvateľ, o ktorom sa údaje zisťujú, pričom za obyvateľa sa na účely tohto zákona rozumie:</w:t>
            </w:r>
            <w:r>
              <w:rPr>
                <w:rFonts w:ascii="Times" w:hAnsi="Times" w:cs="Times"/>
                <w:sz w:val="20"/>
                <w:szCs w:val="20"/>
              </w:rPr>
              <w:br/>
              <w:t xml:space="preserve">1. štátny občan SR s trvalým alebo prechodným pobytom na území SR, </w:t>
            </w:r>
            <w:r>
              <w:rPr>
                <w:rFonts w:ascii="Times" w:hAnsi="Times" w:cs="Times"/>
                <w:sz w:val="20"/>
                <w:szCs w:val="20"/>
              </w:rPr>
              <w:br/>
              <w:t xml:space="preserve">2. cudzinec s trvalým, prechodným alebo tolerovaným pobytom na území SR, okrem cudzinca požívajúceho diplomatické výsady a imunity na území SR podľa medzinárodného práva, </w:t>
            </w:r>
            <w:r>
              <w:rPr>
                <w:rFonts w:ascii="Times" w:hAnsi="Times" w:cs="Times"/>
                <w:sz w:val="20"/>
                <w:szCs w:val="20"/>
              </w:rPr>
              <w:br/>
              <w:t>3. osoba s obvyklým pobytom na území SR,</w:t>
            </w:r>
            <w:r>
              <w:rPr>
                <w:rFonts w:ascii="Times" w:hAnsi="Times" w:cs="Times"/>
                <w:sz w:val="20"/>
                <w:szCs w:val="20"/>
              </w:rPr>
              <w:br/>
              <w:t xml:space="preserve">b) zákonný zástupca obyvateľa, ak ide o neplnoletého obyvateľa, obyvateľa s obmedzenou spôsobilosťou na právne úkony alebo obyvateľa, ktorý nemôže sám poskytnúť údaje z iných dôvodov, </w:t>
            </w:r>
            <w:r>
              <w:rPr>
                <w:rFonts w:ascii="Times" w:hAnsi="Times" w:cs="Times"/>
                <w:sz w:val="20"/>
                <w:szCs w:val="20"/>
              </w:rPr>
              <w:br/>
              <w:t xml:space="preserve">c) zriaďovateľ alebo zakladateľ zariadenia; ak takej osoby niet, štatutárny orgán zariadenia. </w:t>
            </w:r>
            <w:r>
              <w:rPr>
                <w:rFonts w:ascii="Times" w:hAnsi="Times" w:cs="Times"/>
                <w:sz w:val="20"/>
                <w:szCs w:val="20"/>
              </w:rPr>
              <w:br/>
              <w:t>d) spoločenstvo vlastníkov bytov a nebytových priestorov a správca,</w:t>
            </w:r>
            <w:r>
              <w:rPr>
                <w:rFonts w:ascii="Times" w:hAnsi="Times" w:cs="Times"/>
                <w:sz w:val="20"/>
                <w:szCs w:val="20"/>
              </w:rPr>
              <w:br/>
              <w:t>e) obec.</w:t>
            </w:r>
            <w:r>
              <w:rPr>
                <w:rFonts w:ascii="Times" w:hAnsi="Times" w:cs="Times"/>
                <w:sz w:val="20"/>
                <w:szCs w:val="20"/>
              </w:rPr>
              <w:br/>
              <w:t>- osôb, ktoré budú vymenované za asistentov sčítania,</w:t>
            </w:r>
            <w:r>
              <w:rPr>
                <w:rFonts w:ascii="Times" w:hAnsi="Times" w:cs="Times"/>
                <w:sz w:val="20"/>
                <w:szCs w:val="20"/>
              </w:rPr>
              <w:br/>
              <w:t>- ústredných orgánov štátnej správy:</w:t>
            </w:r>
            <w:r>
              <w:rPr>
                <w:rFonts w:ascii="Times" w:hAnsi="Times" w:cs="Times"/>
                <w:sz w:val="20"/>
                <w:szCs w:val="20"/>
              </w:rPr>
              <w:br/>
              <w:t>a) Štatistický úrad SR,</w:t>
            </w:r>
            <w:r>
              <w:rPr>
                <w:rFonts w:ascii="Times" w:hAnsi="Times" w:cs="Times"/>
                <w:sz w:val="20"/>
                <w:szCs w:val="20"/>
              </w:rPr>
              <w:br/>
              <w:t>b) Ministerstvo financií SR,</w:t>
            </w:r>
            <w:r>
              <w:rPr>
                <w:rFonts w:ascii="Times" w:hAnsi="Times" w:cs="Times"/>
                <w:sz w:val="20"/>
                <w:szCs w:val="20"/>
              </w:rPr>
              <w:br/>
              <w:t>c) Ministerstvo obrany SR,</w:t>
            </w:r>
            <w:r>
              <w:rPr>
                <w:rFonts w:ascii="Times" w:hAnsi="Times" w:cs="Times"/>
                <w:sz w:val="20"/>
                <w:szCs w:val="20"/>
              </w:rPr>
              <w:br/>
              <w:t>d) Ministerstvo kultúry SR,</w:t>
            </w:r>
            <w:r>
              <w:rPr>
                <w:rFonts w:ascii="Times" w:hAnsi="Times" w:cs="Times"/>
                <w:sz w:val="20"/>
                <w:szCs w:val="20"/>
              </w:rPr>
              <w:br/>
              <w:t>e) Ministerstvo práce, sociálnych vecí a rodiny SR,</w:t>
            </w:r>
            <w:r>
              <w:rPr>
                <w:rFonts w:ascii="Times" w:hAnsi="Times" w:cs="Times"/>
                <w:sz w:val="20"/>
                <w:szCs w:val="20"/>
              </w:rPr>
              <w:br/>
              <w:t>f) Ministerstvo spravodlivosti SR,</w:t>
            </w:r>
            <w:r>
              <w:rPr>
                <w:rFonts w:ascii="Times" w:hAnsi="Times" w:cs="Times"/>
                <w:sz w:val="20"/>
                <w:szCs w:val="20"/>
              </w:rPr>
              <w:br/>
              <w:t>g) Ministerstvo vnútra SR,</w:t>
            </w:r>
            <w:r>
              <w:rPr>
                <w:rFonts w:ascii="Times" w:hAnsi="Times" w:cs="Times"/>
                <w:sz w:val="20"/>
                <w:szCs w:val="20"/>
              </w:rPr>
              <w:br/>
              <w:t>h) Ministerstvo zahraničných vecí a európskych záležitostí SR,</w:t>
            </w:r>
            <w:r>
              <w:rPr>
                <w:rFonts w:ascii="Times" w:hAnsi="Times" w:cs="Times"/>
                <w:sz w:val="20"/>
                <w:szCs w:val="20"/>
              </w:rPr>
              <w:br/>
              <w:t>i) Ministerstvo životného prostredia SR,</w:t>
            </w:r>
            <w:r>
              <w:rPr>
                <w:rFonts w:ascii="Times" w:hAnsi="Times" w:cs="Times"/>
                <w:sz w:val="20"/>
                <w:szCs w:val="20"/>
              </w:rPr>
              <w:br/>
              <w:t>j) Ministerstvo školstva, vedy, výskumu a športu SR,</w:t>
            </w:r>
            <w:r>
              <w:rPr>
                <w:rFonts w:ascii="Times" w:hAnsi="Times" w:cs="Times"/>
                <w:sz w:val="20"/>
                <w:szCs w:val="20"/>
              </w:rPr>
              <w:br/>
              <w:t>k) Úrad geodézie, kartografie a katastra SR,</w:t>
            </w:r>
            <w:r>
              <w:rPr>
                <w:rFonts w:ascii="Times" w:hAnsi="Times" w:cs="Times"/>
                <w:sz w:val="20"/>
                <w:szCs w:val="20"/>
              </w:rPr>
              <w:br/>
              <w:t>- Úrad pre dohľad nad zdravotnou starostlivosťou,</w:t>
            </w:r>
            <w:r>
              <w:rPr>
                <w:rFonts w:ascii="Times" w:hAnsi="Times" w:cs="Times"/>
                <w:sz w:val="20"/>
                <w:szCs w:val="20"/>
              </w:rPr>
              <w:br/>
              <w:t>- Sociálna poisťovňa,</w:t>
            </w:r>
            <w:r>
              <w:rPr>
                <w:rFonts w:ascii="Times" w:hAnsi="Times" w:cs="Times"/>
                <w:sz w:val="20"/>
                <w:szCs w:val="20"/>
              </w:rPr>
              <w:br/>
              <w:t>- Zbor väzenskej a justičnej stráže,</w:t>
            </w:r>
            <w:r>
              <w:rPr>
                <w:rFonts w:ascii="Times" w:hAnsi="Times" w:cs="Times"/>
                <w:sz w:val="20"/>
                <w:szCs w:val="20"/>
              </w:rPr>
              <w:br/>
              <w:t>- Finančné riaditeľstvo SR,</w:t>
            </w:r>
            <w:r>
              <w:rPr>
                <w:rFonts w:ascii="Times" w:hAnsi="Times" w:cs="Times"/>
                <w:sz w:val="20"/>
                <w:szCs w:val="20"/>
              </w:rPr>
              <w:br/>
              <w:t>- Ústredie práce, sociálnych vecí a rodiny,</w:t>
            </w:r>
            <w:r>
              <w:rPr>
                <w:rFonts w:ascii="Times" w:hAnsi="Times" w:cs="Times"/>
                <w:sz w:val="20"/>
                <w:szCs w:val="20"/>
              </w:rPr>
              <w:br/>
              <w:t xml:space="preserve">- ostatných subjektov verejnej moci, ktoré sú správcami informačných systémov verejnej správy, </w:t>
            </w:r>
            <w:r>
              <w:rPr>
                <w:rFonts w:ascii="Times" w:hAnsi="Times" w:cs="Times"/>
                <w:sz w:val="20"/>
                <w:szCs w:val="20"/>
              </w:rPr>
              <w:br/>
              <w:t>- okresné úrady,</w:t>
            </w:r>
            <w:r>
              <w:rPr>
                <w:rFonts w:ascii="Times" w:hAnsi="Times" w:cs="Times"/>
                <w:sz w:val="20"/>
                <w:szCs w:val="20"/>
              </w:rPr>
              <w:br/>
              <w:t>- obce pri prenesenom výkone štátnej správy pri príprave, priebehu a vykonaní sčítania,</w:t>
            </w:r>
            <w:r>
              <w:rPr>
                <w:rFonts w:ascii="Times" w:hAnsi="Times" w:cs="Times"/>
                <w:sz w:val="20"/>
                <w:szCs w:val="20"/>
              </w:rPr>
              <w:br/>
              <w:t>- poštový podnik poskytujúci univerzálnu poštovú službu.</w:t>
            </w:r>
          </w:p>
        </w:tc>
      </w:tr>
      <w:tr w:rsidR="0039582B">
        <w:trPr>
          <w:divId w:val="6093570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5.  Alternatívne riešenia</w:t>
            </w:r>
          </w:p>
        </w:tc>
      </w:tr>
      <w:tr w:rsidR="0039582B">
        <w:trPr>
          <w:divId w:val="6093570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sz w:val="20"/>
                <w:szCs w:val="20"/>
              </w:rPr>
            </w:pPr>
            <w:r>
              <w:rPr>
                <w:rFonts w:ascii="Times" w:hAnsi="Times" w:cs="Times"/>
                <w:sz w:val="20"/>
                <w:szCs w:val="20"/>
              </w:rPr>
              <w:t>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w:t>
            </w:r>
          </w:p>
        </w:tc>
      </w:tr>
      <w:tr w:rsidR="0039582B">
        <w:trPr>
          <w:divId w:val="6093570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6.  Vykonávacie predpisy</w:t>
            </w:r>
          </w:p>
        </w:tc>
      </w:tr>
      <w:tr w:rsidR="0039582B">
        <w:trPr>
          <w:divId w:val="6093570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Predpokladá sa vydanie opatrení úradu, ktoré sa vyhlásia uverejnením ich úplných znení v Zbierke zákonov Slovenskej republiky: </w:t>
            </w:r>
            <w:r>
              <w:rPr>
                <w:rFonts w:ascii="Times" w:hAnsi="Times" w:cs="Times"/>
                <w:sz w:val="20"/>
                <w:szCs w:val="20"/>
              </w:rPr>
              <w:sym w:font="Symbol" w:char="F02D"/>
            </w:r>
            <w:r>
              <w:rPr>
                <w:rFonts w:ascii="Times" w:hAnsi="Times" w:cs="Times"/>
                <w:sz w:val="20"/>
                <w:szCs w:val="20"/>
              </w:rPr>
              <w:t xml:space="preserve"> opatrenie úradu, ktoré ustanoví podrobnosti o charakteristikách a štruktúre zisťovaných údajov o témach podľa zoznamu, ktorý je prílohou návrhu zákona, podrobnosti o spôsobe a forme zisťovania údajov a vzory formulárov pre sčítanie obyvateľov a formulárov pre sčítanie domov a bytov ustanoví [§ 2 ods. 3 návrhu zákona]; </w:t>
            </w:r>
            <w:r>
              <w:rPr>
                <w:rFonts w:ascii="Times" w:hAnsi="Times" w:cs="Times"/>
                <w:sz w:val="20"/>
                <w:szCs w:val="20"/>
              </w:rPr>
              <w:sym w:font="Symbol" w:char="F02D"/>
            </w:r>
            <w:r>
              <w:rPr>
                <w:rFonts w:ascii="Times" w:hAnsi="Times" w:cs="Times"/>
                <w:sz w:val="20"/>
                <w:szCs w:val="20"/>
              </w:rPr>
              <w:t xml:space="preserve"> opatrenie úradu, ktoré ustanoví vzor preukazu asistenta sčítania, údaje a náležitosti, ktoré preukaz asistenta sčítania obsahuje (§ 15 ods. 3 návrhu zákona), </w:t>
            </w:r>
            <w:r>
              <w:rPr>
                <w:rFonts w:ascii="Times" w:hAnsi="Times" w:cs="Times"/>
                <w:sz w:val="20"/>
                <w:szCs w:val="20"/>
              </w:rPr>
              <w:sym w:font="Symbol" w:char="F02D"/>
            </w:r>
            <w:r>
              <w:rPr>
                <w:rFonts w:ascii="Times" w:hAnsi="Times" w:cs="Times"/>
                <w:sz w:val="20"/>
                <w:szCs w:val="20"/>
              </w:rPr>
              <w:t xml:space="preserve"> opatrenie úradu o určení odmeny fyzickej osobe, ktorá nevykonáva činnosť asistenta sčítania v pracovnom pomere (§ 16 ods. 5 návrhu zákona); </w:t>
            </w:r>
            <w:r>
              <w:rPr>
                <w:rFonts w:ascii="Times" w:hAnsi="Times" w:cs="Times"/>
                <w:sz w:val="20"/>
                <w:szCs w:val="20"/>
              </w:rPr>
              <w:sym w:font="Symbol" w:char="F02D"/>
            </w:r>
            <w:r>
              <w:rPr>
                <w:rFonts w:ascii="Times" w:hAnsi="Times" w:cs="Times"/>
                <w:sz w:val="20"/>
                <w:szCs w:val="20"/>
              </w:rPr>
              <w:t xml:space="preserve"> opatrenie úradu, ktoré ustanoví podrobnosti o systéme identifikácie elektronickej identity obyvateľa a systém overenia elektronickej identity obyvateľa prostredníctvom jeho autentifikácie [§ 17 ods. 3 písm. c) návrhu zákona], </w:t>
            </w:r>
            <w:r>
              <w:rPr>
                <w:rFonts w:ascii="Times" w:hAnsi="Times" w:cs="Times"/>
                <w:sz w:val="20"/>
                <w:szCs w:val="20"/>
              </w:rPr>
              <w:sym w:font="Symbol" w:char="F02D"/>
            </w:r>
            <w:r>
              <w:rPr>
                <w:rFonts w:ascii="Times" w:hAnsi="Times" w:cs="Times"/>
                <w:sz w:val="20"/>
                <w:szCs w:val="20"/>
              </w:rPr>
              <w:t xml:space="preserve"> opatrenie úradu, ktoré ustanoví podmienky prevádzky kontaktného miesta (§ 18 ods. 3 návrhu zákona), </w:t>
            </w:r>
            <w:r>
              <w:rPr>
                <w:rFonts w:ascii="Times" w:hAnsi="Times" w:cs="Times"/>
                <w:sz w:val="20"/>
                <w:szCs w:val="20"/>
              </w:rPr>
              <w:sym w:font="Symbol" w:char="F02D"/>
            </w:r>
            <w:r>
              <w:rPr>
                <w:rFonts w:ascii="Times" w:hAnsi="Times" w:cs="Times"/>
                <w:sz w:val="20"/>
                <w:szCs w:val="20"/>
              </w:rPr>
              <w:t xml:space="preserve"> opatrenie úradu, ktoré ustanoví podrobnosti o technickom zabezpečení poskytovania údajov z administratívnych zdrojov (§ 23 ods. 1 návrhu zákona).</w:t>
            </w:r>
          </w:p>
        </w:tc>
      </w:tr>
      <w:tr w:rsidR="0039582B">
        <w:trPr>
          <w:divId w:val="6093570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xml:space="preserve">  7.  Transpozícia práva EÚ </w:t>
            </w:r>
          </w:p>
        </w:tc>
      </w:tr>
      <w:tr w:rsidR="0039582B">
        <w:trPr>
          <w:divId w:val="6093570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sz w:val="20"/>
                <w:szCs w:val="20"/>
              </w:rPr>
            </w:pPr>
            <w:r>
              <w:rPr>
                <w:rFonts w:ascii="Times" w:hAnsi="Times" w:cs="Times"/>
                <w:sz w:val="20"/>
                <w:szCs w:val="20"/>
              </w:rPr>
              <w:t>Materiál sa netýka transpozície práva EÚ.</w:t>
            </w:r>
          </w:p>
        </w:tc>
      </w:tr>
      <w:tr w:rsidR="0039582B">
        <w:trPr>
          <w:divId w:val="6093570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8.  Preskúmanie účelnosti**</w:t>
            </w:r>
          </w:p>
        </w:tc>
      </w:tr>
      <w:tr w:rsidR="0039582B">
        <w:trPr>
          <w:divId w:val="6093570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39582B" w:rsidRDefault="0039582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9582B">
        <w:trPr>
          <w:divId w:val="368069743"/>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0"/>
                <w:szCs w:val="20"/>
              </w:rPr>
            </w:pPr>
            <w:r>
              <w:rPr>
                <w:rFonts w:ascii="Times" w:hAnsi="Times" w:cs="Times"/>
                <w:b/>
                <w:bCs/>
                <w:sz w:val="20"/>
                <w:szCs w:val="20"/>
              </w:rPr>
              <w:t>  9.   Vplyvy navrhovaného materiálu</w:t>
            </w:r>
          </w:p>
        </w:tc>
      </w:tr>
      <w:tr w:rsidR="0039582B">
        <w:trPr>
          <w:divId w:val="36806974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9582B" w:rsidRDefault="0039582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9582B">
        <w:trPr>
          <w:divId w:val="36806974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9582B">
        <w:trPr>
          <w:divId w:val="36806974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9582B" w:rsidRDefault="0039582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9582B">
        <w:trPr>
          <w:divId w:val="36806974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9582B">
        <w:trPr>
          <w:divId w:val="36806974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9582B" w:rsidRDefault="0039582B">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9582B">
        <w:trPr>
          <w:divId w:val="36806974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9582B" w:rsidRDefault="0039582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9582B">
        <w:trPr>
          <w:divId w:val="36806974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9582B" w:rsidRDefault="0039582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9582B">
        <w:trPr>
          <w:divId w:val="368069743"/>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9582B" w:rsidRDefault="0039582B">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9582B">
        <w:trPr>
          <w:divId w:val="368069743"/>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9582B">
        <w:trPr>
          <w:divId w:val="36806974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9582B" w:rsidRDefault="0039582B">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9582B" w:rsidRDefault="0039582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39582B" w:rsidRDefault="0039582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06"/>
      </w:tblGrid>
      <w:tr w:rsidR="0039582B">
        <w:trPr>
          <w:divId w:val="13687507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10.  Poznámky</w:t>
            </w:r>
          </w:p>
        </w:tc>
      </w:tr>
      <w:tr w:rsidR="0039582B">
        <w:trPr>
          <w:divId w:val="13687507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9582B" w:rsidRDefault="0039582B">
            <w:pPr>
              <w:rPr>
                <w:rFonts w:ascii="Times" w:hAnsi="Times" w:cs="Times"/>
                <w:sz w:val="20"/>
                <w:szCs w:val="20"/>
              </w:rPr>
            </w:pPr>
            <w:r>
              <w:rPr>
                <w:rFonts w:ascii="Times" w:hAnsi="Times" w:cs="Times"/>
                <w:sz w:val="20"/>
                <w:szCs w:val="20"/>
              </w:rPr>
              <w:t>Vzhľadom na skutočnosť, že nesplnenie povinností súvisiacich so sčítaním bude sankcionované v 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w:t>
            </w:r>
          </w:p>
        </w:tc>
      </w:tr>
      <w:tr w:rsidR="0039582B">
        <w:trPr>
          <w:divId w:val="13687507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11.  Kontakt na spracovateľa</w:t>
            </w:r>
          </w:p>
        </w:tc>
      </w:tr>
      <w:tr w:rsidR="0039582B">
        <w:trPr>
          <w:divId w:val="13687507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9582B" w:rsidRDefault="0039582B">
            <w:pPr>
              <w:numPr>
                <w:ilvl w:val="0"/>
                <w:numId w:val="1"/>
              </w:numPr>
              <w:spacing w:before="100" w:beforeAutospacing="1" w:after="100" w:afterAutospacing="1"/>
              <w:jc w:val="both"/>
              <w:rPr>
                <w:rFonts w:ascii="Times" w:hAnsi="Times" w:cs="Times"/>
                <w:sz w:val="20"/>
                <w:szCs w:val="20"/>
              </w:rPr>
            </w:pPr>
            <w:r>
              <w:rPr>
                <w:rFonts w:ascii="Times" w:hAnsi="Times" w:cs="Times"/>
                <w:sz w:val="20"/>
                <w:szCs w:val="20"/>
              </w:rPr>
              <w:t xml:space="preserve">PhDr. Ivančíková Ľudmila, PhD., e-mail: </w:t>
            </w:r>
            <w:hyperlink r:id="rId8" w:history="1">
              <w:r>
                <w:rPr>
                  <w:rStyle w:val="Hypertextovprepojenie"/>
                  <w:rFonts w:ascii="Times" w:hAnsi="Times" w:cs="Times"/>
                  <w:sz w:val="20"/>
                  <w:szCs w:val="20"/>
                </w:rPr>
                <w:t>ludmila.ivancikova@statistics.sk</w:t>
              </w:r>
            </w:hyperlink>
            <w:r>
              <w:rPr>
                <w:rStyle w:val="Zvraznenie"/>
                <w:rFonts w:ascii="Times" w:hAnsi="Times" w:cs="Times"/>
                <w:sz w:val="20"/>
                <w:szCs w:val="20"/>
              </w:rPr>
              <w:t xml:space="preserve"> – vecné aspekty sčítania, vplyvy na informatizáciu, vplyvy na podnikateľské prostredie,</w:t>
            </w:r>
          </w:p>
          <w:p w:rsidR="0039582B" w:rsidRDefault="0039582B">
            <w:pPr>
              <w:numPr>
                <w:ilvl w:val="0"/>
                <w:numId w:val="1"/>
              </w:numPr>
              <w:spacing w:before="100" w:beforeAutospacing="1" w:after="100" w:afterAutospacing="1"/>
              <w:jc w:val="both"/>
              <w:rPr>
                <w:rFonts w:ascii="Times" w:hAnsi="Times" w:cs="Times"/>
                <w:sz w:val="20"/>
                <w:szCs w:val="20"/>
              </w:rPr>
            </w:pPr>
            <w:r>
              <w:rPr>
                <w:rFonts w:ascii="Times" w:hAnsi="Times" w:cs="Times"/>
                <w:sz w:val="20"/>
                <w:szCs w:val="20"/>
              </w:rPr>
              <w:t xml:space="preserve">Ing. Ján Papol, e-mail: </w:t>
            </w:r>
            <w:hyperlink r:id="rId9" w:history="1">
              <w:r>
                <w:rPr>
                  <w:rStyle w:val="Hypertextovprepojenie"/>
                  <w:rFonts w:ascii="Times" w:hAnsi="Times" w:cs="Times"/>
                  <w:sz w:val="20"/>
                  <w:szCs w:val="20"/>
                </w:rPr>
                <w:t>jan.papol@statistics.sk</w:t>
              </w:r>
            </w:hyperlink>
            <w:r>
              <w:rPr>
                <w:rStyle w:val="Zvraznenie"/>
                <w:rFonts w:ascii="Times" w:hAnsi="Times" w:cs="Times"/>
                <w:sz w:val="20"/>
                <w:szCs w:val="20"/>
              </w:rPr>
              <w:t xml:space="preserve"> - vplyvy na rozpočet verejnej správy,</w:t>
            </w:r>
          </w:p>
          <w:p w:rsidR="0039582B" w:rsidRDefault="0039582B">
            <w:pPr>
              <w:numPr>
                <w:ilvl w:val="0"/>
                <w:numId w:val="1"/>
              </w:numPr>
              <w:spacing w:before="100" w:beforeAutospacing="1" w:after="100" w:afterAutospacing="1"/>
              <w:jc w:val="both"/>
              <w:rPr>
                <w:rFonts w:ascii="Times" w:hAnsi="Times" w:cs="Times"/>
                <w:sz w:val="20"/>
                <w:szCs w:val="20"/>
              </w:rPr>
            </w:pPr>
            <w:r>
              <w:rPr>
                <w:rFonts w:ascii="Times" w:hAnsi="Times" w:cs="Times"/>
                <w:sz w:val="20"/>
                <w:szCs w:val="20"/>
              </w:rPr>
              <w:t xml:space="preserve">JUDr. Mgr. Petra Szőkeová, e-mail: </w:t>
            </w:r>
            <w:hyperlink r:id="rId10" w:history="1">
              <w:r>
                <w:rPr>
                  <w:rStyle w:val="Hypertextovprepojenie"/>
                  <w:rFonts w:ascii="Times" w:hAnsi="Times" w:cs="Times"/>
                  <w:sz w:val="20"/>
                  <w:szCs w:val="20"/>
                </w:rPr>
                <w:t>petra.szokeova@statistics.sk</w:t>
              </w:r>
            </w:hyperlink>
            <w:r>
              <w:rPr>
                <w:rStyle w:val="Zvraznenie"/>
                <w:rFonts w:ascii="Times" w:hAnsi="Times" w:cs="Times"/>
                <w:sz w:val="20"/>
                <w:szCs w:val="20"/>
              </w:rPr>
              <w:t xml:space="preserve"> - legislatívny proces, právne aspekty.</w:t>
            </w:r>
          </w:p>
        </w:tc>
      </w:tr>
      <w:tr w:rsidR="0039582B">
        <w:trPr>
          <w:divId w:val="13687507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12.  Zdroje</w:t>
            </w:r>
          </w:p>
        </w:tc>
      </w:tr>
      <w:tr w:rsidR="0039582B">
        <w:trPr>
          <w:divId w:val="13687507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9582B" w:rsidRPr="00D30D5F" w:rsidRDefault="0039582B">
            <w:pPr>
              <w:pStyle w:val="Normlnywebov"/>
              <w:rPr>
                <w:rFonts w:ascii="Times" w:hAnsi="Times" w:cs="Times"/>
                <w:sz w:val="20"/>
                <w:szCs w:val="20"/>
              </w:rPr>
            </w:pPr>
            <w:r w:rsidRPr="00D30D5F">
              <w:rPr>
                <w:rFonts w:ascii="Times" w:hAnsi="Times" w:cs="Times"/>
                <w:sz w:val="20"/>
                <w:szCs w:val="20"/>
              </w:rPr>
              <w:t> </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Štúdia uskutočniteľnosti o nových metódach sčítania domov a bytov v SR (Grant agreement, Number 07121.2016.0052016.764, Eurostat, 2018).</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Stratégia komunikácie a propagácie Sčítania obyvateľov, domov a bytov 2021.</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Štúdia uskutočniteľnosti z pohľadu Sčítania obyvateľov, domov a bytov 2021 výlučne na základe elektronického zberu údajov.</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Štúdia zameraná na analýzu a identifikáciu medzinárodných prvkov dobrej praxe so zameraním na zber ukazovateľov trhu práce prostredníctvom cenzu.</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Štúdia uskutočniteľnosti získania dát pre integrované sčítanie obyvateľov, domov a bytov v roku 2021.</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Analýza a návrh spôsobu autentifikácie pre potreby sčítania obyvateľov, domov a bytov 2021.</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Analýza a návrh spôsobu kódovania a spracovania premenných o trhu práce pre potreby sčítania obyvateľov, domov a bytov v roku 2021.</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Analýza a návrh spôsobu šírenia výstupov zo Sčítania obyvateľov, domov a bytov 2021.</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Zasadnutie analytického tímu na zabezpečenie využitia údajov a metaúdajov z registrov a administratívnych zdrojov údajov pre sčítanie v roku 2021 (aktivita Národného akčného plánu Sčítania obyvateľov, domov a bytov 2021 na roky 2017 – 2020).</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Pravidelné zasadnutia pracovnej skupiny predsedu úradu na prípravu Sčítania obyvateľov, domov a bytov 2021.</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Pravidelné zasadnutia Riadiaceho výboru úradu pre Sčítanie obyvateľov, domov a bytov 2021.</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Pravidelné zasadnutia pracovnej skupiny generálneho tajomníka služobného úradu pre rozpočet Sčítania obyvateľov, domov a bytov 2021.</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Vyhodnotenia dotazníka o dostupných zdrojoch údajov z hľadiska ich možného využitia na účely Sčítania obyvateľov, domov a bytov 2021.</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Bilaterálne pracovné stretnutia s relevantnými zástupcami Ministerstva vnútra SR, Ministerstva práce, sociálnych vecí a rodiny SR, Ministerstva školstva, vedy výskumu a športu SR, Generálneho riaditeľstva zväzu väzenskej a justičnej stráže SR, Úradu geodézie, kartografie a katastra SR,  Sociálnej poisťovne, Úradu pre dohľad nad zdravotnou starostlivosťou, Finančného riaditeľstva SR, Združenia miest a obcí Slovenska, Únie miest Slovenska.</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Workshopy so zástupcami krajských pracovísk Štatistického úradu SR k jednotlivým etapám projektu sčítania v roku 2021.</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Workshopy so zástupcami samosprávy, zástupcami vybraných ústredných orgánov štátnej správy a iných spolupracujúcich subjektov, zástupcami vedeckej a akademickej obce, kde bol predstavený nový koncept cenzu 2021.</w:t>
            </w:r>
          </w:p>
          <w:p w:rsidR="0039582B" w:rsidRDefault="0039582B">
            <w:pPr>
              <w:numPr>
                <w:ilvl w:val="0"/>
                <w:numId w:val="2"/>
              </w:numPr>
              <w:spacing w:before="100" w:beforeAutospacing="1" w:after="100" w:afterAutospacing="1"/>
              <w:rPr>
                <w:rFonts w:ascii="Times" w:hAnsi="Times" w:cs="Times"/>
                <w:sz w:val="20"/>
                <w:szCs w:val="20"/>
              </w:rPr>
            </w:pPr>
            <w:r>
              <w:rPr>
                <w:rFonts w:ascii="Times" w:hAnsi="Times" w:cs="Times"/>
                <w:sz w:val="20"/>
                <w:szCs w:val="20"/>
              </w:rPr>
              <w:t>Vyhodnotenie verejnej diskusie k obsahu SODB 2021</w:t>
            </w:r>
          </w:p>
        </w:tc>
      </w:tr>
      <w:tr w:rsidR="0039582B">
        <w:trPr>
          <w:divId w:val="13687507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9582B" w:rsidRDefault="0039582B">
            <w:pPr>
              <w:rPr>
                <w:rFonts w:ascii="Times" w:hAnsi="Times" w:cs="Times"/>
                <w:b/>
                <w:bCs/>
                <w:sz w:val="22"/>
                <w:szCs w:val="22"/>
              </w:rPr>
            </w:pPr>
            <w:r>
              <w:rPr>
                <w:rFonts w:ascii="Times" w:hAnsi="Times" w:cs="Times"/>
                <w:b/>
                <w:bCs/>
                <w:sz w:val="22"/>
                <w:szCs w:val="22"/>
              </w:rPr>
              <w:t>  13.  Stanovisko Komisie pre posudzovanie vybraných vplyvov z PPK</w:t>
            </w:r>
          </w:p>
        </w:tc>
      </w:tr>
      <w:tr w:rsidR="0039582B">
        <w:trPr>
          <w:divId w:val="136875075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39582B" w:rsidRPr="00D30D5F" w:rsidRDefault="0039582B">
            <w:pPr>
              <w:pStyle w:val="Normlnywebov"/>
              <w:rPr>
                <w:rFonts w:ascii="Times" w:hAnsi="Times" w:cs="Times"/>
                <w:sz w:val="20"/>
                <w:szCs w:val="20"/>
              </w:rPr>
            </w:pPr>
            <w:r w:rsidRPr="00D30D5F">
              <w:rPr>
                <w:rFonts w:ascii="Times" w:hAnsi="Times" w:cs="Times"/>
                <w:sz w:val="20"/>
                <w:szCs w:val="20"/>
              </w:rPr>
              <w:t>Uveďte stanovisko Komisie pre posudzovanie vybraných vplyvov, ktoré Vám bolo zaslané v rámci predbežného pripomienkového konania</w:t>
            </w:r>
          </w:p>
          <w:p w:rsidR="0039582B" w:rsidRPr="00D30D5F" w:rsidRDefault="0039582B">
            <w:pPr>
              <w:pStyle w:val="Normlnywebov"/>
              <w:rPr>
                <w:rFonts w:ascii="Times" w:hAnsi="Times" w:cs="Times"/>
                <w:sz w:val="20"/>
                <w:szCs w:val="20"/>
              </w:rPr>
            </w:pPr>
            <w:r w:rsidRPr="00D30D5F">
              <w:rPr>
                <w:rFonts w:ascii="Times" w:hAnsi="Times" w:cs="Times"/>
                <w:sz w:val="20"/>
                <w:szCs w:val="20"/>
              </w:rPr>
              <w:t>Komisia pre posudzovanie vybraných vplyvov vydala nasledujúce stanovisko k materiálu návrhu zákona o sčítaní v roku 2021 predloženého do PPK:</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I. Úvod:</w:t>
            </w:r>
            <w:r w:rsidRPr="00D30D5F">
              <w:rPr>
                <w:rFonts w:ascii="Times" w:hAnsi="Times" w:cs="Times"/>
                <w:sz w:val="20"/>
                <w:szCs w:val="20"/>
              </w:rPr>
              <w:t xml:space="preserve">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II.</w:t>
            </w:r>
            <w:r w:rsidRPr="00D30D5F">
              <w:rPr>
                <w:rFonts w:ascii="Times" w:hAnsi="Times" w:cs="Times"/>
                <w:sz w:val="20"/>
                <w:szCs w:val="20"/>
              </w:rPr>
              <w:t xml:space="preserve"> Pripomienky a návrhy zmien: Komisia uplatňuje k materiálu nasledovné pripomienky a odporúčania:</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K vplyvom na informatizáciu</w:t>
            </w:r>
          </w:p>
          <w:p w:rsidR="0039582B" w:rsidRPr="00D30D5F" w:rsidRDefault="0039582B">
            <w:pPr>
              <w:pStyle w:val="Normlnywebov"/>
              <w:rPr>
                <w:rFonts w:ascii="Times" w:hAnsi="Times" w:cs="Times"/>
                <w:sz w:val="20"/>
                <w:szCs w:val="20"/>
              </w:rPr>
            </w:pPr>
            <w:r w:rsidRPr="00D30D5F">
              <w:rPr>
                <w:rFonts w:ascii="Times" w:hAnsi="Times" w:cs="Times"/>
                <w:sz w:val="20"/>
                <w:szCs w:val="20"/>
              </w:rPr>
              <w:t>Komisia žiada opraviť analýzu vplyvov na informatizáciu tak, aby boli v bode 6.2. uvedené údaje týkajúce sa informačných systémov, teda ich kódov a zapísanie systémov do MetaIS.</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III. Záver:</w:t>
            </w:r>
            <w:r w:rsidRPr="00D30D5F">
              <w:rPr>
                <w:rFonts w:ascii="Times" w:hAnsi="Times" w:cs="Times"/>
                <w:sz w:val="20"/>
                <w:szCs w:val="20"/>
              </w:rPr>
              <w:t xml:space="preserve"> Stála pracovná komisia na posudzovanie vybraných vplyvov vyjadruje nesúhlasné stanovisko s materiálom predloženým na predbežné pripomienkové konanie s odporúčaním na jeho dopracovanie podľa pripomienok v bode II. </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IV. Poznámka:</w:t>
            </w:r>
            <w:r w:rsidRPr="00D30D5F">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39582B" w:rsidRPr="00D30D5F" w:rsidRDefault="0039582B">
            <w:pPr>
              <w:pStyle w:val="Normlnywebov"/>
              <w:rPr>
                <w:rFonts w:ascii="Times" w:hAnsi="Times" w:cs="Times"/>
                <w:sz w:val="20"/>
                <w:szCs w:val="20"/>
              </w:rPr>
            </w:pPr>
            <w:r w:rsidRPr="00D30D5F">
              <w:rPr>
                <w:rFonts w:ascii="Times" w:hAnsi="Times" w:cs="Times"/>
                <w:sz w:val="20"/>
                <w:szCs w:val="20"/>
              </w:rPr>
              <w:t>Úrad akceptuje pripomienku Komisie pre posudzovanie vybraných vplyvov akceptuje. Údaje o oboch informačných systémoch budú vložené do systému META IS do 4. marca 2019. Oba systémy v ňom budú definované ako plánované. V materiáli návrhu zákona bude analýza vplyvov na informatizáciu aktualizovaná vo fáze pred predložením na rokovanie poradných orgánov vlády SR.</w:t>
            </w:r>
          </w:p>
          <w:p w:rsidR="0039582B" w:rsidRPr="00D30D5F" w:rsidRDefault="0039582B">
            <w:pPr>
              <w:pStyle w:val="Normlnywebov"/>
              <w:rPr>
                <w:rFonts w:ascii="Times" w:hAnsi="Times" w:cs="Times"/>
                <w:sz w:val="20"/>
                <w:szCs w:val="20"/>
              </w:rPr>
            </w:pPr>
            <w:r w:rsidRPr="00D30D5F">
              <w:rPr>
                <w:rFonts w:ascii="Times" w:hAnsi="Times" w:cs="Times"/>
                <w:sz w:val="20"/>
                <w:szCs w:val="20"/>
              </w:rPr>
              <w:t>Ministerstvo financií Slovenskej republiky zaslalo k materiálu návrhu zákona o sčítaní v roku 2021 predloženému v PPK stanovisko po lehote určenej na zaslanie stanoviska Komisie pre posudzovanie vybraných vplyvov, ktoré obsahovalo nižšie uvedené pripomienky. K pripomienkam MF SR je uvedené ich vyhodnotenie úradom.</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1. Zásadná pripomienka</w:t>
            </w:r>
          </w:p>
          <w:p w:rsidR="0039582B" w:rsidRPr="00D30D5F" w:rsidRDefault="0039582B">
            <w:pPr>
              <w:pStyle w:val="Normlnywebov"/>
              <w:rPr>
                <w:rFonts w:ascii="Times" w:hAnsi="Times" w:cs="Times"/>
                <w:sz w:val="20"/>
                <w:szCs w:val="20"/>
              </w:rPr>
            </w:pPr>
            <w:r w:rsidRPr="00D30D5F">
              <w:rPr>
                <w:rFonts w:ascii="Times" w:hAnsi="Times" w:cs="Times"/>
                <w:sz w:val="20"/>
                <w:szCs w:val="20"/>
              </w:rPr>
              <w:t>Podľa podkladov od Štatistického úradu SR predstavujú náklady na sčítanie obyvateľov, domov a bytov v roku 2021 spolu cca 57 mil. eur.</w:t>
            </w:r>
          </w:p>
          <w:tbl>
            <w:tblPr>
              <w:tblW w:w="9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690"/>
              <w:gridCol w:w="795"/>
              <w:gridCol w:w="795"/>
              <w:gridCol w:w="690"/>
              <w:gridCol w:w="690"/>
              <w:gridCol w:w="690"/>
              <w:gridCol w:w="795"/>
            </w:tblGrid>
            <w:tr w:rsidR="0039582B">
              <w:trPr>
                <w:trHeight w:val="225"/>
                <w:tblCellSpacing w:w="0"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jc w:val="center"/>
                  </w:pPr>
                  <w:r w:rsidRPr="00D30D5F">
                    <w:t>Vplyvy na rozpočet verejnej správy</w:t>
                  </w:r>
                </w:p>
              </w:tc>
              <w:tc>
                <w:tcPr>
                  <w:tcW w:w="4950" w:type="dxa"/>
                  <w:gridSpan w:val="7"/>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jc w:val="center"/>
                  </w:pPr>
                  <w:r w:rsidRPr="00D30D5F">
                    <w:t>Vplyv na rozpočet verejnej správy (v mil. eur)</w:t>
                  </w:r>
                </w:p>
              </w:tc>
            </w:tr>
            <w:tr w:rsidR="0039582B">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tc>
              <w:tc>
                <w:tcPr>
                  <w:tcW w:w="660"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jc w:val="center"/>
                  </w:pPr>
                  <w:r w:rsidRPr="00D30D5F">
                    <w:t>2019</w:t>
                  </w:r>
                </w:p>
              </w:tc>
              <w:tc>
                <w:tcPr>
                  <w:tcW w:w="765"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jc w:val="center"/>
                  </w:pPr>
                  <w:r w:rsidRPr="00D30D5F">
                    <w:t>2020</w:t>
                  </w:r>
                </w:p>
              </w:tc>
              <w:tc>
                <w:tcPr>
                  <w:tcW w:w="765"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jc w:val="center"/>
                  </w:pPr>
                  <w:r w:rsidRPr="00D30D5F">
                    <w:t>2021</w:t>
                  </w:r>
                </w:p>
              </w:tc>
              <w:tc>
                <w:tcPr>
                  <w:tcW w:w="660"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jc w:val="center"/>
                  </w:pPr>
                  <w:r w:rsidRPr="00D30D5F">
                    <w:t>2022</w:t>
                  </w:r>
                </w:p>
              </w:tc>
              <w:tc>
                <w:tcPr>
                  <w:tcW w:w="660"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jc w:val="center"/>
                  </w:pPr>
                  <w:r w:rsidRPr="00D30D5F">
                    <w:t>2023</w:t>
                  </w:r>
                </w:p>
              </w:tc>
              <w:tc>
                <w:tcPr>
                  <w:tcW w:w="660"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jc w:val="center"/>
                  </w:pPr>
                  <w:r w:rsidRPr="00D30D5F">
                    <w:t>2024</w:t>
                  </w:r>
                </w:p>
              </w:tc>
              <w:tc>
                <w:tcPr>
                  <w:tcW w:w="765"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jc w:val="center"/>
                  </w:pPr>
                  <w:r w:rsidRPr="00D30D5F">
                    <w:t>Spolu</w:t>
                  </w:r>
                </w:p>
              </w:tc>
            </w:tr>
            <w:tr w:rsidR="0039582B">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Výdavky verejnej správy celkom</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7,1</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23,5</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20,1</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2,7</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1,6</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1,5</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56,6</w:t>
                  </w:r>
                </w:p>
              </w:tc>
            </w:tr>
            <w:tr w:rsidR="0039582B">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Rozpočtové prostriedky – kapitola ŠÚ SR – z toho:</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7,1</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10,9</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6,2</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2,7</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1,6</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1,5</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30,0</w:t>
                  </w:r>
                </w:p>
              </w:tc>
            </w:tr>
            <w:tr w:rsidR="0039582B">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   - program 07V – Štatistické zisťovania</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2,0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2,6</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3,4</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1,2</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0,6</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0,5</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10,4</w:t>
                  </w:r>
                </w:p>
              </w:tc>
            </w:tr>
            <w:tr w:rsidR="0039582B">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   - program 0EKON - Informačné technológie zo ŠR</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5,1</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8,3</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2,8</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1,5</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1,0</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1,0</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19,6</w:t>
                  </w:r>
                </w:p>
              </w:tc>
            </w:tr>
            <w:tr w:rsidR="0039582B">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Rozpočtové prostriedky – kapitola MV SR</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0,3</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0,3</w:t>
                  </w:r>
                </w:p>
              </w:tc>
            </w:tr>
            <w:tr w:rsidR="0039582B">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Obce – prenesený výkon štátnej správy</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12,3</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13,9</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w:t>
                  </w:r>
                </w:p>
              </w:tc>
              <w:tc>
                <w:tcPr>
                  <w:tcW w:w="6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center"/>
                  </w:pPr>
                  <w:r w:rsidRPr="00D30D5F">
                    <w:t>26,3</w:t>
                  </w:r>
                </w:p>
              </w:tc>
            </w:tr>
          </w:tbl>
          <w:p w:rsidR="0039582B" w:rsidRPr="00D30D5F" w:rsidRDefault="0039582B">
            <w:pPr>
              <w:pStyle w:val="Normlnywebov"/>
              <w:rPr>
                <w:rFonts w:ascii="Times" w:hAnsi="Times" w:cs="Times"/>
                <w:sz w:val="20"/>
                <w:szCs w:val="20"/>
              </w:rPr>
            </w:pPr>
            <w:r w:rsidRPr="00D30D5F">
              <w:rPr>
                <w:rFonts w:ascii="Times" w:hAnsi="Times" w:cs="Times"/>
                <w:sz w:val="20"/>
                <w:szCs w:val="20"/>
              </w:rPr>
              <w: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w:t>
            </w:r>
          </w:p>
          <w:tbl>
            <w:tblPr>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645"/>
              <w:gridCol w:w="675"/>
              <w:gridCol w:w="675"/>
              <w:gridCol w:w="675"/>
              <w:gridCol w:w="675"/>
              <w:gridCol w:w="675"/>
              <w:gridCol w:w="930"/>
            </w:tblGrid>
            <w:tr w:rsidR="0039582B">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Náklady porovnateľných IS</w:t>
                  </w:r>
                </w:p>
              </w:tc>
              <w:tc>
                <w:tcPr>
                  <w:tcW w:w="61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 </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 </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 </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 </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 </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 </w:t>
                  </w:r>
                </w:p>
              </w:tc>
            </w:tr>
            <w:tr w:rsidR="0039582B">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(mil. eur)</w:t>
                  </w:r>
                </w:p>
              </w:tc>
              <w:tc>
                <w:tcPr>
                  <w:tcW w:w="61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T1</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T2</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T3</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T4</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T5</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T6</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Spolu</w:t>
                  </w:r>
                </w:p>
              </w:tc>
            </w:tr>
            <w:tr w:rsidR="0039582B">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Elektronizácia služieb Národného inšpektorátu práce</w:t>
                  </w:r>
                </w:p>
              </w:tc>
              <w:tc>
                <w:tcPr>
                  <w:tcW w:w="61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3,6</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2,2</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0,5</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0,5</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0,6</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7,9</w:t>
                  </w:r>
                </w:p>
              </w:tc>
            </w:tr>
            <w:tr w:rsidR="0039582B">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Komplexný analytický nástroj pre podporu ekonomickej regulácie</w:t>
                  </w:r>
                </w:p>
              </w:tc>
              <w:tc>
                <w:tcPr>
                  <w:tcW w:w="61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0,2</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0,1</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0,1</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0,1</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1,9</w:t>
                  </w:r>
                </w:p>
              </w:tc>
            </w:tr>
            <w:tr w:rsidR="0039582B">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Online procesy eZdravia</w:t>
                  </w:r>
                </w:p>
              </w:tc>
              <w:tc>
                <w:tcPr>
                  <w:tcW w:w="61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5,5</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3,0</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1,0</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1,0</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1,0</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1,0</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12,6</w:t>
                  </w:r>
                </w:p>
              </w:tc>
            </w:tr>
            <w:tr w:rsidR="0039582B">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Zefektívnenie štátneho dozoru v starostlivosti o životné prostredie</w:t>
                  </w:r>
                </w:p>
              </w:tc>
              <w:tc>
                <w:tcPr>
                  <w:tcW w:w="61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3,6</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5,5</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0,6</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11,3</w:t>
                  </w:r>
                </w:p>
              </w:tc>
            </w:tr>
            <w:tr w:rsidR="0039582B">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SODB 21</w:t>
                  </w:r>
                </w:p>
              </w:tc>
              <w:tc>
                <w:tcPr>
                  <w:tcW w:w="61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5,1</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8,3</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2,8</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1,5</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1,0</w:t>
                  </w:r>
                </w:p>
              </w:tc>
              <w:tc>
                <w:tcPr>
                  <w:tcW w:w="64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1,0</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19,6</w:t>
                  </w:r>
                </w:p>
              </w:tc>
            </w:tr>
          </w:tbl>
          <w:p w:rsidR="0039582B" w:rsidRPr="00D30D5F" w:rsidRDefault="0039582B">
            <w:pPr>
              <w:pStyle w:val="Normlnywebov"/>
              <w:rPr>
                <w:rFonts w:ascii="Times" w:hAnsi="Times" w:cs="Times"/>
                <w:sz w:val="20"/>
                <w:szCs w:val="20"/>
              </w:rPr>
            </w:pPr>
            <w:r w:rsidRPr="00D30D5F">
              <w:rPr>
                <w:rFonts w:ascii="Times" w:hAnsi="Times" w:cs="Times"/>
                <w:sz w:val="20"/>
                <w:szCs w:val="20"/>
              </w:rPr>
              <w:t>Nevyhnutnou časťou elektronického sčítania je vytvorenie jednotnej databázy domov a bytov. Projekt predpokladá, že údaje do databázy zozbierajú odplatne obce, odmenou bude transfer v hodnote 3,5 eura za každú sčítaciu jednotku. Náročnosť zberu týchto údajov nebola zmapovaná. Ďalší transfer pre obce prestavuje pokrytie personálnych a režijných nákladov spojených s výkonom sčítania spolu v objeme 17 mil. eur.</w:t>
            </w:r>
          </w:p>
          <w:tbl>
            <w:tblPr>
              <w:tblW w:w="9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5"/>
              <w:gridCol w:w="1455"/>
              <w:gridCol w:w="1590"/>
            </w:tblGrid>
            <w:tr w:rsidR="0039582B">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Výdavky obcí - prenesený výkon štátnej správy (eur)</w:t>
                  </w:r>
                </w:p>
              </w:tc>
              <w:tc>
                <w:tcPr>
                  <w:tcW w:w="142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2020</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2021</w:t>
                  </w:r>
                </w:p>
              </w:tc>
            </w:tr>
            <w:tr w:rsidR="0039582B">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Sčítanie domov a bytov</w:t>
                  </w:r>
                </w:p>
              </w:tc>
              <w:tc>
                <w:tcPr>
                  <w:tcW w:w="142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9 342 000</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 -</w:t>
                  </w:r>
                </w:p>
              </w:tc>
            </w:tr>
            <w:tr w:rsidR="0039582B">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Kontaktné osoby</w:t>
                  </w:r>
                </w:p>
              </w:tc>
              <w:tc>
                <w:tcPr>
                  <w:tcW w:w="142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3 960 000</w:t>
                  </w:r>
                </w:p>
              </w:tc>
            </w:tr>
            <w:tr w:rsidR="0039582B">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Asistenti stacionárni</w:t>
                  </w:r>
                </w:p>
              </w:tc>
              <w:tc>
                <w:tcPr>
                  <w:tcW w:w="142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 </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1 674 000</w:t>
                  </w:r>
                </w:p>
              </w:tc>
            </w:tr>
            <w:tr w:rsidR="0039582B">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Asistenti mobilní</w:t>
                  </w:r>
                </w:p>
              </w:tc>
              <w:tc>
                <w:tcPr>
                  <w:tcW w:w="142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 </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5 280 000</w:t>
                  </w:r>
                </w:p>
              </w:tc>
            </w:tr>
            <w:tr w:rsidR="0039582B">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Réžia</w:t>
                  </w:r>
                </w:p>
              </w:tc>
              <w:tc>
                <w:tcPr>
                  <w:tcW w:w="142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3 000 000</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3 000 000</w:t>
                  </w:r>
                </w:p>
              </w:tc>
            </w:tr>
            <w:tr w:rsidR="0039582B">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SUMA</w:t>
                  </w:r>
                </w:p>
              </w:tc>
              <w:tc>
                <w:tcPr>
                  <w:tcW w:w="1425"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12 342 000</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jc w:val="right"/>
                  </w:pPr>
                  <w:r w:rsidRPr="00D30D5F">
                    <w:t>13 914 000</w:t>
                  </w:r>
                </w:p>
              </w:tc>
            </w:tr>
          </w:tbl>
          <w:p w:rsidR="0039582B" w:rsidRPr="00D30D5F" w:rsidRDefault="0039582B">
            <w:pPr>
              <w:pStyle w:val="Normlnywebov"/>
              <w:rPr>
                <w:rFonts w:ascii="Times" w:hAnsi="Times" w:cs="Times"/>
                <w:sz w:val="20"/>
                <w:szCs w:val="20"/>
              </w:rPr>
            </w:pPr>
            <w:r w:rsidRPr="00D30D5F">
              <w:rPr>
                <w:rFonts w:ascii="Times" w:hAnsi="Times" w:cs="Times"/>
                <w:sz w:val="20"/>
                <w:szCs w:val="20"/>
              </w:rPr>
              <w:t>Žiadame, aby náklady na IT systém (program 0EKON ) v doložke vplyvov na rozpočet verejnej správy boli v sumárnej výške najviac 10 mil. eur, namiesto súčasných 19,6 mil. eur.</w:t>
            </w:r>
          </w:p>
          <w:p w:rsidR="0039582B" w:rsidRPr="00D30D5F" w:rsidRDefault="0039582B">
            <w:pPr>
              <w:pStyle w:val="Normlnywebov"/>
              <w:rPr>
                <w:rFonts w:ascii="Times" w:hAnsi="Times" w:cs="Times"/>
                <w:sz w:val="20"/>
                <w:szCs w:val="20"/>
              </w:rPr>
            </w:pPr>
            <w:r w:rsidRPr="00D30D5F">
              <w:rPr>
                <w:rFonts w:ascii="Times" w:hAnsi="Times" w:cs="Times"/>
                <w:sz w:val="20"/>
                <w:szCs w:val="20"/>
              </w:rPr>
              <w:t>Pripomienka je zásadná.</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 xml:space="preserve">2. Zásadná pripomienka </w:t>
            </w:r>
          </w:p>
          <w:p w:rsidR="0039582B" w:rsidRPr="00D30D5F" w:rsidRDefault="0039582B">
            <w:pPr>
              <w:pStyle w:val="Normlnywebov"/>
              <w:rPr>
                <w:rFonts w:ascii="Times" w:hAnsi="Times" w:cs="Times"/>
                <w:sz w:val="20"/>
                <w:szCs w:val="20"/>
              </w:rPr>
            </w:pPr>
            <w:r w:rsidRPr="00D30D5F">
              <w:rPr>
                <w:rFonts w:ascii="Times" w:hAnsi="Times" w:cs="Times"/>
                <w:sz w:val="20"/>
                <w:szCs w:val="20"/>
              </w:rPr>
              <w:t>Zároveň žiadame pre IT časť projektu (19,6 mil. eur, program 0EKON) a časť projektu, ktorá zabezpečí vytvorenie registra domov a bytov (9,3 mil. eur, sčítanie domov a bytov) pripraviť štúdiu uskutočniteľnosti v súlade s „Rámcom na hodnotenie verejných investičných projektov v SR“ a tiež s „Metodickým pokynom k spracovaniu štúdii uskutočniteľnosti, finančnej analýzy projektu, analýzy nákladov a prínosov projektu, finančnej analýzy žiadateľa o NFP a Celkových nákladov na vlastníctvo v programovom období 2014 – 2020“ a predložiť ju na hodnotenie MF SR (Útvaru hodnoty za peniaze) pred vyhlásením verejného obstarávania.</w:t>
            </w:r>
          </w:p>
          <w:p w:rsidR="0039582B" w:rsidRPr="00D30D5F" w:rsidRDefault="0039582B">
            <w:pPr>
              <w:pStyle w:val="Normlnywebov"/>
              <w:rPr>
                <w:rFonts w:ascii="Times" w:hAnsi="Times" w:cs="Times"/>
                <w:sz w:val="20"/>
                <w:szCs w:val="20"/>
              </w:rPr>
            </w:pPr>
            <w:r w:rsidRPr="00D30D5F">
              <w:rPr>
                <w:rFonts w:ascii="Times" w:hAnsi="Times" w:cs="Times"/>
                <w:sz w:val="20"/>
                <w:szCs w:val="20"/>
              </w:rPr>
              <w:t>Štúdia uskutočniteľnosti by okrem iného mala:</w:t>
            </w:r>
          </w:p>
          <w:p w:rsidR="0039582B" w:rsidRPr="00D30D5F" w:rsidRDefault="0039582B">
            <w:pPr>
              <w:pStyle w:val="Normlnywebov"/>
              <w:rPr>
                <w:rFonts w:ascii="Times" w:hAnsi="Times" w:cs="Times"/>
                <w:sz w:val="20"/>
                <w:szCs w:val="20"/>
              </w:rPr>
            </w:pPr>
            <w:r w:rsidRPr="00D30D5F">
              <w:rPr>
                <w:rFonts w:ascii="Times" w:hAnsi="Times" w:cs="Times"/>
                <w:sz w:val="20"/>
                <w:szCs w:val="20"/>
              </w:rPr>
              <w:t>-obsahovať podrobnejšiu technickú a funkčnú špecifikáciu, na základe ktorej bude možné lepšie odhadnúť očakávané náklady IT časti projektu;</w:t>
            </w:r>
          </w:p>
          <w:p w:rsidR="0039582B" w:rsidRPr="00D30D5F" w:rsidRDefault="0039582B">
            <w:pPr>
              <w:pStyle w:val="Normlnywebov"/>
              <w:rPr>
                <w:rFonts w:ascii="Times" w:hAnsi="Times" w:cs="Times"/>
                <w:sz w:val="20"/>
                <w:szCs w:val="20"/>
              </w:rPr>
            </w:pPr>
            <w:r w:rsidRPr="00D30D5F">
              <w:rPr>
                <w:rFonts w:ascii="Times" w:hAnsi="Times" w:cs="Times"/>
                <w:sz w:val="20"/>
                <w:szCs w:val="20"/>
              </w:rPr>
              <w:t>-preveriť a upresniť existujúce dátové zdroje potrebné pre vytvorenie registra domov a bytov (9,3 mil. eur);</w:t>
            </w:r>
          </w:p>
          <w:p w:rsidR="0039582B" w:rsidRPr="00D30D5F" w:rsidRDefault="0039582B">
            <w:pPr>
              <w:pStyle w:val="Normlnywebov"/>
              <w:rPr>
                <w:rFonts w:ascii="Times" w:hAnsi="Times" w:cs="Times"/>
                <w:sz w:val="20"/>
                <w:szCs w:val="20"/>
              </w:rPr>
            </w:pPr>
            <w:r w:rsidRPr="00D30D5F">
              <w:rPr>
                <w:rFonts w:ascii="Times" w:hAnsi="Times" w:cs="Times"/>
                <w:sz w:val="20"/>
                <w:szCs w:val="20"/>
              </w:rPr>
              <w:t>-na základe dodatočných špecifickejších údajov o potrebných dátových zdrojoch upraviť a konkretizovať rozpočet pre vytvorenie registra domov a bytov.</w:t>
            </w:r>
          </w:p>
          <w:p w:rsidR="0039582B" w:rsidRPr="00D30D5F" w:rsidRDefault="0039582B">
            <w:pPr>
              <w:pStyle w:val="Normlnywebov"/>
              <w:rPr>
                <w:rFonts w:ascii="Times" w:hAnsi="Times" w:cs="Times"/>
                <w:sz w:val="20"/>
                <w:szCs w:val="20"/>
              </w:rPr>
            </w:pPr>
            <w:r w:rsidRPr="00D30D5F">
              <w:rPr>
                <w:rFonts w:ascii="Times" w:hAnsi="Times" w:cs="Times"/>
                <w:sz w:val="20"/>
                <w:szCs w:val="20"/>
              </w:rPr>
              <w:t>V nadväznosti na uvedené žiadame v analýze uviesť, že finančný rámec je indikatívny a bude upresnený v štúdii uskutočniteľnosti. Kvantifikácia všetkých výdavkov súvisiacich s realizáciou návrhu zákona vrátane prostriedkov na IT ŠÚ SR a návrh na ich financovanie budú upresňované v ďalšom legislatívnom procese po dopracovaní štúdie uskutočniteľnosti a na základe zverejneného hodnotenia MF SR.</w:t>
            </w:r>
          </w:p>
          <w:p w:rsidR="0039582B" w:rsidRPr="00D30D5F" w:rsidRDefault="0039582B">
            <w:pPr>
              <w:pStyle w:val="Normlnywebov"/>
              <w:rPr>
                <w:rFonts w:ascii="Times" w:hAnsi="Times" w:cs="Times"/>
                <w:sz w:val="20"/>
                <w:szCs w:val="20"/>
              </w:rPr>
            </w:pPr>
            <w:r w:rsidRPr="00D30D5F">
              <w:rPr>
                <w:rFonts w:ascii="Times" w:hAnsi="Times" w:cs="Times"/>
                <w:sz w:val="20"/>
                <w:szCs w:val="20"/>
              </w:rPr>
              <w:t>Pripomienka je zásadná.</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Stanovisko úradu k 1. a 2 . pripomienke:</w:t>
            </w:r>
          </w:p>
          <w:p w:rsidR="0039582B" w:rsidRPr="00D30D5F" w:rsidRDefault="0039582B">
            <w:pPr>
              <w:pStyle w:val="Normlnywebov"/>
              <w:rPr>
                <w:rFonts w:ascii="Times" w:hAnsi="Times" w:cs="Times"/>
                <w:sz w:val="20"/>
                <w:szCs w:val="20"/>
              </w:rPr>
            </w:pPr>
            <w:r w:rsidRPr="00D30D5F">
              <w:rPr>
                <w:rFonts w:ascii="Times" w:hAnsi="Times" w:cs="Times"/>
                <w:sz w:val="20"/>
                <w:szCs w:val="20"/>
              </w:rPr>
              <w:t>Finančný rámec je indikatívny a bude upresnený v štúdii uskutočniteľnosti. Kvantifikácia všetkých výdavkov súvisiacich s realizáciou návrhu zákona vrátane prostriedkov na IT úradu a návrh na ich financovanie budú upresňované v ďalšom legislatívnom procese po dopracovaní štúdie uskutočniteľnosti a na základe hodnotenia MF SR.</w:t>
            </w:r>
          </w:p>
          <w:p w:rsidR="0039582B" w:rsidRPr="00D30D5F" w:rsidRDefault="0039582B">
            <w:pPr>
              <w:pStyle w:val="Normlnywebov"/>
              <w:rPr>
                <w:rFonts w:ascii="Times" w:hAnsi="Times" w:cs="Times"/>
                <w:sz w:val="20"/>
                <w:szCs w:val="20"/>
              </w:rPr>
            </w:pPr>
            <w:r w:rsidRPr="00D30D5F">
              <w:rPr>
                <w:rFonts w:ascii="Times" w:hAnsi="Times" w:cs="Times"/>
                <w:sz w:val="20"/>
                <w:szCs w:val="20"/>
              </w:rPr>
              <w:t>Ďalej uvádzame, tak ako sme už informovali Útvar hodnoty za peniaze (ďalej len „UHP“), že cieľom projektu SODB 2021 nie je vytvorenie referenčného registra domov a bytov, ale sčítanie domov a bytov (a obyvateľov). Výstupom zo štatistického zisťovania a následného spracovania získaných údajov a údajov zo zberu z terénu (samotné sčítanie na obciach) bude dataset kvalitných informácií o domoch a bytoch v rozsahu štatistického zisťovania, ktorý môže slúžiť pre rôznych záujemcov, medzi inými napríklad aj pre Ministerstvo dopravy a výstavby SR pre vytvorenie referenčného registra bytov. Cieľom projektu je získať čo najkvalitnejšie údaje o domoch a bytoch, ktoré budú slúžiť okrem iného pre štát pri rozhodovaní o dôležitých ekonomických a sociálnych otázkach chodu štátu.</w:t>
            </w:r>
          </w:p>
          <w:p w:rsidR="0039582B" w:rsidRPr="00D30D5F" w:rsidRDefault="0039582B">
            <w:pPr>
              <w:pStyle w:val="Normlnywebov"/>
              <w:rPr>
                <w:rFonts w:ascii="Times" w:hAnsi="Times" w:cs="Times"/>
                <w:sz w:val="20"/>
                <w:szCs w:val="20"/>
              </w:rPr>
            </w:pPr>
            <w:r w:rsidRPr="00D30D5F">
              <w:rPr>
                <w:rFonts w:ascii="Times" w:hAnsi="Times" w:cs="Times"/>
                <w:sz w:val="20"/>
                <w:szCs w:val="20"/>
              </w:rPr>
              <w:t>Výška výdavkov 9,3 mil. eur nie je výdavkom na IT (0EKON), tieto výdavky sú popísané v predloženej úradom k SODB 2021 ako výdavky na zabezpečenie sčítania domov a bytov pre obce. Vychádzajú z predpokladu že obec, presnejšie osoby podieľajúce sa na spracovaní údajov, dostanú za spracovanie informácií o každom byte 3,50 eur, pričom sa predpokladá že bude spracovaných cca 2 mil. bytov. Výdavky budú zvýšené o odvod 32%. Odhadovaná finálna suma tak predstavuje 9,24 mil. eur. Tento výdavok je teda výdavkom za sčítanie domov a bytov ako také, a nie za vytvorenie registra domov a bytov. Postup ako aj výška odmien boli prekonzultované a schválené na úrovni ZMOS-u.</w:t>
            </w:r>
          </w:p>
          <w:p w:rsidR="0039582B" w:rsidRPr="00D30D5F" w:rsidRDefault="0039582B">
            <w:pPr>
              <w:pStyle w:val="Normlnywebov"/>
              <w:rPr>
                <w:rFonts w:ascii="Times" w:hAnsi="Times" w:cs="Times"/>
                <w:sz w:val="20"/>
                <w:szCs w:val="20"/>
              </w:rPr>
            </w:pPr>
            <w:r w:rsidRPr="00D30D5F">
              <w:rPr>
                <w:rFonts w:ascii="Times" w:hAnsi="Times" w:cs="Times"/>
                <w:sz w:val="20"/>
                <w:szCs w:val="20"/>
              </w:rPr>
              <w:t>K Vami uvedeným informáciám o porovnateľných IKT projektoch uvádzame nasledovné:</w:t>
            </w:r>
          </w:p>
          <w:p w:rsidR="0039582B" w:rsidRPr="00D30D5F" w:rsidRDefault="0039582B">
            <w:pPr>
              <w:pStyle w:val="Normlnywebov"/>
              <w:rPr>
                <w:rFonts w:ascii="Times" w:hAnsi="Times" w:cs="Times"/>
                <w:sz w:val="20"/>
                <w:szCs w:val="20"/>
              </w:rPr>
            </w:pPr>
            <w:r w:rsidRPr="00D30D5F">
              <w:rPr>
                <w:rFonts w:ascii="Times" w:hAnsi="Times" w:cs="Times"/>
                <w:sz w:val="20"/>
                <w:szCs w:val="20"/>
              </w:rPr>
              <w:t>Ani jeden z uvedených projektov nie je z pohľadu predmetu, obsahu a ani cieľov obdobný.</w:t>
            </w:r>
          </w:p>
          <w:p w:rsidR="0039582B" w:rsidRPr="00D30D5F" w:rsidRDefault="0039582B">
            <w:pPr>
              <w:pStyle w:val="Normlnywebov"/>
              <w:rPr>
                <w:rFonts w:ascii="Times" w:hAnsi="Times" w:cs="Times"/>
                <w:sz w:val="20"/>
                <w:szCs w:val="20"/>
              </w:rPr>
            </w:pPr>
            <w:r w:rsidRPr="00D30D5F">
              <w:rPr>
                <w:rFonts w:ascii="Times" w:hAnsi="Times" w:cs="Times"/>
                <w:sz w:val="20"/>
                <w:szCs w:val="20"/>
              </w:rPr>
              <w:t>Uvedené projekty vytvárajú pre ISVS klasické, prevažne agendové a transakčné informačné systémy.</w:t>
            </w:r>
          </w:p>
          <w:p w:rsidR="0039582B" w:rsidRPr="00D30D5F" w:rsidRDefault="0039582B">
            <w:pPr>
              <w:pStyle w:val="Normlnywebov"/>
              <w:rPr>
                <w:rFonts w:ascii="Times" w:hAnsi="Times" w:cs="Times"/>
                <w:sz w:val="20"/>
                <w:szCs w:val="20"/>
              </w:rPr>
            </w:pPr>
            <w:r w:rsidRPr="00D30D5F">
              <w:rPr>
                <w:rFonts w:ascii="Times" w:hAnsi="Times" w:cs="Times"/>
                <w:sz w:val="20"/>
                <w:szCs w:val="20"/>
              </w:rPr>
              <w:t>Výnimkou je „Komplexný analytický nástroj pre podporu ekonomickej regulácie“, ktorý však svojim rozsahom a hlavne absenciou vytvoreného referenčného nákladového modelu (má byť predmetom projektu EVS, ale ešte neexistuje) nie je v nijakom prípade porovnateľným projektom. A to ani obsahom ani rozsahom.</w:t>
            </w:r>
          </w:p>
          <w:p w:rsidR="0039582B" w:rsidRPr="00D30D5F" w:rsidRDefault="0039582B">
            <w:pPr>
              <w:pStyle w:val="Normlnywebov"/>
              <w:rPr>
                <w:rFonts w:ascii="Times" w:hAnsi="Times" w:cs="Times"/>
                <w:sz w:val="20"/>
                <w:szCs w:val="20"/>
              </w:rPr>
            </w:pPr>
            <w:r w:rsidRPr="00D30D5F">
              <w:rPr>
                <w:rFonts w:ascii="Times" w:hAnsi="Times" w:cs="Times"/>
                <w:sz w:val="20"/>
                <w:szCs w:val="20"/>
              </w:rPr>
              <w:t>Domnievame sa, že k Vami uvádzaným nákladom pre „obdobné“ IS je nutné pripočítať aj náklady na projekty EVS, bez ktorých by predmetné projekty OPII nebolo možné pripraviť a ani realizovať, a teda sú ich neoddeliteľnou súčasťou.</w:t>
            </w:r>
          </w:p>
          <w:p w:rsidR="0039582B" w:rsidRPr="00D30D5F" w:rsidRDefault="0039582B">
            <w:pPr>
              <w:pStyle w:val="Normlnywebov"/>
              <w:rPr>
                <w:rFonts w:ascii="Times" w:hAnsi="Times" w:cs="Times"/>
                <w:sz w:val="20"/>
                <w:szCs w:val="20"/>
              </w:rPr>
            </w:pPr>
            <w:r w:rsidRPr="00D30D5F">
              <w:rPr>
                <w:rFonts w:ascii="Times" w:hAnsi="Times" w:cs="Times"/>
                <w:sz w:val="20"/>
                <w:szCs w:val="20"/>
              </w:rPr>
              <w:t>Pre jednoduchšie porovnanie uvádzame upravenú Vašu tabuľku: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8"/>
              <w:gridCol w:w="844"/>
              <w:gridCol w:w="484"/>
              <w:gridCol w:w="591"/>
              <w:gridCol w:w="4078"/>
            </w:tblGrid>
            <w:tr w:rsidR="0039582B">
              <w:trPr>
                <w:trHeight w:val="300"/>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Default="0039582B">
                  <w: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Náklady</w:t>
                  </w:r>
                </w:p>
              </w:tc>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Cieľ IS</w:t>
                  </w:r>
                </w:p>
              </w:tc>
            </w:tr>
            <w:tr w:rsidR="0039582B">
              <w:trPr>
                <w:trHeight w:val="315"/>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OPII</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EVS</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Spolu</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 </w:t>
                  </w:r>
                </w:p>
              </w:tc>
            </w:tr>
            <w:tr w:rsidR="0039582B">
              <w:trPr>
                <w:trHeight w:val="6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Elektronizácia služieb Národného inšpektorátu práce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7,9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9,1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Agendový IS</w:t>
                  </w:r>
                </w:p>
              </w:tc>
            </w:tr>
            <w:tr w:rsidR="0039582B">
              <w:trPr>
                <w:trHeight w:val="6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Komplexný analytický nástroj pre podporu ekonomickej regulácie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1,9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Default="0039582B">
                  <w: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1,9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Analytický nástroj</w:t>
                  </w:r>
                </w:p>
              </w:tc>
            </w:tr>
            <w:tr w:rsidR="0039582B">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Online procesy eZdravia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12,6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4,7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17,1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Agendový IS</w:t>
                  </w:r>
                </w:p>
              </w:tc>
            </w:tr>
            <w:tr w:rsidR="0039582B">
              <w:trPr>
                <w:trHeight w:val="5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Zefektívnenie štátneho dozoru v starostlivosti o životné prostredie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11,3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2,0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13,3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Agendový IS</w:t>
                  </w:r>
                </w:p>
              </w:tc>
            </w:tr>
            <w:tr w:rsidR="0039582B">
              <w:trPr>
                <w:trHeight w:val="12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SODB 21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9582B" w:rsidRPr="00D30D5F" w:rsidRDefault="0039582B">
                  <w:pPr>
                    <w:pStyle w:val="Normlnywebov"/>
                  </w:pPr>
                  <w:r w:rsidRPr="00D30D5F">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39582B" w:rsidRPr="00D30D5F" w:rsidRDefault="0039582B">
                  <w:pPr>
                    <w:pStyle w:val="Normlnywebov"/>
                  </w:pPr>
                  <w:r w:rsidRPr="00D30D5F">
                    <w:t>Integrácia administratívnych dátových zdrojov, kvalitatívna príprava dát, zber,</w:t>
                  </w:r>
                </w:p>
                <w:p w:rsidR="0039582B" w:rsidRPr="00D30D5F" w:rsidRDefault="0039582B">
                  <w:pPr>
                    <w:pStyle w:val="Normlnywebov"/>
                  </w:pPr>
                  <w:r w:rsidRPr="00D30D5F">
                    <w:t>štatistické spracovanie</w:t>
                  </w:r>
                </w:p>
                <w:p w:rsidR="0039582B" w:rsidRPr="00D30D5F" w:rsidRDefault="0039582B">
                  <w:pPr>
                    <w:pStyle w:val="Normlnywebov"/>
                  </w:pPr>
                  <w:r w:rsidRPr="00D30D5F">
                    <w:t>a disemináciu dát = dátový systém</w:t>
                  </w:r>
                </w:p>
              </w:tc>
            </w:tr>
          </w:tbl>
          <w:p w:rsidR="0039582B" w:rsidRPr="00D30D5F" w:rsidRDefault="0039582B">
            <w:pPr>
              <w:pStyle w:val="Normlnywebov"/>
              <w:rPr>
                <w:rFonts w:ascii="Times" w:hAnsi="Times" w:cs="Times"/>
                <w:sz w:val="20"/>
                <w:szCs w:val="20"/>
              </w:rPr>
            </w:pPr>
            <w:r w:rsidRPr="00D30D5F">
              <w:rPr>
                <w:rFonts w:ascii="Times" w:hAnsi="Times" w:cs="Times"/>
                <w:sz w:val="20"/>
                <w:szCs w:val="20"/>
              </w:rPr>
              <w:t>IS pre SODB 2021 je systémom prevažne dátovým s odlišnými funkčnými požiadavkami, ako sú bežné systémy ISVS, pričom časť modulov bude zabezpečovať aj činnosti obdobné agendovým systémom ako je elektronický zber údajov a ich úpravy v čase sčítania ako aj riadenie úloh. Prevažnou časťou a úlohami IS bude získanie dát, ich príprava (skvalitnenie, úprava), štatistické spracovanie a následná príprava dát pre šírenie (vytváranie dátových modelov – mnohých) a diseminácia údajov.</w:t>
            </w:r>
          </w:p>
          <w:p w:rsidR="0039582B" w:rsidRPr="00D30D5F" w:rsidRDefault="0039582B">
            <w:pPr>
              <w:pStyle w:val="Normlnywebov"/>
              <w:rPr>
                <w:rFonts w:ascii="Times" w:hAnsi="Times" w:cs="Times"/>
                <w:sz w:val="20"/>
                <w:szCs w:val="20"/>
              </w:rPr>
            </w:pPr>
            <w:r w:rsidRPr="00D30D5F">
              <w:rPr>
                <w:rFonts w:ascii="Times" w:hAnsi="Times" w:cs="Times"/>
                <w:sz w:val="20"/>
                <w:szCs w:val="20"/>
              </w:rPr>
              <w:t>IS SODB je teda informačným systémom s modulmi agendových systémov ale dominantne jeho funkcionalita ako aj procesy sú orientované na dáta veľkého rozsahu a komplexnosti, ktoré po štatistickom spracovaní budú slúžiť ako produkt širokému okruhu záujemcov. Štátom počínajúc, domácimi a medzinárodnými inštitúciami, súkromným sektorom, neziskovým sektorom pokračujúc a laickou verejnosťou končiac.</w:t>
            </w:r>
          </w:p>
          <w:p w:rsidR="0039582B" w:rsidRPr="00D30D5F" w:rsidRDefault="0039582B">
            <w:pPr>
              <w:pStyle w:val="Normlnywebov"/>
              <w:rPr>
                <w:rFonts w:ascii="Times" w:hAnsi="Times" w:cs="Times"/>
                <w:sz w:val="20"/>
                <w:szCs w:val="20"/>
              </w:rPr>
            </w:pPr>
            <w:r w:rsidRPr="00D30D5F">
              <w:rPr>
                <w:rFonts w:ascii="Times" w:hAnsi="Times" w:cs="Times"/>
                <w:sz w:val="20"/>
                <w:szCs w:val="20"/>
              </w:rPr>
              <w:t>Kvalita výstupných dát je mimoriadne dôležitá pre následné využitie a je priamo úmerná investovaným prostriedkom do celého procesu sčítania obyvateľov domov a bytov 2021 vrátane IT.</w:t>
            </w:r>
          </w:p>
          <w:p w:rsidR="0039582B" w:rsidRPr="00D30D5F" w:rsidRDefault="0039582B">
            <w:pPr>
              <w:pStyle w:val="Normlnywebov"/>
              <w:rPr>
                <w:rFonts w:ascii="Times" w:hAnsi="Times" w:cs="Times"/>
                <w:sz w:val="20"/>
                <w:szCs w:val="20"/>
              </w:rPr>
            </w:pPr>
            <w:r w:rsidRPr="00D30D5F">
              <w:rPr>
                <w:rFonts w:ascii="Times" w:hAnsi="Times" w:cs="Times"/>
                <w:sz w:val="20"/>
                <w:szCs w:val="20"/>
              </w:rPr>
              <w:t>Vaša požiadavka, aby náklady na IT systém (program 0EKON) v doložke vplyvov na rozpočet verejnej správy boli v sumárnej výške najviac 10 mil. eur, namiesto súčasných 19,6 mil. eur. je pre úrad vzhľadom na uvedené fakty a odôvodnené požiadavky neakceptovateľná. Ako už bolo dohodnuté s UHP, predložíme štúdiu uskutočniteľnosti v dohodnutom rozsahu, z ktorej bude zrejmé, aké náklady na kompletnú IT časť projektu (program 0EKON) budú nutné.</w:t>
            </w:r>
          </w:p>
          <w:p w:rsidR="0039582B" w:rsidRPr="00D30D5F" w:rsidRDefault="0039582B">
            <w:pPr>
              <w:pStyle w:val="Normlnywebov"/>
              <w:rPr>
                <w:rFonts w:ascii="Times" w:hAnsi="Times" w:cs="Times"/>
                <w:sz w:val="20"/>
                <w:szCs w:val="20"/>
              </w:rPr>
            </w:pPr>
            <w:r w:rsidRPr="00D30D5F">
              <w:rPr>
                <w:rFonts w:ascii="Times" w:hAnsi="Times" w:cs="Times"/>
                <w:sz w:val="20"/>
                <w:szCs w:val="20"/>
              </w:rPr>
              <w:t>Táto výška výdavkov bude vzájomne odsúhlasená po konzultáciách.</w:t>
            </w:r>
          </w:p>
          <w:p w:rsidR="0039582B" w:rsidRPr="00D30D5F" w:rsidRDefault="0039582B">
            <w:pPr>
              <w:pStyle w:val="Normlnywebov"/>
              <w:rPr>
                <w:rFonts w:ascii="Times" w:hAnsi="Times" w:cs="Times"/>
                <w:sz w:val="20"/>
                <w:szCs w:val="20"/>
              </w:rPr>
            </w:pPr>
            <w:r w:rsidRPr="00D30D5F">
              <w:rPr>
                <w:rFonts w:ascii="Times" w:hAnsi="Times" w:cs="Times"/>
                <w:sz w:val="20"/>
                <w:szCs w:val="20"/>
              </w:rPr>
              <w:t>V tomto čase zatiaľ trváme na pôvodnej výške výdavkov 19,6 mil. eur.</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3. Zásadná pripomienka</w:t>
            </w:r>
          </w:p>
          <w:p w:rsidR="0039582B" w:rsidRPr="00D30D5F" w:rsidRDefault="0039582B">
            <w:pPr>
              <w:pStyle w:val="Normlnywebov"/>
              <w:rPr>
                <w:rFonts w:ascii="Times" w:hAnsi="Times" w:cs="Times"/>
                <w:sz w:val="20"/>
                <w:szCs w:val="20"/>
              </w:rPr>
            </w:pPr>
            <w:r w:rsidRPr="00D30D5F">
              <w:rPr>
                <w:rFonts w:ascii="Times" w:hAnsi="Times" w:cs="Times"/>
                <w:sz w:val="20"/>
                <w:szCs w:val="20"/>
              </w:rPr>
              <w:t>Žiadame zosúladiť konštatovania o rozpočtovom zabezpečení financovania výdavkov uvedené v doložke vybraných vplyvov a v analýze vplyvov na rozpočet verejnej správy. Podľa doložky vybraných vplyvov má návrh negatívne, rozpočtovo zabezpečené vplyvy. V časti 2.1.1. Financovanie návrhu analýzy predkladateľ uvádza, že „Vplyv na rozpočet verejnej správy na zabezpečenie sčítania obyvateľov, domov a bytov (ďalej len „sčítanie“) 2021 – náklady Štatistického úradu SR  v rokoch 2019 až 2024 budú kryté v rámci rozpočtovej kapitoly Štatistického úradu SR, náklady Ministerstva vnútra SR  na „sčítanie“ v roku 2020  budú kryté z rozpočtu Ministerstva vnútra SR a náklady obcí v rokoch 2020 a 2021 budú kryté zo štátneho rozpočtu v rámci preneseného výkonu štátnej správy.“ a súčasne v tabuľke č. 1 analýzy je v rokoch 2019 až 2014  kvantifikuje rozpočtovo nekrytý vplyv. V časti 2.1.1. Financovanie návrhu žiadame doplniť, v rámci ktorej kapitoly budú zabezpečené výdavky obcí na financovanie preneseného výkonu štátnej správy.</w:t>
            </w:r>
          </w:p>
          <w:p w:rsidR="0039582B" w:rsidRPr="00D30D5F" w:rsidRDefault="0039582B">
            <w:pPr>
              <w:pStyle w:val="Normlnywebov"/>
              <w:rPr>
                <w:rFonts w:ascii="Times" w:hAnsi="Times" w:cs="Times"/>
                <w:sz w:val="20"/>
                <w:szCs w:val="20"/>
              </w:rPr>
            </w:pPr>
            <w:r w:rsidRPr="00D30D5F">
              <w:rPr>
                <w:rFonts w:ascii="Times" w:hAnsi="Times" w:cs="Times"/>
                <w:sz w:val="20"/>
                <w:szCs w:val="20"/>
              </w:rPr>
              <w:t>Pripomienka je zásadná.</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Stanovisko úradu k pripomienke:</w:t>
            </w:r>
          </w:p>
          <w:p w:rsidR="0039582B" w:rsidRPr="00D30D5F" w:rsidRDefault="0039582B">
            <w:pPr>
              <w:pStyle w:val="Normlnywebov"/>
              <w:rPr>
                <w:rFonts w:ascii="Times" w:hAnsi="Times" w:cs="Times"/>
                <w:sz w:val="20"/>
                <w:szCs w:val="20"/>
              </w:rPr>
            </w:pPr>
            <w:r w:rsidRPr="00D30D5F">
              <w:rPr>
                <w:rFonts w:ascii="Times" w:hAnsi="Times" w:cs="Times"/>
                <w:sz w:val="20"/>
                <w:szCs w:val="20"/>
              </w:rPr>
              <w:t>Pripomienka akceptovaná, tabuľka č. 1 v analýze upravená a v časti 2.1.1 analýzy je doplnená skutočnosť, že výdavky obcí v rámci preneseného výkonu štátnej správy budú zabezpečené v rámci kapitoly Štatistického úradu Slovenskej republiky.</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4. Obyčajná pripomienka</w:t>
            </w:r>
          </w:p>
          <w:p w:rsidR="0039582B" w:rsidRPr="00D30D5F" w:rsidRDefault="0039582B">
            <w:pPr>
              <w:pStyle w:val="Normlnywebov"/>
              <w:rPr>
                <w:rFonts w:ascii="Times" w:hAnsi="Times" w:cs="Times"/>
                <w:sz w:val="20"/>
                <w:szCs w:val="20"/>
              </w:rPr>
            </w:pPr>
            <w:r w:rsidRPr="00D30D5F">
              <w:rPr>
                <w:rFonts w:ascii="Times" w:hAnsi="Times" w:cs="Times"/>
                <w:sz w:val="20"/>
                <w:szCs w:val="20"/>
              </w:rPr>
              <w:t>V tabuľke č. 1 je potrebné v roku 2019 za ŠÚ SR uviesť  jednu sumu (uvedených je 7 063 200 a súčasne 7 063 000) a nadväzne na to upraviť príslušné sumárne riadky. Nesprávne je uvedená aj suma v riadku „Výdavky verejnej správy celkom“.</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Stanovisko úradu k pripomienke:</w:t>
            </w:r>
          </w:p>
          <w:p w:rsidR="0039582B" w:rsidRPr="00D30D5F" w:rsidRDefault="0039582B">
            <w:pPr>
              <w:pStyle w:val="Normlnywebov"/>
              <w:rPr>
                <w:rFonts w:ascii="Times" w:hAnsi="Times" w:cs="Times"/>
                <w:sz w:val="20"/>
                <w:szCs w:val="20"/>
              </w:rPr>
            </w:pPr>
            <w:r w:rsidRPr="00D30D5F">
              <w:rPr>
                <w:rFonts w:ascii="Times" w:hAnsi="Times" w:cs="Times"/>
                <w:sz w:val="20"/>
                <w:szCs w:val="20"/>
              </w:rPr>
              <w:t>Pripomienka akceptovaná, tabuľka č. 1 v analýze upravená.</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5. Obyčajná pripomienka</w:t>
            </w:r>
          </w:p>
          <w:p w:rsidR="0039582B" w:rsidRPr="00D30D5F" w:rsidRDefault="0039582B">
            <w:pPr>
              <w:pStyle w:val="Normlnywebov"/>
              <w:rPr>
                <w:rFonts w:ascii="Times" w:hAnsi="Times" w:cs="Times"/>
                <w:sz w:val="20"/>
                <w:szCs w:val="20"/>
              </w:rPr>
            </w:pPr>
            <w:r w:rsidRPr="00D30D5F">
              <w:rPr>
                <w:rFonts w:ascii="Times" w:hAnsi="Times" w:cs="Times"/>
                <w:sz w:val="20"/>
                <w:szCs w:val="20"/>
              </w:rPr>
              <w:t>Nesprávne sú uvedené kvantifikácie v tab. č. 1 aj v rokoch 2023 a 2024,  v riadkoch „Výdavky verejnej správy celkom“, „Rozpočtové prostriedky kapitoly“ a „vplyv na ŠR“. Nesprávne je uvedená aj suma v tabuľke č. 3 za ŠÚ SR v roku 2021.</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Stanovisko úradu k pripomienke:</w:t>
            </w:r>
          </w:p>
          <w:p w:rsidR="0039582B" w:rsidRPr="00D30D5F" w:rsidRDefault="0039582B">
            <w:pPr>
              <w:pStyle w:val="Normlnywebov"/>
              <w:rPr>
                <w:rFonts w:ascii="Times" w:hAnsi="Times" w:cs="Times"/>
                <w:sz w:val="20"/>
                <w:szCs w:val="20"/>
              </w:rPr>
            </w:pPr>
            <w:r w:rsidRPr="00D30D5F">
              <w:rPr>
                <w:rFonts w:ascii="Times" w:hAnsi="Times" w:cs="Times"/>
                <w:sz w:val="20"/>
                <w:szCs w:val="20"/>
              </w:rPr>
              <w:t>Pripomienka akceptovaná, tabuľky č. 1 a 3. v analýze upravené v zmysle pripomienky.</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6. Obyčajná pripomienka</w:t>
            </w:r>
          </w:p>
          <w:p w:rsidR="0039582B" w:rsidRPr="00D30D5F" w:rsidRDefault="0039582B">
            <w:pPr>
              <w:pStyle w:val="Normlnywebov"/>
              <w:rPr>
                <w:rFonts w:ascii="Times" w:hAnsi="Times" w:cs="Times"/>
                <w:sz w:val="20"/>
                <w:szCs w:val="20"/>
              </w:rPr>
            </w:pPr>
            <w:r w:rsidRPr="00D30D5F">
              <w:rPr>
                <w:rFonts w:ascii="Times" w:hAnsi="Times" w:cs="Times"/>
                <w:sz w:val="20"/>
                <w:szCs w:val="20"/>
              </w:rPr>
              <w:t>V doložke vybraných vplyvov nie sú zohľadnené sankcie, § 30 Pokuty, kde predkladateľ uvádza, že výnosy z pokút sú príjmom štátneho rozpočtu, čo žiadame doplniť.</w:t>
            </w:r>
          </w:p>
          <w:p w:rsidR="0039582B" w:rsidRPr="00D30D5F" w:rsidRDefault="0039582B">
            <w:pPr>
              <w:pStyle w:val="Normlnywebov"/>
              <w:rPr>
                <w:rFonts w:ascii="Times" w:hAnsi="Times" w:cs="Times"/>
                <w:sz w:val="20"/>
                <w:szCs w:val="20"/>
              </w:rPr>
            </w:pPr>
            <w:r w:rsidRPr="00D30D5F">
              <w:rPr>
                <w:rStyle w:val="Siln"/>
                <w:rFonts w:ascii="Times" w:hAnsi="Times" w:cs="Times"/>
                <w:sz w:val="20"/>
                <w:szCs w:val="20"/>
              </w:rPr>
              <w:t>Stanovisko úradu k pripomienke:</w:t>
            </w:r>
          </w:p>
          <w:p w:rsidR="0039582B" w:rsidRDefault="0039582B">
            <w:pPr>
              <w:rPr>
                <w:rFonts w:ascii="Times" w:hAnsi="Times" w:cs="Times"/>
                <w:sz w:val="20"/>
                <w:szCs w:val="20"/>
              </w:rPr>
            </w:pPr>
            <w:r>
              <w:rPr>
                <w:rFonts w:ascii="Times" w:hAnsi="Times" w:cs="Times"/>
                <w:sz w:val="20"/>
                <w:szCs w:val="20"/>
              </w:rPr>
              <w:t>V doložke a analýze vplyvov na rozpočet verejnej správy, na zamestnanosť vo verejnej správe a financovanie návrhu  boli doplnené komentáre k charakteru príjmov za pokuty podľa § 30 návrhu zákona. Uvedené príjmy nie je možné z objektívnych dôvodov kvantifikovať.</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C7F92"/>
    <w:multiLevelType w:val="multilevel"/>
    <w:tmpl w:val="932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3186B"/>
    <w:multiLevelType w:val="multilevel"/>
    <w:tmpl w:val="DF1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82B"/>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26F0D19-7742-469B-90B1-3CFDF2FC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39582B"/>
    <w:rPr>
      <w:color w:val="0000FF"/>
      <w:u w:val="single"/>
    </w:rPr>
  </w:style>
  <w:style w:type="character" w:styleId="Zvraznenie">
    <w:name w:val="Emphasis"/>
    <w:uiPriority w:val="20"/>
    <w:qFormat/>
    <w:rsid w:val="0039582B"/>
    <w:rPr>
      <w:i/>
      <w:iCs/>
    </w:rPr>
  </w:style>
  <w:style w:type="character" w:styleId="Siln">
    <w:name w:val="Strong"/>
    <w:uiPriority w:val="22"/>
    <w:qFormat/>
    <w:rsid w:val="00395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9743">
      <w:bodyDiv w:val="1"/>
      <w:marLeft w:val="0"/>
      <w:marRight w:val="0"/>
      <w:marTop w:val="0"/>
      <w:marBottom w:val="0"/>
      <w:divBdr>
        <w:top w:val="none" w:sz="0" w:space="0" w:color="auto"/>
        <w:left w:val="none" w:sz="0" w:space="0" w:color="auto"/>
        <w:bottom w:val="none" w:sz="0" w:space="0" w:color="auto"/>
        <w:right w:val="none" w:sz="0" w:space="0" w:color="auto"/>
      </w:divBdr>
    </w:div>
    <w:div w:id="60935707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68750755">
      <w:bodyDiv w:val="1"/>
      <w:marLeft w:val="0"/>
      <w:marRight w:val="0"/>
      <w:marTop w:val="0"/>
      <w:marBottom w:val="0"/>
      <w:divBdr>
        <w:top w:val="none" w:sz="0" w:space="0" w:color="auto"/>
        <w:left w:val="none" w:sz="0" w:space="0" w:color="auto"/>
        <w:bottom w:val="none" w:sz="0" w:space="0" w:color="auto"/>
        <w:right w:val="none" w:sz="0" w:space="0" w:color="auto"/>
      </w:divBdr>
    </w:div>
    <w:div w:id="16194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petra.szokeova@statistics.sk"/>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ludmila.ivancikova@statistics.sk"/>
  <Relationship Id="rId9" Type="http://schemas.openxmlformats.org/officeDocument/2006/relationships/hyperlink" TargetMode="External" Target="mailto:jan.papol@statistics.s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9.4.2019 14:33:50"/>
    <f:field ref="objchangedby" par="" text="Administrator, System"/>
    <f:field ref="objmodifiedat" par="" text="9.4.2019 14:33:5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3907</Words>
  <Characters>22274</Characters>
  <Application>Microsoft Office Word</Application>
  <DocSecurity>4</DocSecurity>
  <Lines>185</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26129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2019-04-09T12:33:00Z</dcterms:created>
  <dc:creator>grosjarova</dc:creator>
  <lastModifiedBy>ms.slx.P.fscsrv</lastModifiedBy>
  <dcterms:modified xsi:type="dcterms:W3CDTF">2019-04-09T12:33:00Z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Štatistiky_x000d__x000a_Ochrana osobných údajov_x000d__x000a_Miestna štátna správa_x000d__x000a_Správne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Bokol</vt:lpwstr>
  </property>
  <property name="FSC#SKEDITIONSLOVLEX@103.510:zodppredkladatel" pid="9" fmtid="{D5CDD505-2E9C-101B-9397-08002B2CF9AE}">
    <vt:lpwstr>Ing. Alexander Ballek</vt:lpwstr>
  </property>
  <property name="FSC#SKEDITIONSLOVLEX@103.510:nazovpredpis" pid="10"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cislopredpis" pid="11" fmtid="{D5CDD505-2E9C-101B-9397-08002B2CF9AE}">
    <vt:lpwstr/>
  </property>
  <property name="FSC#SKEDITIONSLOVLEX@103.510:zodpinstitucia" pid="12" fmtid="{D5CDD505-2E9C-101B-9397-08002B2CF9AE}">
    <vt:lpwstr>Štatistický úrad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16"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rezortcislopredpis" pid="17" fmtid="{D5CDD505-2E9C-101B-9397-08002B2CF9AE}">
    <vt:lpwstr>10001-0029/2019</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LP/2019/139</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upravený v práve Európskej únie</vt:lpwstr>
  </property>
  <property name="FSC#SKEDITIONSLOVLEX@103.510:AttrStrListDocPropPrimarnePravoEU" pid="36" fmtid="{D5CDD505-2E9C-101B-9397-08002B2CF9AE}">
    <vt:lpwstr>-_x0009_čl. 159 a 175 Zmluvy o fungovaní Európskej únie.</vt:lpwstr>
  </property>
  <property name="FSC#SKEDITIONSLOVLEX@103.510:AttrStrListDocPropSekundarneLegPravoPO" pid="3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c)_x0009_nie je upravený v judikatúre Súdneho dvora Európskej únie</vt:lpwstr>
  </property>
  <property name="FSC#SKEDITIONSLOVLEX@103.510:AttrStrListDocPropLehotaPrebratieSmernice" pid="42" fmtid="{D5CDD505-2E9C-101B-9397-08002B2CF9AE}">
    <vt:lpwstr>Bezpredmetné vzhľadom na druh právnych aktov Európskej únie.</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4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5. 2. 2019</vt:lpwstr>
  </property>
  <property name="FSC#SKEDITIONSLOVLEX@103.510:AttrDateDocPropUkonceniePKK" pid="49" fmtid="{D5CDD505-2E9C-101B-9397-08002B2CF9AE}">
    <vt:lpwstr>19. 2. 2019</vt:lpwstr>
  </property>
  <property name="FSC#SKEDITIONSLOVLEX@103.510:AttrStrDocPropVplyvRozpocetVS" pid="50" fmtid="{D5CDD505-2E9C-101B-9397-08002B2CF9AE}">
    <vt:lpwstr>Pozitívne_x000d__x000a_Negatívne</vt:lpwstr>
  </property>
  <property name="FSC#SKEDITIONSLOVLEX@103.510:AttrStrDocPropVplyvPodnikatelskeProstr" pid="51" fmtid="{D5CDD505-2E9C-101B-9397-08002B2CF9AE}">
    <vt:lpwstr>Pozitívne_x000d__x000a_Negatívne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Pozitívne</vt:lpwstr>
  </property>
  <property name="FSC#SKEDITIONSLOVLEX@103.510:AttrStrListDocPropPoznamkaVplyv" pid="5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5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5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27" fmtid="{D5CDD505-2E9C-101B-9397-08002B2CF9AE}">
    <vt:lpwstr>predseda Národnej rady SR</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COOSYSTEM@1.1:Container" pid="130" fmtid="{D5CDD505-2E9C-101B-9397-08002B2CF9AE}">
    <vt:lpwstr>COO.2145.1000.3.3296102</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legislatívec</vt:lpwstr>
  </property>
  <property name="FSC#SKEDITIONSLOVLEX@103.510:funkciaPredAkuzativ" pid="142" fmtid="{D5CDD505-2E9C-101B-9397-08002B2CF9AE}">
    <vt:lpwstr>legislatívca</vt:lpwstr>
  </property>
  <property name="FSC#SKEDITIONSLOVLEX@103.510:funkciaPredDativ" pid="143" fmtid="{D5CDD505-2E9C-101B-9397-08002B2CF9AE}">
    <vt:lpwstr>legislatívcovi</vt:lpwstr>
  </property>
  <property name="FSC#SKEDITIONSLOVLEX@103.510:funkciaZodpPred" pid="144" fmtid="{D5CDD505-2E9C-101B-9397-08002B2CF9AE}">
    <vt:lpwstr>Predseda</vt:lpwstr>
  </property>
  <property name="FSC#SKEDITIONSLOVLEX@103.510:funkciaZodpPredAkuzativ" pid="145" fmtid="{D5CDD505-2E9C-101B-9397-08002B2CF9AE}">
    <vt:lpwstr>Predsedu</vt:lpwstr>
  </property>
  <property name="FSC#SKEDITIONSLOVLEX@103.510:funkciaZodpPredDativ" pid="146" fmtid="{D5CDD505-2E9C-101B-9397-08002B2CF9AE}">
    <vt:lpwstr>Predsedovi</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Ing. Alexander Ballek_x000d__x000a_Predseda</vt:lpwstr>
  </property>
  <property name="FSC#SKEDITIONSLOVLEX@103.510:aktualnyrok" pid="151" fmtid="{D5CDD505-2E9C-101B-9397-08002B2CF9AE}">
    <vt:lpwstr>2019</vt:lpwstr>
  </property>
  <property name="FSC#SKEDITIONSLOVLEX@103.510:vytvorenedna" pid="152" fmtid="{D5CDD505-2E9C-101B-9397-08002B2CF9AE}">
    <vt:lpwstr>9. 4. 2019</vt:lpwstr>
  </property>
</Properties>
</file>