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28B78" w14:textId="77777777" w:rsidR="00AA4CFC" w:rsidRPr="007D5748" w:rsidRDefault="00AA4CFC" w:rsidP="00AA4CFC">
      <w:pPr>
        <w:jc w:val="center"/>
        <w:rPr>
          <w:b/>
          <w:bCs/>
          <w:sz w:val="28"/>
          <w:szCs w:val="28"/>
          <w:lang w:eastAsia="sk-SK"/>
        </w:rPr>
      </w:pPr>
      <w:r w:rsidRPr="007D5748">
        <w:rPr>
          <w:b/>
          <w:bCs/>
          <w:sz w:val="28"/>
          <w:szCs w:val="28"/>
          <w:lang w:eastAsia="sk-SK"/>
        </w:rPr>
        <w:t>Analýza vplyvov na rozpočet verejnej správy,</w:t>
      </w:r>
    </w:p>
    <w:p w14:paraId="019D6D03" w14:textId="77777777" w:rsidR="00AA4CFC" w:rsidRDefault="00AA4CFC" w:rsidP="00AA4CFC">
      <w:pPr>
        <w:jc w:val="center"/>
        <w:rPr>
          <w:b/>
          <w:bCs/>
          <w:sz w:val="28"/>
          <w:szCs w:val="28"/>
          <w:lang w:eastAsia="sk-SK"/>
        </w:rPr>
      </w:pPr>
      <w:r w:rsidRPr="007D5748">
        <w:rPr>
          <w:b/>
          <w:bCs/>
          <w:sz w:val="28"/>
          <w:szCs w:val="28"/>
          <w:lang w:eastAsia="sk-SK"/>
        </w:rPr>
        <w:t>na zamestnanosť vo verejnej správe a financovanie návrhu</w:t>
      </w:r>
    </w:p>
    <w:p w14:paraId="3DA50D9D" w14:textId="77777777" w:rsidR="008753EA" w:rsidRPr="007D5748" w:rsidRDefault="008753EA" w:rsidP="00AA4CFC">
      <w:pPr>
        <w:jc w:val="center"/>
        <w:rPr>
          <w:b/>
          <w:bCs/>
          <w:sz w:val="28"/>
          <w:szCs w:val="28"/>
          <w:lang w:eastAsia="sk-SK"/>
        </w:rPr>
      </w:pPr>
    </w:p>
    <w:p w14:paraId="35BA772A" w14:textId="77777777" w:rsidR="00AA4CFC" w:rsidRPr="00212894" w:rsidRDefault="00AA4CFC" w:rsidP="00AA4CFC">
      <w:pPr>
        <w:rPr>
          <w:b/>
          <w:bCs/>
          <w:lang w:eastAsia="sk-SK"/>
        </w:rPr>
      </w:pPr>
      <w:r w:rsidRPr="00212894">
        <w:rPr>
          <w:b/>
          <w:bCs/>
          <w:lang w:eastAsia="sk-SK"/>
        </w:rPr>
        <w:t>2.1 Zhrnutie vplyvov na rozpočet verejnej správy v návrhu</w:t>
      </w:r>
    </w:p>
    <w:p w14:paraId="6BEC1375" w14:textId="77777777" w:rsidR="00AA4CFC" w:rsidRPr="007D5748" w:rsidRDefault="00AA4CFC" w:rsidP="00AA4CFC">
      <w:pPr>
        <w:jc w:val="right"/>
        <w:rPr>
          <w:sz w:val="20"/>
          <w:szCs w:val="20"/>
          <w:lang w:eastAsia="sk-SK"/>
        </w:rPr>
      </w:pPr>
      <w:r w:rsidRPr="007D5748">
        <w:rPr>
          <w:sz w:val="20"/>
          <w:szCs w:val="20"/>
          <w:lang w:eastAsia="sk-SK"/>
        </w:rPr>
        <w:t xml:space="preserve">Tabuľka č. 1 </w:t>
      </w:r>
    </w:p>
    <w:tbl>
      <w:tblPr>
        <w:tblW w:w="10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713"/>
        <w:gridCol w:w="1684"/>
        <w:gridCol w:w="1393"/>
        <w:gridCol w:w="1393"/>
      </w:tblGrid>
      <w:tr w:rsidR="00AA4CFC" w:rsidRPr="007D5748" w14:paraId="6B49C532" w14:textId="77777777" w:rsidTr="00AD1466">
        <w:trPr>
          <w:cantSplit/>
          <w:trHeight w:val="194"/>
          <w:jc w:val="center"/>
        </w:trPr>
        <w:tc>
          <w:tcPr>
            <w:tcW w:w="4661" w:type="dxa"/>
            <w:vMerge w:val="restart"/>
            <w:shd w:val="clear" w:color="auto" w:fill="BFBFBF" w:themeFill="background1" w:themeFillShade="BF"/>
            <w:vAlign w:val="center"/>
          </w:tcPr>
          <w:p w14:paraId="5AB36B5C" w14:textId="77777777" w:rsidR="00AA4CFC" w:rsidRPr="007D5748" w:rsidRDefault="00AA4CFC" w:rsidP="00B51CD5">
            <w:pPr>
              <w:jc w:val="center"/>
              <w:rPr>
                <w:b/>
                <w:bCs/>
                <w:lang w:eastAsia="sk-SK"/>
              </w:rPr>
            </w:pPr>
            <w:bookmarkStart w:id="0" w:name="OLE_LINK1"/>
            <w:r w:rsidRPr="007D5748">
              <w:rPr>
                <w:b/>
                <w:bCs/>
                <w:lang w:eastAsia="sk-SK"/>
              </w:rPr>
              <w:t>Vplyvy na rozpočet verejnej správy</w:t>
            </w:r>
          </w:p>
        </w:tc>
        <w:tc>
          <w:tcPr>
            <w:tcW w:w="6183" w:type="dxa"/>
            <w:gridSpan w:val="4"/>
            <w:shd w:val="clear" w:color="auto" w:fill="BFBFBF" w:themeFill="background1" w:themeFillShade="BF"/>
            <w:vAlign w:val="center"/>
          </w:tcPr>
          <w:p w14:paraId="302A8C01" w14:textId="5568BDF0" w:rsidR="00AA4CFC" w:rsidRPr="007D5748" w:rsidRDefault="00AA4CFC" w:rsidP="00480729">
            <w:pPr>
              <w:jc w:val="center"/>
              <w:rPr>
                <w:b/>
                <w:bCs/>
                <w:lang w:eastAsia="sk-SK"/>
              </w:rPr>
            </w:pPr>
            <w:r w:rsidRPr="007D5748">
              <w:rPr>
                <w:b/>
                <w:bCs/>
                <w:lang w:eastAsia="sk-SK"/>
              </w:rPr>
              <w:t>Vplyv na rozpočet verejnej správy (</w:t>
            </w:r>
            <w:r w:rsidR="00480729">
              <w:rPr>
                <w:b/>
                <w:bCs/>
                <w:lang w:eastAsia="sk-SK"/>
              </w:rPr>
              <w:t>EUR</w:t>
            </w:r>
            <w:r w:rsidRPr="007D5748">
              <w:rPr>
                <w:b/>
                <w:bCs/>
                <w:lang w:eastAsia="sk-SK"/>
              </w:rPr>
              <w:t>)</w:t>
            </w:r>
          </w:p>
        </w:tc>
      </w:tr>
      <w:tr w:rsidR="00AA4CFC" w:rsidRPr="007D5748" w14:paraId="6CB63146" w14:textId="77777777" w:rsidTr="00AD1466">
        <w:trPr>
          <w:cantSplit/>
          <w:trHeight w:val="70"/>
          <w:jc w:val="center"/>
        </w:trPr>
        <w:tc>
          <w:tcPr>
            <w:tcW w:w="4661" w:type="dxa"/>
            <w:vMerge/>
            <w:shd w:val="clear" w:color="auto" w:fill="BFBFBF" w:themeFill="background1" w:themeFillShade="BF"/>
            <w:vAlign w:val="center"/>
          </w:tcPr>
          <w:p w14:paraId="081F1045" w14:textId="77777777" w:rsidR="00AA4CFC" w:rsidRPr="007D5748" w:rsidRDefault="00AA4CFC" w:rsidP="00B51CD5">
            <w:pPr>
              <w:jc w:val="center"/>
              <w:rPr>
                <w:b/>
                <w:bCs/>
                <w:lang w:eastAsia="sk-SK"/>
              </w:rPr>
            </w:pPr>
          </w:p>
        </w:tc>
        <w:tc>
          <w:tcPr>
            <w:tcW w:w="1713" w:type="dxa"/>
            <w:shd w:val="clear" w:color="auto" w:fill="BFBFBF" w:themeFill="background1" w:themeFillShade="BF"/>
            <w:vAlign w:val="center"/>
          </w:tcPr>
          <w:p w14:paraId="2ABFD958" w14:textId="6985A195" w:rsidR="00AA4CFC" w:rsidRPr="007D5748" w:rsidRDefault="00AA4CFC" w:rsidP="00AD1466">
            <w:pPr>
              <w:jc w:val="center"/>
              <w:rPr>
                <w:b/>
                <w:bCs/>
                <w:lang w:eastAsia="sk-SK"/>
              </w:rPr>
            </w:pPr>
            <w:r>
              <w:rPr>
                <w:b/>
                <w:bCs/>
                <w:lang w:eastAsia="sk-SK"/>
              </w:rPr>
              <w:t>201</w:t>
            </w:r>
            <w:r w:rsidR="00AD1466">
              <w:rPr>
                <w:b/>
                <w:bCs/>
                <w:lang w:eastAsia="sk-SK"/>
              </w:rPr>
              <w:t>9</w:t>
            </w:r>
          </w:p>
        </w:tc>
        <w:tc>
          <w:tcPr>
            <w:tcW w:w="1684" w:type="dxa"/>
            <w:shd w:val="clear" w:color="auto" w:fill="BFBFBF" w:themeFill="background1" w:themeFillShade="BF"/>
            <w:vAlign w:val="center"/>
          </w:tcPr>
          <w:p w14:paraId="1D01DA3D" w14:textId="5488EE90" w:rsidR="00AA4CFC" w:rsidRPr="007D5748" w:rsidRDefault="00AA4CFC" w:rsidP="00AD1466">
            <w:pPr>
              <w:jc w:val="center"/>
              <w:rPr>
                <w:b/>
                <w:bCs/>
                <w:lang w:eastAsia="sk-SK"/>
              </w:rPr>
            </w:pPr>
            <w:r>
              <w:rPr>
                <w:b/>
                <w:bCs/>
                <w:lang w:eastAsia="sk-SK"/>
              </w:rPr>
              <w:t>20</w:t>
            </w:r>
            <w:r w:rsidR="00AD1466">
              <w:rPr>
                <w:b/>
                <w:bCs/>
                <w:lang w:eastAsia="sk-SK"/>
              </w:rPr>
              <w:t>20</w:t>
            </w:r>
          </w:p>
        </w:tc>
        <w:tc>
          <w:tcPr>
            <w:tcW w:w="1393" w:type="dxa"/>
            <w:shd w:val="clear" w:color="auto" w:fill="BFBFBF" w:themeFill="background1" w:themeFillShade="BF"/>
            <w:vAlign w:val="center"/>
          </w:tcPr>
          <w:p w14:paraId="6B1E24C2" w14:textId="1ADCAC75" w:rsidR="00AA4CFC" w:rsidRPr="007D5748" w:rsidRDefault="00AA4CFC" w:rsidP="00AD1466">
            <w:pPr>
              <w:jc w:val="center"/>
              <w:rPr>
                <w:b/>
                <w:bCs/>
                <w:lang w:eastAsia="sk-SK"/>
              </w:rPr>
            </w:pPr>
            <w:r>
              <w:rPr>
                <w:b/>
                <w:bCs/>
                <w:lang w:eastAsia="sk-SK"/>
              </w:rPr>
              <w:t>202</w:t>
            </w:r>
            <w:r w:rsidR="00AD1466">
              <w:rPr>
                <w:b/>
                <w:bCs/>
                <w:lang w:eastAsia="sk-SK"/>
              </w:rPr>
              <w:t>1</w:t>
            </w:r>
          </w:p>
        </w:tc>
        <w:tc>
          <w:tcPr>
            <w:tcW w:w="1393" w:type="dxa"/>
            <w:shd w:val="clear" w:color="auto" w:fill="BFBFBF" w:themeFill="background1" w:themeFillShade="BF"/>
            <w:vAlign w:val="center"/>
          </w:tcPr>
          <w:p w14:paraId="7E751511" w14:textId="48E9C173" w:rsidR="00AA4CFC" w:rsidRPr="007D5748" w:rsidRDefault="00AA4CFC" w:rsidP="00AD1466">
            <w:pPr>
              <w:jc w:val="center"/>
              <w:rPr>
                <w:b/>
                <w:bCs/>
                <w:lang w:eastAsia="sk-SK"/>
              </w:rPr>
            </w:pPr>
            <w:r>
              <w:rPr>
                <w:b/>
                <w:bCs/>
                <w:lang w:eastAsia="sk-SK"/>
              </w:rPr>
              <w:t>202</w:t>
            </w:r>
            <w:r w:rsidR="00AD1466">
              <w:rPr>
                <w:b/>
                <w:bCs/>
                <w:lang w:eastAsia="sk-SK"/>
              </w:rPr>
              <w:t>2</w:t>
            </w:r>
          </w:p>
        </w:tc>
      </w:tr>
      <w:tr w:rsidR="00181DBB" w:rsidRPr="007D5748" w14:paraId="7D1F6906" w14:textId="77777777" w:rsidTr="00AD1466">
        <w:trPr>
          <w:trHeight w:val="70"/>
          <w:jc w:val="center"/>
        </w:trPr>
        <w:tc>
          <w:tcPr>
            <w:tcW w:w="4661" w:type="dxa"/>
            <w:shd w:val="clear" w:color="auto" w:fill="C0C0C0"/>
            <w:noWrap/>
            <w:vAlign w:val="center"/>
          </w:tcPr>
          <w:p w14:paraId="248D2D43" w14:textId="77777777" w:rsidR="00181DBB" w:rsidRPr="007D5748" w:rsidRDefault="00181DBB" w:rsidP="00181DBB">
            <w:pPr>
              <w:rPr>
                <w:lang w:eastAsia="sk-SK"/>
              </w:rPr>
            </w:pPr>
            <w:r w:rsidRPr="007D5748">
              <w:rPr>
                <w:b/>
                <w:bCs/>
                <w:lang w:eastAsia="sk-SK"/>
              </w:rPr>
              <w:t>Príjmy verejnej správy celkom</w:t>
            </w:r>
          </w:p>
        </w:tc>
        <w:tc>
          <w:tcPr>
            <w:tcW w:w="1713" w:type="dxa"/>
            <w:shd w:val="clear" w:color="auto" w:fill="C0C0C0"/>
            <w:vAlign w:val="center"/>
          </w:tcPr>
          <w:p w14:paraId="570E2D4B" w14:textId="77777777" w:rsidR="00181DBB" w:rsidRPr="00CE0CB7" w:rsidRDefault="00181DBB" w:rsidP="00181DBB">
            <w:pPr>
              <w:jc w:val="right"/>
              <w:rPr>
                <w:bCs/>
                <w:lang w:eastAsia="sk-SK"/>
              </w:rPr>
            </w:pPr>
            <w:r w:rsidRPr="00CE0CB7">
              <w:rPr>
                <w:bCs/>
                <w:lang w:eastAsia="sk-SK"/>
              </w:rPr>
              <w:t>0</w:t>
            </w:r>
          </w:p>
        </w:tc>
        <w:tc>
          <w:tcPr>
            <w:tcW w:w="1684" w:type="dxa"/>
            <w:shd w:val="clear" w:color="auto" w:fill="C0C0C0"/>
          </w:tcPr>
          <w:p w14:paraId="55EC7ACD" w14:textId="6A50B219" w:rsidR="00181DBB" w:rsidRPr="00185FB0" w:rsidRDefault="00021735" w:rsidP="00181DBB">
            <w:pPr>
              <w:jc w:val="right"/>
              <w:rPr>
                <w:b/>
                <w:bCs/>
                <w:lang w:eastAsia="sk-SK"/>
              </w:rPr>
            </w:pPr>
            <w:r>
              <w:t>0</w:t>
            </w:r>
          </w:p>
        </w:tc>
        <w:tc>
          <w:tcPr>
            <w:tcW w:w="1393" w:type="dxa"/>
            <w:shd w:val="clear" w:color="auto" w:fill="C0C0C0"/>
          </w:tcPr>
          <w:p w14:paraId="6C2FDB2B" w14:textId="34CD53DB" w:rsidR="00181DBB" w:rsidRPr="00185FB0" w:rsidRDefault="00021735" w:rsidP="00181DBB">
            <w:pPr>
              <w:jc w:val="right"/>
              <w:rPr>
                <w:b/>
                <w:bCs/>
                <w:lang w:eastAsia="sk-SK"/>
              </w:rPr>
            </w:pPr>
            <w:r>
              <w:t>0</w:t>
            </w:r>
          </w:p>
        </w:tc>
        <w:tc>
          <w:tcPr>
            <w:tcW w:w="1393" w:type="dxa"/>
            <w:shd w:val="clear" w:color="auto" w:fill="C0C0C0"/>
          </w:tcPr>
          <w:p w14:paraId="02F7F284" w14:textId="4416CC2E" w:rsidR="00181DBB" w:rsidRPr="00185FB0" w:rsidRDefault="00021735" w:rsidP="00181DBB">
            <w:pPr>
              <w:jc w:val="right"/>
              <w:rPr>
                <w:b/>
                <w:bCs/>
                <w:lang w:eastAsia="sk-SK"/>
              </w:rPr>
            </w:pPr>
            <w:r>
              <w:t>0</w:t>
            </w:r>
          </w:p>
        </w:tc>
      </w:tr>
      <w:tr w:rsidR="00181DBB" w:rsidRPr="007D5748" w14:paraId="4DDA750D" w14:textId="77777777" w:rsidTr="00AD1466">
        <w:trPr>
          <w:trHeight w:val="132"/>
          <w:jc w:val="center"/>
        </w:trPr>
        <w:tc>
          <w:tcPr>
            <w:tcW w:w="4661" w:type="dxa"/>
            <w:noWrap/>
            <w:vAlign w:val="center"/>
          </w:tcPr>
          <w:p w14:paraId="390CF86E" w14:textId="563C21C3" w:rsidR="00181DBB" w:rsidRPr="007D5748" w:rsidRDefault="00181DBB" w:rsidP="00181DBB">
            <w:pPr>
              <w:rPr>
                <w:lang w:eastAsia="sk-SK"/>
              </w:rPr>
            </w:pPr>
          </w:p>
        </w:tc>
        <w:tc>
          <w:tcPr>
            <w:tcW w:w="1713" w:type="dxa"/>
            <w:noWrap/>
            <w:vAlign w:val="center"/>
          </w:tcPr>
          <w:p w14:paraId="41A35812" w14:textId="5BE81380" w:rsidR="00181DBB" w:rsidRPr="00CE0CB7" w:rsidRDefault="00181DBB" w:rsidP="00181DBB">
            <w:pPr>
              <w:jc w:val="right"/>
              <w:rPr>
                <w:lang w:eastAsia="sk-SK"/>
              </w:rPr>
            </w:pPr>
          </w:p>
        </w:tc>
        <w:tc>
          <w:tcPr>
            <w:tcW w:w="1684" w:type="dxa"/>
            <w:noWrap/>
            <w:vAlign w:val="center"/>
          </w:tcPr>
          <w:p w14:paraId="327688A6" w14:textId="7140F149" w:rsidR="00181DBB" w:rsidRPr="00185FB0" w:rsidRDefault="00181DBB" w:rsidP="00181DBB">
            <w:pPr>
              <w:jc w:val="right"/>
              <w:rPr>
                <w:lang w:eastAsia="sk-SK"/>
              </w:rPr>
            </w:pPr>
          </w:p>
        </w:tc>
        <w:tc>
          <w:tcPr>
            <w:tcW w:w="1393" w:type="dxa"/>
            <w:noWrap/>
            <w:vAlign w:val="center"/>
          </w:tcPr>
          <w:p w14:paraId="0865278B" w14:textId="63756AEA" w:rsidR="00181DBB" w:rsidRPr="00185FB0" w:rsidRDefault="00181DBB" w:rsidP="00181DBB">
            <w:pPr>
              <w:jc w:val="right"/>
              <w:rPr>
                <w:lang w:eastAsia="sk-SK"/>
              </w:rPr>
            </w:pPr>
          </w:p>
        </w:tc>
        <w:tc>
          <w:tcPr>
            <w:tcW w:w="1393" w:type="dxa"/>
            <w:noWrap/>
            <w:vAlign w:val="center"/>
          </w:tcPr>
          <w:p w14:paraId="2BAAADCE" w14:textId="2A937457" w:rsidR="00181DBB" w:rsidRPr="00185FB0" w:rsidRDefault="00181DBB" w:rsidP="00181DBB">
            <w:pPr>
              <w:jc w:val="right"/>
              <w:rPr>
                <w:lang w:eastAsia="sk-SK"/>
              </w:rPr>
            </w:pPr>
          </w:p>
        </w:tc>
      </w:tr>
      <w:tr w:rsidR="00181DBB" w:rsidRPr="007D5748" w14:paraId="3E721724" w14:textId="77777777" w:rsidTr="00AD1466">
        <w:trPr>
          <w:trHeight w:val="70"/>
          <w:jc w:val="center"/>
        </w:trPr>
        <w:tc>
          <w:tcPr>
            <w:tcW w:w="4661" w:type="dxa"/>
            <w:noWrap/>
            <w:vAlign w:val="center"/>
          </w:tcPr>
          <w:p w14:paraId="50C95CEC" w14:textId="0FBCD345" w:rsidR="00181DBB" w:rsidRPr="007D5748" w:rsidRDefault="00181DBB" w:rsidP="00181DBB">
            <w:pPr>
              <w:rPr>
                <w:b/>
                <w:bCs/>
                <w:i/>
                <w:iCs/>
                <w:lang w:eastAsia="sk-SK"/>
              </w:rPr>
            </w:pPr>
            <w:r w:rsidRPr="007D5748">
              <w:rPr>
                <w:b/>
                <w:bCs/>
                <w:i/>
                <w:iCs/>
                <w:lang w:eastAsia="sk-SK"/>
              </w:rPr>
              <w:t xml:space="preserve">z toho:  </w:t>
            </w:r>
          </w:p>
        </w:tc>
        <w:tc>
          <w:tcPr>
            <w:tcW w:w="1713" w:type="dxa"/>
            <w:noWrap/>
            <w:vAlign w:val="center"/>
          </w:tcPr>
          <w:p w14:paraId="57FEA479" w14:textId="2EDCB609" w:rsidR="00181DBB" w:rsidRPr="00CE0CB7" w:rsidRDefault="00181DBB" w:rsidP="00181DBB">
            <w:pPr>
              <w:jc w:val="right"/>
              <w:rPr>
                <w:bCs/>
                <w:iCs/>
                <w:lang w:eastAsia="sk-SK"/>
              </w:rPr>
            </w:pPr>
            <w:r w:rsidRPr="00CE0CB7">
              <w:rPr>
                <w:bCs/>
                <w:iCs/>
                <w:lang w:eastAsia="sk-SK"/>
              </w:rPr>
              <w:t>0</w:t>
            </w:r>
          </w:p>
        </w:tc>
        <w:tc>
          <w:tcPr>
            <w:tcW w:w="1684" w:type="dxa"/>
            <w:noWrap/>
            <w:vAlign w:val="center"/>
          </w:tcPr>
          <w:p w14:paraId="5EF88E85" w14:textId="64403861" w:rsidR="00181DBB" w:rsidRPr="00CE0CB7" w:rsidRDefault="00181DBB" w:rsidP="00181DBB">
            <w:pPr>
              <w:jc w:val="right"/>
              <w:rPr>
                <w:bCs/>
                <w:iCs/>
                <w:lang w:eastAsia="sk-SK"/>
              </w:rPr>
            </w:pPr>
            <w:r w:rsidRPr="00CE0CB7">
              <w:rPr>
                <w:bCs/>
                <w:iCs/>
                <w:lang w:eastAsia="sk-SK"/>
              </w:rPr>
              <w:t>0</w:t>
            </w:r>
          </w:p>
        </w:tc>
        <w:tc>
          <w:tcPr>
            <w:tcW w:w="1393" w:type="dxa"/>
            <w:noWrap/>
            <w:vAlign w:val="center"/>
          </w:tcPr>
          <w:p w14:paraId="008078FC" w14:textId="0EBFDB86" w:rsidR="00181DBB" w:rsidRPr="00CE0CB7" w:rsidRDefault="00181DBB" w:rsidP="00181DBB">
            <w:pPr>
              <w:jc w:val="right"/>
              <w:rPr>
                <w:bCs/>
                <w:iCs/>
                <w:lang w:eastAsia="sk-SK"/>
              </w:rPr>
            </w:pPr>
            <w:r w:rsidRPr="00CE0CB7">
              <w:rPr>
                <w:bCs/>
                <w:iCs/>
                <w:lang w:eastAsia="sk-SK"/>
              </w:rPr>
              <w:t>0</w:t>
            </w:r>
          </w:p>
        </w:tc>
        <w:tc>
          <w:tcPr>
            <w:tcW w:w="1393" w:type="dxa"/>
            <w:noWrap/>
            <w:vAlign w:val="center"/>
          </w:tcPr>
          <w:p w14:paraId="5BAE07E7" w14:textId="715567F0" w:rsidR="00181DBB" w:rsidRPr="00CE0CB7" w:rsidRDefault="00181DBB" w:rsidP="00181DBB">
            <w:pPr>
              <w:jc w:val="right"/>
              <w:rPr>
                <w:bCs/>
                <w:iCs/>
                <w:lang w:eastAsia="sk-SK"/>
              </w:rPr>
            </w:pPr>
            <w:r w:rsidRPr="00CE0CB7">
              <w:rPr>
                <w:bCs/>
                <w:iCs/>
                <w:lang w:eastAsia="sk-SK"/>
              </w:rPr>
              <w:t>0</w:t>
            </w:r>
          </w:p>
        </w:tc>
      </w:tr>
      <w:tr w:rsidR="00181DBB" w:rsidRPr="007D5748" w14:paraId="792713E3" w14:textId="77777777" w:rsidTr="00AD1466">
        <w:trPr>
          <w:trHeight w:val="125"/>
          <w:jc w:val="center"/>
        </w:trPr>
        <w:tc>
          <w:tcPr>
            <w:tcW w:w="4661" w:type="dxa"/>
            <w:noWrap/>
            <w:vAlign w:val="center"/>
          </w:tcPr>
          <w:p w14:paraId="39EE8670" w14:textId="77777777" w:rsidR="00181DBB" w:rsidRPr="007D5748" w:rsidRDefault="00181DBB" w:rsidP="00181DBB">
            <w:pPr>
              <w:rPr>
                <w:b/>
                <w:bCs/>
                <w:i/>
                <w:iCs/>
                <w:lang w:eastAsia="sk-SK"/>
              </w:rPr>
            </w:pPr>
            <w:r w:rsidRPr="007D5748">
              <w:rPr>
                <w:b/>
                <w:bCs/>
                <w:i/>
                <w:iCs/>
                <w:lang w:eastAsia="sk-SK"/>
              </w:rPr>
              <w:t>- vplyv na ŠR</w:t>
            </w:r>
            <w:r>
              <w:rPr>
                <w:b/>
                <w:bCs/>
                <w:i/>
                <w:iCs/>
                <w:lang w:eastAsia="sk-SK"/>
              </w:rPr>
              <w:t xml:space="preserve"> (VPS)</w:t>
            </w:r>
          </w:p>
        </w:tc>
        <w:tc>
          <w:tcPr>
            <w:tcW w:w="1713" w:type="dxa"/>
            <w:noWrap/>
            <w:vAlign w:val="center"/>
          </w:tcPr>
          <w:p w14:paraId="0EA83FAC" w14:textId="51B31C9E" w:rsidR="00181DBB" w:rsidRPr="00CE0CB7" w:rsidRDefault="00181DBB" w:rsidP="00181DBB">
            <w:pPr>
              <w:jc w:val="right"/>
              <w:rPr>
                <w:bCs/>
                <w:lang w:eastAsia="sk-SK"/>
              </w:rPr>
            </w:pPr>
            <w:r w:rsidRPr="00CE0CB7">
              <w:rPr>
                <w:bCs/>
                <w:lang w:eastAsia="sk-SK"/>
              </w:rPr>
              <w:t>0</w:t>
            </w:r>
          </w:p>
        </w:tc>
        <w:tc>
          <w:tcPr>
            <w:tcW w:w="1684" w:type="dxa"/>
            <w:noWrap/>
            <w:vAlign w:val="center"/>
          </w:tcPr>
          <w:p w14:paraId="679F59D0" w14:textId="32B5B0C9" w:rsidR="00181DBB" w:rsidRPr="00CE0CB7" w:rsidRDefault="00181DBB" w:rsidP="00181DBB">
            <w:pPr>
              <w:jc w:val="right"/>
              <w:rPr>
                <w:bCs/>
                <w:lang w:eastAsia="sk-SK"/>
              </w:rPr>
            </w:pPr>
            <w:r w:rsidRPr="00CE0CB7">
              <w:rPr>
                <w:lang w:eastAsia="sk-SK"/>
              </w:rPr>
              <w:t>0</w:t>
            </w:r>
          </w:p>
        </w:tc>
        <w:tc>
          <w:tcPr>
            <w:tcW w:w="1393" w:type="dxa"/>
            <w:noWrap/>
            <w:vAlign w:val="center"/>
          </w:tcPr>
          <w:p w14:paraId="67456078" w14:textId="1FA32AF1" w:rsidR="00181DBB" w:rsidRPr="00CE0CB7" w:rsidRDefault="00181DBB" w:rsidP="00181DBB">
            <w:pPr>
              <w:jc w:val="right"/>
              <w:rPr>
                <w:bCs/>
                <w:lang w:eastAsia="sk-SK"/>
              </w:rPr>
            </w:pPr>
            <w:r w:rsidRPr="00CE0CB7">
              <w:rPr>
                <w:bCs/>
                <w:lang w:eastAsia="sk-SK"/>
              </w:rPr>
              <w:t>0</w:t>
            </w:r>
          </w:p>
        </w:tc>
        <w:tc>
          <w:tcPr>
            <w:tcW w:w="1393" w:type="dxa"/>
            <w:noWrap/>
            <w:vAlign w:val="center"/>
          </w:tcPr>
          <w:p w14:paraId="6B92C89D" w14:textId="74814E3B" w:rsidR="00181DBB" w:rsidRPr="00CE0CB7" w:rsidRDefault="00181DBB" w:rsidP="00181DBB">
            <w:pPr>
              <w:jc w:val="right"/>
              <w:rPr>
                <w:bCs/>
                <w:lang w:eastAsia="sk-SK"/>
              </w:rPr>
            </w:pPr>
            <w:r w:rsidRPr="00CE0CB7">
              <w:rPr>
                <w:bCs/>
                <w:lang w:eastAsia="sk-SK"/>
              </w:rPr>
              <w:t>0</w:t>
            </w:r>
          </w:p>
        </w:tc>
      </w:tr>
      <w:tr w:rsidR="00181DBB" w:rsidRPr="007D5748" w14:paraId="1BDCEA37" w14:textId="77777777" w:rsidTr="00AD1466">
        <w:trPr>
          <w:trHeight w:val="125"/>
          <w:jc w:val="center"/>
        </w:trPr>
        <w:tc>
          <w:tcPr>
            <w:tcW w:w="4661" w:type="dxa"/>
            <w:noWrap/>
            <w:vAlign w:val="center"/>
          </w:tcPr>
          <w:p w14:paraId="6B32D82F" w14:textId="77777777" w:rsidR="00181DBB" w:rsidRPr="007D5748" w:rsidRDefault="00181DBB" w:rsidP="00181DBB">
            <w:pPr>
              <w:ind w:left="259"/>
              <w:rPr>
                <w:b/>
                <w:bCs/>
                <w:i/>
                <w:iCs/>
                <w:lang w:eastAsia="sk-SK"/>
              </w:rPr>
            </w:pPr>
            <w:r>
              <w:rPr>
                <w:bCs/>
                <w:i/>
                <w:iCs/>
                <w:lang w:eastAsia="sk-SK"/>
              </w:rPr>
              <w:t>Rozpočtové prostriedky</w:t>
            </w:r>
          </w:p>
        </w:tc>
        <w:tc>
          <w:tcPr>
            <w:tcW w:w="1713" w:type="dxa"/>
            <w:noWrap/>
            <w:vAlign w:val="center"/>
          </w:tcPr>
          <w:p w14:paraId="189C727F" w14:textId="77777777" w:rsidR="00181DBB" w:rsidRPr="00163753" w:rsidRDefault="00181DBB" w:rsidP="00181DBB">
            <w:pPr>
              <w:jc w:val="right"/>
              <w:rPr>
                <w:bCs/>
                <w:iCs/>
                <w:lang w:eastAsia="sk-SK"/>
              </w:rPr>
            </w:pPr>
            <w:r w:rsidRPr="00163753">
              <w:rPr>
                <w:bCs/>
                <w:iCs/>
                <w:lang w:eastAsia="sk-SK"/>
              </w:rPr>
              <w:t>0</w:t>
            </w:r>
          </w:p>
        </w:tc>
        <w:tc>
          <w:tcPr>
            <w:tcW w:w="1684" w:type="dxa"/>
            <w:noWrap/>
          </w:tcPr>
          <w:p w14:paraId="44E12982" w14:textId="39A3CF76" w:rsidR="00181DBB" w:rsidRPr="00163753" w:rsidRDefault="00021735" w:rsidP="00181DBB">
            <w:pPr>
              <w:jc w:val="right"/>
              <w:rPr>
                <w:bCs/>
                <w:iCs/>
                <w:lang w:eastAsia="sk-SK"/>
              </w:rPr>
            </w:pPr>
            <w:r>
              <w:t>0</w:t>
            </w:r>
          </w:p>
        </w:tc>
        <w:tc>
          <w:tcPr>
            <w:tcW w:w="1393" w:type="dxa"/>
            <w:noWrap/>
          </w:tcPr>
          <w:p w14:paraId="0D0242FC" w14:textId="5C5AB809" w:rsidR="00181DBB" w:rsidRPr="00163753" w:rsidRDefault="00021735" w:rsidP="00181DBB">
            <w:pPr>
              <w:jc w:val="right"/>
              <w:rPr>
                <w:bCs/>
                <w:iCs/>
                <w:lang w:eastAsia="sk-SK"/>
              </w:rPr>
            </w:pPr>
            <w:r>
              <w:t>0</w:t>
            </w:r>
          </w:p>
        </w:tc>
        <w:tc>
          <w:tcPr>
            <w:tcW w:w="1393" w:type="dxa"/>
            <w:noWrap/>
          </w:tcPr>
          <w:p w14:paraId="2AD08076" w14:textId="1F5306C4" w:rsidR="00181DBB" w:rsidRPr="00163753" w:rsidRDefault="00021735" w:rsidP="00181DBB">
            <w:pPr>
              <w:jc w:val="right"/>
              <w:rPr>
                <w:bCs/>
                <w:iCs/>
                <w:lang w:eastAsia="sk-SK"/>
              </w:rPr>
            </w:pPr>
            <w:r>
              <w:t>0</w:t>
            </w:r>
          </w:p>
        </w:tc>
      </w:tr>
      <w:tr w:rsidR="00181DBB" w:rsidRPr="007D5748" w14:paraId="0F877310" w14:textId="77777777" w:rsidTr="00AD1466">
        <w:trPr>
          <w:trHeight w:val="125"/>
          <w:jc w:val="center"/>
        </w:trPr>
        <w:tc>
          <w:tcPr>
            <w:tcW w:w="4661" w:type="dxa"/>
            <w:noWrap/>
            <w:vAlign w:val="center"/>
          </w:tcPr>
          <w:p w14:paraId="0511EE11" w14:textId="77777777" w:rsidR="00181DBB" w:rsidRPr="007D5748" w:rsidRDefault="00181DBB" w:rsidP="00181DBB">
            <w:pPr>
              <w:ind w:left="259"/>
              <w:rPr>
                <w:bCs/>
                <w:i/>
                <w:iCs/>
                <w:lang w:eastAsia="sk-SK"/>
              </w:rPr>
            </w:pPr>
            <w:r w:rsidRPr="007D5748">
              <w:rPr>
                <w:bCs/>
                <w:i/>
                <w:iCs/>
                <w:lang w:eastAsia="sk-SK"/>
              </w:rPr>
              <w:t>EÚ zdroje</w:t>
            </w:r>
          </w:p>
        </w:tc>
        <w:tc>
          <w:tcPr>
            <w:tcW w:w="1713" w:type="dxa"/>
            <w:noWrap/>
            <w:vAlign w:val="center"/>
          </w:tcPr>
          <w:p w14:paraId="1BE6AA7D" w14:textId="77777777" w:rsidR="00181DBB" w:rsidRPr="00163753" w:rsidRDefault="00181DBB" w:rsidP="00181DBB">
            <w:pPr>
              <w:jc w:val="right"/>
              <w:rPr>
                <w:lang w:eastAsia="sk-SK"/>
              </w:rPr>
            </w:pPr>
            <w:r w:rsidRPr="00163753">
              <w:rPr>
                <w:lang w:eastAsia="sk-SK"/>
              </w:rPr>
              <w:t>0</w:t>
            </w:r>
          </w:p>
        </w:tc>
        <w:tc>
          <w:tcPr>
            <w:tcW w:w="1684" w:type="dxa"/>
            <w:noWrap/>
            <w:vAlign w:val="center"/>
          </w:tcPr>
          <w:p w14:paraId="7B274C9B" w14:textId="77777777" w:rsidR="00181DBB" w:rsidRPr="00163753" w:rsidRDefault="00181DBB" w:rsidP="00181DBB">
            <w:pPr>
              <w:jc w:val="right"/>
              <w:rPr>
                <w:lang w:eastAsia="sk-SK"/>
              </w:rPr>
            </w:pPr>
            <w:r w:rsidRPr="00163753">
              <w:rPr>
                <w:lang w:eastAsia="sk-SK"/>
              </w:rPr>
              <w:t>0</w:t>
            </w:r>
          </w:p>
        </w:tc>
        <w:tc>
          <w:tcPr>
            <w:tcW w:w="1393" w:type="dxa"/>
            <w:noWrap/>
            <w:vAlign w:val="center"/>
          </w:tcPr>
          <w:p w14:paraId="2DB2D64A" w14:textId="77777777" w:rsidR="00181DBB" w:rsidRPr="00163753" w:rsidRDefault="00181DBB" w:rsidP="00181DBB">
            <w:pPr>
              <w:jc w:val="right"/>
              <w:rPr>
                <w:lang w:eastAsia="sk-SK"/>
              </w:rPr>
            </w:pPr>
            <w:r w:rsidRPr="00163753">
              <w:rPr>
                <w:lang w:eastAsia="sk-SK"/>
              </w:rPr>
              <w:t>0</w:t>
            </w:r>
          </w:p>
        </w:tc>
        <w:tc>
          <w:tcPr>
            <w:tcW w:w="1393" w:type="dxa"/>
            <w:noWrap/>
            <w:vAlign w:val="center"/>
          </w:tcPr>
          <w:p w14:paraId="40D391A6" w14:textId="77777777" w:rsidR="00181DBB" w:rsidRPr="00163753" w:rsidRDefault="00181DBB" w:rsidP="00181DBB">
            <w:pPr>
              <w:jc w:val="right"/>
              <w:rPr>
                <w:lang w:eastAsia="sk-SK"/>
              </w:rPr>
            </w:pPr>
            <w:r w:rsidRPr="00163753">
              <w:rPr>
                <w:lang w:eastAsia="sk-SK"/>
              </w:rPr>
              <w:t>0</w:t>
            </w:r>
          </w:p>
        </w:tc>
      </w:tr>
      <w:tr w:rsidR="00181DBB" w:rsidRPr="007D5748" w14:paraId="37F6836B" w14:textId="77777777" w:rsidTr="00AD1466">
        <w:trPr>
          <w:trHeight w:val="125"/>
          <w:jc w:val="center"/>
        </w:trPr>
        <w:tc>
          <w:tcPr>
            <w:tcW w:w="4661" w:type="dxa"/>
            <w:noWrap/>
            <w:vAlign w:val="center"/>
          </w:tcPr>
          <w:p w14:paraId="5A55D38D" w14:textId="77777777" w:rsidR="00181DBB" w:rsidRPr="007D5748" w:rsidRDefault="00181DBB" w:rsidP="00181DBB">
            <w:pPr>
              <w:rPr>
                <w:b/>
                <w:bCs/>
                <w:i/>
                <w:iCs/>
                <w:lang w:eastAsia="sk-SK"/>
              </w:rPr>
            </w:pPr>
            <w:r w:rsidRPr="007D5748">
              <w:rPr>
                <w:b/>
                <w:bCs/>
                <w:i/>
                <w:iCs/>
                <w:lang w:eastAsia="sk-SK"/>
              </w:rPr>
              <w:t>- vplyv na obce</w:t>
            </w:r>
          </w:p>
        </w:tc>
        <w:tc>
          <w:tcPr>
            <w:tcW w:w="1713" w:type="dxa"/>
            <w:noWrap/>
            <w:vAlign w:val="center"/>
          </w:tcPr>
          <w:p w14:paraId="29A19E8B" w14:textId="77777777" w:rsidR="00181DBB" w:rsidRPr="00163753" w:rsidRDefault="00181DBB" w:rsidP="00181DBB">
            <w:pPr>
              <w:jc w:val="right"/>
              <w:rPr>
                <w:bCs/>
                <w:iCs/>
                <w:lang w:eastAsia="sk-SK"/>
              </w:rPr>
            </w:pPr>
            <w:r w:rsidRPr="00163753">
              <w:rPr>
                <w:bCs/>
                <w:iCs/>
                <w:lang w:eastAsia="sk-SK"/>
              </w:rPr>
              <w:t>0</w:t>
            </w:r>
          </w:p>
        </w:tc>
        <w:tc>
          <w:tcPr>
            <w:tcW w:w="1684" w:type="dxa"/>
            <w:noWrap/>
            <w:vAlign w:val="center"/>
          </w:tcPr>
          <w:p w14:paraId="384BF790" w14:textId="77777777" w:rsidR="00181DBB" w:rsidRPr="00163753" w:rsidRDefault="00181DBB" w:rsidP="00181DBB">
            <w:pPr>
              <w:jc w:val="right"/>
              <w:rPr>
                <w:bCs/>
                <w:iCs/>
                <w:lang w:eastAsia="sk-SK"/>
              </w:rPr>
            </w:pPr>
            <w:r w:rsidRPr="00163753">
              <w:rPr>
                <w:bCs/>
                <w:iCs/>
                <w:lang w:eastAsia="sk-SK"/>
              </w:rPr>
              <w:t>0</w:t>
            </w:r>
          </w:p>
        </w:tc>
        <w:tc>
          <w:tcPr>
            <w:tcW w:w="1393" w:type="dxa"/>
            <w:noWrap/>
            <w:vAlign w:val="center"/>
          </w:tcPr>
          <w:p w14:paraId="55652A93" w14:textId="77777777" w:rsidR="00181DBB" w:rsidRPr="00163753" w:rsidRDefault="00181DBB" w:rsidP="00181DBB">
            <w:pPr>
              <w:jc w:val="right"/>
              <w:rPr>
                <w:bCs/>
                <w:iCs/>
                <w:lang w:eastAsia="sk-SK"/>
              </w:rPr>
            </w:pPr>
            <w:r w:rsidRPr="00163753">
              <w:rPr>
                <w:bCs/>
                <w:iCs/>
                <w:lang w:eastAsia="sk-SK"/>
              </w:rPr>
              <w:t>0</w:t>
            </w:r>
          </w:p>
        </w:tc>
        <w:tc>
          <w:tcPr>
            <w:tcW w:w="1393" w:type="dxa"/>
            <w:noWrap/>
            <w:vAlign w:val="center"/>
          </w:tcPr>
          <w:p w14:paraId="251F2C62" w14:textId="77777777" w:rsidR="00181DBB" w:rsidRPr="00163753" w:rsidRDefault="00181DBB" w:rsidP="00181DBB">
            <w:pPr>
              <w:jc w:val="right"/>
              <w:rPr>
                <w:bCs/>
                <w:iCs/>
                <w:lang w:eastAsia="sk-SK"/>
              </w:rPr>
            </w:pPr>
            <w:r w:rsidRPr="00163753">
              <w:rPr>
                <w:bCs/>
                <w:iCs/>
                <w:lang w:eastAsia="sk-SK"/>
              </w:rPr>
              <w:t>0</w:t>
            </w:r>
          </w:p>
        </w:tc>
      </w:tr>
      <w:tr w:rsidR="00181DBB" w:rsidRPr="007D5748" w14:paraId="53D69C1C" w14:textId="77777777" w:rsidTr="00AD1466">
        <w:trPr>
          <w:trHeight w:val="125"/>
          <w:jc w:val="center"/>
        </w:trPr>
        <w:tc>
          <w:tcPr>
            <w:tcW w:w="4661" w:type="dxa"/>
            <w:noWrap/>
            <w:vAlign w:val="center"/>
          </w:tcPr>
          <w:p w14:paraId="071C7538" w14:textId="77777777" w:rsidR="00181DBB" w:rsidRPr="007D5748" w:rsidRDefault="00181DBB" w:rsidP="00181DBB">
            <w:pPr>
              <w:rPr>
                <w:b/>
                <w:bCs/>
                <w:i/>
                <w:iCs/>
                <w:lang w:eastAsia="sk-SK"/>
              </w:rPr>
            </w:pPr>
            <w:r w:rsidRPr="007D5748">
              <w:rPr>
                <w:b/>
                <w:bCs/>
                <w:i/>
                <w:iCs/>
                <w:lang w:eastAsia="sk-SK"/>
              </w:rPr>
              <w:t>- vplyv na vyššie územné celky</w:t>
            </w:r>
          </w:p>
        </w:tc>
        <w:tc>
          <w:tcPr>
            <w:tcW w:w="1713" w:type="dxa"/>
            <w:noWrap/>
            <w:vAlign w:val="center"/>
          </w:tcPr>
          <w:p w14:paraId="69C9948C" w14:textId="77777777" w:rsidR="00181DBB" w:rsidRPr="00163753" w:rsidRDefault="00181DBB" w:rsidP="00181DBB">
            <w:pPr>
              <w:jc w:val="right"/>
              <w:rPr>
                <w:bCs/>
                <w:iCs/>
                <w:lang w:eastAsia="sk-SK"/>
              </w:rPr>
            </w:pPr>
            <w:r w:rsidRPr="00163753">
              <w:rPr>
                <w:bCs/>
                <w:iCs/>
                <w:lang w:eastAsia="sk-SK"/>
              </w:rPr>
              <w:t>0</w:t>
            </w:r>
          </w:p>
        </w:tc>
        <w:tc>
          <w:tcPr>
            <w:tcW w:w="1684" w:type="dxa"/>
            <w:noWrap/>
            <w:vAlign w:val="center"/>
          </w:tcPr>
          <w:p w14:paraId="7554A954" w14:textId="77777777" w:rsidR="00181DBB" w:rsidRPr="00163753" w:rsidRDefault="00181DBB" w:rsidP="00181DBB">
            <w:pPr>
              <w:jc w:val="right"/>
              <w:rPr>
                <w:bCs/>
                <w:iCs/>
                <w:lang w:eastAsia="sk-SK"/>
              </w:rPr>
            </w:pPr>
            <w:r w:rsidRPr="00163753">
              <w:rPr>
                <w:bCs/>
                <w:iCs/>
                <w:lang w:eastAsia="sk-SK"/>
              </w:rPr>
              <w:t>0</w:t>
            </w:r>
          </w:p>
        </w:tc>
        <w:tc>
          <w:tcPr>
            <w:tcW w:w="1393" w:type="dxa"/>
            <w:noWrap/>
            <w:vAlign w:val="center"/>
          </w:tcPr>
          <w:p w14:paraId="4BF0FFFD" w14:textId="77777777" w:rsidR="00181DBB" w:rsidRPr="00163753" w:rsidRDefault="00181DBB" w:rsidP="00181DBB">
            <w:pPr>
              <w:jc w:val="right"/>
              <w:rPr>
                <w:bCs/>
                <w:iCs/>
                <w:lang w:eastAsia="sk-SK"/>
              </w:rPr>
            </w:pPr>
            <w:r w:rsidRPr="00163753">
              <w:rPr>
                <w:bCs/>
                <w:iCs/>
                <w:lang w:eastAsia="sk-SK"/>
              </w:rPr>
              <w:t>0</w:t>
            </w:r>
          </w:p>
        </w:tc>
        <w:tc>
          <w:tcPr>
            <w:tcW w:w="1393" w:type="dxa"/>
            <w:noWrap/>
            <w:vAlign w:val="center"/>
          </w:tcPr>
          <w:p w14:paraId="77996C24" w14:textId="77777777" w:rsidR="00181DBB" w:rsidRPr="00163753" w:rsidRDefault="00181DBB" w:rsidP="00181DBB">
            <w:pPr>
              <w:jc w:val="right"/>
              <w:rPr>
                <w:bCs/>
                <w:iCs/>
                <w:lang w:eastAsia="sk-SK"/>
              </w:rPr>
            </w:pPr>
            <w:r w:rsidRPr="00163753">
              <w:rPr>
                <w:bCs/>
                <w:iCs/>
                <w:lang w:eastAsia="sk-SK"/>
              </w:rPr>
              <w:t>0</w:t>
            </w:r>
          </w:p>
        </w:tc>
      </w:tr>
      <w:tr w:rsidR="00181DBB" w:rsidRPr="00075C81" w14:paraId="540E6394" w14:textId="77777777" w:rsidTr="00AD1466">
        <w:trPr>
          <w:trHeight w:val="125"/>
          <w:jc w:val="center"/>
        </w:trPr>
        <w:tc>
          <w:tcPr>
            <w:tcW w:w="4661" w:type="dxa"/>
            <w:noWrap/>
            <w:vAlign w:val="center"/>
          </w:tcPr>
          <w:p w14:paraId="6B2FC1E6" w14:textId="77777777" w:rsidR="00181DBB" w:rsidRPr="007D5748" w:rsidRDefault="00181DBB" w:rsidP="00181DBB">
            <w:pPr>
              <w:rPr>
                <w:b/>
                <w:bCs/>
                <w:i/>
                <w:iCs/>
                <w:lang w:eastAsia="sk-SK"/>
              </w:rPr>
            </w:pPr>
            <w:r w:rsidRPr="007D5748">
              <w:rPr>
                <w:b/>
                <w:bCs/>
                <w:i/>
                <w:iCs/>
                <w:lang w:eastAsia="sk-SK"/>
              </w:rPr>
              <w:t>- vplyv na ostatné subjekty verejnej správy</w:t>
            </w:r>
          </w:p>
        </w:tc>
        <w:tc>
          <w:tcPr>
            <w:tcW w:w="1713" w:type="dxa"/>
            <w:noWrap/>
            <w:vAlign w:val="center"/>
          </w:tcPr>
          <w:p w14:paraId="222E8BB1" w14:textId="77777777" w:rsidR="00181DBB" w:rsidRPr="00075C81" w:rsidRDefault="00181DBB" w:rsidP="00181DBB">
            <w:pPr>
              <w:jc w:val="right"/>
              <w:rPr>
                <w:bCs/>
                <w:iCs/>
                <w:lang w:eastAsia="sk-SK"/>
              </w:rPr>
            </w:pPr>
            <w:r w:rsidRPr="00075C81">
              <w:rPr>
                <w:bCs/>
                <w:iCs/>
                <w:lang w:eastAsia="sk-SK"/>
              </w:rPr>
              <w:t>0</w:t>
            </w:r>
          </w:p>
        </w:tc>
        <w:tc>
          <w:tcPr>
            <w:tcW w:w="1684" w:type="dxa"/>
            <w:noWrap/>
            <w:vAlign w:val="center"/>
          </w:tcPr>
          <w:p w14:paraId="6EB1D7F2" w14:textId="77777777" w:rsidR="00181DBB" w:rsidRPr="00075C81" w:rsidRDefault="00181DBB" w:rsidP="00181DBB">
            <w:pPr>
              <w:jc w:val="right"/>
              <w:rPr>
                <w:bCs/>
                <w:iCs/>
                <w:lang w:eastAsia="sk-SK"/>
              </w:rPr>
            </w:pPr>
            <w:r w:rsidRPr="00075C81">
              <w:rPr>
                <w:bCs/>
                <w:iCs/>
                <w:lang w:eastAsia="sk-SK"/>
              </w:rPr>
              <w:t>0</w:t>
            </w:r>
          </w:p>
        </w:tc>
        <w:tc>
          <w:tcPr>
            <w:tcW w:w="1393" w:type="dxa"/>
            <w:noWrap/>
            <w:vAlign w:val="center"/>
          </w:tcPr>
          <w:p w14:paraId="37B6462B" w14:textId="77777777" w:rsidR="00181DBB" w:rsidRPr="00075C81" w:rsidRDefault="00181DBB" w:rsidP="00181DBB">
            <w:pPr>
              <w:jc w:val="right"/>
              <w:rPr>
                <w:bCs/>
                <w:iCs/>
                <w:lang w:eastAsia="sk-SK"/>
              </w:rPr>
            </w:pPr>
            <w:r w:rsidRPr="00075C81">
              <w:rPr>
                <w:bCs/>
                <w:iCs/>
                <w:lang w:eastAsia="sk-SK"/>
              </w:rPr>
              <w:t>0</w:t>
            </w:r>
          </w:p>
        </w:tc>
        <w:tc>
          <w:tcPr>
            <w:tcW w:w="1393" w:type="dxa"/>
            <w:noWrap/>
            <w:vAlign w:val="center"/>
          </w:tcPr>
          <w:p w14:paraId="66AE9EC9" w14:textId="77777777" w:rsidR="00181DBB" w:rsidRPr="00075C81" w:rsidRDefault="00181DBB" w:rsidP="00181DBB">
            <w:pPr>
              <w:jc w:val="right"/>
              <w:rPr>
                <w:bCs/>
                <w:iCs/>
                <w:lang w:eastAsia="sk-SK"/>
              </w:rPr>
            </w:pPr>
            <w:r w:rsidRPr="00075C81">
              <w:rPr>
                <w:bCs/>
                <w:iCs/>
                <w:lang w:eastAsia="sk-SK"/>
              </w:rPr>
              <w:t>0</w:t>
            </w:r>
          </w:p>
        </w:tc>
      </w:tr>
      <w:tr w:rsidR="00181DBB" w:rsidRPr="00075C81" w14:paraId="70B45575" w14:textId="77777777" w:rsidTr="00AD1466">
        <w:trPr>
          <w:trHeight w:val="125"/>
          <w:jc w:val="center"/>
        </w:trPr>
        <w:tc>
          <w:tcPr>
            <w:tcW w:w="4661" w:type="dxa"/>
            <w:shd w:val="clear" w:color="auto" w:fill="C0C0C0"/>
            <w:noWrap/>
            <w:vAlign w:val="center"/>
          </w:tcPr>
          <w:p w14:paraId="470F0772" w14:textId="77777777" w:rsidR="00181DBB" w:rsidRPr="007D5748" w:rsidRDefault="00181DBB" w:rsidP="00181DBB">
            <w:pPr>
              <w:rPr>
                <w:b/>
                <w:bCs/>
                <w:lang w:eastAsia="sk-SK"/>
              </w:rPr>
            </w:pPr>
            <w:r w:rsidRPr="007D5748">
              <w:rPr>
                <w:b/>
                <w:bCs/>
                <w:lang w:eastAsia="sk-SK"/>
              </w:rPr>
              <w:t>Výdavky verejnej správy celkom</w:t>
            </w:r>
          </w:p>
        </w:tc>
        <w:tc>
          <w:tcPr>
            <w:tcW w:w="1713" w:type="dxa"/>
            <w:shd w:val="clear" w:color="auto" w:fill="C0C0C0"/>
            <w:noWrap/>
            <w:vAlign w:val="center"/>
          </w:tcPr>
          <w:p w14:paraId="269D82B9" w14:textId="3928BACF" w:rsidR="00181DBB" w:rsidRPr="00075C81" w:rsidRDefault="00AD1466" w:rsidP="00181DBB">
            <w:pPr>
              <w:jc w:val="right"/>
              <w:rPr>
                <w:bCs/>
                <w:lang w:eastAsia="sk-SK"/>
              </w:rPr>
            </w:pPr>
            <w:r>
              <w:rPr>
                <w:bCs/>
                <w:lang w:eastAsia="sk-SK"/>
              </w:rPr>
              <w:t>6 000 000,00</w:t>
            </w:r>
          </w:p>
        </w:tc>
        <w:tc>
          <w:tcPr>
            <w:tcW w:w="1684" w:type="dxa"/>
            <w:shd w:val="clear" w:color="auto" w:fill="C0C0C0"/>
            <w:noWrap/>
            <w:vAlign w:val="center"/>
          </w:tcPr>
          <w:p w14:paraId="03ACB2AD" w14:textId="3F257DF3" w:rsidR="00181DBB" w:rsidRPr="00075C81" w:rsidRDefault="00AD1466" w:rsidP="00CE0CB7">
            <w:pPr>
              <w:jc w:val="right"/>
              <w:rPr>
                <w:bCs/>
                <w:lang w:eastAsia="sk-SK"/>
              </w:rPr>
            </w:pPr>
            <w:r>
              <w:rPr>
                <w:bCs/>
                <w:lang w:eastAsia="sk-SK"/>
              </w:rPr>
              <w:t>0</w:t>
            </w:r>
          </w:p>
        </w:tc>
        <w:tc>
          <w:tcPr>
            <w:tcW w:w="1393" w:type="dxa"/>
            <w:shd w:val="clear" w:color="auto" w:fill="C0C0C0"/>
            <w:noWrap/>
            <w:vAlign w:val="center"/>
          </w:tcPr>
          <w:p w14:paraId="134F448F" w14:textId="2FE13ED1" w:rsidR="00181DBB" w:rsidRPr="00075C81" w:rsidRDefault="00181DBB" w:rsidP="00181DBB">
            <w:pPr>
              <w:jc w:val="right"/>
              <w:rPr>
                <w:bCs/>
                <w:lang w:eastAsia="sk-SK"/>
              </w:rPr>
            </w:pPr>
            <w:r w:rsidRPr="00075C81">
              <w:rPr>
                <w:bCs/>
                <w:lang w:eastAsia="sk-SK"/>
              </w:rPr>
              <w:t>0</w:t>
            </w:r>
          </w:p>
        </w:tc>
        <w:tc>
          <w:tcPr>
            <w:tcW w:w="1393" w:type="dxa"/>
            <w:shd w:val="clear" w:color="auto" w:fill="C0C0C0"/>
            <w:noWrap/>
            <w:vAlign w:val="center"/>
          </w:tcPr>
          <w:p w14:paraId="6305CDC8" w14:textId="6F339763" w:rsidR="00181DBB" w:rsidRPr="00075C81" w:rsidRDefault="00181DBB" w:rsidP="00181DBB">
            <w:pPr>
              <w:jc w:val="right"/>
              <w:rPr>
                <w:bCs/>
                <w:lang w:eastAsia="sk-SK"/>
              </w:rPr>
            </w:pPr>
            <w:r w:rsidRPr="00075C81">
              <w:rPr>
                <w:bCs/>
                <w:lang w:eastAsia="sk-SK"/>
              </w:rPr>
              <w:t>0</w:t>
            </w:r>
          </w:p>
        </w:tc>
      </w:tr>
      <w:tr w:rsidR="00181DBB" w:rsidRPr="00075C81" w14:paraId="10294390" w14:textId="77777777" w:rsidTr="00AD1466">
        <w:trPr>
          <w:trHeight w:val="70"/>
          <w:jc w:val="center"/>
        </w:trPr>
        <w:tc>
          <w:tcPr>
            <w:tcW w:w="4661" w:type="dxa"/>
            <w:noWrap/>
            <w:vAlign w:val="center"/>
          </w:tcPr>
          <w:p w14:paraId="513F679C" w14:textId="75E30591" w:rsidR="00181DBB" w:rsidRPr="007D5748" w:rsidRDefault="00181DBB" w:rsidP="00181DBB">
            <w:pPr>
              <w:rPr>
                <w:lang w:eastAsia="sk-SK"/>
              </w:rPr>
            </w:pPr>
          </w:p>
        </w:tc>
        <w:tc>
          <w:tcPr>
            <w:tcW w:w="1713" w:type="dxa"/>
            <w:noWrap/>
            <w:vAlign w:val="center"/>
          </w:tcPr>
          <w:p w14:paraId="08769A20" w14:textId="21599552" w:rsidR="00181DBB" w:rsidRPr="00075C81" w:rsidRDefault="00181DBB" w:rsidP="00181DBB">
            <w:pPr>
              <w:jc w:val="right"/>
              <w:rPr>
                <w:lang w:eastAsia="sk-SK"/>
              </w:rPr>
            </w:pPr>
          </w:p>
        </w:tc>
        <w:tc>
          <w:tcPr>
            <w:tcW w:w="1684" w:type="dxa"/>
            <w:noWrap/>
            <w:vAlign w:val="center"/>
          </w:tcPr>
          <w:p w14:paraId="490377EB" w14:textId="04C23832" w:rsidR="00181DBB" w:rsidRPr="00075C81" w:rsidRDefault="00181DBB" w:rsidP="00181DBB">
            <w:pPr>
              <w:jc w:val="right"/>
              <w:rPr>
                <w:lang w:eastAsia="sk-SK"/>
              </w:rPr>
            </w:pPr>
          </w:p>
        </w:tc>
        <w:tc>
          <w:tcPr>
            <w:tcW w:w="1393" w:type="dxa"/>
            <w:noWrap/>
            <w:vAlign w:val="center"/>
          </w:tcPr>
          <w:p w14:paraId="251C585A" w14:textId="29F27BA1" w:rsidR="00181DBB" w:rsidRPr="00075C81" w:rsidRDefault="00181DBB" w:rsidP="00181DBB">
            <w:pPr>
              <w:jc w:val="right"/>
              <w:rPr>
                <w:lang w:eastAsia="sk-SK"/>
              </w:rPr>
            </w:pPr>
          </w:p>
        </w:tc>
        <w:tc>
          <w:tcPr>
            <w:tcW w:w="1393" w:type="dxa"/>
            <w:noWrap/>
            <w:vAlign w:val="center"/>
          </w:tcPr>
          <w:p w14:paraId="4B763056" w14:textId="567DA26F" w:rsidR="00181DBB" w:rsidRPr="00075C81" w:rsidRDefault="00181DBB" w:rsidP="00181DBB">
            <w:pPr>
              <w:jc w:val="right"/>
              <w:rPr>
                <w:lang w:eastAsia="sk-SK"/>
              </w:rPr>
            </w:pPr>
          </w:p>
        </w:tc>
      </w:tr>
      <w:tr w:rsidR="00AD1466" w:rsidRPr="00075C81" w14:paraId="42F29914" w14:textId="77777777" w:rsidTr="00AD1466">
        <w:trPr>
          <w:trHeight w:val="70"/>
          <w:jc w:val="center"/>
        </w:trPr>
        <w:tc>
          <w:tcPr>
            <w:tcW w:w="4661" w:type="dxa"/>
            <w:noWrap/>
            <w:vAlign w:val="center"/>
          </w:tcPr>
          <w:p w14:paraId="5B5CF07C" w14:textId="46724324" w:rsidR="00AD1466" w:rsidRPr="000B27FD" w:rsidRDefault="00AD1466" w:rsidP="00AD1466">
            <w:pPr>
              <w:jc w:val="both"/>
              <w:rPr>
                <w:lang w:eastAsia="sk-SK"/>
              </w:rPr>
            </w:pPr>
            <w:r w:rsidRPr="000B27FD">
              <w:rPr>
                <w:iCs/>
                <w:lang w:eastAsia="sk-SK"/>
              </w:rPr>
              <w:t>Opatrenie č.2 MH SR</w:t>
            </w:r>
            <w:r>
              <w:rPr>
                <w:iCs/>
                <w:lang w:eastAsia="sk-SK"/>
              </w:rPr>
              <w:t xml:space="preserve">, </w:t>
            </w:r>
            <w:r w:rsidRPr="001D46F1">
              <w:rPr>
                <w:iCs/>
                <w:lang w:eastAsia="sk-SK"/>
              </w:rPr>
              <w:t>úspory v rámci programu 07K Rozvoj priemyslu a podnikania</w:t>
            </w:r>
          </w:p>
        </w:tc>
        <w:tc>
          <w:tcPr>
            <w:tcW w:w="1713" w:type="dxa"/>
            <w:noWrap/>
            <w:vAlign w:val="center"/>
          </w:tcPr>
          <w:p w14:paraId="1782B405" w14:textId="3A657B12" w:rsidR="00AD1466" w:rsidRPr="00075C81" w:rsidRDefault="00AD1466" w:rsidP="00AD1466">
            <w:pPr>
              <w:jc w:val="right"/>
              <w:rPr>
                <w:lang w:eastAsia="sk-SK"/>
              </w:rPr>
            </w:pPr>
            <w:r w:rsidRPr="00CE0CB7">
              <w:rPr>
                <w:lang w:eastAsia="sk-SK"/>
              </w:rPr>
              <w:t>5 000 000,00</w:t>
            </w:r>
          </w:p>
        </w:tc>
        <w:tc>
          <w:tcPr>
            <w:tcW w:w="1684" w:type="dxa"/>
            <w:noWrap/>
            <w:vAlign w:val="center"/>
          </w:tcPr>
          <w:p w14:paraId="0C40D7AC" w14:textId="52B2B374" w:rsidR="00AD1466" w:rsidRPr="00CE0CB7" w:rsidRDefault="00AD1466" w:rsidP="00AD1466">
            <w:pPr>
              <w:jc w:val="right"/>
              <w:rPr>
                <w:lang w:eastAsia="sk-SK"/>
              </w:rPr>
            </w:pPr>
            <w:r>
              <w:rPr>
                <w:lang w:eastAsia="sk-SK"/>
              </w:rPr>
              <w:t>0</w:t>
            </w:r>
          </w:p>
        </w:tc>
        <w:tc>
          <w:tcPr>
            <w:tcW w:w="1393" w:type="dxa"/>
            <w:noWrap/>
            <w:vAlign w:val="center"/>
          </w:tcPr>
          <w:p w14:paraId="2E9E8946" w14:textId="10B44CCD" w:rsidR="00AD1466" w:rsidRPr="00CE0CB7" w:rsidRDefault="00AD1466" w:rsidP="00AD1466">
            <w:pPr>
              <w:jc w:val="right"/>
              <w:rPr>
                <w:lang w:eastAsia="sk-SK"/>
              </w:rPr>
            </w:pPr>
            <w:r w:rsidRPr="00CE0CB7">
              <w:rPr>
                <w:lang w:eastAsia="sk-SK"/>
              </w:rPr>
              <w:t>0</w:t>
            </w:r>
          </w:p>
        </w:tc>
        <w:tc>
          <w:tcPr>
            <w:tcW w:w="1393" w:type="dxa"/>
            <w:noWrap/>
            <w:vAlign w:val="center"/>
          </w:tcPr>
          <w:p w14:paraId="13050738" w14:textId="57F818CC" w:rsidR="00AD1466" w:rsidRPr="00075C81" w:rsidRDefault="00AD1466" w:rsidP="00AD1466">
            <w:pPr>
              <w:jc w:val="right"/>
              <w:rPr>
                <w:lang w:eastAsia="sk-SK"/>
              </w:rPr>
            </w:pPr>
            <w:r w:rsidRPr="00075C81">
              <w:rPr>
                <w:lang w:eastAsia="sk-SK"/>
              </w:rPr>
              <w:t>0</w:t>
            </w:r>
          </w:p>
        </w:tc>
      </w:tr>
      <w:tr w:rsidR="00AD1466" w:rsidRPr="00075C81" w14:paraId="44334C97" w14:textId="77777777" w:rsidTr="00AD1466">
        <w:trPr>
          <w:trHeight w:val="70"/>
          <w:jc w:val="center"/>
        </w:trPr>
        <w:tc>
          <w:tcPr>
            <w:tcW w:w="4661" w:type="dxa"/>
            <w:noWrap/>
            <w:vAlign w:val="center"/>
          </w:tcPr>
          <w:p w14:paraId="4A816222" w14:textId="19423B1D" w:rsidR="00AD1466" w:rsidRPr="000B27FD" w:rsidRDefault="00AD1466" w:rsidP="00AD1466">
            <w:pPr>
              <w:jc w:val="both"/>
              <w:rPr>
                <w:iCs/>
                <w:lang w:eastAsia="sk-SK"/>
              </w:rPr>
            </w:pPr>
            <w:r w:rsidRPr="000B27FD">
              <w:rPr>
                <w:iCs/>
                <w:lang w:eastAsia="sk-SK"/>
              </w:rPr>
              <w:t>Opatrenie č.3 MH SR</w:t>
            </w:r>
            <w:r>
              <w:rPr>
                <w:iCs/>
                <w:lang w:eastAsia="sk-SK"/>
              </w:rPr>
              <w:t xml:space="preserve">, </w:t>
            </w:r>
            <w:r w:rsidRPr="001D46F1">
              <w:rPr>
                <w:iCs/>
                <w:lang w:eastAsia="sk-SK"/>
              </w:rPr>
              <w:t>úspory v rámci programu 07K Rozvoj priemyslu a podnikania</w:t>
            </w:r>
          </w:p>
        </w:tc>
        <w:tc>
          <w:tcPr>
            <w:tcW w:w="1713" w:type="dxa"/>
            <w:noWrap/>
            <w:vAlign w:val="center"/>
          </w:tcPr>
          <w:p w14:paraId="609E843F" w14:textId="4A9557EF" w:rsidR="00AD1466" w:rsidRPr="00075C81" w:rsidRDefault="00AD1466" w:rsidP="00AD1466">
            <w:pPr>
              <w:jc w:val="right"/>
              <w:rPr>
                <w:lang w:eastAsia="sk-SK"/>
              </w:rPr>
            </w:pPr>
            <w:r w:rsidRPr="00CE0CB7">
              <w:rPr>
                <w:lang w:eastAsia="sk-SK"/>
              </w:rPr>
              <w:t>1 000 000,00</w:t>
            </w:r>
          </w:p>
        </w:tc>
        <w:tc>
          <w:tcPr>
            <w:tcW w:w="1684" w:type="dxa"/>
            <w:noWrap/>
            <w:vAlign w:val="center"/>
          </w:tcPr>
          <w:p w14:paraId="3C44532F" w14:textId="5EF49FDC" w:rsidR="00AD1466" w:rsidRPr="00CE0CB7" w:rsidRDefault="00AD1466" w:rsidP="00AD1466">
            <w:pPr>
              <w:jc w:val="right"/>
              <w:rPr>
                <w:lang w:eastAsia="sk-SK"/>
              </w:rPr>
            </w:pPr>
            <w:r>
              <w:rPr>
                <w:lang w:eastAsia="sk-SK"/>
              </w:rPr>
              <w:t>0</w:t>
            </w:r>
          </w:p>
        </w:tc>
        <w:tc>
          <w:tcPr>
            <w:tcW w:w="1393" w:type="dxa"/>
            <w:noWrap/>
            <w:vAlign w:val="center"/>
          </w:tcPr>
          <w:p w14:paraId="2437F3F0" w14:textId="6FF2FD9B" w:rsidR="00AD1466" w:rsidRPr="00CE0CB7" w:rsidRDefault="00AD1466" w:rsidP="00AD1466">
            <w:pPr>
              <w:jc w:val="right"/>
              <w:rPr>
                <w:lang w:eastAsia="sk-SK"/>
              </w:rPr>
            </w:pPr>
            <w:r w:rsidRPr="00CE0CB7">
              <w:rPr>
                <w:lang w:eastAsia="sk-SK"/>
              </w:rPr>
              <w:t>0</w:t>
            </w:r>
          </w:p>
        </w:tc>
        <w:tc>
          <w:tcPr>
            <w:tcW w:w="1393" w:type="dxa"/>
            <w:noWrap/>
            <w:vAlign w:val="center"/>
          </w:tcPr>
          <w:p w14:paraId="11960B11" w14:textId="63DC1CC1" w:rsidR="00AD1466" w:rsidRPr="00075C81" w:rsidRDefault="00AD1466" w:rsidP="00AD1466">
            <w:pPr>
              <w:jc w:val="right"/>
              <w:rPr>
                <w:lang w:eastAsia="sk-SK"/>
              </w:rPr>
            </w:pPr>
            <w:r w:rsidRPr="00075C81">
              <w:rPr>
                <w:lang w:eastAsia="sk-SK"/>
              </w:rPr>
              <w:t>0</w:t>
            </w:r>
          </w:p>
        </w:tc>
      </w:tr>
      <w:tr w:rsidR="00181DBB" w:rsidRPr="00075C81" w14:paraId="18B3ADA3" w14:textId="77777777" w:rsidTr="00AD1466">
        <w:trPr>
          <w:trHeight w:val="70"/>
          <w:jc w:val="center"/>
        </w:trPr>
        <w:tc>
          <w:tcPr>
            <w:tcW w:w="4661" w:type="dxa"/>
            <w:noWrap/>
            <w:vAlign w:val="center"/>
          </w:tcPr>
          <w:p w14:paraId="1A11A981" w14:textId="7D13A9A8" w:rsidR="00181DBB" w:rsidRPr="000B27FD" w:rsidRDefault="00181DBB" w:rsidP="00181DBB">
            <w:pPr>
              <w:rPr>
                <w:bCs/>
                <w:iCs/>
                <w:lang w:eastAsia="sk-SK"/>
              </w:rPr>
            </w:pPr>
            <w:r w:rsidRPr="000B27FD">
              <w:rPr>
                <w:bCs/>
                <w:iCs/>
                <w:lang w:eastAsia="sk-SK"/>
              </w:rPr>
              <w:t xml:space="preserve">Opatrenie č.3 MDV SR </w:t>
            </w:r>
          </w:p>
        </w:tc>
        <w:tc>
          <w:tcPr>
            <w:tcW w:w="1713" w:type="dxa"/>
            <w:noWrap/>
            <w:vAlign w:val="center"/>
          </w:tcPr>
          <w:p w14:paraId="32A08A90" w14:textId="7DB9A2C0" w:rsidR="00181DBB" w:rsidRPr="00075C81" w:rsidRDefault="00181DBB" w:rsidP="00181DBB">
            <w:pPr>
              <w:jc w:val="right"/>
              <w:rPr>
                <w:bCs/>
                <w:iCs/>
                <w:lang w:eastAsia="sk-SK"/>
              </w:rPr>
            </w:pPr>
            <w:r w:rsidRPr="00075C81">
              <w:rPr>
                <w:bCs/>
                <w:iCs/>
                <w:lang w:eastAsia="sk-SK"/>
              </w:rPr>
              <w:t>Zabezpečené z</w:t>
            </w:r>
            <w:r>
              <w:rPr>
                <w:bCs/>
                <w:iCs/>
                <w:lang w:eastAsia="sk-SK"/>
              </w:rPr>
              <w:t>o zdrojov EÚ</w:t>
            </w:r>
            <w:r w:rsidRPr="00075C81">
              <w:rPr>
                <w:bCs/>
                <w:iCs/>
                <w:lang w:eastAsia="sk-SK"/>
              </w:rPr>
              <w:t>, v súčasnosti nie je možné odhadnúť</w:t>
            </w:r>
          </w:p>
        </w:tc>
        <w:tc>
          <w:tcPr>
            <w:tcW w:w="1684" w:type="dxa"/>
            <w:noWrap/>
            <w:vAlign w:val="center"/>
          </w:tcPr>
          <w:p w14:paraId="53F081D7" w14:textId="527734B8" w:rsidR="00181DBB" w:rsidRPr="00075C81" w:rsidRDefault="001D46F1" w:rsidP="001D46F1">
            <w:pPr>
              <w:jc w:val="right"/>
              <w:rPr>
                <w:bCs/>
                <w:iCs/>
                <w:lang w:eastAsia="sk-SK"/>
              </w:rPr>
            </w:pPr>
            <w:r>
              <w:rPr>
                <w:bCs/>
                <w:iCs/>
                <w:lang w:eastAsia="sk-SK"/>
              </w:rPr>
              <w:t xml:space="preserve"> </w:t>
            </w:r>
            <w:r w:rsidR="00181DBB" w:rsidRPr="00075C81">
              <w:rPr>
                <w:bCs/>
                <w:iCs/>
                <w:lang w:eastAsia="sk-SK"/>
              </w:rPr>
              <w:t>Zabezpečené z</w:t>
            </w:r>
            <w:r w:rsidR="00181DBB">
              <w:rPr>
                <w:bCs/>
                <w:iCs/>
                <w:lang w:eastAsia="sk-SK"/>
              </w:rPr>
              <w:t>o</w:t>
            </w:r>
            <w:r w:rsidR="00181DBB" w:rsidRPr="00075C81">
              <w:rPr>
                <w:bCs/>
                <w:iCs/>
                <w:lang w:eastAsia="sk-SK"/>
              </w:rPr>
              <w:t>  zdrojov</w:t>
            </w:r>
            <w:r w:rsidR="00181DBB">
              <w:rPr>
                <w:bCs/>
                <w:iCs/>
                <w:lang w:eastAsia="sk-SK"/>
              </w:rPr>
              <w:t xml:space="preserve"> EÚ</w:t>
            </w:r>
            <w:r w:rsidR="00181DBB" w:rsidRPr="00075C81">
              <w:rPr>
                <w:bCs/>
                <w:iCs/>
                <w:lang w:eastAsia="sk-SK"/>
              </w:rPr>
              <w:t>, v súčasnosti nie je možné odhadnúť</w:t>
            </w:r>
          </w:p>
        </w:tc>
        <w:tc>
          <w:tcPr>
            <w:tcW w:w="1393" w:type="dxa"/>
            <w:noWrap/>
            <w:vAlign w:val="center"/>
          </w:tcPr>
          <w:p w14:paraId="4CB1F28A" w14:textId="4EAB3D50" w:rsidR="00181DBB" w:rsidRPr="00075C81" w:rsidRDefault="00181DBB" w:rsidP="00181DBB">
            <w:pPr>
              <w:jc w:val="right"/>
              <w:rPr>
                <w:bCs/>
                <w:iCs/>
                <w:lang w:eastAsia="sk-SK"/>
              </w:rPr>
            </w:pPr>
            <w:r w:rsidRPr="00075C81">
              <w:rPr>
                <w:bCs/>
                <w:iCs/>
                <w:lang w:eastAsia="sk-SK"/>
              </w:rPr>
              <w:t>Zabezpečené z</w:t>
            </w:r>
            <w:r>
              <w:rPr>
                <w:bCs/>
                <w:iCs/>
                <w:lang w:eastAsia="sk-SK"/>
              </w:rPr>
              <w:t>o</w:t>
            </w:r>
            <w:r w:rsidRPr="00075C81">
              <w:rPr>
                <w:bCs/>
                <w:iCs/>
                <w:lang w:eastAsia="sk-SK"/>
              </w:rPr>
              <w:t>  zdrojov</w:t>
            </w:r>
            <w:r>
              <w:rPr>
                <w:bCs/>
                <w:iCs/>
                <w:lang w:eastAsia="sk-SK"/>
              </w:rPr>
              <w:t xml:space="preserve"> EÚ</w:t>
            </w:r>
            <w:r w:rsidRPr="00075C81">
              <w:rPr>
                <w:bCs/>
                <w:iCs/>
                <w:lang w:eastAsia="sk-SK"/>
              </w:rPr>
              <w:t>, v súčasnosti nie je možné odhadnúť</w:t>
            </w:r>
          </w:p>
        </w:tc>
        <w:tc>
          <w:tcPr>
            <w:tcW w:w="1393" w:type="dxa"/>
            <w:noWrap/>
            <w:vAlign w:val="center"/>
          </w:tcPr>
          <w:p w14:paraId="61B28560" w14:textId="1A5C164F" w:rsidR="00181DBB" w:rsidRPr="00075C81" w:rsidRDefault="00181DBB" w:rsidP="00181DBB">
            <w:pPr>
              <w:jc w:val="right"/>
              <w:rPr>
                <w:bCs/>
                <w:iCs/>
                <w:lang w:eastAsia="sk-SK"/>
              </w:rPr>
            </w:pPr>
            <w:r w:rsidRPr="00075C81">
              <w:rPr>
                <w:bCs/>
                <w:iCs/>
                <w:lang w:eastAsia="sk-SK"/>
              </w:rPr>
              <w:t>Zabezpečené z</w:t>
            </w:r>
            <w:r>
              <w:rPr>
                <w:bCs/>
                <w:iCs/>
                <w:lang w:eastAsia="sk-SK"/>
              </w:rPr>
              <w:t>o</w:t>
            </w:r>
            <w:r w:rsidRPr="00075C81">
              <w:rPr>
                <w:bCs/>
                <w:iCs/>
                <w:lang w:eastAsia="sk-SK"/>
              </w:rPr>
              <w:t>  zdrojov</w:t>
            </w:r>
            <w:r>
              <w:rPr>
                <w:bCs/>
                <w:iCs/>
                <w:lang w:eastAsia="sk-SK"/>
              </w:rPr>
              <w:t xml:space="preserve"> EÚ</w:t>
            </w:r>
            <w:r w:rsidRPr="00075C81">
              <w:rPr>
                <w:bCs/>
                <w:iCs/>
                <w:lang w:eastAsia="sk-SK"/>
              </w:rPr>
              <w:t>, v súčasnosti nie je možné odhadnúť</w:t>
            </w:r>
          </w:p>
        </w:tc>
      </w:tr>
      <w:tr w:rsidR="00181DBB" w:rsidRPr="00075C81" w14:paraId="3D1E30C9" w14:textId="77777777" w:rsidTr="00AD1466">
        <w:trPr>
          <w:trHeight w:val="70"/>
          <w:jc w:val="center"/>
        </w:trPr>
        <w:tc>
          <w:tcPr>
            <w:tcW w:w="4661" w:type="dxa"/>
            <w:noWrap/>
            <w:vAlign w:val="center"/>
          </w:tcPr>
          <w:p w14:paraId="4019000F" w14:textId="77777777" w:rsidR="00181DBB" w:rsidRPr="007D5748" w:rsidRDefault="00181DBB" w:rsidP="00181DBB">
            <w:pPr>
              <w:rPr>
                <w:b/>
                <w:bCs/>
                <w:i/>
                <w:iCs/>
                <w:lang w:eastAsia="sk-SK"/>
              </w:rPr>
            </w:pPr>
            <w:r w:rsidRPr="007D5748">
              <w:rPr>
                <w:b/>
                <w:bCs/>
                <w:i/>
                <w:iCs/>
                <w:lang w:eastAsia="sk-SK"/>
              </w:rPr>
              <w:t>- vplyv na ŠR</w:t>
            </w:r>
          </w:p>
        </w:tc>
        <w:tc>
          <w:tcPr>
            <w:tcW w:w="1713" w:type="dxa"/>
            <w:noWrap/>
            <w:vAlign w:val="center"/>
          </w:tcPr>
          <w:p w14:paraId="1A2421FC" w14:textId="77777777" w:rsidR="00181DBB" w:rsidRPr="00075C81" w:rsidRDefault="00181DBB" w:rsidP="00181DBB">
            <w:pPr>
              <w:jc w:val="right"/>
              <w:rPr>
                <w:bCs/>
                <w:lang w:eastAsia="sk-SK"/>
              </w:rPr>
            </w:pPr>
            <w:r w:rsidRPr="00075C81">
              <w:rPr>
                <w:bCs/>
                <w:lang w:eastAsia="sk-SK"/>
              </w:rPr>
              <w:t>0</w:t>
            </w:r>
          </w:p>
        </w:tc>
        <w:tc>
          <w:tcPr>
            <w:tcW w:w="1684" w:type="dxa"/>
            <w:noWrap/>
            <w:vAlign w:val="center"/>
          </w:tcPr>
          <w:p w14:paraId="77386E8D" w14:textId="77777777" w:rsidR="00181DBB" w:rsidRPr="00075C81" w:rsidRDefault="00181DBB" w:rsidP="00181DBB">
            <w:pPr>
              <w:jc w:val="right"/>
              <w:rPr>
                <w:bCs/>
                <w:lang w:eastAsia="sk-SK"/>
              </w:rPr>
            </w:pPr>
            <w:r w:rsidRPr="00075C81">
              <w:rPr>
                <w:bCs/>
                <w:lang w:eastAsia="sk-SK"/>
              </w:rPr>
              <w:t>0</w:t>
            </w:r>
          </w:p>
        </w:tc>
        <w:tc>
          <w:tcPr>
            <w:tcW w:w="1393" w:type="dxa"/>
            <w:noWrap/>
            <w:vAlign w:val="center"/>
          </w:tcPr>
          <w:p w14:paraId="4AF6054B" w14:textId="77777777" w:rsidR="00181DBB" w:rsidRPr="00075C81" w:rsidRDefault="00181DBB" w:rsidP="00181DBB">
            <w:pPr>
              <w:jc w:val="right"/>
              <w:rPr>
                <w:bCs/>
                <w:lang w:eastAsia="sk-SK"/>
              </w:rPr>
            </w:pPr>
            <w:r w:rsidRPr="00075C81">
              <w:rPr>
                <w:bCs/>
                <w:lang w:eastAsia="sk-SK"/>
              </w:rPr>
              <w:t>0</w:t>
            </w:r>
          </w:p>
        </w:tc>
        <w:tc>
          <w:tcPr>
            <w:tcW w:w="1393" w:type="dxa"/>
            <w:noWrap/>
            <w:vAlign w:val="center"/>
          </w:tcPr>
          <w:p w14:paraId="5B35E1A4" w14:textId="77777777" w:rsidR="00181DBB" w:rsidRPr="00075C81" w:rsidRDefault="00181DBB" w:rsidP="00181DBB">
            <w:pPr>
              <w:jc w:val="right"/>
              <w:rPr>
                <w:bCs/>
                <w:lang w:eastAsia="sk-SK"/>
              </w:rPr>
            </w:pPr>
            <w:r w:rsidRPr="00075C81">
              <w:rPr>
                <w:bCs/>
                <w:lang w:eastAsia="sk-SK"/>
              </w:rPr>
              <w:t>0</w:t>
            </w:r>
          </w:p>
        </w:tc>
      </w:tr>
      <w:tr w:rsidR="00181DBB" w:rsidRPr="00075C81" w14:paraId="3FFD53B7" w14:textId="77777777" w:rsidTr="00AD1466">
        <w:trPr>
          <w:trHeight w:val="70"/>
          <w:jc w:val="center"/>
        </w:trPr>
        <w:tc>
          <w:tcPr>
            <w:tcW w:w="4661" w:type="dxa"/>
            <w:noWrap/>
            <w:vAlign w:val="center"/>
          </w:tcPr>
          <w:p w14:paraId="4A42718D" w14:textId="77777777" w:rsidR="00181DBB" w:rsidRPr="007D5748" w:rsidRDefault="00181DBB" w:rsidP="00181DBB">
            <w:pPr>
              <w:ind w:left="259"/>
              <w:rPr>
                <w:b/>
                <w:bCs/>
                <w:i/>
                <w:iCs/>
                <w:lang w:eastAsia="sk-SK"/>
              </w:rPr>
            </w:pPr>
            <w:r>
              <w:rPr>
                <w:bCs/>
                <w:i/>
                <w:iCs/>
                <w:lang w:eastAsia="sk-SK"/>
              </w:rPr>
              <w:t>Rozpočtové prostriedky</w:t>
            </w:r>
          </w:p>
        </w:tc>
        <w:tc>
          <w:tcPr>
            <w:tcW w:w="1713" w:type="dxa"/>
            <w:noWrap/>
            <w:vAlign w:val="center"/>
          </w:tcPr>
          <w:p w14:paraId="720B0297" w14:textId="77777777" w:rsidR="00181DBB" w:rsidRPr="00075C81" w:rsidRDefault="00181DBB" w:rsidP="00181DBB">
            <w:pPr>
              <w:jc w:val="right"/>
              <w:rPr>
                <w:bCs/>
                <w:lang w:eastAsia="sk-SK"/>
              </w:rPr>
            </w:pPr>
            <w:r w:rsidRPr="00075C81">
              <w:rPr>
                <w:bCs/>
                <w:lang w:eastAsia="sk-SK"/>
              </w:rPr>
              <w:t>0</w:t>
            </w:r>
          </w:p>
        </w:tc>
        <w:tc>
          <w:tcPr>
            <w:tcW w:w="1684" w:type="dxa"/>
            <w:noWrap/>
            <w:vAlign w:val="center"/>
          </w:tcPr>
          <w:p w14:paraId="2B6F48ED" w14:textId="77777777" w:rsidR="00181DBB" w:rsidRPr="00075C81" w:rsidRDefault="00181DBB" w:rsidP="00181DBB">
            <w:pPr>
              <w:jc w:val="right"/>
              <w:rPr>
                <w:bCs/>
                <w:lang w:eastAsia="sk-SK"/>
              </w:rPr>
            </w:pPr>
            <w:r w:rsidRPr="00075C81">
              <w:rPr>
                <w:bCs/>
                <w:lang w:eastAsia="sk-SK"/>
              </w:rPr>
              <w:t>0</w:t>
            </w:r>
          </w:p>
        </w:tc>
        <w:tc>
          <w:tcPr>
            <w:tcW w:w="1393" w:type="dxa"/>
            <w:noWrap/>
            <w:vAlign w:val="center"/>
          </w:tcPr>
          <w:p w14:paraId="674D7F7E" w14:textId="77777777" w:rsidR="00181DBB" w:rsidRPr="00075C81" w:rsidRDefault="00181DBB" w:rsidP="00181DBB">
            <w:pPr>
              <w:jc w:val="right"/>
              <w:rPr>
                <w:bCs/>
                <w:lang w:eastAsia="sk-SK"/>
              </w:rPr>
            </w:pPr>
            <w:r w:rsidRPr="00075C81">
              <w:rPr>
                <w:bCs/>
                <w:lang w:eastAsia="sk-SK"/>
              </w:rPr>
              <w:t>0</w:t>
            </w:r>
          </w:p>
        </w:tc>
        <w:tc>
          <w:tcPr>
            <w:tcW w:w="1393" w:type="dxa"/>
            <w:noWrap/>
            <w:vAlign w:val="center"/>
          </w:tcPr>
          <w:p w14:paraId="2320E4FC" w14:textId="77777777" w:rsidR="00181DBB" w:rsidRPr="00075C81" w:rsidRDefault="00181DBB" w:rsidP="00181DBB">
            <w:pPr>
              <w:jc w:val="right"/>
              <w:rPr>
                <w:bCs/>
                <w:lang w:eastAsia="sk-SK"/>
              </w:rPr>
            </w:pPr>
            <w:r w:rsidRPr="00075C81">
              <w:rPr>
                <w:bCs/>
                <w:lang w:eastAsia="sk-SK"/>
              </w:rPr>
              <w:t>0</w:t>
            </w:r>
          </w:p>
        </w:tc>
      </w:tr>
      <w:tr w:rsidR="00181DBB" w:rsidRPr="00075C81" w14:paraId="43559DF4" w14:textId="77777777" w:rsidTr="00AD1466">
        <w:trPr>
          <w:trHeight w:val="70"/>
          <w:jc w:val="center"/>
        </w:trPr>
        <w:tc>
          <w:tcPr>
            <w:tcW w:w="4661" w:type="dxa"/>
            <w:noWrap/>
            <w:vAlign w:val="center"/>
          </w:tcPr>
          <w:p w14:paraId="748167D9" w14:textId="77777777" w:rsidR="00181DBB" w:rsidRPr="007D5748" w:rsidRDefault="00181DBB" w:rsidP="00181DBB">
            <w:pPr>
              <w:rPr>
                <w:bCs/>
                <w:i/>
                <w:iCs/>
                <w:lang w:eastAsia="sk-SK"/>
              </w:rPr>
            </w:pPr>
            <w:r w:rsidRPr="007D5748">
              <w:rPr>
                <w:bCs/>
                <w:i/>
                <w:iCs/>
                <w:lang w:eastAsia="sk-SK"/>
              </w:rPr>
              <w:t xml:space="preserve">    EÚ zdroje</w:t>
            </w:r>
            <w:r>
              <w:rPr>
                <w:bCs/>
                <w:i/>
                <w:iCs/>
                <w:lang w:eastAsia="sk-SK"/>
              </w:rPr>
              <w:t xml:space="preserve"> – nie je možné vyčísliť </w:t>
            </w:r>
          </w:p>
        </w:tc>
        <w:tc>
          <w:tcPr>
            <w:tcW w:w="1713" w:type="dxa"/>
            <w:noWrap/>
            <w:vAlign w:val="center"/>
          </w:tcPr>
          <w:p w14:paraId="2379DDE7" w14:textId="77777777" w:rsidR="00181DBB" w:rsidRPr="00075C81" w:rsidRDefault="00181DBB" w:rsidP="00181DBB">
            <w:pPr>
              <w:jc w:val="right"/>
              <w:rPr>
                <w:lang w:eastAsia="sk-SK"/>
              </w:rPr>
            </w:pPr>
            <w:r w:rsidRPr="00075C81">
              <w:rPr>
                <w:lang w:eastAsia="sk-SK"/>
              </w:rPr>
              <w:t>0</w:t>
            </w:r>
          </w:p>
        </w:tc>
        <w:tc>
          <w:tcPr>
            <w:tcW w:w="1684" w:type="dxa"/>
            <w:noWrap/>
            <w:vAlign w:val="center"/>
          </w:tcPr>
          <w:p w14:paraId="1542BA51" w14:textId="77777777" w:rsidR="00181DBB" w:rsidRPr="00075C81" w:rsidRDefault="00181DBB" w:rsidP="00181DBB">
            <w:pPr>
              <w:jc w:val="right"/>
              <w:rPr>
                <w:lang w:eastAsia="sk-SK"/>
              </w:rPr>
            </w:pPr>
            <w:r w:rsidRPr="00075C81">
              <w:rPr>
                <w:lang w:eastAsia="sk-SK"/>
              </w:rPr>
              <w:t>0</w:t>
            </w:r>
          </w:p>
        </w:tc>
        <w:tc>
          <w:tcPr>
            <w:tcW w:w="1393" w:type="dxa"/>
            <w:noWrap/>
            <w:vAlign w:val="center"/>
          </w:tcPr>
          <w:p w14:paraId="3BF26F45" w14:textId="77777777" w:rsidR="00181DBB" w:rsidRPr="00075C81" w:rsidRDefault="00181DBB" w:rsidP="00181DBB">
            <w:pPr>
              <w:jc w:val="right"/>
              <w:rPr>
                <w:lang w:eastAsia="sk-SK"/>
              </w:rPr>
            </w:pPr>
            <w:r w:rsidRPr="00075C81">
              <w:rPr>
                <w:lang w:eastAsia="sk-SK"/>
              </w:rPr>
              <w:t>0</w:t>
            </w:r>
          </w:p>
        </w:tc>
        <w:tc>
          <w:tcPr>
            <w:tcW w:w="1393" w:type="dxa"/>
            <w:noWrap/>
            <w:vAlign w:val="center"/>
          </w:tcPr>
          <w:p w14:paraId="5EA38C98" w14:textId="77777777" w:rsidR="00181DBB" w:rsidRPr="00075C81" w:rsidRDefault="00181DBB" w:rsidP="00181DBB">
            <w:pPr>
              <w:jc w:val="right"/>
              <w:rPr>
                <w:lang w:eastAsia="sk-SK"/>
              </w:rPr>
            </w:pPr>
            <w:r w:rsidRPr="00075C81">
              <w:rPr>
                <w:lang w:eastAsia="sk-SK"/>
              </w:rPr>
              <w:t>0</w:t>
            </w:r>
          </w:p>
        </w:tc>
      </w:tr>
      <w:tr w:rsidR="00181DBB" w:rsidRPr="00075C81" w14:paraId="3228F298" w14:textId="77777777" w:rsidTr="00AD1466">
        <w:trPr>
          <w:trHeight w:val="70"/>
          <w:jc w:val="center"/>
        </w:trPr>
        <w:tc>
          <w:tcPr>
            <w:tcW w:w="4661" w:type="dxa"/>
            <w:noWrap/>
            <w:vAlign w:val="center"/>
          </w:tcPr>
          <w:p w14:paraId="46996159" w14:textId="77777777" w:rsidR="00181DBB" w:rsidRPr="007D5748" w:rsidRDefault="00181DBB" w:rsidP="00181DBB">
            <w:pPr>
              <w:rPr>
                <w:bCs/>
                <w:i/>
                <w:iCs/>
                <w:lang w:eastAsia="sk-SK"/>
              </w:rPr>
            </w:pPr>
            <w:r w:rsidRPr="007D5748">
              <w:rPr>
                <w:bCs/>
                <w:i/>
                <w:iCs/>
                <w:lang w:eastAsia="sk-SK"/>
              </w:rPr>
              <w:t xml:space="preserve">    spolufinancovanie</w:t>
            </w:r>
          </w:p>
        </w:tc>
        <w:tc>
          <w:tcPr>
            <w:tcW w:w="1713" w:type="dxa"/>
            <w:noWrap/>
            <w:vAlign w:val="center"/>
          </w:tcPr>
          <w:p w14:paraId="053866A8" w14:textId="77777777" w:rsidR="00181DBB" w:rsidRPr="00075C81" w:rsidRDefault="00181DBB" w:rsidP="00181DBB">
            <w:pPr>
              <w:jc w:val="right"/>
              <w:rPr>
                <w:lang w:eastAsia="sk-SK"/>
              </w:rPr>
            </w:pPr>
            <w:r w:rsidRPr="00075C81">
              <w:rPr>
                <w:lang w:eastAsia="sk-SK"/>
              </w:rPr>
              <w:t>0</w:t>
            </w:r>
          </w:p>
        </w:tc>
        <w:tc>
          <w:tcPr>
            <w:tcW w:w="1684" w:type="dxa"/>
            <w:noWrap/>
            <w:vAlign w:val="center"/>
          </w:tcPr>
          <w:p w14:paraId="5FC6EDE8" w14:textId="77777777" w:rsidR="00181DBB" w:rsidRPr="00075C81" w:rsidRDefault="00181DBB" w:rsidP="00181DBB">
            <w:pPr>
              <w:jc w:val="right"/>
              <w:rPr>
                <w:lang w:eastAsia="sk-SK"/>
              </w:rPr>
            </w:pPr>
            <w:r w:rsidRPr="00075C81">
              <w:rPr>
                <w:lang w:eastAsia="sk-SK"/>
              </w:rPr>
              <w:t>0</w:t>
            </w:r>
          </w:p>
        </w:tc>
        <w:tc>
          <w:tcPr>
            <w:tcW w:w="1393" w:type="dxa"/>
            <w:noWrap/>
            <w:vAlign w:val="center"/>
          </w:tcPr>
          <w:p w14:paraId="6DA1C3EE" w14:textId="77777777" w:rsidR="00181DBB" w:rsidRPr="00075C81" w:rsidRDefault="00181DBB" w:rsidP="00181DBB">
            <w:pPr>
              <w:jc w:val="right"/>
              <w:rPr>
                <w:lang w:eastAsia="sk-SK"/>
              </w:rPr>
            </w:pPr>
            <w:r w:rsidRPr="00075C81">
              <w:rPr>
                <w:lang w:eastAsia="sk-SK"/>
              </w:rPr>
              <w:t>0</w:t>
            </w:r>
          </w:p>
        </w:tc>
        <w:tc>
          <w:tcPr>
            <w:tcW w:w="1393" w:type="dxa"/>
            <w:noWrap/>
            <w:vAlign w:val="center"/>
          </w:tcPr>
          <w:p w14:paraId="71E67BD1" w14:textId="77777777" w:rsidR="00181DBB" w:rsidRPr="00075C81" w:rsidRDefault="00181DBB" w:rsidP="00181DBB">
            <w:pPr>
              <w:jc w:val="right"/>
              <w:rPr>
                <w:lang w:eastAsia="sk-SK"/>
              </w:rPr>
            </w:pPr>
            <w:r w:rsidRPr="00075C81">
              <w:rPr>
                <w:lang w:eastAsia="sk-SK"/>
              </w:rPr>
              <w:t>0</w:t>
            </w:r>
          </w:p>
        </w:tc>
      </w:tr>
      <w:tr w:rsidR="00181DBB" w:rsidRPr="00075C81" w14:paraId="47909969" w14:textId="77777777" w:rsidTr="00AD1466">
        <w:trPr>
          <w:trHeight w:val="125"/>
          <w:jc w:val="center"/>
        </w:trPr>
        <w:tc>
          <w:tcPr>
            <w:tcW w:w="4661" w:type="dxa"/>
            <w:noWrap/>
            <w:vAlign w:val="center"/>
          </w:tcPr>
          <w:p w14:paraId="67EF79D2" w14:textId="77777777" w:rsidR="00181DBB" w:rsidRPr="007D5748" w:rsidRDefault="00181DBB" w:rsidP="00181DBB">
            <w:pPr>
              <w:rPr>
                <w:b/>
                <w:bCs/>
                <w:i/>
                <w:iCs/>
                <w:lang w:eastAsia="sk-SK"/>
              </w:rPr>
            </w:pPr>
            <w:r w:rsidRPr="007D5748">
              <w:rPr>
                <w:b/>
                <w:bCs/>
                <w:i/>
                <w:iCs/>
                <w:lang w:eastAsia="sk-SK"/>
              </w:rPr>
              <w:t>- vplyv na obce</w:t>
            </w:r>
          </w:p>
        </w:tc>
        <w:tc>
          <w:tcPr>
            <w:tcW w:w="1713" w:type="dxa"/>
            <w:noWrap/>
            <w:vAlign w:val="center"/>
          </w:tcPr>
          <w:p w14:paraId="69216DDD" w14:textId="77777777" w:rsidR="00181DBB" w:rsidRPr="00075C81" w:rsidRDefault="00181DBB" w:rsidP="00181DBB">
            <w:pPr>
              <w:jc w:val="right"/>
              <w:rPr>
                <w:bCs/>
                <w:iCs/>
                <w:lang w:eastAsia="sk-SK"/>
              </w:rPr>
            </w:pPr>
            <w:r w:rsidRPr="00075C81">
              <w:rPr>
                <w:bCs/>
                <w:iCs/>
                <w:lang w:eastAsia="sk-SK"/>
              </w:rPr>
              <w:t>0</w:t>
            </w:r>
          </w:p>
        </w:tc>
        <w:tc>
          <w:tcPr>
            <w:tcW w:w="1684" w:type="dxa"/>
            <w:noWrap/>
            <w:vAlign w:val="center"/>
          </w:tcPr>
          <w:p w14:paraId="4280ABCC" w14:textId="77777777" w:rsidR="00181DBB" w:rsidRPr="00075C81" w:rsidRDefault="00181DBB" w:rsidP="00181DBB">
            <w:pPr>
              <w:jc w:val="right"/>
              <w:rPr>
                <w:bCs/>
                <w:iCs/>
                <w:lang w:eastAsia="sk-SK"/>
              </w:rPr>
            </w:pPr>
            <w:r w:rsidRPr="00075C81">
              <w:rPr>
                <w:bCs/>
                <w:iCs/>
                <w:lang w:eastAsia="sk-SK"/>
              </w:rPr>
              <w:t>0</w:t>
            </w:r>
          </w:p>
        </w:tc>
        <w:tc>
          <w:tcPr>
            <w:tcW w:w="1393" w:type="dxa"/>
            <w:noWrap/>
            <w:vAlign w:val="center"/>
          </w:tcPr>
          <w:p w14:paraId="5D4B9C41" w14:textId="77777777" w:rsidR="00181DBB" w:rsidRPr="00075C81" w:rsidRDefault="00181DBB" w:rsidP="00181DBB">
            <w:pPr>
              <w:jc w:val="right"/>
              <w:rPr>
                <w:bCs/>
                <w:iCs/>
                <w:lang w:eastAsia="sk-SK"/>
              </w:rPr>
            </w:pPr>
            <w:r w:rsidRPr="00075C81">
              <w:rPr>
                <w:bCs/>
                <w:iCs/>
                <w:lang w:eastAsia="sk-SK"/>
              </w:rPr>
              <w:t>0</w:t>
            </w:r>
          </w:p>
        </w:tc>
        <w:tc>
          <w:tcPr>
            <w:tcW w:w="1393" w:type="dxa"/>
            <w:noWrap/>
            <w:vAlign w:val="center"/>
          </w:tcPr>
          <w:p w14:paraId="38B66013" w14:textId="77777777" w:rsidR="00181DBB" w:rsidRPr="00075C81" w:rsidRDefault="00181DBB" w:rsidP="00181DBB">
            <w:pPr>
              <w:jc w:val="right"/>
              <w:rPr>
                <w:bCs/>
                <w:iCs/>
                <w:lang w:eastAsia="sk-SK"/>
              </w:rPr>
            </w:pPr>
            <w:r w:rsidRPr="00075C81">
              <w:rPr>
                <w:bCs/>
                <w:iCs/>
                <w:lang w:eastAsia="sk-SK"/>
              </w:rPr>
              <w:t>0</w:t>
            </w:r>
          </w:p>
        </w:tc>
      </w:tr>
      <w:tr w:rsidR="00181DBB" w:rsidRPr="00075C81" w14:paraId="0F188A8D" w14:textId="77777777" w:rsidTr="00AD1466">
        <w:trPr>
          <w:trHeight w:val="125"/>
          <w:jc w:val="center"/>
        </w:trPr>
        <w:tc>
          <w:tcPr>
            <w:tcW w:w="4661" w:type="dxa"/>
            <w:noWrap/>
            <w:vAlign w:val="center"/>
          </w:tcPr>
          <w:p w14:paraId="115A2930" w14:textId="77777777" w:rsidR="00181DBB" w:rsidRPr="007D5748" w:rsidRDefault="00181DBB" w:rsidP="00181DBB">
            <w:pPr>
              <w:rPr>
                <w:b/>
                <w:bCs/>
                <w:i/>
                <w:iCs/>
                <w:lang w:eastAsia="sk-SK"/>
              </w:rPr>
            </w:pPr>
            <w:r w:rsidRPr="007D5748">
              <w:rPr>
                <w:b/>
                <w:bCs/>
                <w:i/>
                <w:iCs/>
                <w:lang w:eastAsia="sk-SK"/>
              </w:rPr>
              <w:t>- vplyv na vyššie územné celky</w:t>
            </w:r>
          </w:p>
        </w:tc>
        <w:tc>
          <w:tcPr>
            <w:tcW w:w="1713" w:type="dxa"/>
            <w:noWrap/>
            <w:vAlign w:val="center"/>
          </w:tcPr>
          <w:p w14:paraId="4AEADA52" w14:textId="77777777" w:rsidR="00181DBB" w:rsidRPr="00075C81" w:rsidRDefault="00181DBB" w:rsidP="00181DBB">
            <w:pPr>
              <w:jc w:val="right"/>
              <w:rPr>
                <w:bCs/>
                <w:iCs/>
                <w:lang w:eastAsia="sk-SK"/>
              </w:rPr>
            </w:pPr>
            <w:r w:rsidRPr="00075C81">
              <w:rPr>
                <w:bCs/>
                <w:iCs/>
                <w:lang w:eastAsia="sk-SK"/>
              </w:rPr>
              <w:t>0</w:t>
            </w:r>
          </w:p>
        </w:tc>
        <w:tc>
          <w:tcPr>
            <w:tcW w:w="1684" w:type="dxa"/>
            <w:noWrap/>
            <w:vAlign w:val="center"/>
          </w:tcPr>
          <w:p w14:paraId="2EC66B5C" w14:textId="77777777" w:rsidR="00181DBB" w:rsidRPr="00075C81" w:rsidRDefault="00181DBB" w:rsidP="00181DBB">
            <w:pPr>
              <w:jc w:val="right"/>
              <w:rPr>
                <w:bCs/>
                <w:iCs/>
                <w:lang w:eastAsia="sk-SK"/>
              </w:rPr>
            </w:pPr>
            <w:r w:rsidRPr="00075C81">
              <w:rPr>
                <w:bCs/>
                <w:iCs/>
                <w:lang w:eastAsia="sk-SK"/>
              </w:rPr>
              <w:t>0</w:t>
            </w:r>
          </w:p>
        </w:tc>
        <w:tc>
          <w:tcPr>
            <w:tcW w:w="1393" w:type="dxa"/>
            <w:noWrap/>
            <w:vAlign w:val="center"/>
          </w:tcPr>
          <w:p w14:paraId="0D116DA9" w14:textId="77777777" w:rsidR="00181DBB" w:rsidRPr="00075C81" w:rsidRDefault="00181DBB" w:rsidP="00181DBB">
            <w:pPr>
              <w:jc w:val="right"/>
              <w:rPr>
                <w:bCs/>
                <w:iCs/>
                <w:lang w:eastAsia="sk-SK"/>
              </w:rPr>
            </w:pPr>
            <w:r w:rsidRPr="00075C81">
              <w:rPr>
                <w:bCs/>
                <w:iCs/>
                <w:lang w:eastAsia="sk-SK"/>
              </w:rPr>
              <w:t>0</w:t>
            </w:r>
          </w:p>
        </w:tc>
        <w:tc>
          <w:tcPr>
            <w:tcW w:w="1393" w:type="dxa"/>
            <w:noWrap/>
            <w:vAlign w:val="center"/>
          </w:tcPr>
          <w:p w14:paraId="70A89993" w14:textId="77777777" w:rsidR="00181DBB" w:rsidRPr="00075C81" w:rsidRDefault="00181DBB" w:rsidP="00181DBB">
            <w:pPr>
              <w:jc w:val="right"/>
              <w:rPr>
                <w:bCs/>
                <w:iCs/>
                <w:lang w:eastAsia="sk-SK"/>
              </w:rPr>
            </w:pPr>
            <w:r w:rsidRPr="00075C81">
              <w:rPr>
                <w:bCs/>
                <w:iCs/>
                <w:lang w:eastAsia="sk-SK"/>
              </w:rPr>
              <w:t>0</w:t>
            </w:r>
          </w:p>
        </w:tc>
      </w:tr>
      <w:tr w:rsidR="00181DBB" w:rsidRPr="00075C81" w14:paraId="3742E3F9" w14:textId="77777777" w:rsidTr="00AD1466">
        <w:trPr>
          <w:trHeight w:val="70"/>
          <w:jc w:val="center"/>
        </w:trPr>
        <w:tc>
          <w:tcPr>
            <w:tcW w:w="4661" w:type="dxa"/>
            <w:noWrap/>
            <w:vAlign w:val="center"/>
          </w:tcPr>
          <w:p w14:paraId="3B87F74C" w14:textId="77777777" w:rsidR="00181DBB" w:rsidRPr="007D5748" w:rsidRDefault="00181DBB" w:rsidP="00181DBB">
            <w:pPr>
              <w:rPr>
                <w:b/>
                <w:bCs/>
                <w:lang w:eastAsia="sk-SK"/>
              </w:rPr>
            </w:pPr>
            <w:r w:rsidRPr="007D5748">
              <w:rPr>
                <w:b/>
                <w:bCs/>
                <w:i/>
                <w:iCs/>
                <w:lang w:eastAsia="sk-SK"/>
              </w:rPr>
              <w:t>- vplyv na ostatné subjekty verejnej správy</w:t>
            </w:r>
          </w:p>
        </w:tc>
        <w:tc>
          <w:tcPr>
            <w:tcW w:w="1713" w:type="dxa"/>
            <w:noWrap/>
            <w:vAlign w:val="center"/>
          </w:tcPr>
          <w:p w14:paraId="6A2701AA" w14:textId="77777777" w:rsidR="00181DBB" w:rsidRPr="00075C81" w:rsidRDefault="00181DBB" w:rsidP="00181DBB">
            <w:pPr>
              <w:jc w:val="right"/>
              <w:rPr>
                <w:bCs/>
                <w:iCs/>
                <w:lang w:eastAsia="sk-SK"/>
              </w:rPr>
            </w:pPr>
            <w:r w:rsidRPr="00075C81">
              <w:rPr>
                <w:bCs/>
                <w:iCs/>
                <w:lang w:eastAsia="sk-SK"/>
              </w:rPr>
              <w:t>0</w:t>
            </w:r>
          </w:p>
        </w:tc>
        <w:tc>
          <w:tcPr>
            <w:tcW w:w="1684" w:type="dxa"/>
            <w:noWrap/>
            <w:vAlign w:val="center"/>
          </w:tcPr>
          <w:p w14:paraId="7577B58A" w14:textId="77777777" w:rsidR="00181DBB" w:rsidRPr="00075C81" w:rsidRDefault="00181DBB" w:rsidP="00181DBB">
            <w:pPr>
              <w:jc w:val="right"/>
              <w:rPr>
                <w:bCs/>
                <w:iCs/>
                <w:lang w:eastAsia="sk-SK"/>
              </w:rPr>
            </w:pPr>
            <w:r w:rsidRPr="00075C81">
              <w:rPr>
                <w:bCs/>
                <w:iCs/>
                <w:lang w:eastAsia="sk-SK"/>
              </w:rPr>
              <w:t>0</w:t>
            </w:r>
          </w:p>
        </w:tc>
        <w:tc>
          <w:tcPr>
            <w:tcW w:w="1393" w:type="dxa"/>
            <w:noWrap/>
            <w:vAlign w:val="center"/>
          </w:tcPr>
          <w:p w14:paraId="0C7C66B9" w14:textId="77777777" w:rsidR="00181DBB" w:rsidRPr="00075C81" w:rsidRDefault="00181DBB" w:rsidP="00181DBB">
            <w:pPr>
              <w:jc w:val="right"/>
              <w:rPr>
                <w:bCs/>
                <w:iCs/>
                <w:lang w:eastAsia="sk-SK"/>
              </w:rPr>
            </w:pPr>
            <w:r w:rsidRPr="00075C81">
              <w:rPr>
                <w:bCs/>
                <w:iCs/>
                <w:lang w:eastAsia="sk-SK"/>
              </w:rPr>
              <w:t>0</w:t>
            </w:r>
          </w:p>
        </w:tc>
        <w:tc>
          <w:tcPr>
            <w:tcW w:w="1393" w:type="dxa"/>
            <w:noWrap/>
            <w:vAlign w:val="center"/>
          </w:tcPr>
          <w:p w14:paraId="1B7D76CA" w14:textId="77777777" w:rsidR="00181DBB" w:rsidRPr="00075C81" w:rsidRDefault="00181DBB" w:rsidP="00181DBB">
            <w:pPr>
              <w:jc w:val="right"/>
              <w:rPr>
                <w:bCs/>
                <w:iCs/>
                <w:lang w:eastAsia="sk-SK"/>
              </w:rPr>
            </w:pPr>
            <w:r w:rsidRPr="00075C81">
              <w:rPr>
                <w:bCs/>
                <w:iCs/>
                <w:lang w:eastAsia="sk-SK"/>
              </w:rPr>
              <w:t>0</w:t>
            </w:r>
          </w:p>
        </w:tc>
      </w:tr>
      <w:tr w:rsidR="00181DBB" w:rsidRPr="00075C81" w14:paraId="73681EC2" w14:textId="77777777" w:rsidTr="00AD1466">
        <w:trPr>
          <w:trHeight w:val="70"/>
          <w:jc w:val="center"/>
        </w:trPr>
        <w:tc>
          <w:tcPr>
            <w:tcW w:w="4661" w:type="dxa"/>
            <w:shd w:val="clear" w:color="auto" w:fill="BFBFBF" w:themeFill="background1" w:themeFillShade="BF"/>
            <w:noWrap/>
            <w:vAlign w:val="center"/>
          </w:tcPr>
          <w:p w14:paraId="1C3090F7" w14:textId="77777777" w:rsidR="00181DBB" w:rsidRPr="007D5748" w:rsidRDefault="00181DBB" w:rsidP="00181DBB">
            <w:pPr>
              <w:rPr>
                <w:b/>
                <w:bCs/>
                <w:lang w:eastAsia="sk-SK"/>
              </w:rPr>
            </w:pPr>
            <w:r w:rsidRPr="007D5748">
              <w:rPr>
                <w:b/>
                <w:bCs/>
                <w:lang w:eastAsia="sk-SK"/>
              </w:rPr>
              <w:t xml:space="preserve">Vplyv na počet zamestnancov </w:t>
            </w:r>
          </w:p>
        </w:tc>
        <w:tc>
          <w:tcPr>
            <w:tcW w:w="1713" w:type="dxa"/>
            <w:shd w:val="clear" w:color="auto" w:fill="BFBFBF" w:themeFill="background1" w:themeFillShade="BF"/>
            <w:noWrap/>
            <w:vAlign w:val="center"/>
          </w:tcPr>
          <w:p w14:paraId="0E360E7A" w14:textId="77777777" w:rsidR="00181DBB" w:rsidRPr="00075C81" w:rsidRDefault="00181DBB" w:rsidP="00181DBB">
            <w:pPr>
              <w:jc w:val="right"/>
              <w:rPr>
                <w:bCs/>
                <w:lang w:eastAsia="sk-SK"/>
              </w:rPr>
            </w:pPr>
            <w:r w:rsidRPr="00075C81">
              <w:rPr>
                <w:bCs/>
                <w:lang w:eastAsia="sk-SK"/>
              </w:rPr>
              <w:t>0</w:t>
            </w:r>
          </w:p>
        </w:tc>
        <w:tc>
          <w:tcPr>
            <w:tcW w:w="1684" w:type="dxa"/>
            <w:shd w:val="clear" w:color="auto" w:fill="BFBFBF" w:themeFill="background1" w:themeFillShade="BF"/>
            <w:noWrap/>
            <w:vAlign w:val="center"/>
          </w:tcPr>
          <w:p w14:paraId="4AD62161" w14:textId="77777777" w:rsidR="00181DBB" w:rsidRPr="00075C81" w:rsidRDefault="00181DBB" w:rsidP="00181DBB">
            <w:pPr>
              <w:jc w:val="right"/>
              <w:rPr>
                <w:bCs/>
                <w:lang w:eastAsia="sk-SK"/>
              </w:rPr>
            </w:pPr>
            <w:r w:rsidRPr="00075C81">
              <w:rPr>
                <w:bCs/>
                <w:lang w:eastAsia="sk-SK"/>
              </w:rPr>
              <w:t>0</w:t>
            </w:r>
          </w:p>
        </w:tc>
        <w:tc>
          <w:tcPr>
            <w:tcW w:w="1393" w:type="dxa"/>
            <w:shd w:val="clear" w:color="auto" w:fill="BFBFBF" w:themeFill="background1" w:themeFillShade="BF"/>
            <w:noWrap/>
            <w:vAlign w:val="center"/>
          </w:tcPr>
          <w:p w14:paraId="13CB75E2" w14:textId="77777777" w:rsidR="00181DBB" w:rsidRPr="00075C81" w:rsidRDefault="00181DBB" w:rsidP="00181DBB">
            <w:pPr>
              <w:jc w:val="right"/>
              <w:rPr>
                <w:bCs/>
                <w:lang w:eastAsia="sk-SK"/>
              </w:rPr>
            </w:pPr>
            <w:r w:rsidRPr="00075C81">
              <w:rPr>
                <w:bCs/>
                <w:lang w:eastAsia="sk-SK"/>
              </w:rPr>
              <w:t>0</w:t>
            </w:r>
          </w:p>
        </w:tc>
        <w:tc>
          <w:tcPr>
            <w:tcW w:w="1393" w:type="dxa"/>
            <w:shd w:val="clear" w:color="auto" w:fill="BFBFBF" w:themeFill="background1" w:themeFillShade="BF"/>
            <w:noWrap/>
            <w:vAlign w:val="center"/>
          </w:tcPr>
          <w:p w14:paraId="7F762B4D" w14:textId="77777777" w:rsidR="00181DBB" w:rsidRPr="00075C81" w:rsidRDefault="00181DBB" w:rsidP="00181DBB">
            <w:pPr>
              <w:jc w:val="right"/>
              <w:rPr>
                <w:bCs/>
                <w:lang w:eastAsia="sk-SK"/>
              </w:rPr>
            </w:pPr>
            <w:r w:rsidRPr="00075C81">
              <w:rPr>
                <w:bCs/>
                <w:lang w:eastAsia="sk-SK"/>
              </w:rPr>
              <w:t>0</w:t>
            </w:r>
          </w:p>
        </w:tc>
      </w:tr>
      <w:tr w:rsidR="00181DBB" w:rsidRPr="00075C81" w14:paraId="087D6FBF" w14:textId="77777777" w:rsidTr="00AD1466">
        <w:trPr>
          <w:trHeight w:val="70"/>
          <w:jc w:val="center"/>
        </w:trPr>
        <w:tc>
          <w:tcPr>
            <w:tcW w:w="4661" w:type="dxa"/>
            <w:noWrap/>
            <w:vAlign w:val="center"/>
          </w:tcPr>
          <w:p w14:paraId="7C70E6FE" w14:textId="77777777" w:rsidR="00181DBB" w:rsidRPr="007D5748" w:rsidRDefault="00181DBB" w:rsidP="00181DBB">
            <w:pPr>
              <w:rPr>
                <w:b/>
                <w:bCs/>
                <w:i/>
                <w:iCs/>
                <w:lang w:eastAsia="sk-SK"/>
              </w:rPr>
            </w:pPr>
            <w:r w:rsidRPr="007D5748">
              <w:rPr>
                <w:b/>
                <w:bCs/>
                <w:i/>
                <w:iCs/>
                <w:lang w:eastAsia="sk-SK"/>
              </w:rPr>
              <w:t>- vplyv na ŠR</w:t>
            </w:r>
          </w:p>
        </w:tc>
        <w:tc>
          <w:tcPr>
            <w:tcW w:w="1713" w:type="dxa"/>
            <w:noWrap/>
            <w:vAlign w:val="center"/>
          </w:tcPr>
          <w:p w14:paraId="125A9B7B" w14:textId="77777777" w:rsidR="00181DBB" w:rsidRPr="00075C81" w:rsidRDefault="00181DBB" w:rsidP="00181DBB">
            <w:pPr>
              <w:jc w:val="right"/>
              <w:rPr>
                <w:bCs/>
                <w:iCs/>
                <w:lang w:eastAsia="sk-SK"/>
              </w:rPr>
            </w:pPr>
            <w:r w:rsidRPr="00075C81">
              <w:rPr>
                <w:bCs/>
                <w:iCs/>
                <w:lang w:eastAsia="sk-SK"/>
              </w:rPr>
              <w:t>0</w:t>
            </w:r>
          </w:p>
        </w:tc>
        <w:tc>
          <w:tcPr>
            <w:tcW w:w="1684" w:type="dxa"/>
            <w:noWrap/>
            <w:vAlign w:val="center"/>
          </w:tcPr>
          <w:p w14:paraId="390B853E" w14:textId="77777777" w:rsidR="00181DBB" w:rsidRPr="00075C81" w:rsidRDefault="00181DBB" w:rsidP="00181DBB">
            <w:pPr>
              <w:jc w:val="right"/>
              <w:rPr>
                <w:bCs/>
                <w:iCs/>
                <w:lang w:eastAsia="sk-SK"/>
              </w:rPr>
            </w:pPr>
            <w:r w:rsidRPr="00075C81">
              <w:rPr>
                <w:bCs/>
                <w:iCs/>
                <w:lang w:eastAsia="sk-SK"/>
              </w:rPr>
              <w:t>0</w:t>
            </w:r>
          </w:p>
        </w:tc>
        <w:tc>
          <w:tcPr>
            <w:tcW w:w="1393" w:type="dxa"/>
            <w:noWrap/>
            <w:vAlign w:val="center"/>
          </w:tcPr>
          <w:p w14:paraId="0A0360E9" w14:textId="77777777" w:rsidR="00181DBB" w:rsidRPr="00075C81" w:rsidRDefault="00181DBB" w:rsidP="00181DBB">
            <w:pPr>
              <w:jc w:val="right"/>
              <w:rPr>
                <w:bCs/>
                <w:iCs/>
                <w:lang w:eastAsia="sk-SK"/>
              </w:rPr>
            </w:pPr>
            <w:r w:rsidRPr="00075C81">
              <w:rPr>
                <w:bCs/>
                <w:iCs/>
                <w:lang w:eastAsia="sk-SK"/>
              </w:rPr>
              <w:t>0</w:t>
            </w:r>
          </w:p>
        </w:tc>
        <w:tc>
          <w:tcPr>
            <w:tcW w:w="1393" w:type="dxa"/>
            <w:noWrap/>
            <w:vAlign w:val="center"/>
          </w:tcPr>
          <w:p w14:paraId="3EA985C3" w14:textId="77777777" w:rsidR="00181DBB" w:rsidRPr="00075C81" w:rsidRDefault="00181DBB" w:rsidP="00181DBB">
            <w:pPr>
              <w:jc w:val="right"/>
              <w:rPr>
                <w:bCs/>
                <w:iCs/>
                <w:lang w:eastAsia="sk-SK"/>
              </w:rPr>
            </w:pPr>
            <w:r w:rsidRPr="00075C81">
              <w:rPr>
                <w:bCs/>
                <w:iCs/>
                <w:lang w:eastAsia="sk-SK"/>
              </w:rPr>
              <w:t>0</w:t>
            </w:r>
          </w:p>
        </w:tc>
      </w:tr>
      <w:tr w:rsidR="00181DBB" w:rsidRPr="00075C81" w14:paraId="3A81FD1B" w14:textId="77777777" w:rsidTr="00AD1466">
        <w:trPr>
          <w:trHeight w:val="70"/>
          <w:jc w:val="center"/>
        </w:trPr>
        <w:tc>
          <w:tcPr>
            <w:tcW w:w="4661" w:type="dxa"/>
            <w:noWrap/>
            <w:vAlign w:val="center"/>
          </w:tcPr>
          <w:p w14:paraId="4F34A710" w14:textId="77777777" w:rsidR="00181DBB" w:rsidRPr="007D5748" w:rsidRDefault="00181DBB" w:rsidP="00181DBB">
            <w:pPr>
              <w:rPr>
                <w:b/>
                <w:bCs/>
                <w:i/>
                <w:iCs/>
                <w:lang w:eastAsia="sk-SK"/>
              </w:rPr>
            </w:pPr>
            <w:r w:rsidRPr="007D5748">
              <w:rPr>
                <w:b/>
                <w:bCs/>
                <w:i/>
                <w:iCs/>
                <w:lang w:eastAsia="sk-SK"/>
              </w:rPr>
              <w:t>- vplyv na obce</w:t>
            </w:r>
          </w:p>
        </w:tc>
        <w:tc>
          <w:tcPr>
            <w:tcW w:w="1713" w:type="dxa"/>
            <w:noWrap/>
            <w:vAlign w:val="center"/>
          </w:tcPr>
          <w:p w14:paraId="31F9DEE4" w14:textId="77777777" w:rsidR="00181DBB" w:rsidRPr="00075C81" w:rsidRDefault="00181DBB" w:rsidP="00181DBB">
            <w:pPr>
              <w:jc w:val="right"/>
              <w:rPr>
                <w:bCs/>
                <w:iCs/>
                <w:lang w:eastAsia="sk-SK"/>
              </w:rPr>
            </w:pPr>
            <w:r w:rsidRPr="00075C81">
              <w:rPr>
                <w:bCs/>
                <w:iCs/>
                <w:lang w:eastAsia="sk-SK"/>
              </w:rPr>
              <w:t>0</w:t>
            </w:r>
          </w:p>
        </w:tc>
        <w:tc>
          <w:tcPr>
            <w:tcW w:w="1684" w:type="dxa"/>
            <w:noWrap/>
            <w:vAlign w:val="center"/>
          </w:tcPr>
          <w:p w14:paraId="59E88EA5" w14:textId="77777777" w:rsidR="00181DBB" w:rsidRPr="00075C81" w:rsidRDefault="00181DBB" w:rsidP="00181DBB">
            <w:pPr>
              <w:jc w:val="right"/>
              <w:rPr>
                <w:bCs/>
                <w:iCs/>
                <w:lang w:eastAsia="sk-SK"/>
              </w:rPr>
            </w:pPr>
            <w:r w:rsidRPr="00075C81">
              <w:rPr>
                <w:bCs/>
                <w:iCs/>
                <w:lang w:eastAsia="sk-SK"/>
              </w:rPr>
              <w:t>0</w:t>
            </w:r>
          </w:p>
        </w:tc>
        <w:tc>
          <w:tcPr>
            <w:tcW w:w="1393" w:type="dxa"/>
            <w:noWrap/>
            <w:vAlign w:val="center"/>
          </w:tcPr>
          <w:p w14:paraId="49B52429" w14:textId="77777777" w:rsidR="00181DBB" w:rsidRPr="00075C81" w:rsidRDefault="00181DBB" w:rsidP="00181DBB">
            <w:pPr>
              <w:jc w:val="right"/>
              <w:rPr>
                <w:bCs/>
                <w:iCs/>
                <w:lang w:eastAsia="sk-SK"/>
              </w:rPr>
            </w:pPr>
            <w:r w:rsidRPr="00075C81">
              <w:rPr>
                <w:bCs/>
                <w:iCs/>
                <w:lang w:eastAsia="sk-SK"/>
              </w:rPr>
              <w:t>0</w:t>
            </w:r>
          </w:p>
        </w:tc>
        <w:tc>
          <w:tcPr>
            <w:tcW w:w="1393" w:type="dxa"/>
            <w:noWrap/>
            <w:vAlign w:val="center"/>
          </w:tcPr>
          <w:p w14:paraId="45391907" w14:textId="77777777" w:rsidR="00181DBB" w:rsidRPr="00075C81" w:rsidRDefault="00181DBB" w:rsidP="00181DBB">
            <w:pPr>
              <w:jc w:val="right"/>
              <w:rPr>
                <w:bCs/>
                <w:iCs/>
                <w:lang w:eastAsia="sk-SK"/>
              </w:rPr>
            </w:pPr>
            <w:r w:rsidRPr="00075C81">
              <w:rPr>
                <w:bCs/>
                <w:iCs/>
                <w:lang w:eastAsia="sk-SK"/>
              </w:rPr>
              <w:t>0</w:t>
            </w:r>
          </w:p>
        </w:tc>
      </w:tr>
      <w:tr w:rsidR="00181DBB" w:rsidRPr="00075C81" w14:paraId="3F8B785E" w14:textId="77777777" w:rsidTr="00AD1466">
        <w:trPr>
          <w:trHeight w:val="70"/>
          <w:jc w:val="center"/>
        </w:trPr>
        <w:tc>
          <w:tcPr>
            <w:tcW w:w="4661" w:type="dxa"/>
            <w:noWrap/>
            <w:vAlign w:val="center"/>
          </w:tcPr>
          <w:p w14:paraId="27D7CD4D" w14:textId="77777777" w:rsidR="00181DBB" w:rsidRPr="007D5748" w:rsidRDefault="00181DBB" w:rsidP="00181DBB">
            <w:pPr>
              <w:rPr>
                <w:b/>
                <w:bCs/>
                <w:i/>
                <w:iCs/>
                <w:lang w:eastAsia="sk-SK"/>
              </w:rPr>
            </w:pPr>
            <w:r w:rsidRPr="007D5748">
              <w:rPr>
                <w:b/>
                <w:bCs/>
                <w:i/>
                <w:iCs/>
                <w:lang w:eastAsia="sk-SK"/>
              </w:rPr>
              <w:t>- vplyv na vyššie územné celky</w:t>
            </w:r>
          </w:p>
        </w:tc>
        <w:tc>
          <w:tcPr>
            <w:tcW w:w="1713" w:type="dxa"/>
            <w:noWrap/>
            <w:vAlign w:val="center"/>
          </w:tcPr>
          <w:p w14:paraId="1CEBCA4F" w14:textId="77777777" w:rsidR="00181DBB" w:rsidRPr="00075C81" w:rsidRDefault="00181DBB" w:rsidP="00181DBB">
            <w:pPr>
              <w:jc w:val="right"/>
              <w:rPr>
                <w:bCs/>
                <w:iCs/>
                <w:lang w:eastAsia="sk-SK"/>
              </w:rPr>
            </w:pPr>
            <w:r w:rsidRPr="00075C81">
              <w:rPr>
                <w:bCs/>
                <w:iCs/>
                <w:lang w:eastAsia="sk-SK"/>
              </w:rPr>
              <w:t>0</w:t>
            </w:r>
          </w:p>
        </w:tc>
        <w:tc>
          <w:tcPr>
            <w:tcW w:w="1684" w:type="dxa"/>
            <w:noWrap/>
            <w:vAlign w:val="center"/>
          </w:tcPr>
          <w:p w14:paraId="1CBCE92E" w14:textId="77777777" w:rsidR="00181DBB" w:rsidRPr="00075C81" w:rsidRDefault="00181DBB" w:rsidP="00181DBB">
            <w:pPr>
              <w:jc w:val="right"/>
              <w:rPr>
                <w:bCs/>
                <w:iCs/>
                <w:lang w:eastAsia="sk-SK"/>
              </w:rPr>
            </w:pPr>
            <w:r w:rsidRPr="00075C81">
              <w:rPr>
                <w:bCs/>
                <w:iCs/>
                <w:lang w:eastAsia="sk-SK"/>
              </w:rPr>
              <w:t>0</w:t>
            </w:r>
          </w:p>
        </w:tc>
        <w:tc>
          <w:tcPr>
            <w:tcW w:w="1393" w:type="dxa"/>
            <w:noWrap/>
            <w:vAlign w:val="center"/>
          </w:tcPr>
          <w:p w14:paraId="164A5132" w14:textId="77777777" w:rsidR="00181DBB" w:rsidRPr="00075C81" w:rsidRDefault="00181DBB" w:rsidP="00181DBB">
            <w:pPr>
              <w:jc w:val="right"/>
              <w:rPr>
                <w:bCs/>
                <w:iCs/>
                <w:lang w:eastAsia="sk-SK"/>
              </w:rPr>
            </w:pPr>
            <w:r w:rsidRPr="00075C81">
              <w:rPr>
                <w:bCs/>
                <w:iCs/>
                <w:lang w:eastAsia="sk-SK"/>
              </w:rPr>
              <w:t>0</w:t>
            </w:r>
          </w:p>
        </w:tc>
        <w:tc>
          <w:tcPr>
            <w:tcW w:w="1393" w:type="dxa"/>
            <w:noWrap/>
            <w:vAlign w:val="center"/>
          </w:tcPr>
          <w:p w14:paraId="3C19A994" w14:textId="77777777" w:rsidR="00181DBB" w:rsidRPr="00075C81" w:rsidRDefault="00181DBB" w:rsidP="00181DBB">
            <w:pPr>
              <w:jc w:val="right"/>
              <w:rPr>
                <w:bCs/>
                <w:iCs/>
                <w:lang w:eastAsia="sk-SK"/>
              </w:rPr>
            </w:pPr>
            <w:r w:rsidRPr="00075C81">
              <w:rPr>
                <w:bCs/>
                <w:iCs/>
                <w:lang w:eastAsia="sk-SK"/>
              </w:rPr>
              <w:t>0</w:t>
            </w:r>
          </w:p>
        </w:tc>
      </w:tr>
      <w:tr w:rsidR="00181DBB" w:rsidRPr="00075C81" w14:paraId="14EF6BA3" w14:textId="77777777" w:rsidTr="00AD1466">
        <w:trPr>
          <w:trHeight w:val="70"/>
          <w:jc w:val="center"/>
        </w:trPr>
        <w:tc>
          <w:tcPr>
            <w:tcW w:w="4661" w:type="dxa"/>
            <w:noWrap/>
            <w:vAlign w:val="center"/>
          </w:tcPr>
          <w:p w14:paraId="649593AD" w14:textId="77777777" w:rsidR="00181DBB" w:rsidRPr="007D5748" w:rsidRDefault="00181DBB" w:rsidP="00181DBB">
            <w:pPr>
              <w:rPr>
                <w:b/>
                <w:bCs/>
                <w:i/>
                <w:iCs/>
                <w:lang w:eastAsia="sk-SK"/>
              </w:rPr>
            </w:pPr>
            <w:r w:rsidRPr="007D5748">
              <w:rPr>
                <w:b/>
                <w:bCs/>
                <w:i/>
                <w:iCs/>
                <w:lang w:eastAsia="sk-SK"/>
              </w:rPr>
              <w:t>- vplyv na ostatné subjekty verejnej správy</w:t>
            </w:r>
          </w:p>
        </w:tc>
        <w:tc>
          <w:tcPr>
            <w:tcW w:w="1713" w:type="dxa"/>
            <w:noWrap/>
            <w:vAlign w:val="center"/>
          </w:tcPr>
          <w:p w14:paraId="594F3268" w14:textId="77777777" w:rsidR="00181DBB" w:rsidRPr="00075C81" w:rsidRDefault="00181DBB" w:rsidP="00181DBB">
            <w:pPr>
              <w:jc w:val="right"/>
              <w:rPr>
                <w:bCs/>
                <w:iCs/>
                <w:lang w:eastAsia="sk-SK"/>
              </w:rPr>
            </w:pPr>
            <w:r w:rsidRPr="00075C81">
              <w:rPr>
                <w:bCs/>
                <w:iCs/>
                <w:lang w:eastAsia="sk-SK"/>
              </w:rPr>
              <w:t>0</w:t>
            </w:r>
          </w:p>
        </w:tc>
        <w:tc>
          <w:tcPr>
            <w:tcW w:w="1684" w:type="dxa"/>
            <w:noWrap/>
            <w:vAlign w:val="center"/>
          </w:tcPr>
          <w:p w14:paraId="4E4DA276" w14:textId="77777777" w:rsidR="00181DBB" w:rsidRPr="00075C81" w:rsidRDefault="00181DBB" w:rsidP="00181DBB">
            <w:pPr>
              <w:jc w:val="right"/>
              <w:rPr>
                <w:bCs/>
                <w:iCs/>
                <w:lang w:eastAsia="sk-SK"/>
              </w:rPr>
            </w:pPr>
            <w:r w:rsidRPr="00075C81">
              <w:rPr>
                <w:bCs/>
                <w:iCs/>
                <w:lang w:eastAsia="sk-SK"/>
              </w:rPr>
              <w:t>0</w:t>
            </w:r>
          </w:p>
        </w:tc>
        <w:tc>
          <w:tcPr>
            <w:tcW w:w="1393" w:type="dxa"/>
            <w:noWrap/>
            <w:vAlign w:val="center"/>
          </w:tcPr>
          <w:p w14:paraId="135E6B2D" w14:textId="77777777" w:rsidR="00181DBB" w:rsidRPr="00075C81" w:rsidRDefault="00181DBB" w:rsidP="00181DBB">
            <w:pPr>
              <w:jc w:val="right"/>
              <w:rPr>
                <w:bCs/>
                <w:iCs/>
                <w:lang w:eastAsia="sk-SK"/>
              </w:rPr>
            </w:pPr>
            <w:r w:rsidRPr="00075C81">
              <w:rPr>
                <w:bCs/>
                <w:iCs/>
                <w:lang w:eastAsia="sk-SK"/>
              </w:rPr>
              <w:t>0</w:t>
            </w:r>
          </w:p>
        </w:tc>
        <w:tc>
          <w:tcPr>
            <w:tcW w:w="1393" w:type="dxa"/>
            <w:noWrap/>
            <w:vAlign w:val="center"/>
          </w:tcPr>
          <w:p w14:paraId="28425CD0" w14:textId="77777777" w:rsidR="00181DBB" w:rsidRPr="00075C81" w:rsidRDefault="00181DBB" w:rsidP="00181DBB">
            <w:pPr>
              <w:jc w:val="right"/>
              <w:rPr>
                <w:bCs/>
                <w:iCs/>
                <w:lang w:eastAsia="sk-SK"/>
              </w:rPr>
            </w:pPr>
            <w:r w:rsidRPr="00075C81">
              <w:rPr>
                <w:bCs/>
                <w:iCs/>
                <w:lang w:eastAsia="sk-SK"/>
              </w:rPr>
              <w:t>0</w:t>
            </w:r>
          </w:p>
        </w:tc>
      </w:tr>
      <w:tr w:rsidR="00181DBB" w:rsidRPr="00075C81" w14:paraId="3EC5E695" w14:textId="77777777" w:rsidTr="00AD1466">
        <w:trPr>
          <w:trHeight w:val="70"/>
          <w:jc w:val="center"/>
        </w:trPr>
        <w:tc>
          <w:tcPr>
            <w:tcW w:w="4661" w:type="dxa"/>
            <w:shd w:val="clear" w:color="auto" w:fill="BFBFBF" w:themeFill="background1" w:themeFillShade="BF"/>
            <w:noWrap/>
            <w:vAlign w:val="center"/>
          </w:tcPr>
          <w:p w14:paraId="4000F80C" w14:textId="77777777" w:rsidR="00181DBB" w:rsidRPr="007D5748" w:rsidRDefault="00181DBB" w:rsidP="00181DBB">
            <w:pPr>
              <w:rPr>
                <w:b/>
                <w:lang w:eastAsia="sk-SK"/>
              </w:rPr>
            </w:pPr>
            <w:r w:rsidRPr="007D5748">
              <w:rPr>
                <w:b/>
                <w:lang w:eastAsia="sk-SK"/>
              </w:rPr>
              <w:t>Vplyv na mzdové výdavky</w:t>
            </w:r>
          </w:p>
        </w:tc>
        <w:tc>
          <w:tcPr>
            <w:tcW w:w="1713" w:type="dxa"/>
            <w:shd w:val="clear" w:color="auto" w:fill="BFBFBF" w:themeFill="background1" w:themeFillShade="BF"/>
            <w:noWrap/>
            <w:vAlign w:val="center"/>
          </w:tcPr>
          <w:p w14:paraId="0038C82B" w14:textId="77777777" w:rsidR="00181DBB" w:rsidRPr="00075C81" w:rsidRDefault="00181DBB" w:rsidP="00181DBB">
            <w:pPr>
              <w:jc w:val="right"/>
              <w:rPr>
                <w:lang w:eastAsia="sk-SK"/>
              </w:rPr>
            </w:pPr>
            <w:r w:rsidRPr="00075C81">
              <w:rPr>
                <w:lang w:eastAsia="sk-SK"/>
              </w:rPr>
              <w:t>0</w:t>
            </w:r>
          </w:p>
        </w:tc>
        <w:tc>
          <w:tcPr>
            <w:tcW w:w="1684" w:type="dxa"/>
            <w:shd w:val="clear" w:color="auto" w:fill="BFBFBF" w:themeFill="background1" w:themeFillShade="BF"/>
            <w:noWrap/>
            <w:vAlign w:val="center"/>
          </w:tcPr>
          <w:p w14:paraId="1D63CB00" w14:textId="77777777" w:rsidR="00181DBB" w:rsidRPr="00075C81" w:rsidRDefault="00181DBB" w:rsidP="00181DBB">
            <w:pPr>
              <w:jc w:val="right"/>
              <w:rPr>
                <w:lang w:eastAsia="sk-SK"/>
              </w:rPr>
            </w:pPr>
            <w:r w:rsidRPr="00075C81">
              <w:rPr>
                <w:lang w:eastAsia="sk-SK"/>
              </w:rPr>
              <w:t>0</w:t>
            </w:r>
          </w:p>
        </w:tc>
        <w:tc>
          <w:tcPr>
            <w:tcW w:w="1393" w:type="dxa"/>
            <w:shd w:val="clear" w:color="auto" w:fill="BFBFBF" w:themeFill="background1" w:themeFillShade="BF"/>
            <w:noWrap/>
            <w:vAlign w:val="center"/>
          </w:tcPr>
          <w:p w14:paraId="186F8D61" w14:textId="77777777" w:rsidR="00181DBB" w:rsidRPr="00075C81" w:rsidRDefault="00181DBB" w:rsidP="00181DBB">
            <w:pPr>
              <w:jc w:val="right"/>
              <w:rPr>
                <w:lang w:eastAsia="sk-SK"/>
              </w:rPr>
            </w:pPr>
            <w:r w:rsidRPr="00075C81">
              <w:rPr>
                <w:lang w:eastAsia="sk-SK"/>
              </w:rPr>
              <w:t>0</w:t>
            </w:r>
          </w:p>
        </w:tc>
        <w:tc>
          <w:tcPr>
            <w:tcW w:w="1393" w:type="dxa"/>
            <w:shd w:val="clear" w:color="auto" w:fill="BFBFBF" w:themeFill="background1" w:themeFillShade="BF"/>
            <w:noWrap/>
            <w:vAlign w:val="center"/>
          </w:tcPr>
          <w:p w14:paraId="0A8F83F4" w14:textId="77777777" w:rsidR="00181DBB" w:rsidRPr="00075C81" w:rsidRDefault="00181DBB" w:rsidP="00181DBB">
            <w:pPr>
              <w:jc w:val="right"/>
              <w:rPr>
                <w:lang w:eastAsia="sk-SK"/>
              </w:rPr>
            </w:pPr>
            <w:r w:rsidRPr="00075C81">
              <w:rPr>
                <w:lang w:eastAsia="sk-SK"/>
              </w:rPr>
              <w:t>0</w:t>
            </w:r>
          </w:p>
        </w:tc>
      </w:tr>
      <w:tr w:rsidR="00181DBB" w:rsidRPr="00075C81" w14:paraId="5D2AA5CE" w14:textId="77777777" w:rsidTr="00AD1466">
        <w:trPr>
          <w:trHeight w:val="70"/>
          <w:jc w:val="center"/>
        </w:trPr>
        <w:tc>
          <w:tcPr>
            <w:tcW w:w="4661" w:type="dxa"/>
            <w:noWrap/>
            <w:vAlign w:val="center"/>
          </w:tcPr>
          <w:p w14:paraId="492BABC8" w14:textId="77777777" w:rsidR="00181DBB" w:rsidRPr="007D5748" w:rsidRDefault="00181DBB" w:rsidP="00181DBB">
            <w:pPr>
              <w:rPr>
                <w:b/>
                <w:bCs/>
                <w:i/>
                <w:iCs/>
                <w:lang w:eastAsia="sk-SK"/>
              </w:rPr>
            </w:pPr>
            <w:r w:rsidRPr="007D5748">
              <w:rPr>
                <w:b/>
                <w:bCs/>
                <w:i/>
                <w:iCs/>
                <w:lang w:eastAsia="sk-SK"/>
              </w:rPr>
              <w:t>- vplyv na ŠR</w:t>
            </w:r>
          </w:p>
        </w:tc>
        <w:tc>
          <w:tcPr>
            <w:tcW w:w="1713" w:type="dxa"/>
            <w:noWrap/>
            <w:vAlign w:val="center"/>
          </w:tcPr>
          <w:p w14:paraId="2B6A06B4" w14:textId="77777777" w:rsidR="00181DBB" w:rsidRPr="00075C81" w:rsidRDefault="00181DBB" w:rsidP="00181DBB">
            <w:pPr>
              <w:jc w:val="right"/>
              <w:rPr>
                <w:bCs/>
                <w:iCs/>
                <w:lang w:eastAsia="sk-SK"/>
              </w:rPr>
            </w:pPr>
            <w:r w:rsidRPr="00075C81">
              <w:rPr>
                <w:bCs/>
                <w:iCs/>
                <w:lang w:eastAsia="sk-SK"/>
              </w:rPr>
              <w:t>0</w:t>
            </w:r>
          </w:p>
        </w:tc>
        <w:tc>
          <w:tcPr>
            <w:tcW w:w="1684" w:type="dxa"/>
            <w:noWrap/>
            <w:vAlign w:val="center"/>
          </w:tcPr>
          <w:p w14:paraId="1D8FE236" w14:textId="77777777" w:rsidR="00181DBB" w:rsidRPr="00075C81" w:rsidRDefault="00181DBB" w:rsidP="00181DBB">
            <w:pPr>
              <w:jc w:val="right"/>
              <w:rPr>
                <w:bCs/>
                <w:iCs/>
                <w:lang w:eastAsia="sk-SK"/>
              </w:rPr>
            </w:pPr>
            <w:r w:rsidRPr="00075C81">
              <w:rPr>
                <w:bCs/>
                <w:iCs/>
                <w:lang w:eastAsia="sk-SK"/>
              </w:rPr>
              <w:t>0</w:t>
            </w:r>
          </w:p>
        </w:tc>
        <w:tc>
          <w:tcPr>
            <w:tcW w:w="1393" w:type="dxa"/>
            <w:noWrap/>
            <w:vAlign w:val="center"/>
          </w:tcPr>
          <w:p w14:paraId="33E5FBA6" w14:textId="77777777" w:rsidR="00181DBB" w:rsidRPr="00075C81" w:rsidRDefault="00181DBB" w:rsidP="00181DBB">
            <w:pPr>
              <w:jc w:val="right"/>
              <w:rPr>
                <w:bCs/>
                <w:iCs/>
                <w:lang w:eastAsia="sk-SK"/>
              </w:rPr>
            </w:pPr>
            <w:r w:rsidRPr="00075C81">
              <w:rPr>
                <w:bCs/>
                <w:iCs/>
                <w:lang w:eastAsia="sk-SK"/>
              </w:rPr>
              <w:t>0</w:t>
            </w:r>
          </w:p>
        </w:tc>
        <w:tc>
          <w:tcPr>
            <w:tcW w:w="1393" w:type="dxa"/>
            <w:noWrap/>
            <w:vAlign w:val="center"/>
          </w:tcPr>
          <w:p w14:paraId="18F3D477" w14:textId="77777777" w:rsidR="00181DBB" w:rsidRPr="00075C81" w:rsidRDefault="00181DBB" w:rsidP="00181DBB">
            <w:pPr>
              <w:jc w:val="right"/>
              <w:rPr>
                <w:bCs/>
                <w:iCs/>
                <w:lang w:eastAsia="sk-SK"/>
              </w:rPr>
            </w:pPr>
            <w:r w:rsidRPr="00075C81">
              <w:rPr>
                <w:bCs/>
                <w:iCs/>
                <w:lang w:eastAsia="sk-SK"/>
              </w:rPr>
              <w:t>0</w:t>
            </w:r>
          </w:p>
        </w:tc>
      </w:tr>
      <w:tr w:rsidR="00181DBB" w:rsidRPr="00075C81" w14:paraId="3D7E49AA" w14:textId="77777777" w:rsidTr="00AD1466">
        <w:trPr>
          <w:trHeight w:val="70"/>
          <w:jc w:val="center"/>
        </w:trPr>
        <w:tc>
          <w:tcPr>
            <w:tcW w:w="4661" w:type="dxa"/>
            <w:noWrap/>
            <w:vAlign w:val="center"/>
          </w:tcPr>
          <w:p w14:paraId="4827C21A" w14:textId="77777777" w:rsidR="00181DBB" w:rsidRPr="007D5748" w:rsidRDefault="00181DBB" w:rsidP="00181DBB">
            <w:pPr>
              <w:rPr>
                <w:b/>
                <w:bCs/>
                <w:i/>
                <w:iCs/>
                <w:lang w:eastAsia="sk-SK"/>
              </w:rPr>
            </w:pPr>
            <w:r w:rsidRPr="007D5748">
              <w:rPr>
                <w:b/>
                <w:bCs/>
                <w:i/>
                <w:iCs/>
                <w:lang w:eastAsia="sk-SK"/>
              </w:rPr>
              <w:t>- vplyv na obce</w:t>
            </w:r>
          </w:p>
        </w:tc>
        <w:tc>
          <w:tcPr>
            <w:tcW w:w="1713" w:type="dxa"/>
            <w:noWrap/>
            <w:vAlign w:val="center"/>
          </w:tcPr>
          <w:p w14:paraId="384E395C" w14:textId="77777777" w:rsidR="00181DBB" w:rsidRPr="00075C81" w:rsidRDefault="00181DBB" w:rsidP="00181DBB">
            <w:pPr>
              <w:jc w:val="right"/>
              <w:rPr>
                <w:bCs/>
                <w:iCs/>
                <w:lang w:eastAsia="sk-SK"/>
              </w:rPr>
            </w:pPr>
            <w:r w:rsidRPr="00075C81">
              <w:rPr>
                <w:bCs/>
                <w:iCs/>
                <w:lang w:eastAsia="sk-SK"/>
              </w:rPr>
              <w:t>0</w:t>
            </w:r>
          </w:p>
        </w:tc>
        <w:tc>
          <w:tcPr>
            <w:tcW w:w="1684" w:type="dxa"/>
            <w:noWrap/>
            <w:vAlign w:val="center"/>
          </w:tcPr>
          <w:p w14:paraId="2BFB5710" w14:textId="77777777" w:rsidR="00181DBB" w:rsidRPr="00075C81" w:rsidRDefault="00181DBB" w:rsidP="00181DBB">
            <w:pPr>
              <w:jc w:val="right"/>
              <w:rPr>
                <w:bCs/>
                <w:iCs/>
                <w:lang w:eastAsia="sk-SK"/>
              </w:rPr>
            </w:pPr>
            <w:r w:rsidRPr="00075C81">
              <w:rPr>
                <w:bCs/>
                <w:iCs/>
                <w:lang w:eastAsia="sk-SK"/>
              </w:rPr>
              <w:t>0</w:t>
            </w:r>
          </w:p>
        </w:tc>
        <w:tc>
          <w:tcPr>
            <w:tcW w:w="1393" w:type="dxa"/>
            <w:noWrap/>
            <w:vAlign w:val="center"/>
          </w:tcPr>
          <w:p w14:paraId="6447D614" w14:textId="77777777" w:rsidR="00181DBB" w:rsidRPr="00075C81" w:rsidRDefault="00181DBB" w:rsidP="00181DBB">
            <w:pPr>
              <w:jc w:val="right"/>
              <w:rPr>
                <w:bCs/>
                <w:iCs/>
                <w:lang w:eastAsia="sk-SK"/>
              </w:rPr>
            </w:pPr>
            <w:r w:rsidRPr="00075C81">
              <w:rPr>
                <w:bCs/>
                <w:iCs/>
                <w:lang w:eastAsia="sk-SK"/>
              </w:rPr>
              <w:t>0</w:t>
            </w:r>
          </w:p>
        </w:tc>
        <w:tc>
          <w:tcPr>
            <w:tcW w:w="1393" w:type="dxa"/>
            <w:noWrap/>
            <w:vAlign w:val="center"/>
          </w:tcPr>
          <w:p w14:paraId="32ECB23B" w14:textId="77777777" w:rsidR="00181DBB" w:rsidRPr="00075C81" w:rsidRDefault="00181DBB" w:rsidP="00181DBB">
            <w:pPr>
              <w:jc w:val="right"/>
              <w:rPr>
                <w:bCs/>
                <w:iCs/>
                <w:lang w:eastAsia="sk-SK"/>
              </w:rPr>
            </w:pPr>
            <w:r w:rsidRPr="00075C81">
              <w:rPr>
                <w:bCs/>
                <w:iCs/>
                <w:lang w:eastAsia="sk-SK"/>
              </w:rPr>
              <w:t>0</w:t>
            </w:r>
          </w:p>
        </w:tc>
      </w:tr>
      <w:tr w:rsidR="00181DBB" w:rsidRPr="00075C81" w14:paraId="0EA46DCA" w14:textId="77777777" w:rsidTr="00AD1466">
        <w:trPr>
          <w:trHeight w:val="70"/>
          <w:jc w:val="center"/>
        </w:trPr>
        <w:tc>
          <w:tcPr>
            <w:tcW w:w="4661" w:type="dxa"/>
            <w:noWrap/>
            <w:vAlign w:val="center"/>
          </w:tcPr>
          <w:p w14:paraId="30DCDC7F" w14:textId="77777777" w:rsidR="00181DBB" w:rsidRPr="007D5748" w:rsidRDefault="00181DBB" w:rsidP="00181DBB">
            <w:pPr>
              <w:rPr>
                <w:b/>
                <w:bCs/>
                <w:i/>
                <w:iCs/>
                <w:lang w:eastAsia="sk-SK"/>
              </w:rPr>
            </w:pPr>
            <w:r w:rsidRPr="007D5748">
              <w:rPr>
                <w:b/>
                <w:bCs/>
                <w:i/>
                <w:iCs/>
                <w:lang w:eastAsia="sk-SK"/>
              </w:rPr>
              <w:t>- vplyv na vyššie územné celky</w:t>
            </w:r>
          </w:p>
        </w:tc>
        <w:tc>
          <w:tcPr>
            <w:tcW w:w="1713" w:type="dxa"/>
            <w:noWrap/>
            <w:vAlign w:val="center"/>
          </w:tcPr>
          <w:p w14:paraId="2403B088" w14:textId="77777777" w:rsidR="00181DBB" w:rsidRPr="00075C81" w:rsidRDefault="00181DBB" w:rsidP="00181DBB">
            <w:pPr>
              <w:jc w:val="right"/>
              <w:rPr>
                <w:bCs/>
                <w:iCs/>
                <w:lang w:eastAsia="sk-SK"/>
              </w:rPr>
            </w:pPr>
            <w:r w:rsidRPr="00075C81">
              <w:rPr>
                <w:bCs/>
                <w:iCs/>
                <w:lang w:eastAsia="sk-SK"/>
              </w:rPr>
              <w:t>0</w:t>
            </w:r>
          </w:p>
        </w:tc>
        <w:tc>
          <w:tcPr>
            <w:tcW w:w="1684" w:type="dxa"/>
            <w:noWrap/>
            <w:vAlign w:val="center"/>
          </w:tcPr>
          <w:p w14:paraId="3C981451" w14:textId="77777777" w:rsidR="00181DBB" w:rsidRPr="00075C81" w:rsidRDefault="00181DBB" w:rsidP="00181DBB">
            <w:pPr>
              <w:jc w:val="right"/>
              <w:rPr>
                <w:bCs/>
                <w:iCs/>
                <w:lang w:eastAsia="sk-SK"/>
              </w:rPr>
            </w:pPr>
            <w:r w:rsidRPr="00075C81">
              <w:rPr>
                <w:bCs/>
                <w:iCs/>
                <w:lang w:eastAsia="sk-SK"/>
              </w:rPr>
              <w:t>0</w:t>
            </w:r>
          </w:p>
        </w:tc>
        <w:tc>
          <w:tcPr>
            <w:tcW w:w="1393" w:type="dxa"/>
            <w:noWrap/>
            <w:vAlign w:val="center"/>
          </w:tcPr>
          <w:p w14:paraId="31504922" w14:textId="77777777" w:rsidR="00181DBB" w:rsidRPr="00075C81" w:rsidRDefault="00181DBB" w:rsidP="00181DBB">
            <w:pPr>
              <w:jc w:val="right"/>
              <w:rPr>
                <w:bCs/>
                <w:iCs/>
                <w:lang w:eastAsia="sk-SK"/>
              </w:rPr>
            </w:pPr>
            <w:r w:rsidRPr="00075C81">
              <w:rPr>
                <w:bCs/>
                <w:iCs/>
                <w:lang w:eastAsia="sk-SK"/>
              </w:rPr>
              <w:t>0</w:t>
            </w:r>
          </w:p>
        </w:tc>
        <w:tc>
          <w:tcPr>
            <w:tcW w:w="1393" w:type="dxa"/>
            <w:noWrap/>
            <w:vAlign w:val="center"/>
          </w:tcPr>
          <w:p w14:paraId="701271CB" w14:textId="77777777" w:rsidR="00181DBB" w:rsidRPr="00075C81" w:rsidRDefault="00181DBB" w:rsidP="00181DBB">
            <w:pPr>
              <w:jc w:val="right"/>
              <w:rPr>
                <w:bCs/>
                <w:iCs/>
                <w:lang w:eastAsia="sk-SK"/>
              </w:rPr>
            </w:pPr>
            <w:r w:rsidRPr="00075C81">
              <w:rPr>
                <w:bCs/>
                <w:iCs/>
                <w:lang w:eastAsia="sk-SK"/>
              </w:rPr>
              <w:t>0</w:t>
            </w:r>
          </w:p>
        </w:tc>
      </w:tr>
      <w:tr w:rsidR="00181DBB" w:rsidRPr="00075C81" w14:paraId="241FF6C7" w14:textId="77777777" w:rsidTr="00AD1466">
        <w:trPr>
          <w:trHeight w:val="70"/>
          <w:jc w:val="center"/>
        </w:trPr>
        <w:tc>
          <w:tcPr>
            <w:tcW w:w="4661" w:type="dxa"/>
            <w:noWrap/>
            <w:vAlign w:val="center"/>
          </w:tcPr>
          <w:p w14:paraId="5514875E" w14:textId="77777777" w:rsidR="00181DBB" w:rsidRPr="007D5748" w:rsidRDefault="00181DBB" w:rsidP="00181DBB">
            <w:pPr>
              <w:rPr>
                <w:b/>
                <w:bCs/>
                <w:lang w:eastAsia="sk-SK"/>
              </w:rPr>
            </w:pPr>
            <w:r w:rsidRPr="007D5748">
              <w:rPr>
                <w:b/>
                <w:bCs/>
                <w:i/>
                <w:iCs/>
                <w:lang w:eastAsia="sk-SK"/>
              </w:rPr>
              <w:t>- vplyv na ostatné subjekty verejnej správy</w:t>
            </w:r>
          </w:p>
        </w:tc>
        <w:tc>
          <w:tcPr>
            <w:tcW w:w="1713" w:type="dxa"/>
            <w:noWrap/>
            <w:vAlign w:val="center"/>
          </w:tcPr>
          <w:p w14:paraId="0F9A08B4" w14:textId="77777777" w:rsidR="00181DBB" w:rsidRPr="00075C81" w:rsidRDefault="00181DBB" w:rsidP="00181DBB">
            <w:pPr>
              <w:jc w:val="right"/>
              <w:rPr>
                <w:bCs/>
                <w:iCs/>
                <w:lang w:eastAsia="sk-SK"/>
              </w:rPr>
            </w:pPr>
            <w:r w:rsidRPr="00075C81">
              <w:rPr>
                <w:bCs/>
                <w:iCs/>
                <w:lang w:eastAsia="sk-SK"/>
              </w:rPr>
              <w:t>0</w:t>
            </w:r>
          </w:p>
        </w:tc>
        <w:tc>
          <w:tcPr>
            <w:tcW w:w="1684" w:type="dxa"/>
            <w:noWrap/>
            <w:vAlign w:val="center"/>
          </w:tcPr>
          <w:p w14:paraId="234C95EB" w14:textId="77777777" w:rsidR="00181DBB" w:rsidRPr="00075C81" w:rsidRDefault="00181DBB" w:rsidP="00181DBB">
            <w:pPr>
              <w:jc w:val="right"/>
              <w:rPr>
                <w:bCs/>
                <w:iCs/>
                <w:lang w:eastAsia="sk-SK"/>
              </w:rPr>
            </w:pPr>
            <w:r w:rsidRPr="00075C81">
              <w:rPr>
                <w:bCs/>
                <w:iCs/>
                <w:lang w:eastAsia="sk-SK"/>
              </w:rPr>
              <w:t>0</w:t>
            </w:r>
          </w:p>
        </w:tc>
        <w:tc>
          <w:tcPr>
            <w:tcW w:w="1393" w:type="dxa"/>
            <w:noWrap/>
            <w:vAlign w:val="center"/>
          </w:tcPr>
          <w:p w14:paraId="4C201882" w14:textId="77777777" w:rsidR="00181DBB" w:rsidRPr="00075C81" w:rsidRDefault="00181DBB" w:rsidP="00181DBB">
            <w:pPr>
              <w:jc w:val="right"/>
              <w:rPr>
                <w:bCs/>
                <w:iCs/>
                <w:lang w:eastAsia="sk-SK"/>
              </w:rPr>
            </w:pPr>
            <w:r w:rsidRPr="00075C81">
              <w:rPr>
                <w:bCs/>
                <w:iCs/>
                <w:lang w:eastAsia="sk-SK"/>
              </w:rPr>
              <w:t>0</w:t>
            </w:r>
          </w:p>
        </w:tc>
        <w:tc>
          <w:tcPr>
            <w:tcW w:w="1393" w:type="dxa"/>
            <w:noWrap/>
            <w:vAlign w:val="center"/>
          </w:tcPr>
          <w:p w14:paraId="06591FA7" w14:textId="77777777" w:rsidR="00181DBB" w:rsidRPr="00075C81" w:rsidRDefault="00181DBB" w:rsidP="00181DBB">
            <w:pPr>
              <w:jc w:val="right"/>
              <w:rPr>
                <w:bCs/>
                <w:iCs/>
                <w:lang w:eastAsia="sk-SK"/>
              </w:rPr>
            </w:pPr>
            <w:r w:rsidRPr="00075C81">
              <w:rPr>
                <w:bCs/>
                <w:iCs/>
                <w:lang w:eastAsia="sk-SK"/>
              </w:rPr>
              <w:t>0</w:t>
            </w:r>
          </w:p>
        </w:tc>
      </w:tr>
      <w:tr w:rsidR="00AD1466" w:rsidRPr="00075C81" w14:paraId="52F603CE" w14:textId="77777777" w:rsidTr="00AD1466">
        <w:trPr>
          <w:trHeight w:val="70"/>
          <w:jc w:val="center"/>
        </w:trPr>
        <w:tc>
          <w:tcPr>
            <w:tcW w:w="4661" w:type="dxa"/>
            <w:shd w:val="clear" w:color="auto" w:fill="C0C0C0"/>
            <w:noWrap/>
            <w:vAlign w:val="center"/>
          </w:tcPr>
          <w:p w14:paraId="794AF11A" w14:textId="77777777" w:rsidR="00AD1466" w:rsidRPr="007D5748" w:rsidRDefault="00AD1466" w:rsidP="00AD1466">
            <w:pPr>
              <w:rPr>
                <w:b/>
                <w:bCs/>
                <w:lang w:eastAsia="sk-SK"/>
              </w:rPr>
            </w:pPr>
            <w:r w:rsidRPr="007D5748">
              <w:rPr>
                <w:b/>
                <w:bCs/>
                <w:lang w:eastAsia="sk-SK"/>
              </w:rPr>
              <w:t>Financovanie zabezpečené v rozpočte</w:t>
            </w:r>
          </w:p>
        </w:tc>
        <w:tc>
          <w:tcPr>
            <w:tcW w:w="1713" w:type="dxa"/>
            <w:shd w:val="clear" w:color="auto" w:fill="C0C0C0"/>
            <w:noWrap/>
            <w:vAlign w:val="center"/>
          </w:tcPr>
          <w:p w14:paraId="4B107738" w14:textId="271E9E6F" w:rsidR="00AD1466" w:rsidRPr="00075C81" w:rsidRDefault="00AD1466" w:rsidP="00AD1466">
            <w:pPr>
              <w:jc w:val="right"/>
              <w:rPr>
                <w:bCs/>
                <w:lang w:eastAsia="sk-SK"/>
              </w:rPr>
            </w:pPr>
            <w:r>
              <w:rPr>
                <w:bCs/>
                <w:lang w:eastAsia="sk-SK"/>
              </w:rPr>
              <w:t>6 000 000,0</w:t>
            </w:r>
            <w:r w:rsidRPr="00075C81">
              <w:rPr>
                <w:bCs/>
                <w:lang w:eastAsia="sk-SK"/>
              </w:rPr>
              <w:t>0</w:t>
            </w:r>
          </w:p>
        </w:tc>
        <w:tc>
          <w:tcPr>
            <w:tcW w:w="1684" w:type="dxa"/>
            <w:shd w:val="clear" w:color="auto" w:fill="C0C0C0"/>
            <w:noWrap/>
            <w:vAlign w:val="center"/>
          </w:tcPr>
          <w:p w14:paraId="51BA7416" w14:textId="0E35B6D9" w:rsidR="00AD1466" w:rsidRPr="00075C81" w:rsidRDefault="00AD1466" w:rsidP="00AD1466">
            <w:pPr>
              <w:jc w:val="right"/>
              <w:rPr>
                <w:bCs/>
                <w:lang w:eastAsia="sk-SK"/>
              </w:rPr>
            </w:pPr>
            <w:r>
              <w:rPr>
                <w:bCs/>
                <w:lang w:eastAsia="sk-SK"/>
              </w:rPr>
              <w:t>0</w:t>
            </w:r>
          </w:p>
        </w:tc>
        <w:tc>
          <w:tcPr>
            <w:tcW w:w="1393" w:type="dxa"/>
            <w:shd w:val="clear" w:color="auto" w:fill="C0C0C0"/>
            <w:noWrap/>
            <w:vAlign w:val="center"/>
          </w:tcPr>
          <w:p w14:paraId="79045A89" w14:textId="77777777" w:rsidR="00AD1466" w:rsidRPr="00075C81" w:rsidRDefault="00AD1466" w:rsidP="00AD1466">
            <w:pPr>
              <w:jc w:val="right"/>
              <w:rPr>
                <w:bCs/>
                <w:lang w:eastAsia="sk-SK"/>
              </w:rPr>
            </w:pPr>
            <w:r w:rsidRPr="00075C81">
              <w:rPr>
                <w:bCs/>
                <w:lang w:eastAsia="sk-SK"/>
              </w:rPr>
              <w:t>0</w:t>
            </w:r>
          </w:p>
        </w:tc>
        <w:tc>
          <w:tcPr>
            <w:tcW w:w="1393" w:type="dxa"/>
            <w:shd w:val="clear" w:color="auto" w:fill="C0C0C0"/>
            <w:noWrap/>
            <w:vAlign w:val="center"/>
          </w:tcPr>
          <w:p w14:paraId="37124536" w14:textId="77777777" w:rsidR="00AD1466" w:rsidRPr="00075C81" w:rsidRDefault="00AD1466" w:rsidP="00AD1466">
            <w:pPr>
              <w:jc w:val="right"/>
              <w:rPr>
                <w:bCs/>
                <w:lang w:eastAsia="sk-SK"/>
              </w:rPr>
            </w:pPr>
            <w:r w:rsidRPr="00075C81">
              <w:rPr>
                <w:bCs/>
                <w:lang w:eastAsia="sk-SK"/>
              </w:rPr>
              <w:t>0</w:t>
            </w:r>
          </w:p>
        </w:tc>
      </w:tr>
      <w:tr w:rsidR="00AD1466" w:rsidRPr="00075C81" w14:paraId="2EA3AC3C" w14:textId="77777777" w:rsidTr="00AD1466">
        <w:trPr>
          <w:trHeight w:val="70"/>
          <w:jc w:val="center"/>
        </w:trPr>
        <w:tc>
          <w:tcPr>
            <w:tcW w:w="4661" w:type="dxa"/>
            <w:shd w:val="clear" w:color="auto" w:fill="auto"/>
            <w:noWrap/>
            <w:vAlign w:val="center"/>
          </w:tcPr>
          <w:p w14:paraId="42FCD1D9" w14:textId="46F85659" w:rsidR="00AD1466" w:rsidRPr="007D5748" w:rsidRDefault="00AD1466" w:rsidP="00AD1466">
            <w:pPr>
              <w:rPr>
                <w:lang w:eastAsia="sk-SK"/>
              </w:rPr>
            </w:pPr>
            <w:r w:rsidRPr="000B27FD">
              <w:rPr>
                <w:iCs/>
                <w:lang w:eastAsia="sk-SK"/>
              </w:rPr>
              <w:t>Opatrenie č.2 MH SR</w:t>
            </w:r>
            <w:r>
              <w:rPr>
                <w:iCs/>
                <w:lang w:eastAsia="sk-SK"/>
              </w:rPr>
              <w:t>, úspory v rámci programu 07K Rozvoj priemyslu a podnikania</w:t>
            </w:r>
          </w:p>
        </w:tc>
        <w:tc>
          <w:tcPr>
            <w:tcW w:w="1713" w:type="dxa"/>
            <w:shd w:val="clear" w:color="auto" w:fill="auto"/>
            <w:noWrap/>
            <w:vAlign w:val="center"/>
          </w:tcPr>
          <w:p w14:paraId="780B4DC4" w14:textId="5CB0D3C7" w:rsidR="00AD1466" w:rsidRPr="00075C81" w:rsidRDefault="00AD1466" w:rsidP="00AD1466">
            <w:pPr>
              <w:jc w:val="right"/>
              <w:rPr>
                <w:lang w:eastAsia="sk-SK"/>
              </w:rPr>
            </w:pPr>
            <w:r>
              <w:rPr>
                <w:lang w:eastAsia="sk-SK"/>
              </w:rPr>
              <w:t>5 000 000,00</w:t>
            </w:r>
          </w:p>
        </w:tc>
        <w:tc>
          <w:tcPr>
            <w:tcW w:w="1684" w:type="dxa"/>
            <w:shd w:val="clear" w:color="auto" w:fill="auto"/>
            <w:noWrap/>
            <w:vAlign w:val="center"/>
          </w:tcPr>
          <w:p w14:paraId="64B35388" w14:textId="495A5224" w:rsidR="00AD1466" w:rsidRPr="00075C81" w:rsidRDefault="00AD1466" w:rsidP="00AD1466">
            <w:pPr>
              <w:jc w:val="right"/>
              <w:rPr>
                <w:lang w:eastAsia="sk-SK"/>
              </w:rPr>
            </w:pPr>
            <w:r>
              <w:rPr>
                <w:lang w:eastAsia="sk-SK"/>
              </w:rPr>
              <w:t>0</w:t>
            </w:r>
          </w:p>
        </w:tc>
        <w:tc>
          <w:tcPr>
            <w:tcW w:w="1393" w:type="dxa"/>
            <w:shd w:val="clear" w:color="auto" w:fill="auto"/>
            <w:noWrap/>
            <w:vAlign w:val="center"/>
          </w:tcPr>
          <w:p w14:paraId="4E988802" w14:textId="122A3CA3" w:rsidR="00AD1466" w:rsidRPr="00075C81" w:rsidRDefault="00AD1466" w:rsidP="00AD1466">
            <w:pPr>
              <w:jc w:val="right"/>
              <w:rPr>
                <w:lang w:eastAsia="sk-SK"/>
              </w:rPr>
            </w:pPr>
          </w:p>
        </w:tc>
        <w:tc>
          <w:tcPr>
            <w:tcW w:w="1393" w:type="dxa"/>
            <w:shd w:val="clear" w:color="auto" w:fill="auto"/>
            <w:noWrap/>
            <w:vAlign w:val="center"/>
          </w:tcPr>
          <w:p w14:paraId="4CA69B61" w14:textId="7964F8E7" w:rsidR="00AD1466" w:rsidRPr="00075C81" w:rsidRDefault="00AD1466" w:rsidP="00AD1466">
            <w:pPr>
              <w:jc w:val="right"/>
              <w:rPr>
                <w:lang w:eastAsia="sk-SK"/>
              </w:rPr>
            </w:pPr>
          </w:p>
        </w:tc>
      </w:tr>
      <w:tr w:rsidR="00181DBB" w:rsidRPr="00075C81" w14:paraId="63FC2440" w14:textId="77777777" w:rsidTr="00AD1466">
        <w:trPr>
          <w:trHeight w:val="70"/>
          <w:jc w:val="center"/>
        </w:trPr>
        <w:tc>
          <w:tcPr>
            <w:tcW w:w="4661" w:type="dxa"/>
            <w:shd w:val="clear" w:color="auto" w:fill="auto"/>
            <w:noWrap/>
            <w:vAlign w:val="center"/>
          </w:tcPr>
          <w:p w14:paraId="4E4A8394" w14:textId="77777777" w:rsidR="00181DBB" w:rsidRPr="007D5748" w:rsidRDefault="00181DBB" w:rsidP="00181DBB">
            <w:pPr>
              <w:rPr>
                <w:lang w:eastAsia="sk-SK"/>
              </w:rPr>
            </w:pPr>
          </w:p>
        </w:tc>
        <w:tc>
          <w:tcPr>
            <w:tcW w:w="1713" w:type="dxa"/>
            <w:shd w:val="clear" w:color="auto" w:fill="auto"/>
            <w:noWrap/>
            <w:vAlign w:val="center"/>
          </w:tcPr>
          <w:p w14:paraId="1BA6A008" w14:textId="77777777" w:rsidR="00181DBB" w:rsidRPr="00075C81" w:rsidRDefault="00181DBB" w:rsidP="00181DBB">
            <w:pPr>
              <w:jc w:val="right"/>
              <w:rPr>
                <w:lang w:eastAsia="sk-SK"/>
              </w:rPr>
            </w:pPr>
          </w:p>
        </w:tc>
        <w:tc>
          <w:tcPr>
            <w:tcW w:w="1684" w:type="dxa"/>
            <w:shd w:val="clear" w:color="auto" w:fill="auto"/>
            <w:noWrap/>
            <w:vAlign w:val="center"/>
          </w:tcPr>
          <w:p w14:paraId="62560F85" w14:textId="77777777" w:rsidR="00181DBB" w:rsidRPr="00075C81" w:rsidRDefault="00181DBB" w:rsidP="00181DBB">
            <w:pPr>
              <w:jc w:val="right"/>
              <w:rPr>
                <w:lang w:eastAsia="sk-SK"/>
              </w:rPr>
            </w:pPr>
          </w:p>
        </w:tc>
        <w:tc>
          <w:tcPr>
            <w:tcW w:w="1393" w:type="dxa"/>
            <w:shd w:val="clear" w:color="auto" w:fill="auto"/>
            <w:noWrap/>
            <w:vAlign w:val="center"/>
          </w:tcPr>
          <w:p w14:paraId="1A9E5F80" w14:textId="77777777" w:rsidR="00181DBB" w:rsidRPr="00075C81" w:rsidRDefault="00181DBB" w:rsidP="00181DBB">
            <w:pPr>
              <w:jc w:val="right"/>
              <w:rPr>
                <w:lang w:eastAsia="sk-SK"/>
              </w:rPr>
            </w:pPr>
          </w:p>
        </w:tc>
        <w:tc>
          <w:tcPr>
            <w:tcW w:w="1393" w:type="dxa"/>
            <w:shd w:val="clear" w:color="auto" w:fill="auto"/>
            <w:noWrap/>
            <w:vAlign w:val="center"/>
          </w:tcPr>
          <w:p w14:paraId="48C2607B" w14:textId="77777777" w:rsidR="00181DBB" w:rsidRPr="00075C81" w:rsidRDefault="00181DBB" w:rsidP="00181DBB">
            <w:pPr>
              <w:jc w:val="right"/>
              <w:rPr>
                <w:lang w:eastAsia="sk-SK"/>
              </w:rPr>
            </w:pPr>
          </w:p>
        </w:tc>
      </w:tr>
      <w:tr w:rsidR="00181DBB" w:rsidRPr="00075C81" w14:paraId="2DFC1447" w14:textId="77777777" w:rsidTr="00AD1466">
        <w:trPr>
          <w:trHeight w:val="70"/>
          <w:jc w:val="center"/>
        </w:trPr>
        <w:tc>
          <w:tcPr>
            <w:tcW w:w="4661" w:type="dxa"/>
            <w:shd w:val="clear" w:color="auto" w:fill="auto"/>
            <w:noWrap/>
            <w:vAlign w:val="center"/>
          </w:tcPr>
          <w:p w14:paraId="2F2B2087" w14:textId="3FE6B90C" w:rsidR="00181DBB" w:rsidRPr="007D5748" w:rsidRDefault="00181DBB" w:rsidP="001D46F1">
            <w:pPr>
              <w:jc w:val="both"/>
              <w:rPr>
                <w:lang w:eastAsia="sk-SK"/>
              </w:rPr>
            </w:pPr>
            <w:r>
              <w:rPr>
                <w:lang w:eastAsia="sk-SK"/>
              </w:rPr>
              <w:t xml:space="preserve">Opatrenie č. 3 MH SR, </w:t>
            </w:r>
            <w:r w:rsidR="001D46F1" w:rsidRPr="001D46F1">
              <w:rPr>
                <w:iCs/>
                <w:lang w:eastAsia="sk-SK"/>
              </w:rPr>
              <w:t>úspory v rámci programu 07K Rozvoj priemyslu a podnikania</w:t>
            </w:r>
            <w:r w:rsidRPr="001D46F1">
              <w:rPr>
                <w:rFonts w:eastAsiaTheme="minorHAnsi"/>
                <w:szCs w:val="23"/>
              </w:rPr>
              <w:t>.</w:t>
            </w:r>
          </w:p>
        </w:tc>
        <w:tc>
          <w:tcPr>
            <w:tcW w:w="1713" w:type="dxa"/>
            <w:shd w:val="clear" w:color="auto" w:fill="auto"/>
            <w:noWrap/>
            <w:vAlign w:val="center"/>
          </w:tcPr>
          <w:p w14:paraId="248BADC4" w14:textId="737AC695" w:rsidR="00181DBB" w:rsidRPr="00075C81" w:rsidRDefault="00AD1466" w:rsidP="00181DBB">
            <w:pPr>
              <w:jc w:val="right"/>
              <w:rPr>
                <w:lang w:eastAsia="sk-SK"/>
              </w:rPr>
            </w:pPr>
            <w:r w:rsidRPr="00AD1466">
              <w:rPr>
                <w:lang w:eastAsia="sk-SK"/>
              </w:rPr>
              <w:t>1 000 000,00</w:t>
            </w:r>
          </w:p>
        </w:tc>
        <w:tc>
          <w:tcPr>
            <w:tcW w:w="1684" w:type="dxa"/>
            <w:shd w:val="clear" w:color="auto" w:fill="auto"/>
            <w:noWrap/>
            <w:vAlign w:val="center"/>
          </w:tcPr>
          <w:p w14:paraId="1D960B90" w14:textId="3E0633B2" w:rsidR="00181DBB" w:rsidRPr="00075C81" w:rsidRDefault="00AD1466" w:rsidP="00181DBB">
            <w:pPr>
              <w:jc w:val="right"/>
              <w:rPr>
                <w:lang w:eastAsia="sk-SK"/>
              </w:rPr>
            </w:pPr>
            <w:r>
              <w:rPr>
                <w:lang w:eastAsia="sk-SK"/>
              </w:rPr>
              <w:t>0</w:t>
            </w:r>
          </w:p>
        </w:tc>
        <w:tc>
          <w:tcPr>
            <w:tcW w:w="1393" w:type="dxa"/>
            <w:shd w:val="clear" w:color="auto" w:fill="auto"/>
            <w:noWrap/>
            <w:vAlign w:val="center"/>
          </w:tcPr>
          <w:p w14:paraId="20465CDB" w14:textId="76D4D8AC" w:rsidR="00181DBB" w:rsidRPr="00075C81" w:rsidRDefault="00181DBB" w:rsidP="00181DBB">
            <w:pPr>
              <w:jc w:val="right"/>
              <w:rPr>
                <w:lang w:eastAsia="sk-SK"/>
              </w:rPr>
            </w:pPr>
            <w:r>
              <w:rPr>
                <w:lang w:eastAsia="sk-SK"/>
              </w:rPr>
              <w:t>0</w:t>
            </w:r>
          </w:p>
        </w:tc>
        <w:tc>
          <w:tcPr>
            <w:tcW w:w="1393" w:type="dxa"/>
            <w:shd w:val="clear" w:color="auto" w:fill="auto"/>
            <w:noWrap/>
            <w:vAlign w:val="center"/>
          </w:tcPr>
          <w:p w14:paraId="46650EF8" w14:textId="5E89462E" w:rsidR="00181DBB" w:rsidRPr="00075C81" w:rsidRDefault="00181DBB" w:rsidP="00181DBB">
            <w:pPr>
              <w:jc w:val="right"/>
              <w:rPr>
                <w:lang w:eastAsia="sk-SK"/>
              </w:rPr>
            </w:pPr>
            <w:r>
              <w:rPr>
                <w:lang w:eastAsia="sk-SK"/>
              </w:rPr>
              <w:t>0</w:t>
            </w:r>
          </w:p>
        </w:tc>
      </w:tr>
      <w:tr w:rsidR="00181DBB" w:rsidRPr="00075C81" w14:paraId="0B1DF3F0" w14:textId="77777777" w:rsidTr="00AD1466">
        <w:trPr>
          <w:trHeight w:val="70"/>
          <w:jc w:val="center"/>
        </w:trPr>
        <w:tc>
          <w:tcPr>
            <w:tcW w:w="4661" w:type="dxa"/>
            <w:shd w:val="clear" w:color="auto" w:fill="auto"/>
            <w:noWrap/>
            <w:vAlign w:val="center"/>
          </w:tcPr>
          <w:p w14:paraId="58134506" w14:textId="77777777" w:rsidR="00181DBB" w:rsidRPr="007D5748" w:rsidRDefault="00181DBB" w:rsidP="00181DBB">
            <w:pPr>
              <w:rPr>
                <w:b/>
                <w:lang w:eastAsia="sk-SK"/>
              </w:rPr>
            </w:pPr>
            <w:r w:rsidRPr="007D5748">
              <w:rPr>
                <w:b/>
                <w:lang w:eastAsia="sk-SK"/>
              </w:rPr>
              <w:lastRenderedPageBreak/>
              <w:t>Iné ako rozpočtové zdroje</w:t>
            </w:r>
          </w:p>
        </w:tc>
        <w:tc>
          <w:tcPr>
            <w:tcW w:w="1713" w:type="dxa"/>
            <w:shd w:val="clear" w:color="auto" w:fill="auto"/>
            <w:noWrap/>
            <w:vAlign w:val="center"/>
          </w:tcPr>
          <w:p w14:paraId="764BDF1A" w14:textId="77777777" w:rsidR="00181DBB" w:rsidRPr="00075C81" w:rsidRDefault="00181DBB" w:rsidP="00181DBB">
            <w:pPr>
              <w:jc w:val="right"/>
              <w:rPr>
                <w:bCs/>
                <w:lang w:eastAsia="sk-SK"/>
              </w:rPr>
            </w:pPr>
            <w:r w:rsidRPr="00075C81">
              <w:rPr>
                <w:bCs/>
                <w:lang w:eastAsia="sk-SK"/>
              </w:rPr>
              <w:t>0</w:t>
            </w:r>
          </w:p>
        </w:tc>
        <w:tc>
          <w:tcPr>
            <w:tcW w:w="1684" w:type="dxa"/>
            <w:shd w:val="clear" w:color="auto" w:fill="auto"/>
            <w:noWrap/>
            <w:vAlign w:val="center"/>
          </w:tcPr>
          <w:p w14:paraId="57BAE62D" w14:textId="77777777" w:rsidR="00181DBB" w:rsidRPr="00075C81" w:rsidRDefault="00181DBB" w:rsidP="00181DBB">
            <w:pPr>
              <w:jc w:val="right"/>
              <w:rPr>
                <w:bCs/>
                <w:lang w:eastAsia="sk-SK"/>
              </w:rPr>
            </w:pPr>
            <w:r w:rsidRPr="00075C81">
              <w:rPr>
                <w:bCs/>
                <w:lang w:eastAsia="sk-SK"/>
              </w:rPr>
              <w:t>0</w:t>
            </w:r>
          </w:p>
        </w:tc>
        <w:tc>
          <w:tcPr>
            <w:tcW w:w="1393" w:type="dxa"/>
            <w:shd w:val="clear" w:color="auto" w:fill="auto"/>
            <w:noWrap/>
            <w:vAlign w:val="center"/>
          </w:tcPr>
          <w:p w14:paraId="381D1E65" w14:textId="77777777" w:rsidR="00181DBB" w:rsidRPr="00075C81" w:rsidRDefault="00181DBB" w:rsidP="00181DBB">
            <w:pPr>
              <w:jc w:val="right"/>
              <w:rPr>
                <w:bCs/>
                <w:lang w:eastAsia="sk-SK"/>
              </w:rPr>
            </w:pPr>
            <w:r w:rsidRPr="00075C81">
              <w:rPr>
                <w:bCs/>
                <w:lang w:eastAsia="sk-SK"/>
              </w:rPr>
              <w:t>0</w:t>
            </w:r>
          </w:p>
        </w:tc>
        <w:tc>
          <w:tcPr>
            <w:tcW w:w="1393" w:type="dxa"/>
            <w:shd w:val="clear" w:color="auto" w:fill="auto"/>
            <w:noWrap/>
            <w:vAlign w:val="center"/>
          </w:tcPr>
          <w:p w14:paraId="5023DE8F" w14:textId="77777777" w:rsidR="00181DBB" w:rsidRPr="00075C81" w:rsidRDefault="00181DBB" w:rsidP="00181DBB">
            <w:pPr>
              <w:jc w:val="right"/>
              <w:rPr>
                <w:bCs/>
                <w:lang w:eastAsia="sk-SK"/>
              </w:rPr>
            </w:pPr>
            <w:r w:rsidRPr="00075C81">
              <w:rPr>
                <w:bCs/>
                <w:lang w:eastAsia="sk-SK"/>
              </w:rPr>
              <w:t>0</w:t>
            </w:r>
          </w:p>
        </w:tc>
      </w:tr>
      <w:tr w:rsidR="00181DBB" w:rsidRPr="00075C81" w14:paraId="34505D6A" w14:textId="77777777" w:rsidTr="00AD1466">
        <w:trPr>
          <w:trHeight w:val="70"/>
          <w:jc w:val="center"/>
        </w:trPr>
        <w:tc>
          <w:tcPr>
            <w:tcW w:w="4661" w:type="dxa"/>
            <w:shd w:val="clear" w:color="auto" w:fill="BFBFBF" w:themeFill="background1" w:themeFillShade="BF"/>
            <w:noWrap/>
            <w:vAlign w:val="center"/>
          </w:tcPr>
          <w:p w14:paraId="4008906D" w14:textId="77777777" w:rsidR="00181DBB" w:rsidRPr="007D5748" w:rsidRDefault="00181DBB" w:rsidP="00181DBB">
            <w:pPr>
              <w:rPr>
                <w:b/>
                <w:bCs/>
                <w:lang w:eastAsia="sk-SK"/>
              </w:rPr>
            </w:pPr>
            <w:r w:rsidRPr="007D5748">
              <w:rPr>
                <w:b/>
                <w:bCs/>
                <w:lang w:eastAsia="sk-SK"/>
              </w:rPr>
              <w:t>Rozpočtovo nekrytý vplyv / úspora</w:t>
            </w:r>
          </w:p>
        </w:tc>
        <w:tc>
          <w:tcPr>
            <w:tcW w:w="1713" w:type="dxa"/>
            <w:shd w:val="clear" w:color="auto" w:fill="BFBFBF" w:themeFill="background1" w:themeFillShade="BF"/>
            <w:noWrap/>
            <w:vAlign w:val="center"/>
          </w:tcPr>
          <w:p w14:paraId="2399886E" w14:textId="77777777" w:rsidR="00181DBB" w:rsidRPr="00075C81" w:rsidRDefault="00181DBB" w:rsidP="00181DBB">
            <w:pPr>
              <w:jc w:val="right"/>
              <w:rPr>
                <w:bCs/>
                <w:lang w:eastAsia="sk-SK"/>
              </w:rPr>
            </w:pPr>
            <w:r w:rsidRPr="00075C81">
              <w:rPr>
                <w:bCs/>
                <w:lang w:eastAsia="sk-SK"/>
              </w:rPr>
              <w:t>0</w:t>
            </w:r>
          </w:p>
        </w:tc>
        <w:tc>
          <w:tcPr>
            <w:tcW w:w="1684" w:type="dxa"/>
            <w:shd w:val="clear" w:color="auto" w:fill="BFBFBF" w:themeFill="background1" w:themeFillShade="BF"/>
            <w:noWrap/>
            <w:vAlign w:val="center"/>
          </w:tcPr>
          <w:p w14:paraId="5413ADD7" w14:textId="02BD8C03" w:rsidR="00181DBB" w:rsidRPr="00075C81" w:rsidRDefault="00181DBB" w:rsidP="00181DBB">
            <w:pPr>
              <w:jc w:val="right"/>
              <w:rPr>
                <w:bCs/>
                <w:lang w:eastAsia="sk-SK"/>
              </w:rPr>
            </w:pPr>
            <w:r>
              <w:rPr>
                <w:bCs/>
                <w:lang w:eastAsia="sk-SK"/>
              </w:rPr>
              <w:t>0</w:t>
            </w:r>
          </w:p>
        </w:tc>
        <w:tc>
          <w:tcPr>
            <w:tcW w:w="1393" w:type="dxa"/>
            <w:shd w:val="clear" w:color="auto" w:fill="BFBFBF" w:themeFill="background1" w:themeFillShade="BF"/>
            <w:noWrap/>
            <w:vAlign w:val="center"/>
          </w:tcPr>
          <w:p w14:paraId="1200EEB2" w14:textId="77777777" w:rsidR="00181DBB" w:rsidRPr="00075C81" w:rsidRDefault="00181DBB" w:rsidP="00181DBB">
            <w:pPr>
              <w:jc w:val="right"/>
              <w:rPr>
                <w:bCs/>
                <w:lang w:eastAsia="sk-SK"/>
              </w:rPr>
            </w:pPr>
            <w:r w:rsidRPr="00075C81">
              <w:rPr>
                <w:bCs/>
                <w:lang w:eastAsia="sk-SK"/>
              </w:rPr>
              <w:t>0</w:t>
            </w:r>
          </w:p>
        </w:tc>
        <w:tc>
          <w:tcPr>
            <w:tcW w:w="1393" w:type="dxa"/>
            <w:shd w:val="clear" w:color="auto" w:fill="BFBFBF" w:themeFill="background1" w:themeFillShade="BF"/>
            <w:noWrap/>
            <w:vAlign w:val="center"/>
          </w:tcPr>
          <w:p w14:paraId="48D1D11F" w14:textId="77777777" w:rsidR="00181DBB" w:rsidRPr="00075C81" w:rsidRDefault="00181DBB" w:rsidP="00181DBB">
            <w:pPr>
              <w:jc w:val="right"/>
              <w:rPr>
                <w:bCs/>
                <w:lang w:eastAsia="sk-SK"/>
              </w:rPr>
            </w:pPr>
            <w:r w:rsidRPr="00075C81">
              <w:rPr>
                <w:bCs/>
                <w:lang w:eastAsia="sk-SK"/>
              </w:rPr>
              <w:t>0</w:t>
            </w:r>
          </w:p>
        </w:tc>
      </w:tr>
      <w:bookmarkEnd w:id="0"/>
    </w:tbl>
    <w:p w14:paraId="394376E6" w14:textId="77777777" w:rsidR="00035512" w:rsidRDefault="00035512" w:rsidP="00AA4CFC">
      <w:pPr>
        <w:jc w:val="both"/>
        <w:rPr>
          <w:b/>
          <w:bCs/>
          <w:lang w:eastAsia="sk-SK"/>
        </w:rPr>
      </w:pPr>
    </w:p>
    <w:p w14:paraId="0D0E15FC" w14:textId="77777777" w:rsidR="00AA4CFC" w:rsidRPr="007D5748" w:rsidRDefault="00AA4CFC" w:rsidP="00AA4CFC">
      <w:pPr>
        <w:jc w:val="both"/>
        <w:rPr>
          <w:b/>
          <w:bCs/>
          <w:lang w:eastAsia="sk-SK"/>
        </w:rPr>
      </w:pPr>
      <w:r w:rsidRPr="007D5748">
        <w:rPr>
          <w:b/>
          <w:bCs/>
          <w:lang w:eastAsia="sk-SK"/>
        </w:rPr>
        <w:t>2.1.1. Financovanie návrhu - Návrh na riešenie úbytku príjmov alebo zvýšených výdavkov podľa § 33 ods. 1 zákona č. 523/2004 Z. z. o rozpočtových pravidlách verejnej správy:</w:t>
      </w:r>
    </w:p>
    <w:p w14:paraId="706E1253" w14:textId="77777777" w:rsidR="00AA4CFC" w:rsidRPr="007D5748" w:rsidRDefault="00AA4CFC" w:rsidP="00AA4CFC">
      <w:pPr>
        <w:jc w:val="both"/>
        <w:rPr>
          <w:b/>
          <w:bCs/>
          <w:sz w:val="12"/>
          <w:lang w:eastAsia="sk-SK"/>
        </w:rPr>
      </w:pPr>
    </w:p>
    <w:p w14:paraId="49C1F9AE" w14:textId="411B2FCA" w:rsidR="00AA4CFC" w:rsidRPr="007D5748" w:rsidRDefault="00AA4CFC" w:rsidP="00AA4CFC">
      <w:pPr>
        <w:pBdr>
          <w:top w:val="single" w:sz="4" w:space="1" w:color="auto"/>
          <w:left w:val="single" w:sz="4" w:space="4" w:color="auto"/>
          <w:bottom w:val="single" w:sz="4" w:space="0" w:color="auto"/>
          <w:right w:val="single" w:sz="4" w:space="4" w:color="auto"/>
        </w:pBdr>
        <w:jc w:val="both"/>
        <w:rPr>
          <w:b/>
          <w:bCs/>
          <w:lang w:eastAsia="sk-SK"/>
        </w:rPr>
      </w:pPr>
      <w:r>
        <w:rPr>
          <w:b/>
          <w:bCs/>
          <w:lang w:eastAsia="sk-SK"/>
        </w:rPr>
        <w:t xml:space="preserve">EÚ zdroje - </w:t>
      </w:r>
      <w:r w:rsidRPr="00E65547">
        <w:rPr>
          <w:b/>
          <w:bCs/>
          <w:lang w:eastAsia="sk-SK"/>
        </w:rPr>
        <w:t>Nástroj na prepájanie Európy“ (</w:t>
      </w:r>
      <w:proofErr w:type="spellStart"/>
      <w:r w:rsidRPr="00E65547">
        <w:rPr>
          <w:b/>
          <w:bCs/>
          <w:lang w:eastAsia="sk-SK"/>
        </w:rPr>
        <w:t>Connecting</w:t>
      </w:r>
      <w:proofErr w:type="spellEnd"/>
      <w:r w:rsidRPr="00E65547">
        <w:rPr>
          <w:b/>
          <w:bCs/>
          <w:lang w:eastAsia="sk-SK"/>
        </w:rPr>
        <w:t xml:space="preserve"> </w:t>
      </w:r>
      <w:proofErr w:type="spellStart"/>
      <w:r w:rsidRPr="00E65547">
        <w:rPr>
          <w:b/>
          <w:bCs/>
          <w:lang w:eastAsia="sk-SK"/>
        </w:rPr>
        <w:t>Europe</w:t>
      </w:r>
      <w:proofErr w:type="spellEnd"/>
      <w:r w:rsidRPr="00E65547">
        <w:rPr>
          <w:b/>
          <w:bCs/>
          <w:lang w:eastAsia="sk-SK"/>
        </w:rPr>
        <w:t xml:space="preserve"> </w:t>
      </w:r>
      <w:proofErr w:type="spellStart"/>
      <w:r w:rsidRPr="00E65547">
        <w:rPr>
          <w:b/>
          <w:bCs/>
          <w:lang w:eastAsia="sk-SK"/>
        </w:rPr>
        <w:t>Facility</w:t>
      </w:r>
      <w:proofErr w:type="spellEnd"/>
      <w:r w:rsidRPr="00E65547">
        <w:rPr>
          <w:b/>
          <w:bCs/>
          <w:lang w:eastAsia="sk-SK"/>
        </w:rPr>
        <w:t xml:space="preserve"> – CEF)</w:t>
      </w:r>
      <w:r>
        <w:rPr>
          <w:b/>
          <w:bCs/>
          <w:lang w:eastAsia="sk-SK"/>
        </w:rPr>
        <w:t xml:space="preserve"> – v rámci </w:t>
      </w:r>
      <w:r w:rsidRPr="00464D31">
        <w:rPr>
          <w:b/>
          <w:bCs/>
          <w:lang w:eastAsia="sk-SK"/>
        </w:rPr>
        <w:t>3. výzvy Nástroja na prepojenie Európy</w:t>
      </w:r>
      <w:r w:rsidR="007F769D">
        <w:rPr>
          <w:b/>
          <w:bCs/>
          <w:lang w:eastAsia="sk-SK"/>
        </w:rPr>
        <w:t>.</w:t>
      </w:r>
    </w:p>
    <w:p w14:paraId="3194680C" w14:textId="77777777" w:rsidR="00AA4CFC" w:rsidRPr="007D5748" w:rsidRDefault="00AA4CFC" w:rsidP="00AA4CFC">
      <w:pPr>
        <w:pBdr>
          <w:top w:val="single" w:sz="4" w:space="1" w:color="auto"/>
          <w:left w:val="single" w:sz="4" w:space="4" w:color="auto"/>
          <w:bottom w:val="single" w:sz="4" w:space="0" w:color="auto"/>
          <w:right w:val="single" w:sz="4" w:space="4" w:color="auto"/>
        </w:pBdr>
        <w:rPr>
          <w:b/>
          <w:bCs/>
          <w:lang w:eastAsia="sk-SK"/>
        </w:rPr>
      </w:pPr>
    </w:p>
    <w:p w14:paraId="2568540D" w14:textId="77777777" w:rsidR="00AA4CFC" w:rsidRPr="007D5748" w:rsidRDefault="00AA4CFC" w:rsidP="00AA4CFC">
      <w:pPr>
        <w:pBdr>
          <w:top w:val="single" w:sz="4" w:space="1" w:color="auto"/>
          <w:left w:val="single" w:sz="4" w:space="4" w:color="auto"/>
          <w:bottom w:val="single" w:sz="4" w:space="0" w:color="auto"/>
          <w:right w:val="single" w:sz="4" w:space="4" w:color="auto"/>
        </w:pBdr>
        <w:rPr>
          <w:b/>
          <w:bCs/>
          <w:lang w:eastAsia="sk-SK"/>
        </w:rPr>
      </w:pPr>
    </w:p>
    <w:p w14:paraId="2E6D3956" w14:textId="77777777" w:rsidR="00AA4CFC" w:rsidRPr="007D5748" w:rsidRDefault="00AA4CFC" w:rsidP="00AA4CFC">
      <w:pPr>
        <w:rPr>
          <w:b/>
          <w:bCs/>
          <w:lang w:eastAsia="sk-SK"/>
        </w:rPr>
      </w:pPr>
      <w:r w:rsidRPr="007D5748">
        <w:rPr>
          <w:b/>
          <w:bCs/>
          <w:lang w:eastAsia="sk-SK"/>
        </w:rPr>
        <w:t>2.2. Popis a charakteristika návrhu</w:t>
      </w:r>
    </w:p>
    <w:p w14:paraId="2F3D5E14" w14:textId="77777777" w:rsidR="00AA4CFC" w:rsidRPr="007D5748" w:rsidRDefault="00AA4CFC" w:rsidP="00AA4CFC">
      <w:pPr>
        <w:rPr>
          <w:lang w:eastAsia="sk-SK"/>
        </w:rPr>
      </w:pPr>
    </w:p>
    <w:p w14:paraId="604EE3D4" w14:textId="77777777" w:rsidR="00AA4CFC" w:rsidRPr="007D5748" w:rsidRDefault="00AA4CFC" w:rsidP="00AA4CFC">
      <w:pPr>
        <w:jc w:val="both"/>
        <w:rPr>
          <w:b/>
          <w:bCs/>
          <w:lang w:eastAsia="sk-SK"/>
        </w:rPr>
      </w:pPr>
      <w:r w:rsidRPr="007D5748">
        <w:rPr>
          <w:b/>
          <w:bCs/>
          <w:lang w:eastAsia="sk-SK"/>
        </w:rPr>
        <w:t>2.2.1. Popis návrhu:</w:t>
      </w:r>
    </w:p>
    <w:p w14:paraId="563837DF" w14:textId="77777777" w:rsidR="00AA4CFC" w:rsidRDefault="00AA4CFC" w:rsidP="006669B6">
      <w:pPr>
        <w:jc w:val="both"/>
        <w:rPr>
          <w:i/>
          <w:lang w:eastAsia="sk-SK"/>
        </w:rPr>
      </w:pPr>
      <w:r w:rsidRPr="006669B6">
        <w:rPr>
          <w:i/>
          <w:lang w:eastAsia="sk-SK"/>
        </w:rPr>
        <w:t>Akú problematiku návrh rieši? Kto bude návrh implementovať? Kde sa budú služby poskytovať?</w:t>
      </w:r>
    </w:p>
    <w:p w14:paraId="5B9EA986" w14:textId="77777777" w:rsidR="006669B6" w:rsidRPr="006669B6" w:rsidRDefault="006669B6" w:rsidP="006669B6">
      <w:pPr>
        <w:jc w:val="both"/>
        <w:rPr>
          <w:i/>
          <w:lang w:eastAsia="sk-SK"/>
        </w:rPr>
      </w:pPr>
    </w:p>
    <w:p w14:paraId="15A4366E" w14:textId="77777777" w:rsidR="00AA4CFC" w:rsidRPr="00767ED9" w:rsidRDefault="00AA4CFC" w:rsidP="00AA4CFC">
      <w:pPr>
        <w:ind w:firstLine="15"/>
        <w:jc w:val="both"/>
        <w:rPr>
          <w:lang w:eastAsia="sk-SK"/>
        </w:rPr>
      </w:pPr>
      <w:r w:rsidRPr="009E093F">
        <w:rPr>
          <w:lang w:eastAsia="sk-SK"/>
        </w:rPr>
        <w:t xml:space="preserve">Návrh Akčného plánu rozvoja elektromobility v Slovenskej republike </w:t>
      </w:r>
      <w:r w:rsidRPr="00767ED9">
        <w:rPr>
          <w:lang w:eastAsia="sk-SK"/>
        </w:rPr>
        <w:t>má za</w:t>
      </w:r>
      <w:r w:rsidRPr="00767ED9">
        <w:t xml:space="preserve"> </w:t>
      </w:r>
      <w:r w:rsidRPr="00767ED9">
        <w:rPr>
          <w:lang w:eastAsia="sk-SK"/>
        </w:rPr>
        <w:t xml:space="preserve">cieľ podporiť prostredníctvom stanovených opatrení rozvoj trhu alternatívnych palív v odvetví dopravy                      a rozvoj príslušnej infraštruktúry. </w:t>
      </w:r>
    </w:p>
    <w:p w14:paraId="4EACA315" w14:textId="21C84E0D" w:rsidR="007F769D" w:rsidRDefault="006326A2" w:rsidP="007F769D">
      <w:pPr>
        <w:pStyle w:val="Odsekzoznamu"/>
        <w:numPr>
          <w:ilvl w:val="0"/>
          <w:numId w:val="31"/>
        </w:numPr>
        <w:ind w:left="426" w:hanging="426"/>
        <w:jc w:val="both"/>
        <w:rPr>
          <w:rFonts w:eastAsia="Calibri"/>
          <w:bCs/>
          <w:iCs/>
        </w:rPr>
      </w:pPr>
      <w:r w:rsidRPr="007B7812">
        <w:rPr>
          <w:rFonts w:eastAsia="Calibri"/>
          <w:bCs/>
          <w:iCs/>
        </w:rPr>
        <w:t xml:space="preserve">Navrhované opatrenie </w:t>
      </w:r>
      <w:r w:rsidR="007F769D">
        <w:rPr>
          <w:rFonts w:eastAsia="Calibri"/>
          <w:bCs/>
          <w:iCs/>
        </w:rPr>
        <w:t xml:space="preserve">č. 2: </w:t>
      </w:r>
      <w:r w:rsidRPr="007B7812">
        <w:rPr>
          <w:rFonts w:eastAsia="Calibri"/>
          <w:bCs/>
          <w:iCs/>
        </w:rPr>
        <w:t>„</w:t>
      </w:r>
      <w:r w:rsidRPr="007F769D">
        <w:rPr>
          <w:rFonts w:eastAsia="Calibri"/>
          <w:b/>
          <w:bCs/>
          <w:iCs/>
        </w:rPr>
        <w:t>Kontinuita priamej podpory na používanie nízko</w:t>
      </w:r>
      <w:r w:rsidR="00C63D4D">
        <w:rPr>
          <w:rFonts w:eastAsia="Calibri"/>
          <w:b/>
          <w:bCs/>
          <w:iCs/>
        </w:rPr>
        <w:t>-</w:t>
      </w:r>
      <w:r w:rsidRPr="007F769D">
        <w:rPr>
          <w:rFonts w:eastAsia="Calibri"/>
          <w:b/>
          <w:bCs/>
          <w:iCs/>
        </w:rPr>
        <w:t xml:space="preserve"> emisných vozidiel</w:t>
      </w:r>
      <w:r w:rsidRPr="007B7812">
        <w:rPr>
          <w:rFonts w:eastAsia="Calibri"/>
          <w:bCs/>
          <w:iCs/>
        </w:rPr>
        <w:t xml:space="preserve">“ predpokladá </w:t>
      </w:r>
      <w:r w:rsidR="007B7812" w:rsidRPr="007B7812">
        <w:rPr>
          <w:rFonts w:eastAsia="Calibri"/>
          <w:bCs/>
          <w:iCs/>
        </w:rPr>
        <w:t>nadviazanie na pilotný projekt so z</w:t>
      </w:r>
      <w:r w:rsidR="007B7812">
        <w:rPr>
          <w:rFonts w:eastAsia="Calibri"/>
          <w:bCs/>
          <w:iCs/>
        </w:rPr>
        <w:t xml:space="preserve">achovaním </w:t>
      </w:r>
      <w:r w:rsidR="00A30EF6">
        <w:rPr>
          <w:rFonts w:eastAsia="Calibri"/>
          <w:bCs/>
          <w:iCs/>
        </w:rPr>
        <w:t>obdobného</w:t>
      </w:r>
      <w:r w:rsidR="007B7812">
        <w:rPr>
          <w:rFonts w:eastAsia="Calibri"/>
          <w:bCs/>
          <w:iCs/>
        </w:rPr>
        <w:t xml:space="preserve"> mechanizmu </w:t>
      </w:r>
      <w:r w:rsidR="00A30EF6">
        <w:rPr>
          <w:rFonts w:eastAsia="Calibri"/>
          <w:bCs/>
          <w:iCs/>
        </w:rPr>
        <w:t xml:space="preserve">a </w:t>
      </w:r>
      <w:r w:rsidRPr="007B7812">
        <w:rPr>
          <w:rFonts w:eastAsia="Calibri"/>
          <w:bCs/>
          <w:iCs/>
        </w:rPr>
        <w:t>s predpokladaným rozpočtom do 5 mil. EUR</w:t>
      </w:r>
      <w:r w:rsidR="007B7812">
        <w:rPr>
          <w:rFonts w:eastAsia="Calibri"/>
          <w:bCs/>
          <w:iCs/>
        </w:rPr>
        <w:t xml:space="preserve"> z</w:t>
      </w:r>
      <w:r w:rsidR="002A4A5A">
        <w:rPr>
          <w:rFonts w:eastAsia="Calibri"/>
          <w:bCs/>
          <w:iCs/>
        </w:rPr>
        <w:t xml:space="preserve"> ušetrených </w:t>
      </w:r>
      <w:r w:rsidR="003678D1">
        <w:rPr>
          <w:rFonts w:eastAsia="Calibri"/>
          <w:bCs/>
          <w:iCs/>
        </w:rPr>
        <w:t xml:space="preserve">výdavkov </w:t>
      </w:r>
      <w:r w:rsidR="002A4A5A">
        <w:rPr>
          <w:rFonts w:eastAsia="Calibri"/>
          <w:bCs/>
          <w:iCs/>
        </w:rPr>
        <w:t>v</w:t>
      </w:r>
      <w:r w:rsidR="0051258C">
        <w:rPr>
          <w:rFonts w:eastAsia="Calibri"/>
          <w:bCs/>
          <w:iCs/>
        </w:rPr>
        <w:t> </w:t>
      </w:r>
      <w:r w:rsidR="007F769D">
        <w:rPr>
          <w:rFonts w:eastAsia="Calibri"/>
          <w:bCs/>
          <w:iCs/>
        </w:rPr>
        <w:t xml:space="preserve">rozpočtovej </w:t>
      </w:r>
      <w:r w:rsidR="007B7812">
        <w:rPr>
          <w:rFonts w:eastAsia="Calibri"/>
          <w:bCs/>
          <w:iCs/>
        </w:rPr>
        <w:t>kapitol</w:t>
      </w:r>
      <w:r w:rsidR="002A4A5A">
        <w:rPr>
          <w:rFonts w:eastAsia="Calibri"/>
          <w:bCs/>
          <w:iCs/>
        </w:rPr>
        <w:t>e</w:t>
      </w:r>
      <w:r w:rsidR="007B7812">
        <w:rPr>
          <w:rFonts w:eastAsia="Calibri"/>
          <w:bCs/>
          <w:iCs/>
        </w:rPr>
        <w:t xml:space="preserve"> MH</w:t>
      </w:r>
      <w:r w:rsidR="007F769D">
        <w:rPr>
          <w:rFonts w:eastAsia="Calibri"/>
          <w:bCs/>
          <w:iCs/>
        </w:rPr>
        <w:t> </w:t>
      </w:r>
      <w:r w:rsidR="007B7812">
        <w:rPr>
          <w:rFonts w:eastAsia="Calibri"/>
          <w:bCs/>
          <w:iCs/>
        </w:rPr>
        <w:t>SR</w:t>
      </w:r>
      <w:r w:rsidR="005D1949">
        <w:rPr>
          <w:rFonts w:eastAsia="Calibri"/>
          <w:bCs/>
          <w:iCs/>
        </w:rPr>
        <w:t xml:space="preserve"> v rámci </w:t>
      </w:r>
      <w:r w:rsidR="005D1949">
        <w:rPr>
          <w:iCs/>
          <w:lang w:eastAsia="sk-SK"/>
        </w:rPr>
        <w:t xml:space="preserve">programu </w:t>
      </w:r>
      <w:r w:rsidR="003678D1">
        <w:rPr>
          <w:rFonts w:eastAsiaTheme="minorHAnsi"/>
          <w:szCs w:val="23"/>
        </w:rPr>
        <w:t>07K Rozvoj priemyslu a podpora podnikania</w:t>
      </w:r>
      <w:r w:rsidRPr="007B7812">
        <w:rPr>
          <w:rFonts w:eastAsia="Calibri"/>
          <w:bCs/>
          <w:iCs/>
        </w:rPr>
        <w:t>.</w:t>
      </w:r>
      <w:r w:rsidR="007F769D" w:rsidRPr="007F769D">
        <w:rPr>
          <w:rFonts w:eastAsia="Calibri"/>
          <w:bCs/>
          <w:iCs/>
        </w:rPr>
        <w:t xml:space="preserve"> </w:t>
      </w:r>
      <w:r w:rsidR="007F769D" w:rsidRPr="007F769D">
        <w:rPr>
          <w:rFonts w:eastAsia="Calibri"/>
          <w:bCs/>
          <w:i/>
          <w:iCs/>
        </w:rPr>
        <w:t>Pre rozvoj elektromobility je</w:t>
      </w:r>
      <w:r w:rsidR="0051258C">
        <w:rPr>
          <w:rFonts w:eastAsia="Calibri"/>
          <w:bCs/>
          <w:i/>
          <w:iCs/>
        </w:rPr>
        <w:t> </w:t>
      </w:r>
      <w:r w:rsidR="007F769D" w:rsidRPr="007F769D">
        <w:rPr>
          <w:rFonts w:eastAsia="Calibri"/>
          <w:bCs/>
          <w:i/>
          <w:iCs/>
        </w:rPr>
        <w:t xml:space="preserve"> potrebné zabezpečiť kontinuitu v realizovanej podpore, ktorej ukončenie v polovici roka 2018 </w:t>
      </w:r>
      <w:r w:rsidR="007E18A4">
        <w:rPr>
          <w:rFonts w:eastAsia="Calibri"/>
          <w:bCs/>
          <w:i/>
          <w:iCs/>
        </w:rPr>
        <w:t>malo</w:t>
      </w:r>
      <w:r w:rsidR="007F769D" w:rsidRPr="007F769D">
        <w:rPr>
          <w:rFonts w:eastAsia="Calibri"/>
          <w:bCs/>
          <w:i/>
          <w:iCs/>
        </w:rPr>
        <w:t xml:space="preserve"> negatívny </w:t>
      </w:r>
      <w:r w:rsidR="00E56706">
        <w:rPr>
          <w:rFonts w:eastAsia="Calibri"/>
          <w:bCs/>
          <w:i/>
          <w:iCs/>
        </w:rPr>
        <w:t xml:space="preserve">dopad </w:t>
      </w:r>
      <w:r w:rsidR="007F769D" w:rsidRPr="007F769D">
        <w:rPr>
          <w:rFonts w:eastAsia="Calibri"/>
          <w:bCs/>
          <w:i/>
          <w:iCs/>
        </w:rPr>
        <w:t>na rozvoj elektromobility v SR, a to i z toho dôvodu, že v</w:t>
      </w:r>
      <w:r w:rsidR="007E18A4">
        <w:rPr>
          <w:rFonts w:eastAsia="Calibri"/>
          <w:bCs/>
          <w:i/>
          <w:iCs/>
        </w:rPr>
        <w:t xml:space="preserve"> nasledovnom období </w:t>
      </w:r>
      <w:r w:rsidR="007F769D" w:rsidRPr="007F769D">
        <w:rPr>
          <w:rFonts w:eastAsia="Calibri"/>
          <w:bCs/>
          <w:i/>
          <w:iCs/>
        </w:rPr>
        <w:t xml:space="preserve"> sa očakáva príchod nových modelov elektrických áut (BEV a PHEV) na trh, ktoré budú mať oveľa dlhší dojazd (cca 400 km). Pokračovanie podpory by zachytilo a</w:t>
      </w:r>
      <w:r w:rsidR="00E56706">
        <w:rPr>
          <w:rFonts w:eastAsia="Calibri"/>
          <w:bCs/>
          <w:i/>
          <w:iCs/>
        </w:rPr>
        <w:t xml:space="preserve">j túto novú generáciu vozidiel </w:t>
      </w:r>
      <w:r w:rsidR="007F769D" w:rsidRPr="007F769D">
        <w:rPr>
          <w:rFonts w:eastAsia="Calibri"/>
          <w:bCs/>
          <w:i/>
          <w:iCs/>
        </w:rPr>
        <w:t>a</w:t>
      </w:r>
      <w:r w:rsidR="007E18A4">
        <w:rPr>
          <w:rFonts w:eastAsia="Calibri"/>
          <w:bCs/>
          <w:i/>
          <w:iCs/>
        </w:rPr>
        <w:t> </w:t>
      </w:r>
      <w:r w:rsidR="007F769D" w:rsidRPr="007F769D">
        <w:rPr>
          <w:rFonts w:eastAsia="Calibri"/>
          <w:bCs/>
          <w:i/>
          <w:iCs/>
        </w:rPr>
        <w:t>potenciál podpory by sa využil naplno.</w:t>
      </w:r>
    </w:p>
    <w:p w14:paraId="4E55A9A9" w14:textId="477939D8" w:rsidR="00AA4CFC" w:rsidRPr="00DE4D44" w:rsidRDefault="00AA4CFC" w:rsidP="00AA4CFC">
      <w:pPr>
        <w:pStyle w:val="Odsekzoznamu"/>
        <w:numPr>
          <w:ilvl w:val="0"/>
          <w:numId w:val="30"/>
        </w:numPr>
        <w:jc w:val="both"/>
        <w:rPr>
          <w:szCs w:val="20"/>
          <w:lang w:eastAsia="sk-SK"/>
        </w:rPr>
      </w:pPr>
      <w:r w:rsidRPr="00DE4D44">
        <w:rPr>
          <w:lang w:eastAsia="sk-SK"/>
        </w:rPr>
        <w:t xml:space="preserve">V rámci opatrenia </w:t>
      </w:r>
      <w:r w:rsidR="007F769D">
        <w:rPr>
          <w:lang w:eastAsia="sk-SK"/>
        </w:rPr>
        <w:t xml:space="preserve">č. 3: </w:t>
      </w:r>
      <w:r w:rsidRPr="00DE4D44">
        <w:rPr>
          <w:lang w:eastAsia="sk-SK"/>
        </w:rPr>
        <w:t>„</w:t>
      </w:r>
      <w:r w:rsidRPr="007F769D">
        <w:rPr>
          <w:b/>
          <w:lang w:eastAsia="sk-SK"/>
        </w:rPr>
        <w:t>Dlhodobý finančný mechanizmus na podporu rozvoja nabíjacej infraštruktúry</w:t>
      </w:r>
      <w:r w:rsidRPr="00DE4D44">
        <w:rPr>
          <w:lang w:eastAsia="sk-SK"/>
        </w:rPr>
        <w:t>“ MDV SR v súčasnosti realizuje rozvoj nabíjacej infraštruktúry prostredníctvom finančnej schémy CEF (</w:t>
      </w:r>
      <w:proofErr w:type="spellStart"/>
      <w:r w:rsidRPr="00985351">
        <w:rPr>
          <w:i/>
          <w:lang w:eastAsia="sk-SK"/>
        </w:rPr>
        <w:t>Connecting</w:t>
      </w:r>
      <w:proofErr w:type="spellEnd"/>
      <w:r w:rsidRPr="00985351">
        <w:rPr>
          <w:i/>
          <w:lang w:eastAsia="sk-SK"/>
        </w:rPr>
        <w:t xml:space="preserve"> </w:t>
      </w:r>
      <w:proofErr w:type="spellStart"/>
      <w:r w:rsidRPr="00985351">
        <w:rPr>
          <w:i/>
          <w:lang w:eastAsia="sk-SK"/>
        </w:rPr>
        <w:t>Europe</w:t>
      </w:r>
      <w:proofErr w:type="spellEnd"/>
      <w:r w:rsidRPr="00985351">
        <w:rPr>
          <w:i/>
          <w:lang w:eastAsia="sk-SK"/>
        </w:rPr>
        <w:t xml:space="preserve"> </w:t>
      </w:r>
      <w:proofErr w:type="spellStart"/>
      <w:r w:rsidRPr="00985351">
        <w:rPr>
          <w:i/>
          <w:lang w:eastAsia="sk-SK"/>
        </w:rPr>
        <w:t>Facility</w:t>
      </w:r>
      <w:proofErr w:type="spellEnd"/>
      <w:r w:rsidRPr="00985351">
        <w:rPr>
          <w:i/>
          <w:lang w:eastAsia="sk-SK"/>
        </w:rPr>
        <w:t xml:space="preserve"> – Nástroj </w:t>
      </w:r>
      <w:r w:rsidRPr="00985351">
        <w:rPr>
          <w:i/>
          <w:lang w:eastAsia="sk-SK"/>
        </w:rPr>
        <w:br/>
        <w:t>na prepájanie Európy</w:t>
      </w:r>
      <w:r w:rsidRPr="00DE4D44">
        <w:rPr>
          <w:lang w:eastAsia="sk-SK"/>
        </w:rPr>
        <w:t xml:space="preserve">). Prostredníctvom CEF sa na Slovensku inštalujú </w:t>
      </w:r>
      <w:proofErr w:type="spellStart"/>
      <w:r w:rsidRPr="00DE4D44">
        <w:rPr>
          <w:lang w:eastAsia="sk-SK"/>
        </w:rPr>
        <w:t>rýchlonabíjacie</w:t>
      </w:r>
      <w:proofErr w:type="spellEnd"/>
      <w:r w:rsidRPr="00DE4D44">
        <w:rPr>
          <w:lang w:eastAsia="sk-SK"/>
        </w:rPr>
        <w:t xml:space="preserve"> stanice pozdĺž základnej siete TEN-T a koridorov základnej siete TEN-T relevantných </w:t>
      </w:r>
      <w:r>
        <w:rPr>
          <w:lang w:eastAsia="sk-SK"/>
        </w:rPr>
        <w:br/>
      </w:r>
      <w:r w:rsidRPr="00DE4D44">
        <w:rPr>
          <w:lang w:eastAsia="sk-SK"/>
        </w:rPr>
        <w:t>pre SR (</w:t>
      </w:r>
      <w:proofErr w:type="spellStart"/>
      <w:r w:rsidRPr="00985351">
        <w:rPr>
          <w:i/>
          <w:lang w:eastAsia="sk-SK"/>
        </w:rPr>
        <w:t>Core</w:t>
      </w:r>
      <w:proofErr w:type="spellEnd"/>
      <w:r w:rsidRPr="00985351">
        <w:rPr>
          <w:i/>
          <w:lang w:eastAsia="sk-SK"/>
        </w:rPr>
        <w:t xml:space="preserve"> </w:t>
      </w:r>
      <w:proofErr w:type="spellStart"/>
      <w:r w:rsidRPr="00985351">
        <w:rPr>
          <w:i/>
          <w:lang w:eastAsia="sk-SK"/>
        </w:rPr>
        <w:t>Network</w:t>
      </w:r>
      <w:proofErr w:type="spellEnd"/>
      <w:r w:rsidRPr="00985351">
        <w:rPr>
          <w:i/>
          <w:lang w:eastAsia="sk-SK"/>
        </w:rPr>
        <w:t xml:space="preserve"> a </w:t>
      </w:r>
      <w:proofErr w:type="spellStart"/>
      <w:r w:rsidRPr="00985351">
        <w:rPr>
          <w:i/>
          <w:lang w:eastAsia="sk-SK"/>
        </w:rPr>
        <w:t>Core</w:t>
      </w:r>
      <w:proofErr w:type="spellEnd"/>
      <w:r w:rsidRPr="00985351">
        <w:rPr>
          <w:i/>
          <w:lang w:eastAsia="sk-SK"/>
        </w:rPr>
        <w:t xml:space="preserve"> </w:t>
      </w:r>
      <w:proofErr w:type="spellStart"/>
      <w:r w:rsidRPr="00985351">
        <w:rPr>
          <w:i/>
          <w:lang w:eastAsia="sk-SK"/>
        </w:rPr>
        <w:t>Network</w:t>
      </w:r>
      <w:proofErr w:type="spellEnd"/>
      <w:r w:rsidRPr="00985351">
        <w:rPr>
          <w:i/>
          <w:lang w:eastAsia="sk-SK"/>
        </w:rPr>
        <w:t xml:space="preserve"> </w:t>
      </w:r>
      <w:proofErr w:type="spellStart"/>
      <w:r w:rsidRPr="00985351">
        <w:rPr>
          <w:i/>
          <w:lang w:eastAsia="sk-SK"/>
        </w:rPr>
        <w:t>Corridors</w:t>
      </w:r>
      <w:proofErr w:type="spellEnd"/>
      <w:r>
        <w:rPr>
          <w:lang w:eastAsia="sk-SK"/>
        </w:rPr>
        <w:t>). N</w:t>
      </w:r>
      <w:r w:rsidRPr="00DE4D44">
        <w:rPr>
          <w:lang w:eastAsia="sk-SK"/>
        </w:rPr>
        <w:t xml:space="preserve">aďalej zabezpečuje poskytnutie súčinnosti relevantným partnerom pri vypracovaní žiadostí o pridelenie grantu v rámci </w:t>
      </w:r>
      <w:r>
        <w:rPr>
          <w:lang w:eastAsia="sk-SK"/>
        </w:rPr>
        <w:br/>
      </w:r>
      <w:r w:rsidRPr="00DE4D44">
        <w:rPr>
          <w:lang w:eastAsia="sk-SK"/>
        </w:rPr>
        <w:t>výz</w:t>
      </w:r>
      <w:r>
        <w:rPr>
          <w:lang w:eastAsia="sk-SK"/>
        </w:rPr>
        <w:t>ie</w:t>
      </w:r>
      <w:r w:rsidRPr="00DE4D44">
        <w:rPr>
          <w:lang w:eastAsia="sk-SK"/>
        </w:rPr>
        <w:t xml:space="preserve">v CEF so zameraním na podporu elektromobility, CNG/LNG plniacich staníc </w:t>
      </w:r>
      <w:r>
        <w:rPr>
          <w:lang w:eastAsia="sk-SK"/>
        </w:rPr>
        <w:br/>
      </w:r>
      <w:r w:rsidRPr="00DE4D44">
        <w:rPr>
          <w:lang w:eastAsia="sk-SK"/>
        </w:rPr>
        <w:t>a prislúchajúcej infraštruktúry, ako aj technológií pre efektívne využitie v</w:t>
      </w:r>
      <w:r>
        <w:rPr>
          <w:lang w:eastAsia="sk-SK"/>
        </w:rPr>
        <w:t xml:space="preserve">odíka </w:t>
      </w:r>
      <w:r>
        <w:rPr>
          <w:lang w:eastAsia="sk-SK"/>
        </w:rPr>
        <w:br/>
        <w:t>ako alternatívneho paliva.</w:t>
      </w:r>
    </w:p>
    <w:p w14:paraId="475A8F9C" w14:textId="31FEFC2B" w:rsidR="00AA4CFC" w:rsidRDefault="00AA4CFC" w:rsidP="0051258C">
      <w:pPr>
        <w:pStyle w:val="Odsekzoznamu"/>
        <w:ind w:left="374"/>
        <w:jc w:val="both"/>
        <w:rPr>
          <w:lang w:eastAsia="sk-SK"/>
        </w:rPr>
      </w:pPr>
      <w:r w:rsidRPr="00DE4D44">
        <w:rPr>
          <w:lang w:eastAsia="sk-SK"/>
        </w:rPr>
        <w:t xml:space="preserve">Európska komisia prostredníctvom svojho finančného nástroja CEF zafinancuje v oblasti dopravy (v hodnote cca 62,6 mil. </w:t>
      </w:r>
      <w:r w:rsidR="00884016" w:rsidRPr="00DE4D44">
        <w:rPr>
          <w:lang w:eastAsia="sk-SK"/>
        </w:rPr>
        <w:t>EUR</w:t>
      </w:r>
      <w:r w:rsidRPr="00DE4D44">
        <w:rPr>
          <w:lang w:eastAsia="sk-SK"/>
        </w:rPr>
        <w:t xml:space="preserve">) vybudovanie nabíjacej infraštruktúry </w:t>
      </w:r>
      <w:r>
        <w:rPr>
          <w:lang w:eastAsia="sk-SK"/>
        </w:rPr>
        <w:br/>
      </w:r>
      <w:r w:rsidRPr="00DE4D44">
        <w:rPr>
          <w:lang w:eastAsia="sk-SK"/>
        </w:rPr>
        <w:t xml:space="preserve">pre alternatívne palivá aj na území SR cez rôzne projekty, ktorých zrealizovanie súkromným sektorom prinesie na území Slovenska celkovo cca 90 nabíjacích staníc </w:t>
      </w:r>
      <w:r>
        <w:rPr>
          <w:lang w:eastAsia="sk-SK"/>
        </w:rPr>
        <w:br/>
      </w:r>
      <w:r w:rsidRPr="00DE4D44">
        <w:rPr>
          <w:lang w:eastAsia="sk-SK"/>
        </w:rPr>
        <w:t>pre elektromobily.</w:t>
      </w:r>
    </w:p>
    <w:p w14:paraId="72A22615" w14:textId="0583FA27" w:rsidR="0051258C" w:rsidRDefault="00AA4CFC" w:rsidP="0051258C">
      <w:pPr>
        <w:pStyle w:val="Odsekzoznamu"/>
        <w:ind w:left="374"/>
        <w:jc w:val="both"/>
        <w:rPr>
          <w:rFonts w:eastAsia="Calibri"/>
          <w:bCs/>
          <w:iCs/>
        </w:rPr>
      </w:pPr>
      <w:r w:rsidRPr="00DE4D44">
        <w:rPr>
          <w:lang w:eastAsia="sk-SK"/>
        </w:rPr>
        <w:t xml:space="preserve">MH SR </w:t>
      </w:r>
      <w:r w:rsidR="008B18B0" w:rsidRPr="008B18B0">
        <w:rPr>
          <w:lang w:eastAsia="sk-SK"/>
        </w:rPr>
        <w:t xml:space="preserve">na základe novelizácie </w:t>
      </w:r>
      <w:r w:rsidRPr="00DE4D44">
        <w:rPr>
          <w:lang w:eastAsia="sk-SK"/>
        </w:rPr>
        <w:t xml:space="preserve">zákona  č. 71/2013 </w:t>
      </w:r>
      <w:r w:rsidR="00633027">
        <w:rPr>
          <w:lang w:eastAsia="sk-SK"/>
        </w:rPr>
        <w:t>Z.</w:t>
      </w:r>
      <w:r w:rsidR="006669B6">
        <w:rPr>
          <w:lang w:eastAsia="sk-SK"/>
        </w:rPr>
        <w:t xml:space="preserve"> </w:t>
      </w:r>
      <w:r w:rsidR="00633027">
        <w:rPr>
          <w:lang w:eastAsia="sk-SK"/>
        </w:rPr>
        <w:t>z.</w:t>
      </w:r>
      <w:r w:rsidRPr="00DE4D44">
        <w:rPr>
          <w:lang w:eastAsia="sk-SK"/>
        </w:rPr>
        <w:t xml:space="preserve"> o dotáciách v pôsobnosti  MH SR </w:t>
      </w:r>
      <w:r w:rsidR="007F769D">
        <w:rPr>
          <w:lang w:eastAsia="sk-SK"/>
        </w:rPr>
        <w:t>zaviedlo</w:t>
      </w:r>
      <w:r w:rsidRPr="00DE4D44">
        <w:rPr>
          <w:lang w:eastAsia="sk-SK"/>
        </w:rPr>
        <w:t xml:space="preserve"> dotačný mechanizmus podpory na kúpu nabíjacích staníc, kde oprávneným žiadateľom </w:t>
      </w:r>
      <w:r w:rsidRPr="00AD1466">
        <w:rPr>
          <w:lang w:eastAsia="sk-SK"/>
        </w:rPr>
        <w:t>bu</w:t>
      </w:r>
      <w:r w:rsidR="00307101" w:rsidRPr="00AD1466">
        <w:rPr>
          <w:lang w:eastAsia="sk-SK"/>
        </w:rPr>
        <w:t>de</w:t>
      </w:r>
      <w:r w:rsidR="00AD1466" w:rsidRPr="00AD1466">
        <w:rPr>
          <w:lang w:eastAsia="sk-SK"/>
        </w:rPr>
        <w:t>:</w:t>
      </w:r>
      <w:r w:rsidR="00EC38D9" w:rsidRPr="00FC165C">
        <w:rPr>
          <w:color w:val="FF0000"/>
          <w:lang w:eastAsia="sk-SK"/>
        </w:rPr>
        <w:t xml:space="preserve"> </w:t>
      </w:r>
      <w:r w:rsidR="00EC38D9">
        <w:rPr>
          <w:lang w:eastAsia="sk-SK"/>
        </w:rPr>
        <w:t>fyzická osoba-podnikateľ, právnická osoba</w:t>
      </w:r>
      <w:r w:rsidR="00307101">
        <w:rPr>
          <w:lang w:eastAsia="sk-SK"/>
        </w:rPr>
        <w:t xml:space="preserve"> obec alebo</w:t>
      </w:r>
      <w:r w:rsidR="00EC38D9">
        <w:rPr>
          <w:lang w:eastAsia="sk-SK"/>
        </w:rPr>
        <w:t xml:space="preserve"> </w:t>
      </w:r>
      <w:r w:rsidR="002D12A8">
        <w:rPr>
          <w:lang w:eastAsia="sk-SK"/>
        </w:rPr>
        <w:t>vyšší</w:t>
      </w:r>
      <w:r w:rsidR="00EC38D9">
        <w:rPr>
          <w:lang w:eastAsia="sk-SK"/>
        </w:rPr>
        <w:t xml:space="preserve"> </w:t>
      </w:r>
      <w:r w:rsidR="002D12A8">
        <w:rPr>
          <w:lang w:eastAsia="sk-SK"/>
        </w:rPr>
        <w:t>územný</w:t>
      </w:r>
      <w:r w:rsidR="00EC38D9">
        <w:rPr>
          <w:lang w:eastAsia="sk-SK"/>
        </w:rPr>
        <w:t xml:space="preserve"> celok</w:t>
      </w:r>
      <w:r w:rsidR="00307101">
        <w:rPr>
          <w:lang w:eastAsia="sk-SK"/>
        </w:rPr>
        <w:t xml:space="preserve"> s predpokladaným </w:t>
      </w:r>
      <w:r w:rsidR="007B7812">
        <w:rPr>
          <w:lang w:eastAsia="sk-SK"/>
        </w:rPr>
        <w:t xml:space="preserve">rozpočtom do 1 mil. EUR </w:t>
      </w:r>
      <w:r w:rsidR="002A4A5A">
        <w:rPr>
          <w:rFonts w:eastAsia="Calibri"/>
          <w:bCs/>
          <w:iCs/>
        </w:rPr>
        <w:t>z ušetrených nákladov v rozpočtovej kapitole MH SR</w:t>
      </w:r>
      <w:r w:rsidR="005D1949">
        <w:rPr>
          <w:rFonts w:eastAsia="Calibri"/>
          <w:bCs/>
          <w:iCs/>
        </w:rPr>
        <w:t xml:space="preserve"> v rámci </w:t>
      </w:r>
      <w:r w:rsidR="005D1949">
        <w:rPr>
          <w:iCs/>
          <w:lang w:eastAsia="sk-SK"/>
        </w:rPr>
        <w:t xml:space="preserve">programu </w:t>
      </w:r>
      <w:r w:rsidR="00021735" w:rsidRPr="00021735">
        <w:rPr>
          <w:iCs/>
          <w:lang w:eastAsia="sk-SK"/>
        </w:rPr>
        <w:t>v rámci programu 07K Rozvoj priemyslu a podpora podnikania</w:t>
      </w:r>
      <w:r w:rsidR="005D1949" w:rsidRPr="007B7812">
        <w:rPr>
          <w:rFonts w:eastAsia="Calibri"/>
          <w:bCs/>
          <w:iCs/>
        </w:rPr>
        <w:t>.</w:t>
      </w:r>
    </w:p>
    <w:p w14:paraId="750BE7EF" w14:textId="37DD6157" w:rsidR="00A578B8" w:rsidRPr="00021735" w:rsidRDefault="00A578B8" w:rsidP="0051258C">
      <w:pPr>
        <w:pStyle w:val="Odsekzoznamu"/>
        <w:numPr>
          <w:ilvl w:val="0"/>
          <w:numId w:val="30"/>
        </w:numPr>
        <w:jc w:val="both"/>
        <w:rPr>
          <w:rFonts w:eastAsia="Calibri"/>
          <w:bCs/>
          <w:iCs/>
        </w:rPr>
      </w:pPr>
      <w:r>
        <w:rPr>
          <w:lang w:eastAsia="sk-SK"/>
        </w:rPr>
        <w:t xml:space="preserve">V rámci opatrenia č. 5: </w:t>
      </w:r>
      <w:r w:rsidRPr="0051258C">
        <w:rPr>
          <w:b/>
          <w:lang w:eastAsia="sk-SK"/>
        </w:rPr>
        <w:t xml:space="preserve">„Informačná kampaň“ </w:t>
      </w:r>
      <w:r>
        <w:rPr>
          <w:lang w:eastAsia="sk-SK"/>
        </w:rPr>
        <w:t>MH</w:t>
      </w:r>
      <w:r w:rsidRPr="00A578B8">
        <w:rPr>
          <w:lang w:eastAsia="sk-SK"/>
        </w:rPr>
        <w:t xml:space="preserve"> SR a</w:t>
      </w:r>
      <w:r>
        <w:rPr>
          <w:lang w:eastAsia="sk-SK"/>
        </w:rPr>
        <w:t> </w:t>
      </w:r>
      <w:r w:rsidRPr="00A578B8">
        <w:rPr>
          <w:lang w:eastAsia="sk-SK"/>
        </w:rPr>
        <w:t>SARIO</w:t>
      </w:r>
      <w:r>
        <w:rPr>
          <w:lang w:eastAsia="sk-SK"/>
        </w:rPr>
        <w:t xml:space="preserve"> budú realizovať informačné aktivity už </w:t>
      </w:r>
      <w:r w:rsidRPr="0051258C">
        <w:rPr>
          <w:szCs w:val="22"/>
        </w:rPr>
        <w:t xml:space="preserve">na existujúcich platformách, a to prostredníctvom autosalónov, </w:t>
      </w:r>
      <w:r w:rsidRPr="0051258C">
        <w:rPr>
          <w:szCs w:val="22"/>
        </w:rPr>
        <w:lastRenderedPageBreak/>
        <w:t>výstav a ďalších podujatí s prepojením na ďalšie rezorty. Informačná kampaň bude realizovaná aj formou vytvorenia informačnej webovej stránky, ktorá poskytne komplexný balík informácií zo spotrebiteľského hľadiska spolu s aktuálnou a ucelenou databázou nabíjacích staníc na</w:t>
      </w:r>
      <w:r w:rsidR="00985351" w:rsidRPr="0051258C">
        <w:rPr>
          <w:szCs w:val="22"/>
        </w:rPr>
        <w:t> </w:t>
      </w:r>
      <w:r w:rsidRPr="0051258C">
        <w:rPr>
          <w:szCs w:val="22"/>
        </w:rPr>
        <w:t xml:space="preserve">Slovensku. Opatrenie </w:t>
      </w:r>
      <w:r w:rsidR="00CE0CB7">
        <w:rPr>
          <w:szCs w:val="22"/>
        </w:rPr>
        <w:t xml:space="preserve">splnené </w:t>
      </w:r>
      <w:r w:rsidRPr="0051258C">
        <w:rPr>
          <w:szCs w:val="22"/>
        </w:rPr>
        <w:t xml:space="preserve">s  rozpočtom 30 tis. EUR </w:t>
      </w:r>
      <w:r w:rsidRPr="00FC6425">
        <w:rPr>
          <w:szCs w:val="22"/>
        </w:rPr>
        <w:t>z kapitoly MH</w:t>
      </w:r>
      <w:r w:rsidR="00AF7967" w:rsidRPr="00FC6425">
        <w:rPr>
          <w:szCs w:val="22"/>
        </w:rPr>
        <w:t> </w:t>
      </w:r>
      <w:r w:rsidRPr="00FC6425">
        <w:rPr>
          <w:szCs w:val="22"/>
        </w:rPr>
        <w:t>SR</w:t>
      </w:r>
      <w:r w:rsidR="005D1949" w:rsidRPr="00FC6425">
        <w:rPr>
          <w:szCs w:val="22"/>
        </w:rPr>
        <w:t xml:space="preserve"> </w:t>
      </w:r>
      <w:r w:rsidR="005D1949" w:rsidRPr="00FC6425">
        <w:rPr>
          <w:rFonts w:eastAsia="Calibri"/>
          <w:bCs/>
          <w:iCs/>
        </w:rPr>
        <w:t xml:space="preserve">v rámci </w:t>
      </w:r>
      <w:r w:rsidR="005D1949" w:rsidRPr="00FC6425">
        <w:rPr>
          <w:iCs/>
          <w:lang w:eastAsia="sk-SK"/>
        </w:rPr>
        <w:t xml:space="preserve">programu </w:t>
      </w:r>
      <w:r w:rsidR="00F21061" w:rsidRPr="00FC6425">
        <w:rPr>
          <w:iCs/>
          <w:lang w:eastAsia="sk-SK"/>
        </w:rPr>
        <w:t xml:space="preserve">program </w:t>
      </w:r>
      <w:r w:rsidR="00F21061" w:rsidRPr="00FC6425">
        <w:rPr>
          <w:rFonts w:eastAsiaTheme="minorHAnsi"/>
          <w:szCs w:val="23"/>
        </w:rPr>
        <w:t>07K0402 Administrácia SARIO</w:t>
      </w:r>
      <w:r w:rsidR="0051258C" w:rsidRPr="00FC6425">
        <w:rPr>
          <w:rFonts w:eastAsiaTheme="minorHAnsi"/>
          <w:szCs w:val="23"/>
        </w:rPr>
        <w:t>.</w:t>
      </w:r>
    </w:p>
    <w:p w14:paraId="0F0A598D" w14:textId="583489E3" w:rsidR="001D46F1" w:rsidRPr="00AD1466" w:rsidRDefault="00214698" w:rsidP="00BA7BA2">
      <w:pPr>
        <w:pStyle w:val="Odsekzoznamu"/>
        <w:numPr>
          <w:ilvl w:val="0"/>
          <w:numId w:val="30"/>
        </w:numPr>
        <w:jc w:val="both"/>
        <w:rPr>
          <w:lang w:eastAsia="sk-SK"/>
        </w:rPr>
      </w:pPr>
      <w:r w:rsidRPr="00FC6425">
        <w:rPr>
          <w:lang w:eastAsia="sk-SK"/>
        </w:rPr>
        <w:t xml:space="preserve">V rámci opatrenia č. 7 </w:t>
      </w:r>
      <w:r w:rsidRPr="00AD1466">
        <w:rPr>
          <w:b/>
          <w:lang w:eastAsia="sk-SK"/>
        </w:rPr>
        <w:t xml:space="preserve">„Zrýchlené odpisy elektromobilov a nabíjacích staníc </w:t>
      </w:r>
      <w:r w:rsidRPr="00AD1466">
        <w:rPr>
          <w:b/>
          <w:lang w:eastAsia="sk-SK"/>
        </w:rPr>
        <w:br/>
        <w:t>pre elektrické vozidlá“</w:t>
      </w:r>
      <w:r w:rsidR="002D12A8" w:rsidRPr="00AD1466">
        <w:rPr>
          <w:b/>
          <w:lang w:eastAsia="sk-SK"/>
        </w:rPr>
        <w:t>,</w:t>
      </w:r>
      <w:r w:rsidRPr="00AD1466">
        <w:rPr>
          <w:b/>
          <w:lang w:eastAsia="sk-SK"/>
        </w:rPr>
        <w:t xml:space="preserve"> </w:t>
      </w:r>
      <w:r w:rsidRPr="00FC6425">
        <w:rPr>
          <w:lang w:eastAsia="sk-SK"/>
        </w:rPr>
        <w:t xml:space="preserve">MF SR </w:t>
      </w:r>
      <w:r w:rsidR="00FC6425" w:rsidRPr="00FC6425">
        <w:rPr>
          <w:lang w:eastAsia="sk-SK"/>
        </w:rPr>
        <w:t>kvantifikovalo</w:t>
      </w:r>
      <w:r w:rsidRPr="00FC6425">
        <w:rPr>
          <w:lang w:eastAsia="sk-SK"/>
        </w:rPr>
        <w:t xml:space="preserve"> výpadok na dani z príjmov právnických osôb (DPPO) z titulu tohto opatrenia</w:t>
      </w:r>
      <w:r w:rsidR="00FC6425" w:rsidRPr="00FC6425">
        <w:rPr>
          <w:lang w:eastAsia="sk-SK"/>
        </w:rPr>
        <w:t>,</w:t>
      </w:r>
      <w:r w:rsidRPr="00FC6425">
        <w:rPr>
          <w:lang w:eastAsia="sk-SK"/>
        </w:rPr>
        <w:t xml:space="preserve"> za predpokladu variantu so zavedením novej odpisovej skupiny s dobou odpisovania 2 roky pre elektromobily a </w:t>
      </w:r>
      <w:proofErr w:type="spellStart"/>
      <w:r w:rsidRPr="00FC6425">
        <w:rPr>
          <w:lang w:eastAsia="sk-SK"/>
        </w:rPr>
        <w:t>Plug</w:t>
      </w:r>
      <w:proofErr w:type="spellEnd"/>
      <w:r w:rsidRPr="00FC6425">
        <w:rPr>
          <w:lang w:eastAsia="sk-SK"/>
        </w:rPr>
        <w:t xml:space="preserve">-in hybridy. </w:t>
      </w:r>
      <w:r w:rsidR="001D46F1" w:rsidRPr="00AD1466">
        <w:rPr>
          <w:bCs/>
        </w:rPr>
        <w:t>Zavedenie novej odpisovej skupiny s dobou odpisovania 2 roky pre elektromobily a </w:t>
      </w:r>
      <w:proofErr w:type="spellStart"/>
      <w:r w:rsidR="001D46F1" w:rsidRPr="00AD1466">
        <w:rPr>
          <w:bCs/>
        </w:rPr>
        <w:t>Plug</w:t>
      </w:r>
      <w:proofErr w:type="spellEnd"/>
      <w:r w:rsidR="001D46F1" w:rsidRPr="00AD1466">
        <w:rPr>
          <w:bCs/>
        </w:rPr>
        <w:t xml:space="preserve">-in hybridy predstavuje fiškálny vplyv </w:t>
      </w:r>
      <w:r w:rsidR="00BD17D7" w:rsidRPr="00AD1466">
        <w:rPr>
          <w:bCs/>
        </w:rPr>
        <w:t xml:space="preserve">(v </w:t>
      </w:r>
      <w:r w:rsidR="001D46F1" w:rsidRPr="00AD1466">
        <w:rPr>
          <w:bCs/>
        </w:rPr>
        <w:t>tis. EUR) v</w:t>
      </w:r>
      <w:r w:rsidR="007E18A4" w:rsidRPr="00AD1466">
        <w:rPr>
          <w:bCs/>
        </w:rPr>
        <w:t xml:space="preserve"> nasledovných rokoch: </w:t>
      </w:r>
      <w:r w:rsidR="001D46F1" w:rsidRPr="00AD1466">
        <w:rPr>
          <w:bCs/>
        </w:rPr>
        <w:t xml:space="preserve">2019 </w:t>
      </w:r>
      <w:r w:rsidR="007E18A4" w:rsidRPr="00AD1466">
        <w:rPr>
          <w:bCs/>
        </w:rPr>
        <w:t xml:space="preserve"> -</w:t>
      </w:r>
      <w:r w:rsidR="001D46F1" w:rsidRPr="00AD1466">
        <w:rPr>
          <w:bCs/>
        </w:rPr>
        <w:t>6</w:t>
      </w:r>
      <w:r w:rsidR="00BD17D7" w:rsidRPr="00AD1466">
        <w:rPr>
          <w:bCs/>
        </w:rPr>
        <w:t> </w:t>
      </w:r>
      <w:r w:rsidR="001D46F1" w:rsidRPr="00AD1466">
        <w:rPr>
          <w:bCs/>
        </w:rPr>
        <w:t>775</w:t>
      </w:r>
      <w:r w:rsidR="00BD17D7" w:rsidRPr="00AD1466">
        <w:rPr>
          <w:bCs/>
        </w:rPr>
        <w:t>;</w:t>
      </w:r>
      <w:r w:rsidR="001D46F1" w:rsidRPr="00AD1466">
        <w:rPr>
          <w:bCs/>
        </w:rPr>
        <w:t xml:space="preserve"> 2020 </w:t>
      </w:r>
      <w:r w:rsidR="007E18A4" w:rsidRPr="00AD1466">
        <w:rPr>
          <w:bCs/>
        </w:rPr>
        <w:t>-16</w:t>
      </w:r>
      <w:r w:rsidR="00BD17D7" w:rsidRPr="00AD1466">
        <w:rPr>
          <w:bCs/>
        </w:rPr>
        <w:t> </w:t>
      </w:r>
      <w:r w:rsidR="007E18A4" w:rsidRPr="00AD1466">
        <w:rPr>
          <w:bCs/>
        </w:rPr>
        <w:t>697</w:t>
      </w:r>
      <w:r w:rsidR="00BD17D7" w:rsidRPr="00AD1466">
        <w:rPr>
          <w:bCs/>
        </w:rPr>
        <w:t>;</w:t>
      </w:r>
      <w:r w:rsidR="007E18A4" w:rsidRPr="00AD1466">
        <w:rPr>
          <w:bCs/>
        </w:rPr>
        <w:t xml:space="preserve"> 2021 -15</w:t>
      </w:r>
      <w:r w:rsidR="00AD1466" w:rsidRPr="00AD1466">
        <w:rPr>
          <w:bCs/>
        </w:rPr>
        <w:t> </w:t>
      </w:r>
      <w:r w:rsidR="007E18A4" w:rsidRPr="00AD1466">
        <w:rPr>
          <w:bCs/>
        </w:rPr>
        <w:t>487</w:t>
      </w:r>
      <w:r w:rsidR="00AD1466" w:rsidRPr="00AD1466">
        <w:rPr>
          <w:bCs/>
        </w:rPr>
        <w:t xml:space="preserve"> a v roku</w:t>
      </w:r>
      <w:r w:rsidR="00AD1466" w:rsidRPr="00AD1466">
        <w:t xml:space="preserve"> </w:t>
      </w:r>
      <w:r w:rsidR="00AD1466" w:rsidRPr="00AD1466">
        <w:rPr>
          <w:bCs/>
        </w:rPr>
        <w:t>2022</w:t>
      </w:r>
      <w:r w:rsidR="00AD1466" w:rsidRPr="00AD1466">
        <w:rPr>
          <w:bCs/>
        </w:rPr>
        <w:t xml:space="preserve"> </w:t>
      </w:r>
      <w:r w:rsidR="00AD1466" w:rsidRPr="00AD1466">
        <w:rPr>
          <w:bCs/>
        </w:rPr>
        <w:t>-9</w:t>
      </w:r>
      <w:r w:rsidR="00AD1466" w:rsidRPr="00AD1466">
        <w:rPr>
          <w:bCs/>
        </w:rPr>
        <w:t> </w:t>
      </w:r>
      <w:r w:rsidR="00AD1466" w:rsidRPr="00AD1466">
        <w:rPr>
          <w:bCs/>
        </w:rPr>
        <w:t>261</w:t>
      </w:r>
      <w:r w:rsidR="00AD1466" w:rsidRPr="00AD1466">
        <w:rPr>
          <w:bCs/>
        </w:rPr>
        <w:t>.</w:t>
      </w:r>
    </w:p>
    <w:p w14:paraId="383D5F39" w14:textId="6C722671" w:rsidR="00214698" w:rsidRPr="00AD1466" w:rsidRDefault="00214698" w:rsidP="001D46F1">
      <w:pPr>
        <w:pStyle w:val="Odsekzoznamu"/>
        <w:ind w:left="375"/>
        <w:jc w:val="both"/>
        <w:rPr>
          <w:lang w:eastAsia="sk-SK"/>
        </w:rPr>
      </w:pPr>
      <w:r w:rsidRPr="00FC6425">
        <w:rPr>
          <w:lang w:eastAsia="sk-SK"/>
        </w:rPr>
        <w:t xml:space="preserve">Pre variant zavedenia možnosti zrýchleného odpisovania v prvej odpisovej </w:t>
      </w:r>
      <w:r w:rsidRPr="006669B6">
        <w:rPr>
          <w:lang w:eastAsia="sk-SK"/>
        </w:rPr>
        <w:t>skupine</w:t>
      </w:r>
      <w:r w:rsidR="00FC165C">
        <w:rPr>
          <w:lang w:eastAsia="sk-SK"/>
        </w:rPr>
        <w:t xml:space="preserve">            </w:t>
      </w:r>
      <w:r w:rsidRPr="006669B6">
        <w:rPr>
          <w:lang w:eastAsia="sk-SK"/>
        </w:rPr>
        <w:t xml:space="preserve"> pre elektromobily a </w:t>
      </w:r>
      <w:proofErr w:type="spellStart"/>
      <w:r w:rsidRPr="006669B6">
        <w:rPr>
          <w:lang w:eastAsia="sk-SK"/>
        </w:rPr>
        <w:t>plug</w:t>
      </w:r>
      <w:proofErr w:type="spellEnd"/>
      <w:r w:rsidRPr="006669B6">
        <w:rPr>
          <w:lang w:eastAsia="sk-SK"/>
        </w:rPr>
        <w:t>-in hybridy</w:t>
      </w:r>
      <w:r w:rsidR="00021735">
        <w:rPr>
          <w:lang w:eastAsia="sk-SK"/>
        </w:rPr>
        <w:t xml:space="preserve"> predpokladá</w:t>
      </w:r>
      <w:r w:rsidRPr="006669B6">
        <w:rPr>
          <w:lang w:eastAsia="sk-SK"/>
        </w:rPr>
        <w:t xml:space="preserve"> rezort MF SR nulový fiškálny vplyv na</w:t>
      </w:r>
      <w:r w:rsidR="001D46F1">
        <w:rPr>
          <w:lang w:eastAsia="sk-SK"/>
        </w:rPr>
        <w:t> </w:t>
      </w:r>
      <w:r w:rsidR="006669B6" w:rsidRPr="006669B6">
        <w:rPr>
          <w:lang w:eastAsia="sk-SK"/>
        </w:rPr>
        <w:t>rozpočet,</w:t>
      </w:r>
      <w:r w:rsidRPr="006669B6">
        <w:rPr>
          <w:lang w:eastAsia="sk-SK"/>
        </w:rPr>
        <w:t xml:space="preserve"> pretože </w:t>
      </w:r>
      <w:r w:rsidRPr="00AD1466">
        <w:rPr>
          <w:lang w:eastAsia="sk-SK"/>
        </w:rPr>
        <w:t xml:space="preserve">zrýchlené odpisovanie vedie len k časovému posunu uplatnenia daňových výdavkov. Rovnako nulový fiškálny vplyv bol identifikovaný pri variante zavedenia možnosti zrýchleného odpisovania pre nabíjacie stanice, ktoré sú už dnes zaradené do </w:t>
      </w:r>
      <w:r w:rsidR="00AD1466" w:rsidRPr="00AD1466">
        <w:rPr>
          <w:lang w:eastAsia="sk-SK"/>
        </w:rPr>
        <w:t>2.</w:t>
      </w:r>
      <w:r w:rsidRPr="00AD1466">
        <w:rPr>
          <w:lang w:eastAsia="sk-SK"/>
        </w:rPr>
        <w:t xml:space="preserve"> alebo </w:t>
      </w:r>
      <w:r w:rsidR="00AD1466" w:rsidRPr="00AD1466">
        <w:rPr>
          <w:lang w:eastAsia="sk-SK"/>
        </w:rPr>
        <w:t>3.</w:t>
      </w:r>
      <w:r w:rsidRPr="00AD1466">
        <w:rPr>
          <w:lang w:eastAsia="sk-SK"/>
        </w:rPr>
        <w:t xml:space="preserve"> odpisovej skupiny</w:t>
      </w:r>
      <w:r w:rsidR="002D12A8" w:rsidRPr="00AD1466">
        <w:rPr>
          <w:lang w:eastAsia="sk-SK"/>
        </w:rPr>
        <w:t>,</w:t>
      </w:r>
      <w:r w:rsidRPr="00AD1466">
        <w:rPr>
          <w:lang w:eastAsia="sk-SK"/>
        </w:rPr>
        <w:t xml:space="preserve"> kde je zrýchlené odpisovanie umožnené.</w:t>
      </w:r>
    </w:p>
    <w:p w14:paraId="2FC49FAE" w14:textId="3FD19276" w:rsidR="00A578B8" w:rsidRPr="00AD1466" w:rsidRDefault="00A578B8" w:rsidP="0051258C">
      <w:pPr>
        <w:pStyle w:val="Odsekzoznamu"/>
        <w:numPr>
          <w:ilvl w:val="0"/>
          <w:numId w:val="30"/>
        </w:numPr>
        <w:ind w:left="374"/>
        <w:jc w:val="both"/>
        <w:rPr>
          <w:szCs w:val="20"/>
          <w:lang w:eastAsia="sk-SK"/>
        </w:rPr>
      </w:pPr>
      <w:r w:rsidRPr="00AD1466">
        <w:rPr>
          <w:szCs w:val="20"/>
          <w:lang w:eastAsia="sk-SK"/>
        </w:rPr>
        <w:t xml:space="preserve">V rámci opatrenia č. </w:t>
      </w:r>
      <w:r w:rsidR="0051258C" w:rsidRPr="00AD1466">
        <w:rPr>
          <w:szCs w:val="20"/>
          <w:lang w:eastAsia="sk-SK"/>
        </w:rPr>
        <w:t>9</w:t>
      </w:r>
      <w:r w:rsidRPr="00AD1466">
        <w:rPr>
          <w:szCs w:val="20"/>
          <w:lang w:eastAsia="sk-SK"/>
        </w:rPr>
        <w:t xml:space="preserve"> </w:t>
      </w:r>
      <w:r w:rsidRPr="00AD1466">
        <w:rPr>
          <w:b/>
          <w:szCs w:val="20"/>
          <w:lang w:eastAsia="sk-SK"/>
        </w:rPr>
        <w:t>„Odlíšiteľné označenie elektrických vozidiel“</w:t>
      </w:r>
      <w:r w:rsidRPr="00AD1466">
        <w:rPr>
          <w:szCs w:val="20"/>
          <w:lang w:eastAsia="sk-SK"/>
        </w:rPr>
        <w:t xml:space="preserve"> a č. 1</w:t>
      </w:r>
      <w:r w:rsidR="0051258C" w:rsidRPr="00AD1466">
        <w:rPr>
          <w:szCs w:val="20"/>
          <w:lang w:eastAsia="sk-SK"/>
        </w:rPr>
        <w:t>0</w:t>
      </w:r>
      <w:r w:rsidRPr="00AD1466">
        <w:rPr>
          <w:szCs w:val="20"/>
          <w:lang w:eastAsia="sk-SK"/>
        </w:rPr>
        <w:t xml:space="preserve"> </w:t>
      </w:r>
      <w:r w:rsidRPr="00AD1466">
        <w:rPr>
          <w:b/>
          <w:szCs w:val="20"/>
          <w:lang w:eastAsia="sk-SK"/>
        </w:rPr>
        <w:t xml:space="preserve">„Využívanie vyhradených jazdných pruhov elektrickými vozidlami“ </w:t>
      </w:r>
      <w:r w:rsidRPr="00AD1466">
        <w:rPr>
          <w:szCs w:val="20"/>
          <w:lang w:eastAsia="sk-SK"/>
        </w:rPr>
        <w:t>MV SR</w:t>
      </w:r>
      <w:r w:rsidR="00AD1466" w:rsidRPr="00AD1466">
        <w:rPr>
          <w:szCs w:val="20"/>
          <w:lang w:eastAsia="sk-SK"/>
        </w:rPr>
        <w:t>,</w:t>
      </w:r>
      <w:r w:rsidR="00FC165C" w:rsidRPr="00AD1466">
        <w:rPr>
          <w:szCs w:val="20"/>
          <w:lang w:eastAsia="sk-SK"/>
        </w:rPr>
        <w:t xml:space="preserve"> </w:t>
      </w:r>
      <w:r w:rsidRPr="00AD1466">
        <w:rPr>
          <w:szCs w:val="20"/>
          <w:lang w:eastAsia="sk-SK"/>
        </w:rPr>
        <w:t>ako gestor opatrenia</w:t>
      </w:r>
      <w:r w:rsidR="00AD1466" w:rsidRPr="00AD1466">
        <w:rPr>
          <w:szCs w:val="20"/>
          <w:lang w:eastAsia="sk-SK"/>
        </w:rPr>
        <w:t>,</w:t>
      </w:r>
      <w:r w:rsidR="00FC165C" w:rsidRPr="00AD1466">
        <w:rPr>
          <w:color w:val="FF0000"/>
          <w:sz w:val="18"/>
          <w:szCs w:val="18"/>
          <w:lang w:eastAsia="sk-SK"/>
        </w:rPr>
        <w:t xml:space="preserve"> </w:t>
      </w:r>
      <w:r w:rsidR="0051258C" w:rsidRPr="00AD1466">
        <w:rPr>
          <w:szCs w:val="20"/>
          <w:lang w:eastAsia="sk-SK"/>
        </w:rPr>
        <w:t xml:space="preserve">v tejto fáze predmetné opatrenia nevie vyčísliť. MH SR v rámci prípravy dokumentu </w:t>
      </w:r>
      <w:r w:rsidR="005F4B22" w:rsidRPr="00AD1466">
        <w:rPr>
          <w:szCs w:val="20"/>
          <w:lang w:eastAsia="sk-SK"/>
        </w:rPr>
        <w:br/>
      </w:r>
      <w:r w:rsidR="0051258C" w:rsidRPr="00AD1466">
        <w:rPr>
          <w:szCs w:val="20"/>
          <w:lang w:eastAsia="sk-SK"/>
        </w:rPr>
        <w:t xml:space="preserve">na pracovných skupinách viackrát s rezortmi prediskutovalo spôsob realizácie návrhu opatrení. V doložke vplyvov sa uvádza zodpovednosť jednotlivých rezortov za konkrétne opatrenia, ktoré sú v ich priamej gescii. </w:t>
      </w:r>
    </w:p>
    <w:p w14:paraId="02FA8958" w14:textId="74EA4C03" w:rsidR="0051258C" w:rsidRDefault="00512882" w:rsidP="0051258C">
      <w:pPr>
        <w:pStyle w:val="Odsekzoznamu"/>
        <w:numPr>
          <w:ilvl w:val="0"/>
          <w:numId w:val="30"/>
        </w:numPr>
        <w:jc w:val="both"/>
        <w:rPr>
          <w:szCs w:val="20"/>
          <w:lang w:eastAsia="sk-SK"/>
        </w:rPr>
      </w:pPr>
      <w:r w:rsidRPr="00AD1466">
        <w:rPr>
          <w:szCs w:val="20"/>
          <w:lang w:eastAsia="sk-SK"/>
        </w:rPr>
        <w:t>V rámci opatrenia č. 1</w:t>
      </w:r>
      <w:r w:rsidR="0051258C" w:rsidRPr="00AD1466">
        <w:rPr>
          <w:szCs w:val="20"/>
          <w:lang w:eastAsia="sk-SK"/>
        </w:rPr>
        <w:t>4</w:t>
      </w:r>
      <w:r w:rsidRPr="00AD1466">
        <w:rPr>
          <w:szCs w:val="20"/>
          <w:lang w:eastAsia="sk-SK"/>
        </w:rPr>
        <w:t xml:space="preserve"> </w:t>
      </w:r>
      <w:r w:rsidRPr="00AD1466">
        <w:rPr>
          <w:b/>
          <w:szCs w:val="20"/>
          <w:lang w:eastAsia="sk-SK"/>
        </w:rPr>
        <w:t>„Inštalácia nabíjacej</w:t>
      </w:r>
      <w:r w:rsidRPr="006669B6">
        <w:rPr>
          <w:b/>
          <w:szCs w:val="20"/>
          <w:lang w:eastAsia="sk-SK"/>
        </w:rPr>
        <w:t xml:space="preserve"> stanice na parkoviskách štátnych inštitúcii“</w:t>
      </w:r>
      <w:r w:rsidR="0051258C" w:rsidRPr="006669B6">
        <w:rPr>
          <w:b/>
          <w:szCs w:val="20"/>
          <w:lang w:eastAsia="sk-SK"/>
        </w:rPr>
        <w:t xml:space="preserve"> </w:t>
      </w:r>
      <w:r w:rsidR="0051258C" w:rsidRPr="006669B6">
        <w:rPr>
          <w:szCs w:val="20"/>
          <w:lang w:eastAsia="sk-SK"/>
        </w:rPr>
        <w:t>ide o opatrenie, ktoré</w:t>
      </w:r>
      <w:r w:rsidR="0051258C" w:rsidRPr="006669B6">
        <w:rPr>
          <w:b/>
          <w:szCs w:val="20"/>
          <w:lang w:eastAsia="sk-SK"/>
        </w:rPr>
        <w:t xml:space="preserve"> </w:t>
      </w:r>
      <w:r w:rsidR="0051258C" w:rsidRPr="006669B6">
        <w:rPr>
          <w:szCs w:val="20"/>
          <w:lang w:eastAsia="sk-SK"/>
        </w:rPr>
        <w:t>má len odporúčací charakter. V</w:t>
      </w:r>
      <w:r w:rsidR="006669B6" w:rsidRPr="006669B6">
        <w:rPr>
          <w:szCs w:val="20"/>
          <w:lang w:eastAsia="sk-SK"/>
        </w:rPr>
        <w:t> </w:t>
      </w:r>
      <w:r w:rsidR="0051258C" w:rsidRPr="006669B6">
        <w:rPr>
          <w:szCs w:val="20"/>
          <w:lang w:eastAsia="sk-SK"/>
        </w:rPr>
        <w:t>rámci</w:t>
      </w:r>
      <w:r w:rsidR="006669B6" w:rsidRPr="006669B6">
        <w:rPr>
          <w:szCs w:val="20"/>
          <w:lang w:eastAsia="sk-SK"/>
        </w:rPr>
        <w:t xml:space="preserve"> predmetného opatrenia</w:t>
      </w:r>
      <w:r w:rsidR="0051258C" w:rsidRPr="006669B6">
        <w:rPr>
          <w:szCs w:val="20"/>
          <w:lang w:eastAsia="sk-SK"/>
        </w:rPr>
        <w:t xml:space="preserve"> bude potrebné vypracovať analýzu aktuálneho stavu, ktoré ministerstvá a ostatné orgány štátne</w:t>
      </w:r>
      <w:r w:rsidR="002D12A8" w:rsidRPr="006669B6">
        <w:rPr>
          <w:szCs w:val="20"/>
          <w:lang w:eastAsia="sk-SK"/>
        </w:rPr>
        <w:t>j</w:t>
      </w:r>
      <w:r w:rsidR="0051258C" w:rsidRPr="006669B6">
        <w:rPr>
          <w:szCs w:val="20"/>
          <w:lang w:eastAsia="sk-SK"/>
        </w:rPr>
        <w:t xml:space="preserve"> správy majú/nemajú vybudované nabíjacie stanice a vyhradené parkovacie miesta pre elektromobily. Predpokladané náklady na obstaranie a</w:t>
      </w:r>
      <w:r w:rsidR="0051258C" w:rsidRPr="0051258C">
        <w:rPr>
          <w:szCs w:val="20"/>
          <w:lang w:eastAsia="sk-SK"/>
        </w:rPr>
        <w:t xml:space="preserve"> prevádzku nabíjacej stanice sa</w:t>
      </w:r>
      <w:r w:rsidR="0051258C">
        <w:rPr>
          <w:szCs w:val="20"/>
          <w:lang w:eastAsia="sk-SK"/>
        </w:rPr>
        <w:t> </w:t>
      </w:r>
      <w:r w:rsidR="0051258C" w:rsidRPr="0051258C">
        <w:rPr>
          <w:szCs w:val="20"/>
          <w:lang w:eastAsia="sk-SK"/>
        </w:rPr>
        <w:t>v</w:t>
      </w:r>
      <w:r w:rsidR="0051258C">
        <w:rPr>
          <w:szCs w:val="20"/>
          <w:lang w:eastAsia="sk-SK"/>
        </w:rPr>
        <w:t> </w:t>
      </w:r>
      <w:r w:rsidR="0051258C" w:rsidRPr="0051258C">
        <w:rPr>
          <w:szCs w:val="20"/>
          <w:lang w:eastAsia="sk-SK"/>
        </w:rPr>
        <w:t>tomto kroku nedajú presne kvantifikovať, nakoľko sa môžu líšiť na základe konkrétnych podmienok a požiadaviek vecne dotknutých štátnych inštitúcií.</w:t>
      </w:r>
    </w:p>
    <w:p w14:paraId="6D0B2FCF" w14:textId="60739A5B" w:rsidR="00AA4CFC" w:rsidRPr="0051258C" w:rsidRDefault="00AA4CFC" w:rsidP="0051258C">
      <w:pPr>
        <w:pStyle w:val="Odsekzoznamu"/>
        <w:numPr>
          <w:ilvl w:val="0"/>
          <w:numId w:val="30"/>
        </w:numPr>
        <w:jc w:val="both"/>
        <w:rPr>
          <w:b/>
          <w:szCs w:val="20"/>
          <w:lang w:eastAsia="sk-SK"/>
        </w:rPr>
      </w:pPr>
      <w:r w:rsidRPr="0051258C">
        <w:rPr>
          <w:b/>
          <w:lang w:eastAsia="sk-SK"/>
        </w:rPr>
        <w:t>V rámci ďalších opatrení, v kompetencii ostatných rezortov, nie je možné kvantifikáciu rozpočtových opatrení v súčasnosti vyčísliť.</w:t>
      </w:r>
    </w:p>
    <w:p w14:paraId="6135FFD3" w14:textId="77777777" w:rsidR="00AA4CFC" w:rsidRPr="00DE4D44" w:rsidRDefault="00AA4CFC" w:rsidP="00AA4CFC">
      <w:pPr>
        <w:pStyle w:val="Odsekzoznamu"/>
        <w:numPr>
          <w:ilvl w:val="0"/>
          <w:numId w:val="30"/>
        </w:numPr>
        <w:jc w:val="both"/>
        <w:rPr>
          <w:szCs w:val="20"/>
          <w:lang w:eastAsia="sk-SK"/>
        </w:rPr>
      </w:pPr>
      <w:r w:rsidRPr="00DE4D44">
        <w:rPr>
          <w:szCs w:val="20"/>
          <w:lang w:eastAsia="cs-CZ"/>
        </w:rPr>
        <w:t>Navrhnuté opatrenia sú dôležitým nástrojom rozvoja trhu alternatívnych palív v odvetví dopravy a rozvoja príslušnej infraštruktúry SR, ktoré je potrebné plniť na úrovni jednotlivých zainteresovaných orgánov štátnej správy.</w:t>
      </w:r>
    </w:p>
    <w:p w14:paraId="06F5F47B" w14:textId="77777777" w:rsidR="00AA4CFC" w:rsidRPr="007D5748" w:rsidRDefault="00AA4CFC" w:rsidP="00AA4CFC">
      <w:pPr>
        <w:rPr>
          <w:lang w:eastAsia="sk-SK"/>
        </w:rPr>
      </w:pPr>
      <w:r w:rsidRPr="007D5748">
        <w:rPr>
          <w:lang w:eastAsia="sk-SK"/>
        </w:rPr>
        <w:t>.......................................................................................................................................................</w:t>
      </w:r>
    </w:p>
    <w:p w14:paraId="2EEDCAB4" w14:textId="77777777" w:rsidR="00AA4CFC" w:rsidRDefault="00AA4CFC" w:rsidP="00AA4CFC">
      <w:pPr>
        <w:rPr>
          <w:b/>
          <w:bCs/>
          <w:lang w:eastAsia="sk-SK"/>
        </w:rPr>
      </w:pPr>
      <w:r w:rsidRPr="007D5748">
        <w:rPr>
          <w:b/>
          <w:bCs/>
          <w:lang w:eastAsia="sk-SK"/>
        </w:rPr>
        <w:t>2.2.2. Charakteristika návrhu:</w:t>
      </w:r>
    </w:p>
    <w:p w14:paraId="2147D40D" w14:textId="77777777" w:rsidR="006669B6" w:rsidRPr="007D5748" w:rsidRDefault="006669B6" w:rsidP="00AA4CFC">
      <w:pPr>
        <w:rPr>
          <w:b/>
          <w:bCs/>
          <w:lang w:eastAsia="sk-SK"/>
        </w:rPr>
      </w:pPr>
    </w:p>
    <w:p w14:paraId="73862232" w14:textId="77777777" w:rsidR="00AA4CFC" w:rsidRPr="007D5748" w:rsidRDefault="00AA4CFC" w:rsidP="00AA4CFC">
      <w:pPr>
        <w:rPr>
          <w:lang w:eastAsia="sk-SK"/>
        </w:rPr>
      </w:pPr>
    </w:p>
    <w:p w14:paraId="7BDACAF3" w14:textId="77777777" w:rsidR="00AA4CFC" w:rsidRPr="007D5748" w:rsidRDefault="00AA4CFC" w:rsidP="00AA4CFC">
      <w:pPr>
        <w:rPr>
          <w:lang w:eastAsia="sk-SK"/>
        </w:rPr>
      </w:pPr>
      <w:r w:rsidRPr="007D5748">
        <w:rPr>
          <w:b/>
          <w:bdr w:val="single" w:sz="4" w:space="0" w:color="auto"/>
          <w:lang w:eastAsia="sk-SK"/>
        </w:rPr>
        <w:t xml:space="preserve">     </w:t>
      </w:r>
      <w:r w:rsidRPr="007D5748">
        <w:rPr>
          <w:b/>
          <w:lang w:eastAsia="sk-SK"/>
        </w:rPr>
        <w:t xml:space="preserve">  </w:t>
      </w:r>
      <w:r w:rsidRPr="007D5748">
        <w:rPr>
          <w:lang w:eastAsia="sk-SK"/>
        </w:rPr>
        <w:t>zmena sadzby</w:t>
      </w:r>
    </w:p>
    <w:p w14:paraId="13A8D6F9" w14:textId="77777777" w:rsidR="00AA4CFC" w:rsidRPr="007D5748" w:rsidRDefault="00AA4CFC" w:rsidP="00AA4CFC">
      <w:pPr>
        <w:rPr>
          <w:lang w:eastAsia="sk-SK"/>
        </w:rPr>
      </w:pPr>
      <w:r w:rsidRPr="007D5748">
        <w:rPr>
          <w:bdr w:val="single" w:sz="4" w:space="0" w:color="auto"/>
          <w:lang w:eastAsia="sk-SK"/>
        </w:rPr>
        <w:t xml:space="preserve">     </w:t>
      </w:r>
      <w:r w:rsidRPr="007D5748">
        <w:rPr>
          <w:lang w:eastAsia="sk-SK"/>
        </w:rPr>
        <w:t xml:space="preserve">  zmena v nároku</w:t>
      </w:r>
    </w:p>
    <w:p w14:paraId="4F4BCA53" w14:textId="77777777" w:rsidR="00AA4CFC" w:rsidRPr="007D5748" w:rsidRDefault="00AA4CFC" w:rsidP="00AA4CFC">
      <w:pPr>
        <w:rPr>
          <w:lang w:eastAsia="sk-SK"/>
        </w:rPr>
      </w:pPr>
      <w:r w:rsidRPr="007D5748">
        <w:rPr>
          <w:bdr w:val="single" w:sz="4" w:space="0" w:color="auto"/>
          <w:lang w:eastAsia="sk-SK"/>
        </w:rPr>
        <w:t xml:space="preserve">     </w:t>
      </w:r>
      <w:r w:rsidRPr="007D5748">
        <w:rPr>
          <w:lang w:eastAsia="sk-SK"/>
        </w:rPr>
        <w:t xml:space="preserve">  nová služba alebo nariadenie (alebo ich zrušenie)</w:t>
      </w:r>
    </w:p>
    <w:p w14:paraId="299DB103" w14:textId="77777777" w:rsidR="00AA4CFC" w:rsidRPr="007D5748" w:rsidRDefault="00AA4CFC" w:rsidP="00AA4CFC">
      <w:pPr>
        <w:rPr>
          <w:lang w:eastAsia="sk-SK"/>
        </w:rPr>
      </w:pPr>
      <w:r w:rsidRPr="007D5748">
        <w:rPr>
          <w:bdr w:val="single" w:sz="4" w:space="0" w:color="auto"/>
          <w:lang w:eastAsia="sk-SK"/>
        </w:rPr>
        <w:t xml:space="preserve">     </w:t>
      </w:r>
      <w:r w:rsidRPr="007D5748">
        <w:rPr>
          <w:lang w:eastAsia="sk-SK"/>
        </w:rPr>
        <w:t xml:space="preserve">  kombinovaný návrh</w:t>
      </w:r>
    </w:p>
    <w:p w14:paraId="219C9848" w14:textId="77777777" w:rsidR="00AA4CFC" w:rsidRPr="007D5748" w:rsidRDefault="00AA4CFC" w:rsidP="00AA4CFC">
      <w:pPr>
        <w:rPr>
          <w:lang w:eastAsia="sk-SK"/>
        </w:rPr>
      </w:pPr>
      <w:r>
        <w:rPr>
          <w:bdr w:val="single" w:sz="4" w:space="0" w:color="auto"/>
          <w:lang w:eastAsia="sk-SK"/>
        </w:rPr>
        <w:t xml:space="preserve">  x</w:t>
      </w:r>
      <w:r w:rsidRPr="007D5748">
        <w:rPr>
          <w:bdr w:val="single" w:sz="4" w:space="0" w:color="auto"/>
          <w:lang w:eastAsia="sk-SK"/>
        </w:rPr>
        <w:t xml:space="preserve"> </w:t>
      </w:r>
      <w:r w:rsidRPr="007D5748">
        <w:rPr>
          <w:lang w:eastAsia="sk-SK"/>
        </w:rPr>
        <w:t xml:space="preserve">  iné </w:t>
      </w:r>
    </w:p>
    <w:p w14:paraId="151948CA" w14:textId="438F939D" w:rsidR="00AA4CFC" w:rsidRPr="007D5748" w:rsidRDefault="006669B6" w:rsidP="00AA4CFC">
      <w:pPr>
        <w:rPr>
          <w:lang w:eastAsia="sk-SK"/>
        </w:rPr>
      </w:pPr>
      <w:r>
        <w:rPr>
          <w:lang w:eastAsia="sk-SK"/>
        </w:rPr>
        <w:br w:type="column"/>
      </w:r>
      <w:r w:rsidR="00AA4CFC" w:rsidRPr="007D5748">
        <w:rPr>
          <w:b/>
          <w:bCs/>
          <w:lang w:eastAsia="sk-SK"/>
        </w:rPr>
        <w:lastRenderedPageBreak/>
        <w:t>2.2.3. Predpoklady vývoja objemu aktivít:</w:t>
      </w:r>
    </w:p>
    <w:p w14:paraId="060A39E3" w14:textId="77777777" w:rsidR="00AA4CFC" w:rsidRPr="006669B6" w:rsidRDefault="00AA4CFC" w:rsidP="00AA4CFC">
      <w:pPr>
        <w:rPr>
          <w:i/>
          <w:lang w:eastAsia="sk-SK"/>
        </w:rPr>
      </w:pPr>
    </w:p>
    <w:p w14:paraId="515B7E66" w14:textId="77777777" w:rsidR="00AA4CFC" w:rsidRPr="006669B6" w:rsidRDefault="00AA4CFC" w:rsidP="006669B6">
      <w:pPr>
        <w:jc w:val="both"/>
        <w:rPr>
          <w:i/>
          <w:lang w:eastAsia="sk-SK"/>
        </w:rPr>
      </w:pPr>
      <w:r w:rsidRPr="006669B6">
        <w:rPr>
          <w:i/>
          <w:lang w:eastAsia="sk-SK"/>
        </w:rPr>
        <w:t>Jasne popíšte, v prípade potreby použite nižšie uvedenú tabuľku. Uveďte aj odhady základov daní a/alebo poplatkov, ak sa ich táto zmena týka.</w:t>
      </w:r>
    </w:p>
    <w:p w14:paraId="3E0CED17" w14:textId="77777777" w:rsidR="00AA4CFC" w:rsidRPr="007D5748" w:rsidRDefault="00AA4CFC" w:rsidP="00AA4CFC">
      <w:pPr>
        <w:jc w:val="right"/>
        <w:rPr>
          <w:sz w:val="20"/>
          <w:szCs w:val="20"/>
          <w:lang w:eastAsia="sk-SK"/>
        </w:rPr>
      </w:pPr>
      <w:r w:rsidRPr="007D5748">
        <w:rPr>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AA4CFC" w:rsidRPr="007D5748" w14:paraId="0BD13B6E" w14:textId="77777777" w:rsidTr="00B51CD5">
        <w:trPr>
          <w:cantSplit/>
          <w:trHeight w:val="70"/>
        </w:trPr>
        <w:tc>
          <w:tcPr>
            <w:tcW w:w="4530" w:type="dxa"/>
            <w:vMerge w:val="restart"/>
            <w:shd w:val="clear" w:color="auto" w:fill="BFBFBF" w:themeFill="background1" w:themeFillShade="BF"/>
            <w:vAlign w:val="center"/>
          </w:tcPr>
          <w:p w14:paraId="10F063A0" w14:textId="77777777" w:rsidR="00AA4CFC" w:rsidRPr="007D5748" w:rsidRDefault="00AA4CFC" w:rsidP="00B51CD5">
            <w:pPr>
              <w:autoSpaceDE w:val="0"/>
              <w:autoSpaceDN w:val="0"/>
              <w:adjustRightInd w:val="0"/>
              <w:jc w:val="center"/>
              <w:rPr>
                <w:b/>
                <w:bCs/>
                <w:lang w:eastAsia="sk-SK"/>
              </w:rPr>
            </w:pPr>
            <w:r w:rsidRPr="007D5748">
              <w:rPr>
                <w:b/>
                <w:bCs/>
                <w:lang w:eastAsia="sk-SK"/>
              </w:rPr>
              <w:t>Objem aktivít</w:t>
            </w:r>
          </w:p>
        </w:tc>
        <w:tc>
          <w:tcPr>
            <w:tcW w:w="1134" w:type="dxa"/>
            <w:gridSpan w:val="4"/>
            <w:shd w:val="clear" w:color="auto" w:fill="BFBFBF" w:themeFill="background1" w:themeFillShade="BF"/>
            <w:vAlign w:val="center"/>
          </w:tcPr>
          <w:p w14:paraId="712AA38D" w14:textId="77777777" w:rsidR="00AA4CFC" w:rsidRPr="007D5748" w:rsidRDefault="00AA4CFC" w:rsidP="00B51CD5">
            <w:pPr>
              <w:autoSpaceDE w:val="0"/>
              <w:autoSpaceDN w:val="0"/>
              <w:adjustRightInd w:val="0"/>
              <w:jc w:val="center"/>
              <w:rPr>
                <w:b/>
                <w:bCs/>
                <w:lang w:eastAsia="sk-SK"/>
              </w:rPr>
            </w:pPr>
            <w:r w:rsidRPr="007D5748">
              <w:rPr>
                <w:b/>
                <w:bCs/>
                <w:lang w:eastAsia="sk-SK"/>
              </w:rPr>
              <w:t>Odhadované objemy</w:t>
            </w:r>
          </w:p>
        </w:tc>
      </w:tr>
      <w:tr w:rsidR="00AA4CFC" w:rsidRPr="007D5748" w14:paraId="2DF85F99" w14:textId="77777777" w:rsidTr="00B51CD5">
        <w:trPr>
          <w:cantSplit/>
          <w:trHeight w:val="70"/>
        </w:trPr>
        <w:tc>
          <w:tcPr>
            <w:tcW w:w="4530" w:type="dxa"/>
            <w:vMerge/>
            <w:shd w:val="clear" w:color="auto" w:fill="BFBFBF" w:themeFill="background1" w:themeFillShade="BF"/>
          </w:tcPr>
          <w:p w14:paraId="74E1B151" w14:textId="77777777" w:rsidR="00AA4CFC" w:rsidRPr="007D5748" w:rsidRDefault="00AA4CFC" w:rsidP="00B51CD5">
            <w:pPr>
              <w:autoSpaceDE w:val="0"/>
              <w:autoSpaceDN w:val="0"/>
              <w:adjustRightInd w:val="0"/>
              <w:jc w:val="center"/>
              <w:rPr>
                <w:b/>
                <w:bCs/>
                <w:lang w:eastAsia="sk-SK"/>
              </w:rPr>
            </w:pPr>
          </w:p>
        </w:tc>
        <w:tc>
          <w:tcPr>
            <w:tcW w:w="1134" w:type="dxa"/>
            <w:shd w:val="clear" w:color="auto" w:fill="BFBFBF" w:themeFill="background1" w:themeFillShade="BF"/>
            <w:vAlign w:val="center"/>
          </w:tcPr>
          <w:p w14:paraId="115C5FC6" w14:textId="6A6D8073" w:rsidR="00AA4CFC" w:rsidRPr="007D5748" w:rsidRDefault="00AA4CFC" w:rsidP="00AD1466">
            <w:pPr>
              <w:autoSpaceDE w:val="0"/>
              <w:autoSpaceDN w:val="0"/>
              <w:adjustRightInd w:val="0"/>
              <w:jc w:val="center"/>
              <w:rPr>
                <w:b/>
                <w:bCs/>
                <w:lang w:eastAsia="sk-SK"/>
              </w:rPr>
            </w:pPr>
            <w:r>
              <w:rPr>
                <w:b/>
                <w:bCs/>
                <w:lang w:eastAsia="sk-SK"/>
              </w:rPr>
              <w:t>201</w:t>
            </w:r>
            <w:r w:rsidR="00AD1466">
              <w:rPr>
                <w:b/>
                <w:bCs/>
                <w:lang w:eastAsia="sk-SK"/>
              </w:rPr>
              <w:t>9</w:t>
            </w:r>
          </w:p>
        </w:tc>
        <w:tc>
          <w:tcPr>
            <w:tcW w:w="1134" w:type="dxa"/>
            <w:shd w:val="clear" w:color="auto" w:fill="BFBFBF" w:themeFill="background1" w:themeFillShade="BF"/>
            <w:vAlign w:val="center"/>
          </w:tcPr>
          <w:p w14:paraId="1FD2DF69" w14:textId="56C2FC60" w:rsidR="00AA4CFC" w:rsidRPr="007D5748" w:rsidRDefault="00AA4CFC" w:rsidP="00AD1466">
            <w:pPr>
              <w:autoSpaceDE w:val="0"/>
              <w:autoSpaceDN w:val="0"/>
              <w:adjustRightInd w:val="0"/>
              <w:jc w:val="center"/>
              <w:rPr>
                <w:b/>
                <w:bCs/>
                <w:lang w:eastAsia="sk-SK"/>
              </w:rPr>
            </w:pPr>
            <w:r>
              <w:rPr>
                <w:b/>
                <w:bCs/>
                <w:lang w:eastAsia="sk-SK"/>
              </w:rPr>
              <w:t>20</w:t>
            </w:r>
            <w:r w:rsidR="00AD1466">
              <w:rPr>
                <w:b/>
                <w:bCs/>
                <w:lang w:eastAsia="sk-SK"/>
              </w:rPr>
              <w:t>20</w:t>
            </w:r>
          </w:p>
        </w:tc>
        <w:tc>
          <w:tcPr>
            <w:tcW w:w="1134" w:type="dxa"/>
            <w:shd w:val="clear" w:color="auto" w:fill="BFBFBF" w:themeFill="background1" w:themeFillShade="BF"/>
            <w:vAlign w:val="center"/>
          </w:tcPr>
          <w:p w14:paraId="77D1869F" w14:textId="180D0FA7" w:rsidR="00AA4CFC" w:rsidRPr="007D5748" w:rsidRDefault="00AA4CFC" w:rsidP="00AD1466">
            <w:pPr>
              <w:autoSpaceDE w:val="0"/>
              <w:autoSpaceDN w:val="0"/>
              <w:adjustRightInd w:val="0"/>
              <w:jc w:val="center"/>
              <w:rPr>
                <w:b/>
                <w:bCs/>
                <w:lang w:eastAsia="sk-SK"/>
              </w:rPr>
            </w:pPr>
            <w:r>
              <w:rPr>
                <w:b/>
                <w:bCs/>
                <w:lang w:eastAsia="sk-SK"/>
              </w:rPr>
              <w:t>20</w:t>
            </w:r>
            <w:r w:rsidR="00AD1466">
              <w:rPr>
                <w:b/>
                <w:bCs/>
                <w:lang w:eastAsia="sk-SK"/>
              </w:rPr>
              <w:t>21</w:t>
            </w:r>
          </w:p>
        </w:tc>
        <w:tc>
          <w:tcPr>
            <w:tcW w:w="1134" w:type="dxa"/>
            <w:shd w:val="clear" w:color="auto" w:fill="BFBFBF" w:themeFill="background1" w:themeFillShade="BF"/>
            <w:vAlign w:val="center"/>
          </w:tcPr>
          <w:p w14:paraId="3C268CE7" w14:textId="4A6BA275" w:rsidR="00AA4CFC" w:rsidRPr="007D5748" w:rsidRDefault="00AA4CFC" w:rsidP="00AD1466">
            <w:pPr>
              <w:autoSpaceDE w:val="0"/>
              <w:autoSpaceDN w:val="0"/>
              <w:adjustRightInd w:val="0"/>
              <w:jc w:val="center"/>
              <w:rPr>
                <w:b/>
                <w:bCs/>
                <w:lang w:eastAsia="sk-SK"/>
              </w:rPr>
            </w:pPr>
            <w:r>
              <w:rPr>
                <w:b/>
                <w:bCs/>
                <w:lang w:eastAsia="sk-SK"/>
              </w:rPr>
              <w:t>202</w:t>
            </w:r>
            <w:r w:rsidR="00AD1466">
              <w:rPr>
                <w:b/>
                <w:bCs/>
                <w:lang w:eastAsia="sk-SK"/>
              </w:rPr>
              <w:t>2</w:t>
            </w:r>
          </w:p>
        </w:tc>
      </w:tr>
      <w:tr w:rsidR="00AA4CFC" w:rsidRPr="007D5748" w14:paraId="7FB96E97" w14:textId="77777777" w:rsidTr="00B51CD5">
        <w:trPr>
          <w:trHeight w:val="70"/>
        </w:trPr>
        <w:tc>
          <w:tcPr>
            <w:tcW w:w="4530" w:type="dxa"/>
          </w:tcPr>
          <w:p w14:paraId="2C7836B7" w14:textId="77777777" w:rsidR="00AA4CFC" w:rsidRPr="007D5748" w:rsidRDefault="00AA4CFC" w:rsidP="00B51CD5">
            <w:pPr>
              <w:autoSpaceDE w:val="0"/>
              <w:autoSpaceDN w:val="0"/>
              <w:adjustRightInd w:val="0"/>
              <w:rPr>
                <w:color w:val="000000"/>
                <w:lang w:eastAsia="sk-SK"/>
              </w:rPr>
            </w:pPr>
            <w:r w:rsidRPr="007D5748">
              <w:rPr>
                <w:color w:val="000000"/>
                <w:lang w:eastAsia="sk-SK"/>
              </w:rPr>
              <w:t>Indikátor ABC</w:t>
            </w:r>
          </w:p>
        </w:tc>
        <w:tc>
          <w:tcPr>
            <w:tcW w:w="1134" w:type="dxa"/>
          </w:tcPr>
          <w:p w14:paraId="1AD7E4EC" w14:textId="77777777" w:rsidR="00AA4CFC" w:rsidRPr="007D5748" w:rsidRDefault="00AA4CFC" w:rsidP="00B51CD5">
            <w:pPr>
              <w:autoSpaceDE w:val="0"/>
              <w:autoSpaceDN w:val="0"/>
              <w:adjustRightInd w:val="0"/>
              <w:jc w:val="right"/>
              <w:rPr>
                <w:color w:val="000000"/>
                <w:lang w:eastAsia="sk-SK"/>
              </w:rPr>
            </w:pPr>
          </w:p>
        </w:tc>
        <w:tc>
          <w:tcPr>
            <w:tcW w:w="1134" w:type="dxa"/>
          </w:tcPr>
          <w:p w14:paraId="6775EE6D" w14:textId="77777777" w:rsidR="00AA4CFC" w:rsidRPr="007D5748" w:rsidRDefault="00AA4CFC" w:rsidP="00B51CD5">
            <w:pPr>
              <w:autoSpaceDE w:val="0"/>
              <w:autoSpaceDN w:val="0"/>
              <w:adjustRightInd w:val="0"/>
              <w:jc w:val="right"/>
              <w:rPr>
                <w:color w:val="000000"/>
                <w:lang w:eastAsia="sk-SK"/>
              </w:rPr>
            </w:pPr>
          </w:p>
        </w:tc>
        <w:tc>
          <w:tcPr>
            <w:tcW w:w="1134" w:type="dxa"/>
          </w:tcPr>
          <w:p w14:paraId="3248AA62" w14:textId="77777777" w:rsidR="00AA4CFC" w:rsidRPr="007D5748" w:rsidRDefault="00AA4CFC" w:rsidP="00B51CD5">
            <w:pPr>
              <w:autoSpaceDE w:val="0"/>
              <w:autoSpaceDN w:val="0"/>
              <w:adjustRightInd w:val="0"/>
              <w:jc w:val="right"/>
              <w:rPr>
                <w:color w:val="000000"/>
                <w:lang w:eastAsia="sk-SK"/>
              </w:rPr>
            </w:pPr>
          </w:p>
        </w:tc>
        <w:tc>
          <w:tcPr>
            <w:tcW w:w="1134" w:type="dxa"/>
          </w:tcPr>
          <w:p w14:paraId="28BD42D3" w14:textId="77777777" w:rsidR="00AA4CFC" w:rsidRPr="007D5748" w:rsidRDefault="00AA4CFC" w:rsidP="00B51CD5">
            <w:pPr>
              <w:autoSpaceDE w:val="0"/>
              <w:autoSpaceDN w:val="0"/>
              <w:adjustRightInd w:val="0"/>
              <w:jc w:val="right"/>
              <w:rPr>
                <w:color w:val="000000"/>
                <w:lang w:eastAsia="sk-SK"/>
              </w:rPr>
            </w:pPr>
          </w:p>
        </w:tc>
      </w:tr>
      <w:tr w:rsidR="00AA4CFC" w:rsidRPr="007D5748" w14:paraId="42763D42" w14:textId="77777777" w:rsidTr="00B51CD5">
        <w:trPr>
          <w:trHeight w:val="70"/>
        </w:trPr>
        <w:tc>
          <w:tcPr>
            <w:tcW w:w="4530" w:type="dxa"/>
          </w:tcPr>
          <w:p w14:paraId="07D4A42D" w14:textId="77777777" w:rsidR="00AA4CFC" w:rsidRPr="007D5748" w:rsidRDefault="00AA4CFC" w:rsidP="00B51CD5">
            <w:pPr>
              <w:autoSpaceDE w:val="0"/>
              <w:autoSpaceDN w:val="0"/>
              <w:adjustRightInd w:val="0"/>
              <w:rPr>
                <w:color w:val="000000"/>
                <w:lang w:eastAsia="sk-SK"/>
              </w:rPr>
            </w:pPr>
            <w:r w:rsidRPr="007D5748">
              <w:rPr>
                <w:color w:val="000000"/>
                <w:lang w:eastAsia="sk-SK"/>
              </w:rPr>
              <w:t>Indikátor KLM</w:t>
            </w:r>
          </w:p>
        </w:tc>
        <w:tc>
          <w:tcPr>
            <w:tcW w:w="1134" w:type="dxa"/>
          </w:tcPr>
          <w:p w14:paraId="03AAF5A5" w14:textId="77777777" w:rsidR="00AA4CFC" w:rsidRPr="007D5748" w:rsidRDefault="00AA4CFC" w:rsidP="00B51CD5">
            <w:pPr>
              <w:autoSpaceDE w:val="0"/>
              <w:autoSpaceDN w:val="0"/>
              <w:adjustRightInd w:val="0"/>
              <w:jc w:val="right"/>
              <w:rPr>
                <w:color w:val="000000"/>
                <w:lang w:eastAsia="sk-SK"/>
              </w:rPr>
            </w:pPr>
          </w:p>
        </w:tc>
        <w:tc>
          <w:tcPr>
            <w:tcW w:w="1134" w:type="dxa"/>
          </w:tcPr>
          <w:p w14:paraId="509E5D42" w14:textId="77777777" w:rsidR="00AA4CFC" w:rsidRPr="007D5748" w:rsidRDefault="00AA4CFC" w:rsidP="00B51CD5">
            <w:pPr>
              <w:autoSpaceDE w:val="0"/>
              <w:autoSpaceDN w:val="0"/>
              <w:adjustRightInd w:val="0"/>
              <w:jc w:val="right"/>
              <w:rPr>
                <w:color w:val="000000"/>
                <w:lang w:eastAsia="sk-SK"/>
              </w:rPr>
            </w:pPr>
          </w:p>
        </w:tc>
        <w:tc>
          <w:tcPr>
            <w:tcW w:w="1134" w:type="dxa"/>
          </w:tcPr>
          <w:p w14:paraId="666C8E28" w14:textId="77777777" w:rsidR="00AA4CFC" w:rsidRPr="007D5748" w:rsidRDefault="00AA4CFC" w:rsidP="00B51CD5">
            <w:pPr>
              <w:autoSpaceDE w:val="0"/>
              <w:autoSpaceDN w:val="0"/>
              <w:adjustRightInd w:val="0"/>
              <w:jc w:val="right"/>
              <w:rPr>
                <w:color w:val="000000"/>
                <w:lang w:eastAsia="sk-SK"/>
              </w:rPr>
            </w:pPr>
          </w:p>
        </w:tc>
        <w:tc>
          <w:tcPr>
            <w:tcW w:w="1134" w:type="dxa"/>
          </w:tcPr>
          <w:p w14:paraId="6D9684EC" w14:textId="77777777" w:rsidR="00AA4CFC" w:rsidRPr="007D5748" w:rsidRDefault="00AA4CFC" w:rsidP="00B51CD5">
            <w:pPr>
              <w:autoSpaceDE w:val="0"/>
              <w:autoSpaceDN w:val="0"/>
              <w:adjustRightInd w:val="0"/>
              <w:jc w:val="right"/>
              <w:rPr>
                <w:color w:val="000000"/>
                <w:lang w:eastAsia="sk-SK"/>
              </w:rPr>
            </w:pPr>
          </w:p>
        </w:tc>
      </w:tr>
      <w:tr w:rsidR="00AA4CFC" w:rsidRPr="007D5748" w14:paraId="33AB20F6" w14:textId="77777777" w:rsidTr="00B51CD5">
        <w:trPr>
          <w:trHeight w:val="70"/>
        </w:trPr>
        <w:tc>
          <w:tcPr>
            <w:tcW w:w="4530" w:type="dxa"/>
          </w:tcPr>
          <w:p w14:paraId="4D18D9A1" w14:textId="77777777" w:rsidR="00AA4CFC" w:rsidRPr="007D5748" w:rsidRDefault="00AA4CFC" w:rsidP="00B51CD5">
            <w:pPr>
              <w:autoSpaceDE w:val="0"/>
              <w:autoSpaceDN w:val="0"/>
              <w:adjustRightInd w:val="0"/>
              <w:rPr>
                <w:color w:val="000000"/>
                <w:lang w:eastAsia="sk-SK"/>
              </w:rPr>
            </w:pPr>
            <w:r w:rsidRPr="007D5748">
              <w:rPr>
                <w:color w:val="000000"/>
                <w:lang w:eastAsia="sk-SK"/>
              </w:rPr>
              <w:t>Indikátor XYZ</w:t>
            </w:r>
          </w:p>
        </w:tc>
        <w:tc>
          <w:tcPr>
            <w:tcW w:w="1134" w:type="dxa"/>
          </w:tcPr>
          <w:p w14:paraId="4D61C85C" w14:textId="77777777" w:rsidR="00AA4CFC" w:rsidRPr="007D5748" w:rsidRDefault="00AA4CFC" w:rsidP="00B51CD5">
            <w:pPr>
              <w:autoSpaceDE w:val="0"/>
              <w:autoSpaceDN w:val="0"/>
              <w:adjustRightInd w:val="0"/>
              <w:jc w:val="right"/>
              <w:rPr>
                <w:color w:val="000000"/>
                <w:lang w:eastAsia="sk-SK"/>
              </w:rPr>
            </w:pPr>
          </w:p>
        </w:tc>
        <w:tc>
          <w:tcPr>
            <w:tcW w:w="1134" w:type="dxa"/>
          </w:tcPr>
          <w:p w14:paraId="3B504737" w14:textId="77777777" w:rsidR="00AA4CFC" w:rsidRPr="007D5748" w:rsidRDefault="00AA4CFC" w:rsidP="00B51CD5">
            <w:pPr>
              <w:autoSpaceDE w:val="0"/>
              <w:autoSpaceDN w:val="0"/>
              <w:adjustRightInd w:val="0"/>
              <w:jc w:val="right"/>
              <w:rPr>
                <w:color w:val="000000"/>
                <w:lang w:eastAsia="sk-SK"/>
              </w:rPr>
            </w:pPr>
          </w:p>
        </w:tc>
        <w:tc>
          <w:tcPr>
            <w:tcW w:w="1134" w:type="dxa"/>
          </w:tcPr>
          <w:p w14:paraId="11C8E200" w14:textId="77777777" w:rsidR="00AA4CFC" w:rsidRPr="007D5748" w:rsidRDefault="00AA4CFC" w:rsidP="00B51CD5">
            <w:pPr>
              <w:autoSpaceDE w:val="0"/>
              <w:autoSpaceDN w:val="0"/>
              <w:adjustRightInd w:val="0"/>
              <w:jc w:val="right"/>
              <w:rPr>
                <w:color w:val="000000"/>
                <w:lang w:eastAsia="sk-SK"/>
              </w:rPr>
            </w:pPr>
          </w:p>
        </w:tc>
        <w:tc>
          <w:tcPr>
            <w:tcW w:w="1134" w:type="dxa"/>
          </w:tcPr>
          <w:p w14:paraId="6292C562" w14:textId="77777777" w:rsidR="00AA4CFC" w:rsidRPr="007D5748" w:rsidRDefault="00AA4CFC" w:rsidP="00B51CD5">
            <w:pPr>
              <w:autoSpaceDE w:val="0"/>
              <w:autoSpaceDN w:val="0"/>
              <w:adjustRightInd w:val="0"/>
              <w:jc w:val="right"/>
              <w:rPr>
                <w:color w:val="000000"/>
                <w:lang w:eastAsia="sk-SK"/>
              </w:rPr>
            </w:pPr>
          </w:p>
        </w:tc>
      </w:tr>
    </w:tbl>
    <w:p w14:paraId="5F8B2A3D" w14:textId="77777777" w:rsidR="005215A7" w:rsidRDefault="005215A7" w:rsidP="00AA4CFC">
      <w:pPr>
        <w:rPr>
          <w:b/>
          <w:bCs/>
          <w:lang w:eastAsia="sk-SK"/>
        </w:rPr>
      </w:pPr>
    </w:p>
    <w:p w14:paraId="3FD1199B" w14:textId="77777777" w:rsidR="005215A7" w:rsidRDefault="005215A7" w:rsidP="00AA4CFC">
      <w:pPr>
        <w:rPr>
          <w:b/>
          <w:bCs/>
          <w:lang w:eastAsia="sk-SK"/>
        </w:rPr>
      </w:pPr>
    </w:p>
    <w:p w14:paraId="3B3F4973" w14:textId="77777777" w:rsidR="00AA4CFC" w:rsidRPr="007D5748" w:rsidRDefault="00AA4CFC" w:rsidP="00AA4CFC">
      <w:pPr>
        <w:rPr>
          <w:b/>
          <w:bCs/>
          <w:lang w:eastAsia="sk-SK"/>
        </w:rPr>
      </w:pPr>
      <w:r w:rsidRPr="007D5748">
        <w:rPr>
          <w:b/>
          <w:bCs/>
          <w:lang w:eastAsia="sk-SK"/>
        </w:rPr>
        <w:t>2.2.4. Výpočty vplyvov na verejné financie</w:t>
      </w:r>
    </w:p>
    <w:p w14:paraId="05F18D0F" w14:textId="77777777" w:rsidR="00AA4CFC" w:rsidRPr="007D5748" w:rsidRDefault="00AA4CFC" w:rsidP="00AA4CFC">
      <w:pPr>
        <w:rPr>
          <w:lang w:eastAsia="sk-SK"/>
        </w:rPr>
      </w:pPr>
    </w:p>
    <w:p w14:paraId="5BDFFD3C" w14:textId="5CDAFB35" w:rsidR="00AA4CFC" w:rsidRDefault="00AA4CFC" w:rsidP="00AA4CFC">
      <w:pPr>
        <w:tabs>
          <w:tab w:val="num" w:pos="1080"/>
        </w:tabs>
        <w:jc w:val="both"/>
        <w:rPr>
          <w:bCs/>
          <w:szCs w:val="20"/>
          <w:lang w:eastAsia="sk-SK"/>
        </w:rPr>
      </w:pPr>
      <w:r w:rsidRPr="007D5748">
        <w:rPr>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3B02C595" w14:textId="77777777" w:rsidR="00AA4CFC" w:rsidRDefault="00AA4CFC" w:rsidP="00AA4CFC">
      <w:pPr>
        <w:tabs>
          <w:tab w:val="num" w:pos="1080"/>
        </w:tabs>
        <w:jc w:val="both"/>
        <w:rPr>
          <w:bCs/>
          <w:szCs w:val="20"/>
          <w:lang w:eastAsia="sk-SK"/>
        </w:rPr>
      </w:pPr>
    </w:p>
    <w:p w14:paraId="6ECDA99F" w14:textId="1B2141F5" w:rsidR="001F119E" w:rsidRDefault="001F119E" w:rsidP="00AA4CFC">
      <w:pPr>
        <w:tabs>
          <w:tab w:val="num" w:pos="1080"/>
        </w:tabs>
        <w:jc w:val="both"/>
        <w:rPr>
          <w:bCs/>
          <w:szCs w:val="20"/>
          <w:lang w:eastAsia="sk-SK"/>
        </w:rPr>
      </w:pPr>
    </w:p>
    <w:p w14:paraId="3AA02C48" w14:textId="77777777" w:rsidR="001F119E" w:rsidRPr="001F119E" w:rsidRDefault="001F119E" w:rsidP="001F119E">
      <w:pPr>
        <w:rPr>
          <w:szCs w:val="20"/>
          <w:lang w:eastAsia="sk-SK"/>
        </w:rPr>
      </w:pPr>
    </w:p>
    <w:p w14:paraId="128CFC0D" w14:textId="77777777" w:rsidR="001F119E" w:rsidRPr="001F119E" w:rsidRDefault="001F119E" w:rsidP="001F119E">
      <w:pPr>
        <w:rPr>
          <w:szCs w:val="20"/>
          <w:lang w:eastAsia="sk-SK"/>
        </w:rPr>
      </w:pPr>
    </w:p>
    <w:p w14:paraId="48948B82" w14:textId="77777777" w:rsidR="001F119E" w:rsidRPr="001F119E" w:rsidRDefault="001F119E" w:rsidP="001F119E">
      <w:pPr>
        <w:rPr>
          <w:szCs w:val="20"/>
          <w:lang w:eastAsia="sk-SK"/>
        </w:rPr>
      </w:pPr>
    </w:p>
    <w:p w14:paraId="1D872F0B" w14:textId="77777777" w:rsidR="001F119E" w:rsidRPr="001F119E" w:rsidRDefault="001F119E" w:rsidP="001F119E">
      <w:pPr>
        <w:rPr>
          <w:szCs w:val="20"/>
          <w:lang w:eastAsia="sk-SK"/>
        </w:rPr>
      </w:pPr>
    </w:p>
    <w:p w14:paraId="1E11B341" w14:textId="77777777" w:rsidR="001F119E" w:rsidRPr="001F119E" w:rsidRDefault="001F119E" w:rsidP="001F119E">
      <w:pPr>
        <w:rPr>
          <w:szCs w:val="20"/>
          <w:lang w:eastAsia="sk-SK"/>
        </w:rPr>
      </w:pPr>
    </w:p>
    <w:p w14:paraId="01041C4A" w14:textId="77777777" w:rsidR="001F119E" w:rsidRPr="001F119E" w:rsidRDefault="001F119E" w:rsidP="001F119E">
      <w:pPr>
        <w:rPr>
          <w:szCs w:val="20"/>
          <w:lang w:eastAsia="sk-SK"/>
        </w:rPr>
      </w:pPr>
    </w:p>
    <w:p w14:paraId="34CBEBA5" w14:textId="77777777" w:rsidR="001F119E" w:rsidRPr="001F119E" w:rsidRDefault="001F119E" w:rsidP="001F119E">
      <w:pPr>
        <w:rPr>
          <w:szCs w:val="20"/>
          <w:lang w:eastAsia="sk-SK"/>
        </w:rPr>
      </w:pPr>
    </w:p>
    <w:p w14:paraId="61E8BCA2" w14:textId="77777777" w:rsidR="001F119E" w:rsidRPr="001F119E" w:rsidRDefault="001F119E" w:rsidP="001F119E">
      <w:pPr>
        <w:rPr>
          <w:szCs w:val="20"/>
          <w:lang w:eastAsia="sk-SK"/>
        </w:rPr>
      </w:pPr>
    </w:p>
    <w:p w14:paraId="7179DD9B" w14:textId="77777777" w:rsidR="001F119E" w:rsidRPr="001F119E" w:rsidRDefault="001F119E" w:rsidP="001F119E">
      <w:pPr>
        <w:rPr>
          <w:szCs w:val="20"/>
          <w:lang w:eastAsia="sk-SK"/>
        </w:rPr>
      </w:pPr>
    </w:p>
    <w:p w14:paraId="4A5E5A1D" w14:textId="77777777" w:rsidR="001F119E" w:rsidRPr="001F119E" w:rsidRDefault="001F119E" w:rsidP="001F119E">
      <w:pPr>
        <w:rPr>
          <w:szCs w:val="20"/>
          <w:lang w:eastAsia="sk-SK"/>
        </w:rPr>
      </w:pPr>
    </w:p>
    <w:p w14:paraId="31E5362F" w14:textId="77777777" w:rsidR="001F119E" w:rsidRPr="001F119E" w:rsidRDefault="001F119E" w:rsidP="001F119E">
      <w:pPr>
        <w:rPr>
          <w:szCs w:val="20"/>
          <w:lang w:eastAsia="sk-SK"/>
        </w:rPr>
      </w:pPr>
    </w:p>
    <w:p w14:paraId="13902E45" w14:textId="77777777" w:rsidR="001F119E" w:rsidRPr="001F119E" w:rsidRDefault="001F119E" w:rsidP="001F119E">
      <w:pPr>
        <w:rPr>
          <w:szCs w:val="20"/>
          <w:lang w:eastAsia="sk-SK"/>
        </w:rPr>
      </w:pPr>
    </w:p>
    <w:p w14:paraId="0195FE99" w14:textId="77777777" w:rsidR="001F119E" w:rsidRPr="001F119E" w:rsidRDefault="001F119E" w:rsidP="001F119E">
      <w:pPr>
        <w:rPr>
          <w:szCs w:val="20"/>
          <w:lang w:eastAsia="sk-SK"/>
        </w:rPr>
      </w:pPr>
    </w:p>
    <w:p w14:paraId="3EDD745D" w14:textId="77777777" w:rsidR="001F119E" w:rsidRPr="001F119E" w:rsidRDefault="001F119E" w:rsidP="001F119E">
      <w:pPr>
        <w:rPr>
          <w:szCs w:val="20"/>
          <w:lang w:eastAsia="sk-SK"/>
        </w:rPr>
      </w:pPr>
    </w:p>
    <w:p w14:paraId="5353EF24" w14:textId="77777777" w:rsidR="001F119E" w:rsidRPr="001F119E" w:rsidRDefault="001F119E" w:rsidP="001F119E">
      <w:pPr>
        <w:rPr>
          <w:szCs w:val="20"/>
          <w:lang w:eastAsia="sk-SK"/>
        </w:rPr>
      </w:pPr>
    </w:p>
    <w:p w14:paraId="5EB6CF81" w14:textId="77777777" w:rsidR="001F119E" w:rsidRPr="001F119E" w:rsidRDefault="001F119E" w:rsidP="001F119E">
      <w:pPr>
        <w:rPr>
          <w:szCs w:val="20"/>
          <w:lang w:eastAsia="sk-SK"/>
        </w:rPr>
      </w:pPr>
    </w:p>
    <w:p w14:paraId="01E5899E" w14:textId="77777777" w:rsidR="001F119E" w:rsidRPr="001F119E" w:rsidRDefault="001F119E" w:rsidP="001F119E">
      <w:pPr>
        <w:rPr>
          <w:szCs w:val="20"/>
          <w:lang w:eastAsia="sk-SK"/>
        </w:rPr>
      </w:pPr>
    </w:p>
    <w:p w14:paraId="099B01B0" w14:textId="77777777" w:rsidR="001F119E" w:rsidRPr="001F119E" w:rsidRDefault="001F119E" w:rsidP="001F119E">
      <w:pPr>
        <w:rPr>
          <w:szCs w:val="20"/>
          <w:lang w:eastAsia="sk-SK"/>
        </w:rPr>
      </w:pPr>
    </w:p>
    <w:p w14:paraId="007CEE12" w14:textId="77777777" w:rsidR="001F119E" w:rsidRPr="001F119E" w:rsidRDefault="001F119E" w:rsidP="001F119E">
      <w:pPr>
        <w:rPr>
          <w:szCs w:val="20"/>
          <w:lang w:eastAsia="sk-SK"/>
        </w:rPr>
      </w:pPr>
    </w:p>
    <w:p w14:paraId="6665D058" w14:textId="77777777" w:rsidR="001F119E" w:rsidRPr="001F119E" w:rsidRDefault="001F119E" w:rsidP="001F119E">
      <w:pPr>
        <w:rPr>
          <w:szCs w:val="20"/>
          <w:lang w:eastAsia="sk-SK"/>
        </w:rPr>
      </w:pPr>
    </w:p>
    <w:p w14:paraId="12D05C5B" w14:textId="77777777" w:rsidR="001F119E" w:rsidRPr="001F119E" w:rsidRDefault="001F119E" w:rsidP="001F119E">
      <w:pPr>
        <w:rPr>
          <w:szCs w:val="20"/>
          <w:lang w:eastAsia="sk-SK"/>
        </w:rPr>
      </w:pPr>
    </w:p>
    <w:p w14:paraId="1A904CB8" w14:textId="77777777" w:rsidR="001F119E" w:rsidRPr="001F119E" w:rsidRDefault="001F119E" w:rsidP="001F119E">
      <w:pPr>
        <w:rPr>
          <w:szCs w:val="20"/>
          <w:lang w:eastAsia="sk-SK"/>
        </w:rPr>
      </w:pPr>
    </w:p>
    <w:p w14:paraId="0CD65AD3" w14:textId="77777777" w:rsidR="001F119E" w:rsidRPr="001F119E" w:rsidRDefault="001F119E" w:rsidP="001F119E">
      <w:pPr>
        <w:rPr>
          <w:szCs w:val="20"/>
          <w:lang w:eastAsia="sk-SK"/>
        </w:rPr>
      </w:pPr>
    </w:p>
    <w:p w14:paraId="084740FA" w14:textId="77777777" w:rsidR="001F119E" w:rsidRPr="001F119E" w:rsidRDefault="001F119E" w:rsidP="001F119E">
      <w:pPr>
        <w:rPr>
          <w:szCs w:val="20"/>
          <w:lang w:eastAsia="sk-SK"/>
        </w:rPr>
      </w:pPr>
    </w:p>
    <w:p w14:paraId="472689A5" w14:textId="77777777" w:rsidR="001F119E" w:rsidRPr="001F119E" w:rsidRDefault="001F119E" w:rsidP="001F119E">
      <w:pPr>
        <w:rPr>
          <w:szCs w:val="20"/>
          <w:lang w:eastAsia="sk-SK"/>
        </w:rPr>
      </w:pPr>
    </w:p>
    <w:p w14:paraId="146E324B" w14:textId="77777777" w:rsidR="001F119E" w:rsidRPr="001F119E" w:rsidRDefault="001F119E" w:rsidP="001F119E">
      <w:pPr>
        <w:rPr>
          <w:szCs w:val="20"/>
          <w:lang w:eastAsia="sk-SK"/>
        </w:rPr>
      </w:pPr>
    </w:p>
    <w:p w14:paraId="37C110A6" w14:textId="77777777" w:rsidR="001F119E" w:rsidRPr="001F119E" w:rsidRDefault="001F119E" w:rsidP="001F119E">
      <w:pPr>
        <w:rPr>
          <w:szCs w:val="20"/>
          <w:lang w:eastAsia="sk-SK"/>
        </w:rPr>
      </w:pPr>
    </w:p>
    <w:p w14:paraId="52386E8F" w14:textId="77777777" w:rsidR="001F119E" w:rsidRPr="001F119E" w:rsidRDefault="001F119E" w:rsidP="001F119E">
      <w:pPr>
        <w:rPr>
          <w:szCs w:val="20"/>
          <w:lang w:eastAsia="sk-SK"/>
        </w:rPr>
      </w:pPr>
    </w:p>
    <w:p w14:paraId="59C5D5B3" w14:textId="77777777" w:rsidR="00AA4CFC" w:rsidRPr="001F119E" w:rsidRDefault="00AA4CFC" w:rsidP="001F119E">
      <w:pPr>
        <w:rPr>
          <w:szCs w:val="20"/>
          <w:lang w:eastAsia="sk-SK"/>
        </w:rPr>
        <w:sectPr w:rsidR="00AA4CFC" w:rsidRPr="001F119E" w:rsidSect="001D46F1">
          <w:headerReference w:type="default" r:id="rId8"/>
          <w:footerReference w:type="default" r:id="rId9"/>
          <w:pgSz w:w="11906" w:h="16838"/>
          <w:pgMar w:top="142" w:right="1417" w:bottom="142" w:left="1417" w:header="708" w:footer="708" w:gutter="0"/>
          <w:cols w:space="708"/>
          <w:docGrid w:linePitch="360"/>
        </w:sectPr>
      </w:pPr>
    </w:p>
    <w:p w14:paraId="57932330" w14:textId="77777777" w:rsidR="00AA4CFC" w:rsidRDefault="00AA4CFC" w:rsidP="00AA4CFC">
      <w:pPr>
        <w:tabs>
          <w:tab w:val="num" w:pos="1080"/>
        </w:tabs>
        <w:jc w:val="right"/>
        <w:rPr>
          <w:bCs/>
          <w:lang w:eastAsia="sk-SK"/>
        </w:rPr>
      </w:pPr>
      <w:r w:rsidRPr="007D5748">
        <w:rPr>
          <w:bCs/>
          <w:lang w:eastAsia="sk-SK"/>
        </w:rPr>
        <w:lastRenderedPageBreak/>
        <w:t xml:space="preserve">Tabuľka č. 3 </w:t>
      </w:r>
    </w:p>
    <w:tbl>
      <w:tblPr>
        <w:tblpPr w:leftFromText="141" w:rightFromText="141" w:vertAnchor="page" w:horzAnchor="margin" w:tblpY="1936"/>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E006A7" w:rsidRPr="007D5748" w14:paraId="71AC963F" w14:textId="77777777" w:rsidTr="00E006A7">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30474B" w14:textId="231ED2FD" w:rsidR="00E006A7" w:rsidRPr="007D5748" w:rsidRDefault="00E006A7" w:rsidP="00480729">
            <w:pPr>
              <w:jc w:val="center"/>
              <w:rPr>
                <w:b/>
                <w:bCs/>
                <w:lang w:eastAsia="sk-SK"/>
              </w:rPr>
            </w:pPr>
            <w:r w:rsidRPr="007D5748">
              <w:rPr>
                <w:b/>
                <w:bCs/>
                <w:lang w:eastAsia="sk-SK"/>
              </w:rPr>
              <w:t>Príjmy (</w:t>
            </w:r>
            <w:r w:rsidR="00480729">
              <w:rPr>
                <w:b/>
                <w:bCs/>
                <w:lang w:eastAsia="sk-SK"/>
              </w:rPr>
              <w:t>EUR</w:t>
            </w:r>
            <w:r w:rsidRPr="007D5748">
              <w:rPr>
                <w:b/>
                <w:bCs/>
                <w:lang w:eastAsia="sk-SK"/>
              </w:rPr>
              <w:t>)</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092BEFBA" w14:textId="77777777" w:rsidR="00E006A7" w:rsidRPr="007D5748" w:rsidRDefault="00E006A7" w:rsidP="00E006A7">
            <w:pPr>
              <w:jc w:val="center"/>
              <w:rPr>
                <w:b/>
                <w:bCs/>
                <w:lang w:eastAsia="sk-SK"/>
              </w:rPr>
            </w:pPr>
            <w:r w:rsidRPr="007D5748">
              <w:rPr>
                <w:b/>
                <w:bCs/>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5986020" w14:textId="77777777" w:rsidR="00E006A7" w:rsidRPr="007D5748" w:rsidRDefault="00E006A7" w:rsidP="00E006A7">
            <w:pPr>
              <w:jc w:val="center"/>
              <w:rPr>
                <w:b/>
                <w:bCs/>
                <w:lang w:eastAsia="sk-SK"/>
              </w:rPr>
            </w:pPr>
            <w:r w:rsidRPr="007D5748">
              <w:rPr>
                <w:b/>
                <w:bCs/>
                <w:lang w:eastAsia="sk-SK"/>
              </w:rPr>
              <w:t>poznámka</w:t>
            </w:r>
          </w:p>
        </w:tc>
      </w:tr>
      <w:tr w:rsidR="00E006A7" w:rsidRPr="007D5748" w14:paraId="25F92B01" w14:textId="77777777" w:rsidTr="00E006A7">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050CDB03" w14:textId="77777777" w:rsidR="00E006A7" w:rsidRPr="007D5748" w:rsidRDefault="00E006A7" w:rsidP="00E006A7">
            <w:pPr>
              <w:rPr>
                <w:b/>
                <w:bCs/>
                <w:color w:val="FFFFFF"/>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14:paraId="593AB9C3" w14:textId="55CF5383" w:rsidR="00E006A7" w:rsidRPr="007D5748" w:rsidRDefault="00E006A7" w:rsidP="00AD1466">
            <w:pPr>
              <w:jc w:val="center"/>
              <w:rPr>
                <w:b/>
                <w:bCs/>
                <w:lang w:eastAsia="sk-SK"/>
              </w:rPr>
            </w:pPr>
            <w:r>
              <w:rPr>
                <w:b/>
                <w:bCs/>
                <w:lang w:eastAsia="sk-SK"/>
              </w:rPr>
              <w:t>201</w:t>
            </w:r>
            <w:r w:rsidR="00AD1466">
              <w:rPr>
                <w:b/>
                <w:bCs/>
                <w:lang w:eastAsia="sk-SK"/>
              </w:rPr>
              <w:t>9</w:t>
            </w:r>
          </w:p>
        </w:tc>
        <w:tc>
          <w:tcPr>
            <w:tcW w:w="1500" w:type="dxa"/>
            <w:tcBorders>
              <w:top w:val="nil"/>
              <w:left w:val="nil"/>
              <w:bottom w:val="single" w:sz="4" w:space="0" w:color="auto"/>
              <w:right w:val="single" w:sz="4" w:space="0" w:color="auto"/>
            </w:tcBorders>
            <w:shd w:val="clear" w:color="auto" w:fill="BFBFBF" w:themeFill="background1" w:themeFillShade="BF"/>
          </w:tcPr>
          <w:p w14:paraId="3CF5461B" w14:textId="242FD3A9" w:rsidR="00E006A7" w:rsidRPr="007D5748" w:rsidRDefault="00E006A7" w:rsidP="00AD1466">
            <w:pPr>
              <w:jc w:val="center"/>
              <w:rPr>
                <w:b/>
                <w:bCs/>
                <w:lang w:eastAsia="sk-SK"/>
              </w:rPr>
            </w:pPr>
            <w:r>
              <w:rPr>
                <w:b/>
                <w:bCs/>
                <w:lang w:eastAsia="sk-SK"/>
              </w:rPr>
              <w:t>20</w:t>
            </w:r>
            <w:r w:rsidR="00AD1466">
              <w:rPr>
                <w:b/>
                <w:bCs/>
                <w:lang w:eastAsia="sk-SK"/>
              </w:rPr>
              <w:t>20</w:t>
            </w:r>
          </w:p>
        </w:tc>
        <w:tc>
          <w:tcPr>
            <w:tcW w:w="1500" w:type="dxa"/>
            <w:tcBorders>
              <w:top w:val="nil"/>
              <w:left w:val="nil"/>
              <w:bottom w:val="single" w:sz="4" w:space="0" w:color="auto"/>
              <w:right w:val="single" w:sz="4" w:space="0" w:color="auto"/>
            </w:tcBorders>
            <w:shd w:val="clear" w:color="auto" w:fill="BFBFBF" w:themeFill="background1" w:themeFillShade="BF"/>
          </w:tcPr>
          <w:p w14:paraId="288F529A" w14:textId="47D634E4" w:rsidR="00E006A7" w:rsidRPr="007D5748" w:rsidRDefault="00E006A7" w:rsidP="00AD1466">
            <w:pPr>
              <w:jc w:val="center"/>
              <w:rPr>
                <w:b/>
                <w:bCs/>
                <w:lang w:eastAsia="sk-SK"/>
              </w:rPr>
            </w:pPr>
            <w:r>
              <w:rPr>
                <w:b/>
                <w:bCs/>
                <w:lang w:eastAsia="sk-SK"/>
              </w:rPr>
              <w:t>202</w:t>
            </w:r>
            <w:r w:rsidR="00AD1466">
              <w:rPr>
                <w:b/>
                <w:bCs/>
                <w:lang w:eastAsia="sk-SK"/>
              </w:rPr>
              <w:t>1</w:t>
            </w:r>
          </w:p>
        </w:tc>
        <w:tc>
          <w:tcPr>
            <w:tcW w:w="1500" w:type="dxa"/>
            <w:tcBorders>
              <w:top w:val="nil"/>
              <w:left w:val="nil"/>
              <w:bottom w:val="single" w:sz="4" w:space="0" w:color="auto"/>
              <w:right w:val="single" w:sz="4" w:space="0" w:color="auto"/>
            </w:tcBorders>
            <w:shd w:val="clear" w:color="auto" w:fill="BFBFBF" w:themeFill="background1" w:themeFillShade="BF"/>
          </w:tcPr>
          <w:p w14:paraId="1D609ACA" w14:textId="4E5FCE8B" w:rsidR="00E006A7" w:rsidRPr="007D5748" w:rsidRDefault="00E006A7" w:rsidP="00AD1466">
            <w:pPr>
              <w:jc w:val="center"/>
              <w:rPr>
                <w:b/>
                <w:bCs/>
                <w:lang w:eastAsia="sk-SK"/>
              </w:rPr>
            </w:pPr>
            <w:r>
              <w:rPr>
                <w:b/>
                <w:bCs/>
                <w:lang w:eastAsia="sk-SK"/>
              </w:rPr>
              <w:t>202</w:t>
            </w:r>
            <w:r w:rsidR="00AD1466">
              <w:rPr>
                <w:b/>
                <w:bCs/>
                <w:lang w:eastAsia="sk-SK"/>
              </w:rPr>
              <w:t>2</w:t>
            </w:r>
          </w:p>
        </w:tc>
        <w:tc>
          <w:tcPr>
            <w:tcW w:w="3000" w:type="dxa"/>
            <w:vMerge/>
            <w:tcBorders>
              <w:top w:val="single" w:sz="4" w:space="0" w:color="auto"/>
              <w:left w:val="single" w:sz="4" w:space="0" w:color="auto"/>
              <w:bottom w:val="single" w:sz="4" w:space="0" w:color="auto"/>
              <w:right w:val="single" w:sz="4" w:space="0" w:color="auto"/>
            </w:tcBorders>
            <w:vAlign w:val="center"/>
          </w:tcPr>
          <w:p w14:paraId="1E1EFDBE" w14:textId="77777777" w:rsidR="00E006A7" w:rsidRPr="007D5748" w:rsidRDefault="00E006A7" w:rsidP="00E006A7">
            <w:pPr>
              <w:rPr>
                <w:b/>
                <w:bCs/>
                <w:color w:val="FFFFFF"/>
                <w:lang w:eastAsia="sk-SK"/>
              </w:rPr>
            </w:pPr>
          </w:p>
        </w:tc>
      </w:tr>
      <w:tr w:rsidR="00214698" w:rsidRPr="007D5748" w14:paraId="3B944DD6" w14:textId="77777777" w:rsidTr="00E006A7">
        <w:trPr>
          <w:trHeight w:val="255"/>
        </w:trPr>
        <w:tc>
          <w:tcPr>
            <w:tcW w:w="4950" w:type="dxa"/>
            <w:tcBorders>
              <w:top w:val="nil"/>
              <w:left w:val="single" w:sz="4" w:space="0" w:color="auto"/>
              <w:bottom w:val="single" w:sz="4" w:space="0" w:color="auto"/>
              <w:right w:val="single" w:sz="4" w:space="0" w:color="auto"/>
            </w:tcBorders>
          </w:tcPr>
          <w:p w14:paraId="62F39C0E" w14:textId="67836EC5" w:rsidR="00214698" w:rsidRPr="007D5748" w:rsidRDefault="00214698" w:rsidP="00214698">
            <w:pPr>
              <w:rPr>
                <w:b/>
                <w:bCs/>
                <w:vertAlign w:val="superscript"/>
                <w:lang w:eastAsia="sk-SK"/>
              </w:rPr>
            </w:pPr>
            <w:r w:rsidRPr="007D5748">
              <w:rPr>
                <w:b/>
                <w:bCs/>
                <w:lang w:eastAsia="sk-SK"/>
              </w:rPr>
              <w:t>Daňové príjmy (100)</w:t>
            </w:r>
            <w:r w:rsidRPr="007D5748">
              <w:rPr>
                <w:b/>
                <w:bCs/>
                <w:vertAlign w:val="superscript"/>
                <w:lang w:eastAsia="sk-SK"/>
              </w:rPr>
              <w:t>1</w:t>
            </w:r>
            <w:r>
              <w:rPr>
                <w:b/>
                <w:bCs/>
                <w:vertAlign w:val="superscript"/>
                <w:lang w:eastAsia="sk-SK"/>
              </w:rPr>
              <w:t xml:space="preserve"> </w:t>
            </w:r>
            <w:r>
              <w:rPr>
                <w:b/>
                <w:bCs/>
                <w:lang w:eastAsia="sk-SK"/>
              </w:rPr>
              <w:t>(f</w:t>
            </w:r>
            <w:r w:rsidRPr="00214698">
              <w:rPr>
                <w:b/>
                <w:bCs/>
                <w:lang w:eastAsia="sk-SK"/>
              </w:rPr>
              <w:t xml:space="preserve">iškálny vplyv </w:t>
            </w:r>
            <w:r>
              <w:rPr>
                <w:b/>
                <w:bCs/>
                <w:lang w:eastAsia="sk-SK"/>
              </w:rPr>
              <w:t xml:space="preserve">v </w:t>
            </w:r>
            <w:r w:rsidRPr="00214698">
              <w:rPr>
                <w:b/>
                <w:bCs/>
                <w:lang w:eastAsia="sk-SK"/>
              </w:rPr>
              <w:t>tis.</w:t>
            </w:r>
            <w:r>
              <w:rPr>
                <w:b/>
                <w:bCs/>
                <w:lang w:eastAsia="sk-SK"/>
              </w:rPr>
              <w:t xml:space="preserve"> EUR</w:t>
            </w:r>
            <w:r w:rsidRPr="00214698">
              <w:rPr>
                <w:b/>
                <w:bCs/>
                <w:lang w:eastAsia="sk-SK"/>
              </w:rPr>
              <w:t>)</w:t>
            </w:r>
          </w:p>
        </w:tc>
        <w:tc>
          <w:tcPr>
            <w:tcW w:w="1500" w:type="dxa"/>
            <w:tcBorders>
              <w:top w:val="nil"/>
              <w:left w:val="nil"/>
              <w:bottom w:val="single" w:sz="4" w:space="0" w:color="auto"/>
              <w:right w:val="single" w:sz="4" w:space="0" w:color="auto"/>
            </w:tcBorders>
          </w:tcPr>
          <w:p w14:paraId="36B6A4FF" w14:textId="65C082A4" w:rsidR="00214698" w:rsidRPr="00C41C1C" w:rsidRDefault="00214698" w:rsidP="00214698">
            <w:pPr>
              <w:jc w:val="center"/>
              <w:rPr>
                <w:bCs/>
                <w:lang w:eastAsia="sk-SK"/>
              </w:rPr>
            </w:pPr>
            <w:r w:rsidRPr="00C41C1C">
              <w:rPr>
                <w:bCs/>
                <w:lang w:eastAsia="sk-SK"/>
              </w:rPr>
              <w:t>0</w:t>
            </w:r>
          </w:p>
        </w:tc>
        <w:tc>
          <w:tcPr>
            <w:tcW w:w="1500" w:type="dxa"/>
            <w:tcBorders>
              <w:top w:val="nil"/>
              <w:left w:val="nil"/>
              <w:bottom w:val="single" w:sz="4" w:space="0" w:color="auto"/>
              <w:right w:val="single" w:sz="4" w:space="0" w:color="auto"/>
            </w:tcBorders>
          </w:tcPr>
          <w:p w14:paraId="17E4914C" w14:textId="141FC692" w:rsidR="00214698" w:rsidRPr="00C41C1C" w:rsidRDefault="00021735" w:rsidP="00214698">
            <w:pPr>
              <w:jc w:val="center"/>
              <w:rPr>
                <w:bCs/>
                <w:lang w:eastAsia="sk-SK"/>
              </w:rPr>
            </w:pPr>
            <w:r>
              <w:rPr>
                <w:bCs/>
                <w:lang w:eastAsia="sk-SK"/>
              </w:rPr>
              <w:t>0</w:t>
            </w:r>
          </w:p>
        </w:tc>
        <w:tc>
          <w:tcPr>
            <w:tcW w:w="1500" w:type="dxa"/>
            <w:tcBorders>
              <w:top w:val="nil"/>
              <w:left w:val="nil"/>
              <w:bottom w:val="single" w:sz="4" w:space="0" w:color="auto"/>
              <w:right w:val="single" w:sz="4" w:space="0" w:color="auto"/>
            </w:tcBorders>
          </w:tcPr>
          <w:p w14:paraId="36A6CF1A" w14:textId="221182E4" w:rsidR="00214698" w:rsidRPr="00C41C1C" w:rsidRDefault="00021735" w:rsidP="00214698">
            <w:pPr>
              <w:jc w:val="center"/>
              <w:rPr>
                <w:bCs/>
                <w:lang w:eastAsia="sk-SK"/>
              </w:rPr>
            </w:pPr>
            <w:r>
              <w:rPr>
                <w:bCs/>
                <w:lang w:eastAsia="sk-SK"/>
              </w:rPr>
              <w:t>0</w:t>
            </w:r>
          </w:p>
        </w:tc>
        <w:tc>
          <w:tcPr>
            <w:tcW w:w="1500" w:type="dxa"/>
            <w:tcBorders>
              <w:top w:val="nil"/>
              <w:left w:val="nil"/>
              <w:bottom w:val="single" w:sz="4" w:space="0" w:color="auto"/>
              <w:right w:val="single" w:sz="4" w:space="0" w:color="auto"/>
            </w:tcBorders>
          </w:tcPr>
          <w:p w14:paraId="3863DEA7" w14:textId="14D732FB" w:rsidR="00214698" w:rsidRPr="00C41C1C" w:rsidRDefault="00021735" w:rsidP="00214698">
            <w:pPr>
              <w:jc w:val="center"/>
              <w:rPr>
                <w:bCs/>
                <w:lang w:eastAsia="sk-SK"/>
              </w:rPr>
            </w:pPr>
            <w:r>
              <w:rPr>
                <w:bCs/>
                <w:lang w:eastAsia="sk-SK"/>
              </w:rPr>
              <w:t>0</w:t>
            </w:r>
          </w:p>
        </w:tc>
        <w:tc>
          <w:tcPr>
            <w:tcW w:w="3000" w:type="dxa"/>
            <w:tcBorders>
              <w:top w:val="nil"/>
              <w:left w:val="nil"/>
              <w:bottom w:val="single" w:sz="4" w:space="0" w:color="auto"/>
              <w:right w:val="single" w:sz="4" w:space="0" w:color="auto"/>
            </w:tcBorders>
            <w:noWrap/>
            <w:vAlign w:val="bottom"/>
          </w:tcPr>
          <w:p w14:paraId="6A618E13" w14:textId="77777777" w:rsidR="00214698" w:rsidRPr="007D5748" w:rsidRDefault="00214698" w:rsidP="00214698">
            <w:pPr>
              <w:rPr>
                <w:lang w:eastAsia="sk-SK"/>
              </w:rPr>
            </w:pPr>
            <w:r w:rsidRPr="007D5748">
              <w:rPr>
                <w:lang w:eastAsia="sk-SK"/>
              </w:rPr>
              <w:t> </w:t>
            </w:r>
          </w:p>
        </w:tc>
      </w:tr>
      <w:tr w:rsidR="00E006A7" w:rsidRPr="007D5748" w14:paraId="3CBC7581" w14:textId="77777777" w:rsidTr="00E006A7">
        <w:trPr>
          <w:trHeight w:val="255"/>
        </w:trPr>
        <w:tc>
          <w:tcPr>
            <w:tcW w:w="4950" w:type="dxa"/>
            <w:tcBorders>
              <w:top w:val="nil"/>
              <w:left w:val="single" w:sz="4" w:space="0" w:color="auto"/>
              <w:bottom w:val="single" w:sz="4" w:space="0" w:color="auto"/>
              <w:right w:val="single" w:sz="4" w:space="0" w:color="auto"/>
            </w:tcBorders>
          </w:tcPr>
          <w:p w14:paraId="437AE9E7" w14:textId="77777777" w:rsidR="00E006A7" w:rsidRPr="007D5748" w:rsidRDefault="00E006A7" w:rsidP="00E006A7">
            <w:pPr>
              <w:rPr>
                <w:b/>
                <w:bCs/>
                <w:lang w:eastAsia="sk-SK"/>
              </w:rPr>
            </w:pPr>
            <w:r w:rsidRPr="007D5748">
              <w:rPr>
                <w:b/>
                <w:bCs/>
                <w:lang w:eastAsia="sk-SK"/>
              </w:rPr>
              <w:t>Nedaňové príjmy (200)</w:t>
            </w:r>
            <w:r w:rsidRPr="007D5748">
              <w:rPr>
                <w:b/>
                <w:bCs/>
                <w:vertAlign w:val="superscript"/>
                <w:lang w:eastAsia="sk-SK"/>
              </w:rPr>
              <w:t>1</w:t>
            </w:r>
          </w:p>
        </w:tc>
        <w:tc>
          <w:tcPr>
            <w:tcW w:w="1500" w:type="dxa"/>
            <w:tcBorders>
              <w:top w:val="nil"/>
              <w:left w:val="nil"/>
              <w:bottom w:val="single" w:sz="4" w:space="0" w:color="auto"/>
              <w:right w:val="single" w:sz="4" w:space="0" w:color="auto"/>
            </w:tcBorders>
          </w:tcPr>
          <w:p w14:paraId="5D6C109E" w14:textId="2560BDBF" w:rsidR="00E006A7" w:rsidRPr="00C41C1C" w:rsidRDefault="005F5DAF" w:rsidP="00E006A7">
            <w:pPr>
              <w:jc w:val="center"/>
              <w:rPr>
                <w:bCs/>
                <w:lang w:eastAsia="sk-SK"/>
              </w:rPr>
            </w:pPr>
            <w:r w:rsidRPr="00C41C1C">
              <w:rPr>
                <w:bCs/>
                <w:lang w:eastAsia="sk-SK"/>
              </w:rPr>
              <w:t>0</w:t>
            </w:r>
          </w:p>
        </w:tc>
        <w:tc>
          <w:tcPr>
            <w:tcW w:w="1500" w:type="dxa"/>
            <w:tcBorders>
              <w:top w:val="nil"/>
              <w:left w:val="nil"/>
              <w:bottom w:val="single" w:sz="4" w:space="0" w:color="auto"/>
              <w:right w:val="single" w:sz="4" w:space="0" w:color="auto"/>
            </w:tcBorders>
          </w:tcPr>
          <w:p w14:paraId="15C6651A" w14:textId="5F0BDF98" w:rsidR="00E006A7" w:rsidRPr="00C41C1C" w:rsidRDefault="005F5DAF" w:rsidP="00E006A7">
            <w:pPr>
              <w:jc w:val="center"/>
              <w:rPr>
                <w:bCs/>
                <w:lang w:eastAsia="sk-SK"/>
              </w:rPr>
            </w:pPr>
            <w:r w:rsidRPr="00C41C1C">
              <w:rPr>
                <w:bCs/>
                <w:lang w:eastAsia="sk-SK"/>
              </w:rPr>
              <w:t>0</w:t>
            </w:r>
          </w:p>
        </w:tc>
        <w:tc>
          <w:tcPr>
            <w:tcW w:w="1500" w:type="dxa"/>
            <w:tcBorders>
              <w:top w:val="nil"/>
              <w:left w:val="nil"/>
              <w:bottom w:val="single" w:sz="4" w:space="0" w:color="auto"/>
              <w:right w:val="single" w:sz="4" w:space="0" w:color="auto"/>
            </w:tcBorders>
          </w:tcPr>
          <w:p w14:paraId="772158E7" w14:textId="525EB803" w:rsidR="00E006A7" w:rsidRPr="00C41C1C" w:rsidRDefault="005F5DAF" w:rsidP="00E006A7">
            <w:pPr>
              <w:jc w:val="center"/>
              <w:rPr>
                <w:bCs/>
                <w:lang w:eastAsia="sk-SK"/>
              </w:rPr>
            </w:pPr>
            <w:r w:rsidRPr="00C41C1C">
              <w:rPr>
                <w:bCs/>
                <w:lang w:eastAsia="sk-SK"/>
              </w:rPr>
              <w:t>0</w:t>
            </w:r>
          </w:p>
        </w:tc>
        <w:tc>
          <w:tcPr>
            <w:tcW w:w="1500" w:type="dxa"/>
            <w:tcBorders>
              <w:top w:val="nil"/>
              <w:left w:val="nil"/>
              <w:bottom w:val="single" w:sz="4" w:space="0" w:color="auto"/>
              <w:right w:val="single" w:sz="4" w:space="0" w:color="auto"/>
            </w:tcBorders>
          </w:tcPr>
          <w:p w14:paraId="555C9A8A" w14:textId="07EAE6B7" w:rsidR="00E006A7" w:rsidRPr="00C41C1C" w:rsidRDefault="005F5DAF" w:rsidP="00E006A7">
            <w:pPr>
              <w:jc w:val="center"/>
              <w:rPr>
                <w:bCs/>
                <w:lang w:eastAsia="sk-SK"/>
              </w:rPr>
            </w:pPr>
            <w:r w:rsidRPr="00C41C1C">
              <w:rPr>
                <w:bCs/>
                <w:lang w:eastAsia="sk-SK"/>
              </w:rPr>
              <w:t>0</w:t>
            </w:r>
          </w:p>
        </w:tc>
        <w:tc>
          <w:tcPr>
            <w:tcW w:w="3000" w:type="dxa"/>
            <w:tcBorders>
              <w:top w:val="nil"/>
              <w:left w:val="nil"/>
              <w:bottom w:val="single" w:sz="4" w:space="0" w:color="auto"/>
              <w:right w:val="single" w:sz="4" w:space="0" w:color="auto"/>
            </w:tcBorders>
            <w:noWrap/>
            <w:vAlign w:val="bottom"/>
          </w:tcPr>
          <w:p w14:paraId="5CA18D74" w14:textId="77777777" w:rsidR="00E006A7" w:rsidRPr="007D5748" w:rsidRDefault="00E006A7" w:rsidP="00E006A7">
            <w:pPr>
              <w:rPr>
                <w:lang w:eastAsia="sk-SK"/>
              </w:rPr>
            </w:pPr>
          </w:p>
        </w:tc>
      </w:tr>
      <w:tr w:rsidR="00E006A7" w:rsidRPr="007D5748" w14:paraId="3B6CF575" w14:textId="77777777" w:rsidTr="00E006A7">
        <w:trPr>
          <w:trHeight w:val="255"/>
        </w:trPr>
        <w:tc>
          <w:tcPr>
            <w:tcW w:w="4950" w:type="dxa"/>
            <w:tcBorders>
              <w:top w:val="nil"/>
              <w:left w:val="single" w:sz="4" w:space="0" w:color="auto"/>
              <w:bottom w:val="single" w:sz="4" w:space="0" w:color="auto"/>
              <w:right w:val="single" w:sz="4" w:space="0" w:color="auto"/>
            </w:tcBorders>
          </w:tcPr>
          <w:p w14:paraId="24F4B1F4" w14:textId="77777777" w:rsidR="00E006A7" w:rsidRPr="007D5748" w:rsidRDefault="00E006A7" w:rsidP="00E006A7">
            <w:pPr>
              <w:rPr>
                <w:b/>
                <w:bCs/>
                <w:lang w:eastAsia="sk-SK"/>
              </w:rPr>
            </w:pPr>
            <w:r w:rsidRPr="007D5748">
              <w:rPr>
                <w:b/>
                <w:bCs/>
                <w:lang w:eastAsia="sk-SK"/>
              </w:rPr>
              <w:t>Granty a transfery (300)</w:t>
            </w:r>
            <w:r w:rsidRPr="007D5748">
              <w:rPr>
                <w:b/>
                <w:bCs/>
                <w:vertAlign w:val="superscript"/>
                <w:lang w:eastAsia="sk-SK"/>
              </w:rPr>
              <w:t>1</w:t>
            </w:r>
          </w:p>
        </w:tc>
        <w:tc>
          <w:tcPr>
            <w:tcW w:w="1500" w:type="dxa"/>
            <w:tcBorders>
              <w:top w:val="nil"/>
              <w:left w:val="nil"/>
              <w:bottom w:val="single" w:sz="4" w:space="0" w:color="auto"/>
              <w:right w:val="single" w:sz="4" w:space="0" w:color="auto"/>
            </w:tcBorders>
          </w:tcPr>
          <w:p w14:paraId="5A5B9A2E" w14:textId="0B5C1F02" w:rsidR="00E006A7" w:rsidRPr="00C41C1C" w:rsidRDefault="005F5DAF" w:rsidP="00E006A7">
            <w:pPr>
              <w:jc w:val="center"/>
              <w:rPr>
                <w:bCs/>
                <w:lang w:eastAsia="sk-SK"/>
              </w:rPr>
            </w:pPr>
            <w:r w:rsidRPr="00C41C1C">
              <w:rPr>
                <w:bCs/>
                <w:lang w:eastAsia="sk-SK"/>
              </w:rPr>
              <w:t>0</w:t>
            </w:r>
          </w:p>
        </w:tc>
        <w:tc>
          <w:tcPr>
            <w:tcW w:w="1500" w:type="dxa"/>
            <w:tcBorders>
              <w:top w:val="nil"/>
              <w:left w:val="nil"/>
              <w:bottom w:val="single" w:sz="4" w:space="0" w:color="auto"/>
              <w:right w:val="single" w:sz="4" w:space="0" w:color="auto"/>
            </w:tcBorders>
          </w:tcPr>
          <w:p w14:paraId="0736CDED" w14:textId="658DA328" w:rsidR="00E006A7" w:rsidRPr="00C41C1C" w:rsidRDefault="005F5DAF" w:rsidP="00E006A7">
            <w:pPr>
              <w:jc w:val="center"/>
              <w:rPr>
                <w:bCs/>
                <w:lang w:eastAsia="sk-SK"/>
              </w:rPr>
            </w:pPr>
            <w:r w:rsidRPr="00C41C1C">
              <w:rPr>
                <w:bCs/>
                <w:lang w:eastAsia="sk-SK"/>
              </w:rPr>
              <w:t>0</w:t>
            </w:r>
          </w:p>
        </w:tc>
        <w:tc>
          <w:tcPr>
            <w:tcW w:w="1500" w:type="dxa"/>
            <w:tcBorders>
              <w:top w:val="nil"/>
              <w:left w:val="nil"/>
              <w:bottom w:val="single" w:sz="4" w:space="0" w:color="auto"/>
              <w:right w:val="single" w:sz="4" w:space="0" w:color="auto"/>
            </w:tcBorders>
          </w:tcPr>
          <w:p w14:paraId="5C86B033" w14:textId="16C63BDC" w:rsidR="00E006A7" w:rsidRPr="00C41C1C" w:rsidRDefault="005F5DAF" w:rsidP="00E006A7">
            <w:pPr>
              <w:jc w:val="center"/>
              <w:rPr>
                <w:bCs/>
                <w:lang w:eastAsia="sk-SK"/>
              </w:rPr>
            </w:pPr>
            <w:r w:rsidRPr="00C41C1C">
              <w:rPr>
                <w:bCs/>
                <w:lang w:eastAsia="sk-SK"/>
              </w:rPr>
              <w:t>0</w:t>
            </w:r>
          </w:p>
        </w:tc>
        <w:tc>
          <w:tcPr>
            <w:tcW w:w="1500" w:type="dxa"/>
            <w:tcBorders>
              <w:top w:val="nil"/>
              <w:left w:val="nil"/>
              <w:bottom w:val="single" w:sz="4" w:space="0" w:color="auto"/>
              <w:right w:val="single" w:sz="4" w:space="0" w:color="auto"/>
            </w:tcBorders>
          </w:tcPr>
          <w:p w14:paraId="362269B9" w14:textId="59A1B2C0" w:rsidR="00E006A7" w:rsidRPr="00C41C1C" w:rsidRDefault="005F5DAF" w:rsidP="00E006A7">
            <w:pPr>
              <w:jc w:val="center"/>
              <w:rPr>
                <w:bCs/>
                <w:lang w:eastAsia="sk-SK"/>
              </w:rPr>
            </w:pPr>
            <w:r w:rsidRPr="00C41C1C">
              <w:rPr>
                <w:bCs/>
                <w:lang w:eastAsia="sk-SK"/>
              </w:rPr>
              <w:t>0</w:t>
            </w:r>
          </w:p>
        </w:tc>
        <w:tc>
          <w:tcPr>
            <w:tcW w:w="3000" w:type="dxa"/>
            <w:tcBorders>
              <w:top w:val="nil"/>
              <w:left w:val="nil"/>
              <w:bottom w:val="single" w:sz="4" w:space="0" w:color="auto"/>
              <w:right w:val="single" w:sz="4" w:space="0" w:color="auto"/>
            </w:tcBorders>
            <w:noWrap/>
            <w:vAlign w:val="bottom"/>
          </w:tcPr>
          <w:p w14:paraId="613EA5D6" w14:textId="77777777" w:rsidR="00E006A7" w:rsidRPr="007D5748" w:rsidRDefault="00E006A7" w:rsidP="00E006A7">
            <w:pPr>
              <w:rPr>
                <w:lang w:eastAsia="sk-SK"/>
              </w:rPr>
            </w:pPr>
            <w:r w:rsidRPr="007D5748">
              <w:rPr>
                <w:lang w:eastAsia="sk-SK"/>
              </w:rPr>
              <w:t> </w:t>
            </w:r>
          </w:p>
        </w:tc>
      </w:tr>
      <w:tr w:rsidR="00E006A7" w:rsidRPr="007D5748" w14:paraId="51C4832C" w14:textId="77777777" w:rsidTr="00E006A7">
        <w:trPr>
          <w:trHeight w:val="255"/>
        </w:trPr>
        <w:tc>
          <w:tcPr>
            <w:tcW w:w="4950" w:type="dxa"/>
            <w:tcBorders>
              <w:top w:val="nil"/>
              <w:left w:val="single" w:sz="4" w:space="0" w:color="auto"/>
              <w:bottom w:val="single" w:sz="4" w:space="0" w:color="auto"/>
              <w:right w:val="single" w:sz="4" w:space="0" w:color="auto"/>
            </w:tcBorders>
          </w:tcPr>
          <w:p w14:paraId="5E1166DD" w14:textId="77777777" w:rsidR="00E006A7" w:rsidRPr="007D5748" w:rsidRDefault="00E006A7" w:rsidP="00E006A7">
            <w:pPr>
              <w:rPr>
                <w:b/>
                <w:bCs/>
                <w:lang w:eastAsia="sk-SK"/>
              </w:rPr>
            </w:pPr>
            <w:r w:rsidRPr="007D5748">
              <w:rPr>
                <w:b/>
                <w:bCs/>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5CA41290" w14:textId="57E40CAD" w:rsidR="00E006A7" w:rsidRPr="00C41C1C" w:rsidRDefault="005F5DAF" w:rsidP="00E006A7">
            <w:pPr>
              <w:jc w:val="center"/>
              <w:rPr>
                <w:bCs/>
                <w:lang w:eastAsia="sk-SK"/>
              </w:rPr>
            </w:pPr>
            <w:r w:rsidRPr="00C41C1C">
              <w:rPr>
                <w:bCs/>
                <w:lang w:eastAsia="sk-SK"/>
              </w:rPr>
              <w:t>0</w:t>
            </w:r>
          </w:p>
        </w:tc>
        <w:tc>
          <w:tcPr>
            <w:tcW w:w="1500" w:type="dxa"/>
            <w:tcBorders>
              <w:top w:val="nil"/>
              <w:left w:val="nil"/>
              <w:bottom w:val="single" w:sz="4" w:space="0" w:color="auto"/>
              <w:right w:val="single" w:sz="4" w:space="0" w:color="auto"/>
            </w:tcBorders>
            <w:shd w:val="clear" w:color="auto" w:fill="FFFF99"/>
          </w:tcPr>
          <w:p w14:paraId="1D68F5D5" w14:textId="05B926AD" w:rsidR="00E006A7" w:rsidRPr="00C41C1C" w:rsidRDefault="00E006A7" w:rsidP="00E006A7">
            <w:pPr>
              <w:jc w:val="center"/>
              <w:rPr>
                <w:bCs/>
                <w:lang w:eastAsia="sk-SK"/>
              </w:rPr>
            </w:pPr>
            <w:r w:rsidRPr="00C41C1C">
              <w:rPr>
                <w:bCs/>
                <w:lang w:eastAsia="sk-SK"/>
              </w:rPr>
              <w:t> </w:t>
            </w:r>
            <w:r w:rsidR="005F5DAF" w:rsidRPr="00C41C1C">
              <w:rPr>
                <w:bCs/>
                <w:lang w:eastAsia="sk-SK"/>
              </w:rPr>
              <w:t>0</w:t>
            </w:r>
          </w:p>
        </w:tc>
        <w:tc>
          <w:tcPr>
            <w:tcW w:w="1500" w:type="dxa"/>
            <w:tcBorders>
              <w:top w:val="nil"/>
              <w:left w:val="nil"/>
              <w:bottom w:val="single" w:sz="4" w:space="0" w:color="auto"/>
              <w:right w:val="single" w:sz="4" w:space="0" w:color="auto"/>
            </w:tcBorders>
            <w:shd w:val="clear" w:color="auto" w:fill="FFFF99"/>
          </w:tcPr>
          <w:p w14:paraId="5EABA5D9" w14:textId="62C71C51" w:rsidR="00E006A7" w:rsidRPr="00C41C1C" w:rsidRDefault="005F5DAF" w:rsidP="00E006A7">
            <w:pPr>
              <w:jc w:val="center"/>
              <w:rPr>
                <w:bCs/>
                <w:lang w:eastAsia="sk-SK"/>
              </w:rPr>
            </w:pPr>
            <w:r w:rsidRPr="00C41C1C">
              <w:rPr>
                <w:bCs/>
                <w:lang w:eastAsia="sk-SK"/>
              </w:rPr>
              <w:t>0</w:t>
            </w:r>
          </w:p>
        </w:tc>
        <w:tc>
          <w:tcPr>
            <w:tcW w:w="1500" w:type="dxa"/>
            <w:tcBorders>
              <w:top w:val="nil"/>
              <w:left w:val="nil"/>
              <w:bottom w:val="single" w:sz="4" w:space="0" w:color="auto"/>
              <w:right w:val="single" w:sz="4" w:space="0" w:color="auto"/>
            </w:tcBorders>
            <w:shd w:val="clear" w:color="auto" w:fill="FFFF99"/>
          </w:tcPr>
          <w:p w14:paraId="7A065BE2" w14:textId="0B96369B" w:rsidR="00E006A7" w:rsidRPr="00C41C1C" w:rsidRDefault="005F5DAF" w:rsidP="00E006A7">
            <w:pPr>
              <w:jc w:val="center"/>
              <w:rPr>
                <w:bCs/>
                <w:lang w:eastAsia="sk-SK"/>
              </w:rPr>
            </w:pPr>
            <w:r w:rsidRPr="00C41C1C">
              <w:rPr>
                <w:bCs/>
                <w:lang w:eastAsia="sk-SK"/>
              </w:rPr>
              <w:t>0</w:t>
            </w:r>
          </w:p>
        </w:tc>
        <w:tc>
          <w:tcPr>
            <w:tcW w:w="3000" w:type="dxa"/>
            <w:tcBorders>
              <w:top w:val="nil"/>
              <w:left w:val="nil"/>
              <w:bottom w:val="single" w:sz="4" w:space="0" w:color="auto"/>
              <w:right w:val="single" w:sz="4" w:space="0" w:color="auto"/>
            </w:tcBorders>
            <w:noWrap/>
            <w:vAlign w:val="bottom"/>
          </w:tcPr>
          <w:p w14:paraId="60FFD613" w14:textId="77777777" w:rsidR="00E006A7" w:rsidRPr="007D5748" w:rsidRDefault="00E006A7" w:rsidP="00E006A7">
            <w:pPr>
              <w:rPr>
                <w:lang w:eastAsia="sk-SK"/>
              </w:rPr>
            </w:pPr>
            <w:r w:rsidRPr="007D5748">
              <w:rPr>
                <w:lang w:eastAsia="sk-SK"/>
              </w:rPr>
              <w:t> </w:t>
            </w:r>
          </w:p>
        </w:tc>
      </w:tr>
      <w:tr w:rsidR="00E006A7" w:rsidRPr="007D5748" w14:paraId="22891172" w14:textId="77777777" w:rsidTr="00E006A7">
        <w:trPr>
          <w:trHeight w:val="255"/>
        </w:trPr>
        <w:tc>
          <w:tcPr>
            <w:tcW w:w="4950" w:type="dxa"/>
            <w:tcBorders>
              <w:top w:val="nil"/>
              <w:left w:val="single" w:sz="4" w:space="0" w:color="auto"/>
              <w:bottom w:val="single" w:sz="4" w:space="0" w:color="auto"/>
              <w:right w:val="single" w:sz="4" w:space="0" w:color="auto"/>
            </w:tcBorders>
          </w:tcPr>
          <w:p w14:paraId="7AE91AE1" w14:textId="77777777" w:rsidR="00E006A7" w:rsidRPr="007D5748" w:rsidRDefault="00E006A7" w:rsidP="00E006A7">
            <w:pPr>
              <w:rPr>
                <w:b/>
                <w:bCs/>
                <w:lang w:eastAsia="sk-SK"/>
              </w:rPr>
            </w:pPr>
            <w:r w:rsidRPr="007D5748">
              <w:rPr>
                <w:b/>
                <w:bCs/>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5BB91928" w14:textId="1CB9905C" w:rsidR="00E006A7" w:rsidRPr="00C41C1C" w:rsidRDefault="005F5DAF" w:rsidP="00E006A7">
            <w:pPr>
              <w:jc w:val="center"/>
              <w:rPr>
                <w:bCs/>
                <w:lang w:eastAsia="sk-SK"/>
              </w:rPr>
            </w:pPr>
            <w:r w:rsidRPr="00C41C1C">
              <w:rPr>
                <w:bCs/>
                <w:lang w:eastAsia="sk-SK"/>
              </w:rPr>
              <w:t>0</w:t>
            </w:r>
          </w:p>
        </w:tc>
        <w:tc>
          <w:tcPr>
            <w:tcW w:w="1500" w:type="dxa"/>
            <w:tcBorders>
              <w:top w:val="nil"/>
              <w:left w:val="nil"/>
              <w:bottom w:val="single" w:sz="4" w:space="0" w:color="auto"/>
              <w:right w:val="single" w:sz="4" w:space="0" w:color="auto"/>
            </w:tcBorders>
            <w:shd w:val="clear" w:color="auto" w:fill="FFFF99"/>
          </w:tcPr>
          <w:p w14:paraId="6706F144" w14:textId="2B0D78F7" w:rsidR="00E006A7" w:rsidRPr="00C41C1C" w:rsidRDefault="00E006A7" w:rsidP="00E006A7">
            <w:pPr>
              <w:jc w:val="center"/>
              <w:rPr>
                <w:bCs/>
                <w:lang w:eastAsia="sk-SK"/>
              </w:rPr>
            </w:pPr>
            <w:r w:rsidRPr="00C41C1C">
              <w:rPr>
                <w:bCs/>
                <w:lang w:eastAsia="sk-SK"/>
              </w:rPr>
              <w:t> </w:t>
            </w:r>
            <w:r w:rsidR="005F5DAF" w:rsidRPr="00C41C1C">
              <w:rPr>
                <w:bCs/>
                <w:lang w:eastAsia="sk-SK"/>
              </w:rPr>
              <w:t>0</w:t>
            </w:r>
          </w:p>
        </w:tc>
        <w:tc>
          <w:tcPr>
            <w:tcW w:w="1500" w:type="dxa"/>
            <w:tcBorders>
              <w:top w:val="nil"/>
              <w:left w:val="nil"/>
              <w:bottom w:val="single" w:sz="4" w:space="0" w:color="auto"/>
              <w:right w:val="single" w:sz="4" w:space="0" w:color="auto"/>
            </w:tcBorders>
            <w:shd w:val="clear" w:color="auto" w:fill="FFFF99"/>
          </w:tcPr>
          <w:p w14:paraId="1062A076" w14:textId="15E3C7CE" w:rsidR="00E006A7" w:rsidRPr="00C41C1C" w:rsidRDefault="005F5DAF" w:rsidP="00E006A7">
            <w:pPr>
              <w:jc w:val="center"/>
              <w:rPr>
                <w:bCs/>
                <w:lang w:eastAsia="sk-SK"/>
              </w:rPr>
            </w:pPr>
            <w:r w:rsidRPr="00C41C1C">
              <w:rPr>
                <w:bCs/>
                <w:lang w:eastAsia="sk-SK"/>
              </w:rPr>
              <w:t>0</w:t>
            </w:r>
          </w:p>
        </w:tc>
        <w:tc>
          <w:tcPr>
            <w:tcW w:w="1500" w:type="dxa"/>
            <w:tcBorders>
              <w:top w:val="nil"/>
              <w:left w:val="nil"/>
              <w:bottom w:val="single" w:sz="4" w:space="0" w:color="auto"/>
              <w:right w:val="single" w:sz="4" w:space="0" w:color="auto"/>
            </w:tcBorders>
            <w:shd w:val="clear" w:color="auto" w:fill="FFFF99"/>
          </w:tcPr>
          <w:p w14:paraId="32B291C7" w14:textId="5E74EE05" w:rsidR="00E006A7" w:rsidRPr="00C41C1C" w:rsidRDefault="005F5DAF" w:rsidP="00E006A7">
            <w:pPr>
              <w:jc w:val="center"/>
              <w:rPr>
                <w:bCs/>
                <w:lang w:eastAsia="sk-SK"/>
              </w:rPr>
            </w:pPr>
            <w:r w:rsidRPr="00C41C1C">
              <w:rPr>
                <w:bCs/>
                <w:lang w:eastAsia="sk-SK"/>
              </w:rPr>
              <w:t>0</w:t>
            </w:r>
          </w:p>
        </w:tc>
        <w:tc>
          <w:tcPr>
            <w:tcW w:w="3000" w:type="dxa"/>
            <w:tcBorders>
              <w:top w:val="nil"/>
              <w:left w:val="nil"/>
              <w:bottom w:val="single" w:sz="4" w:space="0" w:color="auto"/>
              <w:right w:val="single" w:sz="4" w:space="0" w:color="auto"/>
            </w:tcBorders>
            <w:noWrap/>
            <w:vAlign w:val="bottom"/>
          </w:tcPr>
          <w:p w14:paraId="078F6101" w14:textId="77777777" w:rsidR="00E006A7" w:rsidRPr="007D5748" w:rsidRDefault="00E006A7" w:rsidP="00E006A7">
            <w:pPr>
              <w:rPr>
                <w:lang w:eastAsia="sk-SK"/>
              </w:rPr>
            </w:pPr>
            <w:r w:rsidRPr="007D5748">
              <w:rPr>
                <w:lang w:eastAsia="sk-SK"/>
              </w:rPr>
              <w:t> </w:t>
            </w:r>
          </w:p>
        </w:tc>
      </w:tr>
      <w:tr w:rsidR="00E006A7" w:rsidRPr="007D5748" w14:paraId="41F39AF3" w14:textId="77777777" w:rsidTr="00E006A7">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7F6F1116" w14:textId="77777777" w:rsidR="00E006A7" w:rsidRPr="007D5748" w:rsidRDefault="00E006A7" w:rsidP="00E006A7">
            <w:pPr>
              <w:rPr>
                <w:b/>
                <w:bCs/>
                <w:lang w:eastAsia="sk-SK"/>
              </w:rPr>
            </w:pPr>
            <w:r w:rsidRPr="007D5748">
              <w:rPr>
                <w:b/>
                <w:bCs/>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14:paraId="62EF6E8E" w14:textId="69B3BE03" w:rsidR="00E006A7" w:rsidRPr="007D5748" w:rsidRDefault="005F5DAF" w:rsidP="00E006A7">
            <w:pPr>
              <w:jc w:val="center"/>
              <w:rPr>
                <w:b/>
                <w:bCs/>
                <w:lang w:eastAsia="sk-SK"/>
              </w:rPr>
            </w:pPr>
            <w:r>
              <w:rPr>
                <w:b/>
                <w:bCs/>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16711747" w14:textId="3EE66576" w:rsidR="00E006A7" w:rsidRPr="007D5748" w:rsidRDefault="005F5DAF" w:rsidP="00E006A7">
            <w:pPr>
              <w:jc w:val="center"/>
              <w:rPr>
                <w:b/>
                <w:bCs/>
                <w:lang w:eastAsia="sk-SK"/>
              </w:rPr>
            </w:pPr>
            <w:r>
              <w:rPr>
                <w:b/>
                <w:bCs/>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0B96C288" w14:textId="1E47C24C" w:rsidR="00E006A7" w:rsidRPr="007D5748" w:rsidRDefault="005F5DAF" w:rsidP="00E006A7">
            <w:pPr>
              <w:jc w:val="center"/>
              <w:rPr>
                <w:b/>
                <w:bCs/>
                <w:lang w:eastAsia="sk-SK"/>
              </w:rPr>
            </w:pPr>
            <w:r>
              <w:rPr>
                <w:b/>
                <w:bCs/>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31B196AD" w14:textId="1640165D" w:rsidR="00E006A7" w:rsidRPr="007D5748" w:rsidRDefault="005F5DAF" w:rsidP="00E006A7">
            <w:pPr>
              <w:jc w:val="center"/>
              <w:rPr>
                <w:b/>
                <w:bCs/>
                <w:lang w:eastAsia="sk-SK"/>
              </w:rPr>
            </w:pPr>
            <w:r>
              <w:rPr>
                <w:b/>
                <w:bCs/>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04EE3854" w14:textId="77777777" w:rsidR="00E006A7" w:rsidRPr="007D5748" w:rsidRDefault="00E006A7" w:rsidP="00E006A7">
            <w:pPr>
              <w:rPr>
                <w:lang w:eastAsia="sk-SK"/>
              </w:rPr>
            </w:pPr>
            <w:r w:rsidRPr="007D5748">
              <w:rPr>
                <w:lang w:eastAsia="sk-SK"/>
              </w:rPr>
              <w:t> </w:t>
            </w:r>
          </w:p>
        </w:tc>
      </w:tr>
    </w:tbl>
    <w:p w14:paraId="72D0D5E6" w14:textId="77777777" w:rsidR="00AA4CFC" w:rsidRDefault="00AA4CFC" w:rsidP="00AA4CFC">
      <w:pPr>
        <w:tabs>
          <w:tab w:val="num" w:pos="1080"/>
        </w:tabs>
        <w:jc w:val="both"/>
        <w:rPr>
          <w:bCs/>
          <w:szCs w:val="20"/>
          <w:lang w:eastAsia="sk-SK"/>
        </w:rPr>
      </w:pPr>
    </w:p>
    <w:p w14:paraId="181E81DF" w14:textId="77777777" w:rsidR="00AA4CFC" w:rsidRPr="007D5748" w:rsidRDefault="00AA4CFC" w:rsidP="00AA4CFC">
      <w:pPr>
        <w:tabs>
          <w:tab w:val="num" w:pos="1080"/>
        </w:tabs>
        <w:jc w:val="both"/>
        <w:rPr>
          <w:bCs/>
          <w:sz w:val="20"/>
          <w:szCs w:val="20"/>
          <w:lang w:eastAsia="sk-SK"/>
        </w:rPr>
      </w:pPr>
      <w:r w:rsidRPr="007D5748">
        <w:rPr>
          <w:bCs/>
          <w:sz w:val="20"/>
          <w:szCs w:val="20"/>
          <w:lang w:eastAsia="sk-SK"/>
        </w:rPr>
        <w:t>1 –  príjmy rozpísať až do položiek platnej ekonomickej klasifikácie</w:t>
      </w:r>
    </w:p>
    <w:p w14:paraId="65690D9E" w14:textId="77777777" w:rsidR="00AA4CFC" w:rsidRPr="007D5748" w:rsidRDefault="00AA4CFC" w:rsidP="00AA4CFC">
      <w:pPr>
        <w:tabs>
          <w:tab w:val="num" w:pos="1080"/>
        </w:tabs>
        <w:jc w:val="both"/>
        <w:rPr>
          <w:bCs/>
          <w:szCs w:val="20"/>
          <w:lang w:eastAsia="sk-SK"/>
        </w:rPr>
      </w:pPr>
    </w:p>
    <w:p w14:paraId="0A3C5CCA" w14:textId="77777777" w:rsidR="00AA4CFC" w:rsidRPr="007D5748" w:rsidRDefault="00AA4CFC" w:rsidP="00AA4CFC">
      <w:pPr>
        <w:tabs>
          <w:tab w:val="num" w:pos="1080"/>
        </w:tabs>
        <w:jc w:val="both"/>
        <w:rPr>
          <w:b/>
          <w:bCs/>
          <w:szCs w:val="20"/>
          <w:lang w:eastAsia="sk-SK"/>
        </w:rPr>
      </w:pPr>
      <w:r w:rsidRPr="007D5748">
        <w:rPr>
          <w:b/>
          <w:bCs/>
          <w:szCs w:val="20"/>
          <w:lang w:eastAsia="sk-SK"/>
        </w:rPr>
        <w:t>Poznámka:</w:t>
      </w:r>
    </w:p>
    <w:p w14:paraId="48C0648F" w14:textId="77777777" w:rsidR="00AA4CFC" w:rsidRDefault="00AA4CFC" w:rsidP="00AA4CFC">
      <w:pPr>
        <w:tabs>
          <w:tab w:val="num" w:pos="1080"/>
        </w:tabs>
        <w:jc w:val="both"/>
        <w:rPr>
          <w:bCs/>
          <w:szCs w:val="20"/>
          <w:lang w:eastAsia="sk-SK"/>
        </w:rPr>
      </w:pPr>
      <w:r>
        <w:rPr>
          <w:bCs/>
          <w:szCs w:val="20"/>
          <w:lang w:eastAsia="sk-SK"/>
        </w:rPr>
        <w:t xml:space="preserve">Uvedená kvantifikácia príjmov dopadu na verejnú správu spadá pod rezort dopravy.  </w:t>
      </w:r>
    </w:p>
    <w:p w14:paraId="17DE9E1D" w14:textId="77777777" w:rsidR="00AA4CFC" w:rsidRPr="007D5748" w:rsidRDefault="00AA4CFC" w:rsidP="00AA4CFC">
      <w:pPr>
        <w:tabs>
          <w:tab w:val="num" w:pos="1080"/>
        </w:tabs>
        <w:ind w:right="-578"/>
        <w:jc w:val="right"/>
        <w:rPr>
          <w:bCs/>
          <w:lang w:eastAsia="sk-SK"/>
        </w:rPr>
      </w:pPr>
    </w:p>
    <w:p w14:paraId="5264820B" w14:textId="77777777" w:rsidR="00AA4CFC" w:rsidRPr="007D5748" w:rsidRDefault="00AA4CFC" w:rsidP="00AA4CFC">
      <w:pPr>
        <w:tabs>
          <w:tab w:val="num" w:pos="1080"/>
        </w:tabs>
        <w:ind w:right="-578"/>
        <w:jc w:val="right"/>
        <w:rPr>
          <w:bCs/>
          <w:lang w:eastAsia="sk-SK"/>
        </w:rPr>
      </w:pPr>
    </w:p>
    <w:p w14:paraId="74DDD315" w14:textId="77777777" w:rsidR="00AA4CFC" w:rsidRPr="007D5748" w:rsidRDefault="00AA4CFC" w:rsidP="00AA4CFC">
      <w:pPr>
        <w:tabs>
          <w:tab w:val="num" w:pos="1080"/>
        </w:tabs>
        <w:ind w:right="-578"/>
        <w:jc w:val="right"/>
        <w:rPr>
          <w:bCs/>
          <w:lang w:eastAsia="sk-SK"/>
        </w:rPr>
      </w:pPr>
    </w:p>
    <w:p w14:paraId="7CF7CCD4" w14:textId="77777777" w:rsidR="00AA4CFC" w:rsidRPr="007D5748" w:rsidRDefault="00AA4CFC" w:rsidP="00AA4CFC">
      <w:pPr>
        <w:tabs>
          <w:tab w:val="num" w:pos="1080"/>
        </w:tabs>
        <w:ind w:right="-578"/>
        <w:jc w:val="right"/>
        <w:rPr>
          <w:bCs/>
          <w:lang w:eastAsia="sk-SK"/>
        </w:rPr>
      </w:pPr>
    </w:p>
    <w:p w14:paraId="4979D920" w14:textId="77777777" w:rsidR="00AA4CFC" w:rsidRPr="007D5748" w:rsidRDefault="00AA4CFC" w:rsidP="00AA4CFC">
      <w:pPr>
        <w:tabs>
          <w:tab w:val="num" w:pos="1080"/>
        </w:tabs>
        <w:ind w:right="-578"/>
        <w:jc w:val="right"/>
        <w:rPr>
          <w:bCs/>
          <w:lang w:eastAsia="sk-SK"/>
        </w:rPr>
      </w:pPr>
    </w:p>
    <w:p w14:paraId="628B810E" w14:textId="77777777" w:rsidR="00AA4CFC" w:rsidRPr="007D5748" w:rsidRDefault="00AA4CFC" w:rsidP="00AA4CFC">
      <w:pPr>
        <w:tabs>
          <w:tab w:val="num" w:pos="1080"/>
        </w:tabs>
        <w:ind w:right="-578"/>
        <w:jc w:val="right"/>
        <w:rPr>
          <w:bCs/>
          <w:lang w:eastAsia="sk-SK"/>
        </w:rPr>
      </w:pPr>
    </w:p>
    <w:p w14:paraId="1CE2ED86" w14:textId="77777777" w:rsidR="00AA4CFC" w:rsidRPr="007D5748" w:rsidRDefault="00AA4CFC" w:rsidP="00AA4CFC">
      <w:pPr>
        <w:tabs>
          <w:tab w:val="num" w:pos="1080"/>
        </w:tabs>
        <w:ind w:right="-578"/>
        <w:jc w:val="right"/>
        <w:rPr>
          <w:bCs/>
          <w:lang w:eastAsia="sk-SK"/>
        </w:rPr>
      </w:pPr>
    </w:p>
    <w:p w14:paraId="48BEF5B0" w14:textId="77777777" w:rsidR="00AA4CFC" w:rsidRPr="007D5748" w:rsidRDefault="00AA4CFC" w:rsidP="00AA4CFC">
      <w:pPr>
        <w:tabs>
          <w:tab w:val="num" w:pos="1080"/>
        </w:tabs>
        <w:ind w:right="-578"/>
        <w:jc w:val="right"/>
        <w:rPr>
          <w:bCs/>
          <w:lang w:eastAsia="sk-SK"/>
        </w:rPr>
      </w:pPr>
    </w:p>
    <w:p w14:paraId="60E429C4" w14:textId="77777777" w:rsidR="00AA4CFC" w:rsidRPr="007D5748" w:rsidRDefault="00AA4CFC" w:rsidP="00AA4CFC">
      <w:pPr>
        <w:tabs>
          <w:tab w:val="num" w:pos="1080"/>
        </w:tabs>
        <w:ind w:right="-578"/>
        <w:jc w:val="right"/>
        <w:rPr>
          <w:bCs/>
          <w:lang w:eastAsia="sk-SK"/>
        </w:rPr>
      </w:pPr>
    </w:p>
    <w:p w14:paraId="2C233353" w14:textId="77777777" w:rsidR="00AA4CFC" w:rsidRPr="007D5748" w:rsidRDefault="00AA4CFC" w:rsidP="00AA4CFC">
      <w:pPr>
        <w:tabs>
          <w:tab w:val="num" w:pos="1080"/>
        </w:tabs>
        <w:ind w:right="-578"/>
        <w:jc w:val="right"/>
        <w:rPr>
          <w:bCs/>
          <w:lang w:eastAsia="sk-SK"/>
        </w:rPr>
      </w:pPr>
    </w:p>
    <w:p w14:paraId="5D74B8F0" w14:textId="77777777" w:rsidR="00AA4CFC" w:rsidRPr="007D5748" w:rsidRDefault="00AA4CFC" w:rsidP="00AA4CFC">
      <w:pPr>
        <w:tabs>
          <w:tab w:val="num" w:pos="1080"/>
        </w:tabs>
        <w:ind w:right="-578"/>
        <w:jc w:val="right"/>
        <w:rPr>
          <w:bCs/>
          <w:lang w:eastAsia="sk-SK"/>
        </w:rPr>
      </w:pPr>
    </w:p>
    <w:p w14:paraId="61E7BB75" w14:textId="77777777" w:rsidR="00AA4CFC" w:rsidRPr="007D5748" w:rsidRDefault="00AA4CFC" w:rsidP="00AA4CFC">
      <w:pPr>
        <w:tabs>
          <w:tab w:val="num" w:pos="1080"/>
        </w:tabs>
        <w:ind w:right="-578"/>
        <w:jc w:val="right"/>
        <w:rPr>
          <w:bCs/>
          <w:lang w:eastAsia="sk-SK"/>
        </w:rPr>
      </w:pPr>
    </w:p>
    <w:p w14:paraId="120F6367" w14:textId="77777777" w:rsidR="00AA4CFC" w:rsidRDefault="00AA4CFC" w:rsidP="00AA4CFC">
      <w:pPr>
        <w:tabs>
          <w:tab w:val="num" w:pos="1080"/>
        </w:tabs>
        <w:ind w:right="-578"/>
        <w:jc w:val="right"/>
        <w:rPr>
          <w:bCs/>
          <w:lang w:eastAsia="sk-SK"/>
        </w:rPr>
      </w:pPr>
    </w:p>
    <w:p w14:paraId="73652F78" w14:textId="77777777" w:rsidR="00AA4CFC" w:rsidRDefault="00AA4CFC" w:rsidP="00AA4CFC">
      <w:pPr>
        <w:tabs>
          <w:tab w:val="num" w:pos="1080"/>
        </w:tabs>
        <w:ind w:right="-578"/>
        <w:jc w:val="right"/>
        <w:rPr>
          <w:bCs/>
          <w:lang w:eastAsia="sk-SK"/>
        </w:rPr>
      </w:pPr>
    </w:p>
    <w:p w14:paraId="0BDB129F" w14:textId="77777777" w:rsidR="00AA4CFC" w:rsidRDefault="00AA4CFC" w:rsidP="00AA4CFC">
      <w:pPr>
        <w:tabs>
          <w:tab w:val="num" w:pos="1080"/>
        </w:tabs>
        <w:ind w:right="-578"/>
        <w:jc w:val="right"/>
        <w:rPr>
          <w:bCs/>
          <w:lang w:eastAsia="sk-SK"/>
        </w:rPr>
      </w:pPr>
    </w:p>
    <w:p w14:paraId="5D009F36" w14:textId="77777777" w:rsidR="00AA4CFC" w:rsidRPr="007D5748" w:rsidRDefault="00AA4CFC" w:rsidP="00AA4CFC">
      <w:pPr>
        <w:tabs>
          <w:tab w:val="num" w:pos="1080"/>
        </w:tabs>
        <w:ind w:right="-32"/>
        <w:jc w:val="right"/>
        <w:rPr>
          <w:bCs/>
          <w:lang w:eastAsia="sk-SK"/>
        </w:rPr>
      </w:pPr>
      <w:r w:rsidRPr="007D5748">
        <w:rPr>
          <w:bCs/>
          <w:lang w:eastAsia="sk-SK"/>
        </w:rPr>
        <w:t xml:space="preserve">Tabuľka č. 4 </w:t>
      </w:r>
    </w:p>
    <w:p w14:paraId="7BE8B3DA" w14:textId="77777777" w:rsidR="00AA4CFC" w:rsidRPr="007D5748" w:rsidRDefault="00AA4CFC" w:rsidP="00AA4CFC">
      <w:pPr>
        <w:tabs>
          <w:tab w:val="num" w:pos="1080"/>
        </w:tabs>
        <w:jc w:val="both"/>
        <w:rPr>
          <w:bCs/>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AA4CFC" w:rsidRPr="007D5748" w14:paraId="5290CE0C" w14:textId="77777777" w:rsidTr="00B51CD5">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2948BF36" w14:textId="061FE391" w:rsidR="00AA4CFC" w:rsidRPr="007D5748" w:rsidRDefault="00AA4CFC" w:rsidP="00480729">
            <w:pPr>
              <w:jc w:val="center"/>
              <w:rPr>
                <w:b/>
                <w:bCs/>
                <w:sz w:val="20"/>
                <w:szCs w:val="20"/>
                <w:lang w:eastAsia="sk-SK"/>
              </w:rPr>
            </w:pPr>
            <w:r w:rsidRPr="007D5748">
              <w:rPr>
                <w:b/>
                <w:bCs/>
                <w:sz w:val="20"/>
                <w:szCs w:val="20"/>
                <w:lang w:eastAsia="sk-SK"/>
              </w:rPr>
              <w:t>Výdavky (</w:t>
            </w:r>
            <w:r w:rsidR="00480729">
              <w:rPr>
                <w:b/>
                <w:bCs/>
                <w:sz w:val="20"/>
                <w:szCs w:val="20"/>
                <w:lang w:eastAsia="sk-SK"/>
              </w:rPr>
              <w:t>EUR</w:t>
            </w:r>
            <w:r w:rsidRPr="007D5748">
              <w:rPr>
                <w:b/>
                <w:bCs/>
                <w:sz w:val="20"/>
                <w:szCs w:val="20"/>
                <w:lang w:eastAsia="sk-SK"/>
              </w:rPr>
              <w:t>)</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66DC4EC2" w14:textId="77777777" w:rsidR="00AA4CFC" w:rsidRPr="007D5748" w:rsidRDefault="00AA4CFC" w:rsidP="00B51CD5">
            <w:pPr>
              <w:jc w:val="center"/>
              <w:rPr>
                <w:b/>
                <w:bCs/>
                <w:sz w:val="20"/>
                <w:szCs w:val="20"/>
                <w:lang w:eastAsia="sk-SK"/>
              </w:rPr>
            </w:pPr>
            <w:r w:rsidRPr="007D5748">
              <w:rPr>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CC66802" w14:textId="77777777" w:rsidR="00AA4CFC" w:rsidRPr="007D5748" w:rsidRDefault="00AA4CFC" w:rsidP="00B51CD5">
            <w:pPr>
              <w:jc w:val="center"/>
              <w:rPr>
                <w:b/>
                <w:bCs/>
                <w:lang w:eastAsia="sk-SK"/>
              </w:rPr>
            </w:pPr>
            <w:r w:rsidRPr="007D5748">
              <w:rPr>
                <w:b/>
                <w:bCs/>
                <w:lang w:eastAsia="sk-SK"/>
              </w:rPr>
              <w:t>poznámka</w:t>
            </w:r>
          </w:p>
        </w:tc>
      </w:tr>
      <w:tr w:rsidR="00AA4CFC" w:rsidRPr="007D5748" w14:paraId="1A5F55C0" w14:textId="77777777" w:rsidTr="00B51CD5">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183D7A7A" w14:textId="77777777" w:rsidR="00AA4CFC" w:rsidRPr="007D5748" w:rsidRDefault="00AA4CFC" w:rsidP="00B51CD5">
            <w:pPr>
              <w:rPr>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0990652D" w14:textId="209CB321" w:rsidR="00AA4CFC" w:rsidRPr="007D5748" w:rsidRDefault="00AA4CFC" w:rsidP="00AD1466">
            <w:pPr>
              <w:jc w:val="center"/>
              <w:rPr>
                <w:b/>
                <w:bCs/>
                <w:sz w:val="20"/>
                <w:szCs w:val="20"/>
                <w:lang w:eastAsia="sk-SK"/>
              </w:rPr>
            </w:pPr>
            <w:r>
              <w:rPr>
                <w:b/>
                <w:bCs/>
                <w:sz w:val="20"/>
                <w:szCs w:val="20"/>
                <w:lang w:eastAsia="sk-SK"/>
              </w:rPr>
              <w:t>201</w:t>
            </w:r>
            <w:r w:rsidR="00AD1466">
              <w:rPr>
                <w:b/>
                <w:bCs/>
                <w:sz w:val="20"/>
                <w:szCs w:val="20"/>
                <w:lang w:eastAsia="sk-SK"/>
              </w:rPr>
              <w:t>9</w:t>
            </w:r>
          </w:p>
        </w:tc>
        <w:tc>
          <w:tcPr>
            <w:tcW w:w="1540" w:type="dxa"/>
            <w:tcBorders>
              <w:top w:val="nil"/>
              <w:left w:val="nil"/>
              <w:bottom w:val="single" w:sz="4" w:space="0" w:color="auto"/>
              <w:right w:val="single" w:sz="4" w:space="0" w:color="auto"/>
            </w:tcBorders>
            <w:shd w:val="clear" w:color="auto" w:fill="BFBFBF" w:themeFill="background1" w:themeFillShade="BF"/>
          </w:tcPr>
          <w:p w14:paraId="03863470" w14:textId="2EF4E3D3" w:rsidR="00AA4CFC" w:rsidRPr="007D5748" w:rsidRDefault="00AA4CFC" w:rsidP="00AD1466">
            <w:pPr>
              <w:jc w:val="center"/>
              <w:rPr>
                <w:b/>
                <w:bCs/>
                <w:sz w:val="20"/>
                <w:szCs w:val="20"/>
                <w:lang w:eastAsia="sk-SK"/>
              </w:rPr>
            </w:pPr>
            <w:r>
              <w:rPr>
                <w:b/>
                <w:bCs/>
                <w:sz w:val="20"/>
                <w:szCs w:val="20"/>
                <w:lang w:eastAsia="sk-SK"/>
              </w:rPr>
              <w:t>20</w:t>
            </w:r>
            <w:r w:rsidR="00AD1466">
              <w:rPr>
                <w:b/>
                <w:bCs/>
                <w:sz w:val="20"/>
                <w:szCs w:val="20"/>
                <w:lang w:eastAsia="sk-SK"/>
              </w:rPr>
              <w:t>20</w:t>
            </w:r>
          </w:p>
        </w:tc>
        <w:tc>
          <w:tcPr>
            <w:tcW w:w="1540" w:type="dxa"/>
            <w:tcBorders>
              <w:top w:val="nil"/>
              <w:left w:val="nil"/>
              <w:bottom w:val="single" w:sz="4" w:space="0" w:color="auto"/>
              <w:right w:val="single" w:sz="4" w:space="0" w:color="auto"/>
            </w:tcBorders>
            <w:shd w:val="clear" w:color="auto" w:fill="BFBFBF" w:themeFill="background1" w:themeFillShade="BF"/>
          </w:tcPr>
          <w:p w14:paraId="4E964BEF" w14:textId="1995D63A" w:rsidR="00AA4CFC" w:rsidRPr="007D5748" w:rsidRDefault="00AA4CFC" w:rsidP="00AD1466">
            <w:pPr>
              <w:jc w:val="center"/>
              <w:rPr>
                <w:b/>
                <w:bCs/>
                <w:sz w:val="20"/>
                <w:szCs w:val="20"/>
                <w:lang w:eastAsia="sk-SK"/>
              </w:rPr>
            </w:pPr>
            <w:r>
              <w:rPr>
                <w:b/>
                <w:bCs/>
                <w:sz w:val="20"/>
                <w:szCs w:val="20"/>
                <w:lang w:eastAsia="sk-SK"/>
              </w:rPr>
              <w:t>202</w:t>
            </w:r>
            <w:r w:rsidR="00AD1466">
              <w:rPr>
                <w:b/>
                <w:bCs/>
                <w:sz w:val="20"/>
                <w:szCs w:val="20"/>
                <w:lang w:eastAsia="sk-SK"/>
              </w:rPr>
              <w:t>1</w:t>
            </w:r>
          </w:p>
        </w:tc>
        <w:tc>
          <w:tcPr>
            <w:tcW w:w="1540" w:type="dxa"/>
            <w:tcBorders>
              <w:top w:val="nil"/>
              <w:left w:val="nil"/>
              <w:bottom w:val="single" w:sz="4" w:space="0" w:color="auto"/>
              <w:right w:val="single" w:sz="4" w:space="0" w:color="auto"/>
            </w:tcBorders>
            <w:shd w:val="clear" w:color="auto" w:fill="BFBFBF" w:themeFill="background1" w:themeFillShade="BF"/>
          </w:tcPr>
          <w:p w14:paraId="76EBDFD8" w14:textId="7EEC2052" w:rsidR="00AA4CFC" w:rsidRPr="007D5748" w:rsidRDefault="00AA4CFC" w:rsidP="00AD1466">
            <w:pPr>
              <w:jc w:val="center"/>
              <w:rPr>
                <w:b/>
                <w:bCs/>
                <w:lang w:eastAsia="sk-SK"/>
              </w:rPr>
            </w:pPr>
            <w:r w:rsidRPr="00E74258">
              <w:rPr>
                <w:b/>
                <w:bCs/>
                <w:sz w:val="20"/>
                <w:szCs w:val="20"/>
                <w:lang w:eastAsia="sk-SK"/>
              </w:rPr>
              <w:t>202</w:t>
            </w:r>
            <w:r w:rsidR="00AD1466">
              <w:rPr>
                <w:b/>
                <w:bCs/>
                <w:sz w:val="20"/>
                <w:szCs w:val="20"/>
                <w:lang w:eastAsia="sk-SK"/>
              </w:rPr>
              <w:t>2</w:t>
            </w:r>
          </w:p>
        </w:tc>
        <w:tc>
          <w:tcPr>
            <w:tcW w:w="2220" w:type="dxa"/>
            <w:vMerge/>
            <w:tcBorders>
              <w:top w:val="single" w:sz="4" w:space="0" w:color="auto"/>
              <w:left w:val="single" w:sz="4" w:space="0" w:color="auto"/>
              <w:bottom w:val="single" w:sz="4" w:space="0" w:color="auto"/>
              <w:right w:val="single" w:sz="4" w:space="0" w:color="auto"/>
            </w:tcBorders>
            <w:vAlign w:val="center"/>
          </w:tcPr>
          <w:p w14:paraId="51F7615F" w14:textId="77777777" w:rsidR="00AA4CFC" w:rsidRPr="007D5748" w:rsidRDefault="00AA4CFC" w:rsidP="00B51CD5">
            <w:pPr>
              <w:rPr>
                <w:b/>
                <w:bCs/>
                <w:color w:val="FFFFFF"/>
                <w:lang w:eastAsia="sk-SK"/>
              </w:rPr>
            </w:pPr>
          </w:p>
        </w:tc>
      </w:tr>
      <w:tr w:rsidR="00AA4CFC" w:rsidRPr="007D5748" w14:paraId="67706753" w14:textId="77777777" w:rsidTr="00B51CD5">
        <w:trPr>
          <w:trHeight w:val="255"/>
        </w:trPr>
        <w:tc>
          <w:tcPr>
            <w:tcW w:w="7070" w:type="dxa"/>
            <w:tcBorders>
              <w:top w:val="nil"/>
              <w:left w:val="single" w:sz="4" w:space="0" w:color="auto"/>
              <w:bottom w:val="single" w:sz="4" w:space="0" w:color="auto"/>
              <w:right w:val="single" w:sz="4" w:space="0" w:color="auto"/>
            </w:tcBorders>
          </w:tcPr>
          <w:p w14:paraId="5669713A" w14:textId="77777777" w:rsidR="00AA4CFC" w:rsidRPr="007D5748" w:rsidRDefault="00AA4CFC" w:rsidP="00B51CD5">
            <w:pPr>
              <w:rPr>
                <w:b/>
                <w:bCs/>
                <w:sz w:val="20"/>
                <w:szCs w:val="20"/>
                <w:lang w:eastAsia="sk-SK"/>
              </w:rPr>
            </w:pPr>
            <w:r w:rsidRPr="007D5748">
              <w:rPr>
                <w:b/>
                <w:bCs/>
                <w:sz w:val="20"/>
                <w:szCs w:val="20"/>
                <w:lang w:eastAsia="sk-SK"/>
              </w:rPr>
              <w:t>Bežné výdavky (600)</w:t>
            </w:r>
          </w:p>
        </w:tc>
        <w:tc>
          <w:tcPr>
            <w:tcW w:w="1540" w:type="dxa"/>
            <w:tcBorders>
              <w:top w:val="nil"/>
              <w:left w:val="nil"/>
              <w:bottom w:val="single" w:sz="4" w:space="0" w:color="auto"/>
              <w:right w:val="single" w:sz="4" w:space="0" w:color="auto"/>
            </w:tcBorders>
          </w:tcPr>
          <w:p w14:paraId="2629AD0A" w14:textId="0B32DD0D" w:rsidR="00AA4CFC" w:rsidRPr="00C41C1C" w:rsidRDefault="00B474F7" w:rsidP="00B51CD5">
            <w:pPr>
              <w:jc w:val="center"/>
              <w:rPr>
                <w:bCs/>
                <w:sz w:val="20"/>
                <w:szCs w:val="20"/>
                <w:lang w:eastAsia="sk-SK"/>
              </w:rPr>
            </w:pPr>
            <w:r>
              <w:rPr>
                <w:bCs/>
                <w:sz w:val="20"/>
                <w:szCs w:val="20"/>
                <w:lang w:eastAsia="sk-SK"/>
              </w:rPr>
              <w:t>0</w:t>
            </w:r>
          </w:p>
        </w:tc>
        <w:tc>
          <w:tcPr>
            <w:tcW w:w="1540" w:type="dxa"/>
            <w:tcBorders>
              <w:top w:val="nil"/>
              <w:left w:val="nil"/>
              <w:bottom w:val="single" w:sz="4" w:space="0" w:color="auto"/>
              <w:right w:val="single" w:sz="4" w:space="0" w:color="auto"/>
            </w:tcBorders>
          </w:tcPr>
          <w:p w14:paraId="27E032D9" w14:textId="391B6399" w:rsidR="00AA4CFC" w:rsidRPr="007D5748" w:rsidRDefault="00021735" w:rsidP="00B51CD5">
            <w:pPr>
              <w:jc w:val="center"/>
              <w:rPr>
                <w:b/>
                <w:bCs/>
                <w:sz w:val="20"/>
                <w:szCs w:val="20"/>
                <w:lang w:eastAsia="sk-SK"/>
              </w:rPr>
            </w:pPr>
            <w:r>
              <w:rPr>
                <w:b/>
                <w:bCs/>
                <w:sz w:val="20"/>
                <w:szCs w:val="20"/>
                <w:lang w:eastAsia="sk-SK"/>
              </w:rPr>
              <w:t>0</w:t>
            </w:r>
          </w:p>
        </w:tc>
        <w:tc>
          <w:tcPr>
            <w:tcW w:w="1540" w:type="dxa"/>
            <w:tcBorders>
              <w:top w:val="nil"/>
              <w:left w:val="nil"/>
              <w:bottom w:val="single" w:sz="4" w:space="0" w:color="auto"/>
              <w:right w:val="single" w:sz="4" w:space="0" w:color="auto"/>
            </w:tcBorders>
          </w:tcPr>
          <w:p w14:paraId="5F0B7CFB" w14:textId="1A1AAF80" w:rsidR="00AA4CFC" w:rsidRPr="00C41C1C" w:rsidRDefault="00541AAD" w:rsidP="00B51CD5">
            <w:pPr>
              <w:jc w:val="center"/>
              <w:rPr>
                <w:bCs/>
                <w:sz w:val="20"/>
                <w:szCs w:val="20"/>
                <w:lang w:eastAsia="sk-SK"/>
              </w:rPr>
            </w:pPr>
            <w:r w:rsidRPr="00C41C1C">
              <w:rPr>
                <w:bCs/>
                <w:sz w:val="20"/>
                <w:szCs w:val="20"/>
                <w:lang w:eastAsia="sk-SK"/>
              </w:rPr>
              <w:t>0</w:t>
            </w:r>
          </w:p>
        </w:tc>
        <w:tc>
          <w:tcPr>
            <w:tcW w:w="1540" w:type="dxa"/>
            <w:tcBorders>
              <w:top w:val="nil"/>
              <w:left w:val="nil"/>
              <w:bottom w:val="single" w:sz="4" w:space="0" w:color="auto"/>
              <w:right w:val="single" w:sz="4" w:space="0" w:color="auto"/>
            </w:tcBorders>
          </w:tcPr>
          <w:p w14:paraId="56C69454" w14:textId="52ED439A" w:rsidR="00AA4CFC" w:rsidRPr="00C41C1C" w:rsidRDefault="00541AAD" w:rsidP="00B51CD5">
            <w:pPr>
              <w:jc w:val="center"/>
              <w:rPr>
                <w:bCs/>
                <w:sz w:val="20"/>
                <w:lang w:eastAsia="sk-SK"/>
              </w:rPr>
            </w:pPr>
            <w:r w:rsidRPr="00C41C1C">
              <w:rPr>
                <w:bCs/>
                <w:sz w:val="20"/>
                <w:lang w:eastAsia="sk-SK"/>
              </w:rPr>
              <w:t>0</w:t>
            </w:r>
          </w:p>
        </w:tc>
        <w:tc>
          <w:tcPr>
            <w:tcW w:w="2220" w:type="dxa"/>
            <w:tcBorders>
              <w:top w:val="nil"/>
              <w:left w:val="nil"/>
              <w:bottom w:val="single" w:sz="4" w:space="0" w:color="auto"/>
              <w:right w:val="single" w:sz="4" w:space="0" w:color="auto"/>
            </w:tcBorders>
            <w:noWrap/>
            <w:vAlign w:val="bottom"/>
          </w:tcPr>
          <w:p w14:paraId="1B3550FB" w14:textId="77777777" w:rsidR="00AA4CFC" w:rsidRPr="007D5748" w:rsidRDefault="00AA4CFC" w:rsidP="00B51CD5">
            <w:pPr>
              <w:rPr>
                <w:lang w:eastAsia="sk-SK"/>
              </w:rPr>
            </w:pPr>
            <w:r w:rsidRPr="007D5748">
              <w:rPr>
                <w:lang w:eastAsia="sk-SK"/>
              </w:rPr>
              <w:t> </w:t>
            </w:r>
          </w:p>
        </w:tc>
      </w:tr>
      <w:tr w:rsidR="00AA4CFC" w:rsidRPr="007D5748" w14:paraId="01EF6094" w14:textId="77777777" w:rsidTr="00B51CD5">
        <w:trPr>
          <w:trHeight w:val="255"/>
        </w:trPr>
        <w:tc>
          <w:tcPr>
            <w:tcW w:w="7070" w:type="dxa"/>
            <w:tcBorders>
              <w:top w:val="nil"/>
              <w:left w:val="single" w:sz="4" w:space="0" w:color="auto"/>
              <w:bottom w:val="single" w:sz="4" w:space="0" w:color="auto"/>
              <w:right w:val="single" w:sz="4" w:space="0" w:color="auto"/>
            </w:tcBorders>
          </w:tcPr>
          <w:p w14:paraId="5E38D98E" w14:textId="77777777" w:rsidR="00AA4CFC" w:rsidRPr="007D5748" w:rsidRDefault="00AA4CFC" w:rsidP="00B51CD5">
            <w:pPr>
              <w:rPr>
                <w:sz w:val="20"/>
                <w:szCs w:val="20"/>
                <w:lang w:eastAsia="sk-SK"/>
              </w:rPr>
            </w:pPr>
            <w:r w:rsidRPr="007D5748">
              <w:rPr>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45FF06D6" w14:textId="1A8FF1D5" w:rsidR="00AA4CFC" w:rsidRPr="007D5748" w:rsidRDefault="00541AAD" w:rsidP="00B51CD5">
            <w:pPr>
              <w:jc w:val="center"/>
              <w:rPr>
                <w:sz w:val="20"/>
                <w:szCs w:val="20"/>
                <w:lang w:eastAsia="sk-SK"/>
              </w:rPr>
            </w:pPr>
            <w:r>
              <w:rPr>
                <w:sz w:val="20"/>
                <w:szCs w:val="20"/>
                <w:lang w:eastAsia="sk-SK"/>
              </w:rPr>
              <w:t>0</w:t>
            </w:r>
          </w:p>
        </w:tc>
        <w:tc>
          <w:tcPr>
            <w:tcW w:w="1540" w:type="dxa"/>
            <w:tcBorders>
              <w:top w:val="nil"/>
              <w:left w:val="nil"/>
              <w:bottom w:val="single" w:sz="4" w:space="0" w:color="auto"/>
              <w:right w:val="single" w:sz="4" w:space="0" w:color="auto"/>
            </w:tcBorders>
          </w:tcPr>
          <w:p w14:paraId="63B608F2" w14:textId="1CFD3110" w:rsidR="00AA4CFC" w:rsidRPr="007D5748" w:rsidRDefault="00541AAD" w:rsidP="00B51CD5">
            <w:pPr>
              <w:jc w:val="center"/>
              <w:rPr>
                <w:sz w:val="20"/>
                <w:szCs w:val="20"/>
                <w:lang w:eastAsia="sk-SK"/>
              </w:rPr>
            </w:pPr>
            <w:r>
              <w:rPr>
                <w:sz w:val="20"/>
                <w:szCs w:val="20"/>
                <w:lang w:eastAsia="sk-SK"/>
              </w:rPr>
              <w:t>0</w:t>
            </w:r>
          </w:p>
        </w:tc>
        <w:tc>
          <w:tcPr>
            <w:tcW w:w="1540" w:type="dxa"/>
            <w:tcBorders>
              <w:top w:val="nil"/>
              <w:left w:val="nil"/>
              <w:bottom w:val="single" w:sz="4" w:space="0" w:color="auto"/>
              <w:right w:val="single" w:sz="4" w:space="0" w:color="auto"/>
            </w:tcBorders>
          </w:tcPr>
          <w:p w14:paraId="59821783" w14:textId="0CCB8577" w:rsidR="00AA4CFC" w:rsidRPr="00541AAD" w:rsidRDefault="00541AAD" w:rsidP="00B51CD5">
            <w:pPr>
              <w:jc w:val="center"/>
              <w:rPr>
                <w:sz w:val="20"/>
                <w:szCs w:val="20"/>
                <w:lang w:eastAsia="sk-SK"/>
              </w:rPr>
            </w:pPr>
            <w:r w:rsidRPr="006C144D">
              <w:rPr>
                <w:sz w:val="20"/>
                <w:szCs w:val="20"/>
                <w:lang w:eastAsia="sk-SK"/>
              </w:rPr>
              <w:t>0</w:t>
            </w:r>
          </w:p>
        </w:tc>
        <w:tc>
          <w:tcPr>
            <w:tcW w:w="1540" w:type="dxa"/>
            <w:tcBorders>
              <w:top w:val="nil"/>
              <w:left w:val="nil"/>
              <w:bottom w:val="single" w:sz="4" w:space="0" w:color="auto"/>
              <w:right w:val="single" w:sz="4" w:space="0" w:color="auto"/>
            </w:tcBorders>
          </w:tcPr>
          <w:p w14:paraId="6ECCD022" w14:textId="73475544" w:rsidR="00AA4CFC" w:rsidRPr="00C41C1C" w:rsidRDefault="00541AAD" w:rsidP="00B51CD5">
            <w:pPr>
              <w:jc w:val="center"/>
              <w:rPr>
                <w:sz w:val="20"/>
                <w:lang w:eastAsia="sk-SK"/>
              </w:rPr>
            </w:pPr>
            <w:r w:rsidRPr="00C41C1C">
              <w:rPr>
                <w:sz w:val="20"/>
                <w:lang w:eastAsia="sk-SK"/>
              </w:rPr>
              <w:t>0</w:t>
            </w:r>
          </w:p>
        </w:tc>
        <w:tc>
          <w:tcPr>
            <w:tcW w:w="2220" w:type="dxa"/>
            <w:tcBorders>
              <w:top w:val="nil"/>
              <w:left w:val="nil"/>
              <w:bottom w:val="single" w:sz="4" w:space="0" w:color="auto"/>
              <w:right w:val="single" w:sz="4" w:space="0" w:color="auto"/>
            </w:tcBorders>
            <w:noWrap/>
            <w:vAlign w:val="bottom"/>
          </w:tcPr>
          <w:p w14:paraId="4259967F" w14:textId="77777777" w:rsidR="00AA4CFC" w:rsidRPr="007D5748" w:rsidRDefault="00AA4CFC" w:rsidP="00B51CD5">
            <w:pPr>
              <w:rPr>
                <w:lang w:eastAsia="sk-SK"/>
              </w:rPr>
            </w:pPr>
            <w:r w:rsidRPr="007D5748">
              <w:rPr>
                <w:lang w:eastAsia="sk-SK"/>
              </w:rPr>
              <w:t> </w:t>
            </w:r>
          </w:p>
        </w:tc>
      </w:tr>
      <w:tr w:rsidR="00AA4CFC" w:rsidRPr="007D5748" w14:paraId="3390E095" w14:textId="77777777" w:rsidTr="00B51CD5">
        <w:trPr>
          <w:trHeight w:val="255"/>
        </w:trPr>
        <w:tc>
          <w:tcPr>
            <w:tcW w:w="7070" w:type="dxa"/>
            <w:tcBorders>
              <w:top w:val="nil"/>
              <w:left w:val="single" w:sz="4" w:space="0" w:color="auto"/>
              <w:bottom w:val="single" w:sz="4" w:space="0" w:color="auto"/>
              <w:right w:val="single" w:sz="4" w:space="0" w:color="auto"/>
            </w:tcBorders>
          </w:tcPr>
          <w:p w14:paraId="5758CA75" w14:textId="77777777" w:rsidR="00AA4CFC" w:rsidRPr="007D5748" w:rsidRDefault="00AA4CFC" w:rsidP="00B51CD5">
            <w:pPr>
              <w:rPr>
                <w:sz w:val="20"/>
                <w:szCs w:val="20"/>
                <w:vertAlign w:val="superscript"/>
                <w:lang w:eastAsia="sk-SK"/>
              </w:rPr>
            </w:pPr>
            <w:r w:rsidRPr="007D5748">
              <w:rPr>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045BC94B" w14:textId="1F3D4974" w:rsidR="00AA4CFC" w:rsidRPr="007D5748" w:rsidRDefault="00541AAD" w:rsidP="00B51CD5">
            <w:pPr>
              <w:jc w:val="center"/>
              <w:rPr>
                <w:sz w:val="20"/>
                <w:szCs w:val="20"/>
                <w:lang w:eastAsia="sk-SK"/>
              </w:rPr>
            </w:pPr>
            <w:r>
              <w:rPr>
                <w:sz w:val="20"/>
                <w:szCs w:val="20"/>
                <w:lang w:eastAsia="sk-SK"/>
              </w:rPr>
              <w:t>0</w:t>
            </w:r>
          </w:p>
        </w:tc>
        <w:tc>
          <w:tcPr>
            <w:tcW w:w="1540" w:type="dxa"/>
            <w:tcBorders>
              <w:top w:val="nil"/>
              <w:left w:val="nil"/>
              <w:bottom w:val="single" w:sz="4" w:space="0" w:color="auto"/>
              <w:right w:val="single" w:sz="4" w:space="0" w:color="auto"/>
            </w:tcBorders>
          </w:tcPr>
          <w:p w14:paraId="5046041B" w14:textId="384FFFEA" w:rsidR="00AA4CFC" w:rsidRPr="007D5748" w:rsidRDefault="00541AAD" w:rsidP="00B51CD5">
            <w:pPr>
              <w:jc w:val="center"/>
              <w:rPr>
                <w:sz w:val="20"/>
                <w:szCs w:val="20"/>
                <w:lang w:eastAsia="sk-SK"/>
              </w:rPr>
            </w:pPr>
            <w:r>
              <w:rPr>
                <w:sz w:val="20"/>
                <w:szCs w:val="20"/>
                <w:lang w:eastAsia="sk-SK"/>
              </w:rPr>
              <w:t>0</w:t>
            </w:r>
          </w:p>
        </w:tc>
        <w:tc>
          <w:tcPr>
            <w:tcW w:w="1540" w:type="dxa"/>
            <w:tcBorders>
              <w:top w:val="nil"/>
              <w:left w:val="nil"/>
              <w:bottom w:val="single" w:sz="4" w:space="0" w:color="auto"/>
              <w:right w:val="single" w:sz="4" w:space="0" w:color="auto"/>
            </w:tcBorders>
          </w:tcPr>
          <w:p w14:paraId="2918730D" w14:textId="76CBD00A" w:rsidR="00AA4CFC" w:rsidRPr="00541AAD" w:rsidRDefault="00541AAD" w:rsidP="00B51CD5">
            <w:pPr>
              <w:jc w:val="center"/>
              <w:rPr>
                <w:sz w:val="20"/>
                <w:szCs w:val="20"/>
                <w:lang w:eastAsia="sk-SK"/>
              </w:rPr>
            </w:pPr>
            <w:r w:rsidRPr="006C144D">
              <w:rPr>
                <w:sz w:val="20"/>
                <w:szCs w:val="20"/>
                <w:lang w:eastAsia="sk-SK"/>
              </w:rPr>
              <w:t>0</w:t>
            </w:r>
          </w:p>
        </w:tc>
        <w:tc>
          <w:tcPr>
            <w:tcW w:w="1540" w:type="dxa"/>
            <w:tcBorders>
              <w:top w:val="nil"/>
              <w:left w:val="nil"/>
              <w:bottom w:val="single" w:sz="4" w:space="0" w:color="auto"/>
              <w:right w:val="single" w:sz="4" w:space="0" w:color="auto"/>
            </w:tcBorders>
          </w:tcPr>
          <w:p w14:paraId="2A027B23" w14:textId="129F083E" w:rsidR="00AA4CFC" w:rsidRPr="00C41C1C" w:rsidRDefault="00541AAD" w:rsidP="00B51CD5">
            <w:pPr>
              <w:jc w:val="center"/>
              <w:rPr>
                <w:sz w:val="20"/>
                <w:lang w:eastAsia="sk-SK"/>
              </w:rPr>
            </w:pPr>
            <w:r w:rsidRPr="00C41C1C">
              <w:rPr>
                <w:sz w:val="20"/>
                <w:lang w:eastAsia="sk-SK"/>
              </w:rPr>
              <w:t>0</w:t>
            </w:r>
          </w:p>
        </w:tc>
        <w:tc>
          <w:tcPr>
            <w:tcW w:w="2220" w:type="dxa"/>
            <w:tcBorders>
              <w:top w:val="nil"/>
              <w:left w:val="nil"/>
              <w:bottom w:val="single" w:sz="4" w:space="0" w:color="auto"/>
              <w:right w:val="single" w:sz="4" w:space="0" w:color="auto"/>
            </w:tcBorders>
            <w:noWrap/>
            <w:vAlign w:val="bottom"/>
          </w:tcPr>
          <w:p w14:paraId="3C3AB725" w14:textId="77777777" w:rsidR="00AA4CFC" w:rsidRPr="007D5748" w:rsidRDefault="00AA4CFC" w:rsidP="00B51CD5">
            <w:pPr>
              <w:rPr>
                <w:lang w:eastAsia="sk-SK"/>
              </w:rPr>
            </w:pPr>
            <w:r w:rsidRPr="007D5748">
              <w:rPr>
                <w:lang w:eastAsia="sk-SK"/>
              </w:rPr>
              <w:t> </w:t>
            </w:r>
          </w:p>
        </w:tc>
      </w:tr>
      <w:tr w:rsidR="00AA4CFC" w:rsidRPr="007D5748" w14:paraId="22477F02" w14:textId="77777777" w:rsidTr="00B51CD5">
        <w:trPr>
          <w:trHeight w:val="255"/>
        </w:trPr>
        <w:tc>
          <w:tcPr>
            <w:tcW w:w="7070" w:type="dxa"/>
            <w:tcBorders>
              <w:top w:val="nil"/>
              <w:left w:val="single" w:sz="4" w:space="0" w:color="auto"/>
              <w:bottom w:val="single" w:sz="4" w:space="0" w:color="auto"/>
              <w:right w:val="single" w:sz="4" w:space="0" w:color="auto"/>
            </w:tcBorders>
          </w:tcPr>
          <w:p w14:paraId="58047B4F" w14:textId="77777777" w:rsidR="00AA4CFC" w:rsidRPr="007D5748" w:rsidRDefault="00AA4CFC" w:rsidP="00B51CD5">
            <w:pPr>
              <w:rPr>
                <w:sz w:val="20"/>
                <w:szCs w:val="20"/>
                <w:vertAlign w:val="superscript"/>
                <w:lang w:eastAsia="sk-SK"/>
              </w:rPr>
            </w:pPr>
            <w:r w:rsidRPr="007D5748">
              <w:rPr>
                <w:sz w:val="20"/>
                <w:szCs w:val="20"/>
                <w:lang w:eastAsia="sk-SK"/>
              </w:rPr>
              <w:t xml:space="preserve">  Tovary a služby (630)</w:t>
            </w:r>
            <w:r w:rsidRPr="007D5748">
              <w:rPr>
                <w:sz w:val="20"/>
                <w:szCs w:val="20"/>
                <w:vertAlign w:val="superscript"/>
                <w:lang w:eastAsia="sk-SK"/>
              </w:rPr>
              <w:t>2</w:t>
            </w:r>
          </w:p>
        </w:tc>
        <w:tc>
          <w:tcPr>
            <w:tcW w:w="1540" w:type="dxa"/>
            <w:tcBorders>
              <w:top w:val="nil"/>
              <w:left w:val="nil"/>
              <w:bottom w:val="single" w:sz="4" w:space="0" w:color="auto"/>
              <w:right w:val="single" w:sz="4" w:space="0" w:color="auto"/>
            </w:tcBorders>
          </w:tcPr>
          <w:p w14:paraId="3EFB74F8" w14:textId="509D7E16" w:rsidR="00AA4CFC" w:rsidRPr="008B0AD1" w:rsidRDefault="00541AAD" w:rsidP="00B51CD5">
            <w:pPr>
              <w:jc w:val="center"/>
              <w:rPr>
                <w:sz w:val="20"/>
                <w:szCs w:val="20"/>
                <w:lang w:eastAsia="sk-SK"/>
              </w:rPr>
            </w:pPr>
            <w:r w:rsidRPr="008B0AD1">
              <w:rPr>
                <w:sz w:val="20"/>
                <w:szCs w:val="20"/>
                <w:lang w:eastAsia="sk-SK"/>
              </w:rPr>
              <w:t>0</w:t>
            </w:r>
          </w:p>
        </w:tc>
        <w:tc>
          <w:tcPr>
            <w:tcW w:w="1540" w:type="dxa"/>
            <w:tcBorders>
              <w:top w:val="nil"/>
              <w:left w:val="nil"/>
              <w:bottom w:val="single" w:sz="4" w:space="0" w:color="auto"/>
              <w:right w:val="single" w:sz="4" w:space="0" w:color="auto"/>
            </w:tcBorders>
          </w:tcPr>
          <w:p w14:paraId="4FC31DD1" w14:textId="70198A53" w:rsidR="00AA4CFC" w:rsidRPr="008B0AD1" w:rsidRDefault="00541AAD" w:rsidP="00B51CD5">
            <w:pPr>
              <w:jc w:val="center"/>
              <w:rPr>
                <w:sz w:val="20"/>
                <w:szCs w:val="20"/>
                <w:lang w:eastAsia="sk-SK"/>
              </w:rPr>
            </w:pPr>
            <w:r w:rsidRPr="008B0AD1">
              <w:rPr>
                <w:sz w:val="20"/>
                <w:szCs w:val="20"/>
                <w:lang w:eastAsia="sk-SK"/>
              </w:rPr>
              <w:t>0</w:t>
            </w:r>
          </w:p>
        </w:tc>
        <w:tc>
          <w:tcPr>
            <w:tcW w:w="1540" w:type="dxa"/>
            <w:tcBorders>
              <w:top w:val="nil"/>
              <w:left w:val="nil"/>
              <w:bottom w:val="single" w:sz="4" w:space="0" w:color="auto"/>
              <w:right w:val="single" w:sz="4" w:space="0" w:color="auto"/>
            </w:tcBorders>
          </w:tcPr>
          <w:p w14:paraId="0B5BBEF5" w14:textId="03F8F71D" w:rsidR="00AA4CFC" w:rsidRPr="00541AAD" w:rsidRDefault="00541AAD" w:rsidP="00B51CD5">
            <w:pPr>
              <w:jc w:val="center"/>
              <w:rPr>
                <w:sz w:val="20"/>
                <w:szCs w:val="20"/>
                <w:lang w:eastAsia="sk-SK"/>
              </w:rPr>
            </w:pPr>
            <w:r w:rsidRPr="006C144D">
              <w:rPr>
                <w:sz w:val="20"/>
                <w:szCs w:val="20"/>
                <w:lang w:eastAsia="sk-SK"/>
              </w:rPr>
              <w:t>0</w:t>
            </w:r>
          </w:p>
        </w:tc>
        <w:tc>
          <w:tcPr>
            <w:tcW w:w="1540" w:type="dxa"/>
            <w:tcBorders>
              <w:top w:val="nil"/>
              <w:left w:val="nil"/>
              <w:bottom w:val="single" w:sz="4" w:space="0" w:color="auto"/>
              <w:right w:val="single" w:sz="4" w:space="0" w:color="auto"/>
            </w:tcBorders>
          </w:tcPr>
          <w:p w14:paraId="59B98349" w14:textId="7A0BF3C8" w:rsidR="00AA4CFC" w:rsidRPr="00C41C1C" w:rsidRDefault="00541AAD" w:rsidP="00B51CD5">
            <w:pPr>
              <w:jc w:val="center"/>
              <w:rPr>
                <w:sz w:val="20"/>
                <w:lang w:eastAsia="sk-SK"/>
              </w:rPr>
            </w:pPr>
            <w:r w:rsidRPr="00C41C1C">
              <w:rPr>
                <w:sz w:val="20"/>
                <w:lang w:eastAsia="sk-SK"/>
              </w:rPr>
              <w:t>0</w:t>
            </w:r>
          </w:p>
        </w:tc>
        <w:tc>
          <w:tcPr>
            <w:tcW w:w="2220" w:type="dxa"/>
            <w:tcBorders>
              <w:top w:val="nil"/>
              <w:left w:val="nil"/>
              <w:bottom w:val="single" w:sz="4" w:space="0" w:color="auto"/>
              <w:right w:val="single" w:sz="4" w:space="0" w:color="auto"/>
            </w:tcBorders>
            <w:noWrap/>
            <w:vAlign w:val="bottom"/>
          </w:tcPr>
          <w:p w14:paraId="3CEE6FE5" w14:textId="77777777" w:rsidR="00AA4CFC" w:rsidRPr="007D5748" w:rsidRDefault="00AA4CFC" w:rsidP="00B51CD5">
            <w:pPr>
              <w:rPr>
                <w:lang w:eastAsia="sk-SK"/>
              </w:rPr>
            </w:pPr>
            <w:r w:rsidRPr="007D5748">
              <w:rPr>
                <w:lang w:eastAsia="sk-SK"/>
              </w:rPr>
              <w:t> </w:t>
            </w:r>
          </w:p>
        </w:tc>
      </w:tr>
      <w:tr w:rsidR="008B0AD1" w:rsidRPr="007D5748" w14:paraId="557DC436" w14:textId="77777777" w:rsidTr="00B51CD5">
        <w:trPr>
          <w:trHeight w:val="255"/>
        </w:trPr>
        <w:tc>
          <w:tcPr>
            <w:tcW w:w="7070" w:type="dxa"/>
            <w:tcBorders>
              <w:top w:val="nil"/>
              <w:left w:val="single" w:sz="4" w:space="0" w:color="auto"/>
              <w:bottom w:val="single" w:sz="4" w:space="0" w:color="auto"/>
              <w:right w:val="single" w:sz="4" w:space="0" w:color="auto"/>
            </w:tcBorders>
          </w:tcPr>
          <w:p w14:paraId="2BE028E6" w14:textId="77777777" w:rsidR="008B0AD1" w:rsidRPr="007D5748" w:rsidRDefault="008B0AD1" w:rsidP="008B0AD1">
            <w:pPr>
              <w:rPr>
                <w:sz w:val="20"/>
                <w:szCs w:val="20"/>
                <w:lang w:eastAsia="sk-SK"/>
              </w:rPr>
            </w:pPr>
            <w:r w:rsidRPr="007D5748">
              <w:rPr>
                <w:sz w:val="20"/>
                <w:szCs w:val="20"/>
                <w:lang w:eastAsia="sk-SK"/>
              </w:rPr>
              <w:t xml:space="preserve">  Bežné transfery (640)</w:t>
            </w:r>
            <w:r w:rsidRPr="007D5748">
              <w:rPr>
                <w:sz w:val="20"/>
                <w:szCs w:val="20"/>
                <w:vertAlign w:val="superscript"/>
                <w:lang w:eastAsia="sk-SK"/>
              </w:rPr>
              <w:t>2</w:t>
            </w:r>
          </w:p>
        </w:tc>
        <w:tc>
          <w:tcPr>
            <w:tcW w:w="1540" w:type="dxa"/>
            <w:tcBorders>
              <w:top w:val="nil"/>
              <w:left w:val="nil"/>
              <w:bottom w:val="single" w:sz="4" w:space="0" w:color="auto"/>
              <w:right w:val="single" w:sz="4" w:space="0" w:color="auto"/>
            </w:tcBorders>
          </w:tcPr>
          <w:p w14:paraId="518DC9BC" w14:textId="59B58B95" w:rsidR="008B0AD1" w:rsidRPr="008B0AD1" w:rsidRDefault="00B474F7" w:rsidP="008B0AD1">
            <w:pPr>
              <w:jc w:val="center"/>
              <w:rPr>
                <w:sz w:val="20"/>
                <w:szCs w:val="20"/>
                <w:lang w:eastAsia="sk-SK"/>
              </w:rPr>
            </w:pPr>
            <w:r>
              <w:rPr>
                <w:sz w:val="20"/>
                <w:szCs w:val="20"/>
                <w:lang w:eastAsia="sk-SK"/>
              </w:rPr>
              <w:t>0</w:t>
            </w:r>
          </w:p>
        </w:tc>
        <w:tc>
          <w:tcPr>
            <w:tcW w:w="1540" w:type="dxa"/>
            <w:tcBorders>
              <w:top w:val="nil"/>
              <w:left w:val="nil"/>
              <w:bottom w:val="single" w:sz="4" w:space="0" w:color="auto"/>
              <w:right w:val="single" w:sz="4" w:space="0" w:color="auto"/>
            </w:tcBorders>
          </w:tcPr>
          <w:p w14:paraId="47810464" w14:textId="0CAC26F8" w:rsidR="008B0AD1" w:rsidRPr="008B0AD1" w:rsidRDefault="00021735" w:rsidP="008B0AD1">
            <w:pPr>
              <w:jc w:val="center"/>
              <w:rPr>
                <w:sz w:val="20"/>
                <w:szCs w:val="20"/>
                <w:lang w:eastAsia="sk-SK"/>
              </w:rPr>
            </w:pPr>
            <w:r>
              <w:rPr>
                <w:sz w:val="20"/>
                <w:szCs w:val="20"/>
                <w:lang w:eastAsia="sk-SK"/>
              </w:rPr>
              <w:t>0</w:t>
            </w:r>
          </w:p>
        </w:tc>
        <w:tc>
          <w:tcPr>
            <w:tcW w:w="1540" w:type="dxa"/>
            <w:tcBorders>
              <w:top w:val="nil"/>
              <w:left w:val="nil"/>
              <w:bottom w:val="single" w:sz="4" w:space="0" w:color="auto"/>
              <w:right w:val="single" w:sz="4" w:space="0" w:color="auto"/>
            </w:tcBorders>
          </w:tcPr>
          <w:p w14:paraId="3B925B07" w14:textId="012CC12C" w:rsidR="008B0AD1" w:rsidRPr="00541AAD" w:rsidRDefault="008B0AD1" w:rsidP="008B0AD1">
            <w:pPr>
              <w:jc w:val="center"/>
              <w:rPr>
                <w:sz w:val="20"/>
                <w:szCs w:val="20"/>
                <w:lang w:eastAsia="sk-SK"/>
              </w:rPr>
            </w:pPr>
            <w:r w:rsidRPr="006C144D">
              <w:rPr>
                <w:sz w:val="20"/>
                <w:szCs w:val="20"/>
                <w:lang w:eastAsia="sk-SK"/>
              </w:rPr>
              <w:t>0</w:t>
            </w:r>
          </w:p>
        </w:tc>
        <w:tc>
          <w:tcPr>
            <w:tcW w:w="1540" w:type="dxa"/>
            <w:tcBorders>
              <w:top w:val="nil"/>
              <w:left w:val="nil"/>
              <w:bottom w:val="single" w:sz="4" w:space="0" w:color="auto"/>
              <w:right w:val="single" w:sz="4" w:space="0" w:color="auto"/>
            </w:tcBorders>
          </w:tcPr>
          <w:p w14:paraId="78BAE831" w14:textId="379447E0" w:rsidR="008B0AD1" w:rsidRPr="00C41C1C" w:rsidRDefault="008B0AD1" w:rsidP="008B0AD1">
            <w:pPr>
              <w:jc w:val="center"/>
              <w:rPr>
                <w:sz w:val="20"/>
                <w:lang w:eastAsia="sk-SK"/>
              </w:rPr>
            </w:pPr>
            <w:r w:rsidRPr="00C41C1C">
              <w:rPr>
                <w:sz w:val="20"/>
                <w:lang w:eastAsia="sk-SK"/>
              </w:rPr>
              <w:t>0</w:t>
            </w:r>
          </w:p>
        </w:tc>
        <w:tc>
          <w:tcPr>
            <w:tcW w:w="2220" w:type="dxa"/>
            <w:tcBorders>
              <w:top w:val="nil"/>
              <w:left w:val="nil"/>
              <w:bottom w:val="single" w:sz="4" w:space="0" w:color="auto"/>
              <w:right w:val="single" w:sz="4" w:space="0" w:color="auto"/>
            </w:tcBorders>
            <w:noWrap/>
            <w:vAlign w:val="bottom"/>
          </w:tcPr>
          <w:p w14:paraId="356A9909" w14:textId="77777777" w:rsidR="008B0AD1" w:rsidRPr="007D5748" w:rsidRDefault="008B0AD1" w:rsidP="008B0AD1">
            <w:pPr>
              <w:rPr>
                <w:lang w:eastAsia="sk-SK"/>
              </w:rPr>
            </w:pPr>
            <w:r w:rsidRPr="007D5748">
              <w:rPr>
                <w:lang w:eastAsia="sk-SK"/>
              </w:rPr>
              <w:t> </w:t>
            </w:r>
          </w:p>
        </w:tc>
      </w:tr>
      <w:tr w:rsidR="008B0AD1" w:rsidRPr="007D5748" w14:paraId="78D31BB3" w14:textId="77777777" w:rsidTr="00B51CD5">
        <w:trPr>
          <w:trHeight w:val="255"/>
        </w:trPr>
        <w:tc>
          <w:tcPr>
            <w:tcW w:w="7070" w:type="dxa"/>
            <w:tcBorders>
              <w:top w:val="nil"/>
              <w:left w:val="single" w:sz="4" w:space="0" w:color="auto"/>
              <w:bottom w:val="single" w:sz="4" w:space="0" w:color="auto"/>
              <w:right w:val="single" w:sz="4" w:space="0" w:color="auto"/>
            </w:tcBorders>
            <w:vAlign w:val="center"/>
          </w:tcPr>
          <w:p w14:paraId="54DD3291" w14:textId="77777777" w:rsidR="008B0AD1" w:rsidRPr="007D5748" w:rsidRDefault="008B0AD1" w:rsidP="008B0AD1">
            <w:pPr>
              <w:rPr>
                <w:sz w:val="20"/>
                <w:szCs w:val="20"/>
                <w:lang w:eastAsia="sk-SK"/>
              </w:rPr>
            </w:pPr>
            <w:r w:rsidRPr="007D5748">
              <w:rPr>
                <w:sz w:val="20"/>
                <w:szCs w:val="20"/>
                <w:lang w:eastAsia="sk-SK"/>
              </w:rPr>
              <w:t xml:space="preserve">  Splácanie úrokov a ostatné platby súvisiace s </w:t>
            </w:r>
            <w:r>
              <w:t xml:space="preserve"> </w:t>
            </w:r>
            <w:r w:rsidRPr="008D339D">
              <w:rPr>
                <w:sz w:val="20"/>
                <w:szCs w:val="20"/>
                <w:lang w:eastAsia="sk-SK"/>
              </w:rPr>
              <w:t>úverom, pôžičkou, návratnou finančnou výpomocou a finančným prenájmom</w:t>
            </w:r>
            <w:r w:rsidRPr="007D5748">
              <w:rPr>
                <w:sz w:val="20"/>
                <w:szCs w:val="20"/>
                <w:lang w:eastAsia="sk-SK"/>
              </w:rPr>
              <w:t xml:space="preserve"> (650)</w:t>
            </w:r>
            <w:r w:rsidRPr="007D5748">
              <w:rPr>
                <w:sz w:val="20"/>
                <w:szCs w:val="20"/>
                <w:vertAlign w:val="superscript"/>
                <w:lang w:eastAsia="sk-SK"/>
              </w:rPr>
              <w:t>2</w:t>
            </w:r>
          </w:p>
        </w:tc>
        <w:tc>
          <w:tcPr>
            <w:tcW w:w="1540" w:type="dxa"/>
            <w:tcBorders>
              <w:top w:val="nil"/>
              <w:left w:val="nil"/>
              <w:bottom w:val="single" w:sz="4" w:space="0" w:color="auto"/>
              <w:right w:val="single" w:sz="4" w:space="0" w:color="auto"/>
            </w:tcBorders>
          </w:tcPr>
          <w:p w14:paraId="44E9D48B" w14:textId="510AE603" w:rsidR="008B0AD1" w:rsidRPr="008B0AD1" w:rsidRDefault="008B0AD1" w:rsidP="008B0AD1">
            <w:pPr>
              <w:jc w:val="center"/>
              <w:rPr>
                <w:sz w:val="20"/>
                <w:szCs w:val="20"/>
                <w:lang w:eastAsia="sk-SK"/>
              </w:rPr>
            </w:pPr>
            <w:r w:rsidRPr="008B0AD1">
              <w:rPr>
                <w:sz w:val="20"/>
                <w:szCs w:val="20"/>
                <w:lang w:eastAsia="sk-SK"/>
              </w:rPr>
              <w:t>0</w:t>
            </w:r>
          </w:p>
        </w:tc>
        <w:tc>
          <w:tcPr>
            <w:tcW w:w="1540" w:type="dxa"/>
            <w:tcBorders>
              <w:top w:val="nil"/>
              <w:left w:val="nil"/>
              <w:bottom w:val="single" w:sz="4" w:space="0" w:color="auto"/>
              <w:right w:val="single" w:sz="4" w:space="0" w:color="auto"/>
            </w:tcBorders>
          </w:tcPr>
          <w:p w14:paraId="598BB99A" w14:textId="38027337" w:rsidR="008B0AD1" w:rsidRPr="008B0AD1" w:rsidRDefault="008B0AD1" w:rsidP="008B0AD1">
            <w:pPr>
              <w:jc w:val="center"/>
              <w:rPr>
                <w:sz w:val="20"/>
                <w:szCs w:val="20"/>
                <w:lang w:eastAsia="sk-SK"/>
              </w:rPr>
            </w:pPr>
            <w:r w:rsidRPr="008B0AD1">
              <w:rPr>
                <w:sz w:val="20"/>
                <w:szCs w:val="20"/>
                <w:lang w:eastAsia="sk-SK"/>
              </w:rPr>
              <w:t>0</w:t>
            </w:r>
          </w:p>
        </w:tc>
        <w:tc>
          <w:tcPr>
            <w:tcW w:w="1540" w:type="dxa"/>
            <w:tcBorders>
              <w:top w:val="nil"/>
              <w:left w:val="nil"/>
              <w:bottom w:val="single" w:sz="4" w:space="0" w:color="auto"/>
              <w:right w:val="single" w:sz="4" w:space="0" w:color="auto"/>
            </w:tcBorders>
          </w:tcPr>
          <w:p w14:paraId="605C325E" w14:textId="2CFB59DA" w:rsidR="008B0AD1" w:rsidRPr="00541AAD" w:rsidRDefault="008B0AD1" w:rsidP="008B0AD1">
            <w:pPr>
              <w:jc w:val="center"/>
              <w:rPr>
                <w:sz w:val="20"/>
                <w:szCs w:val="20"/>
                <w:lang w:eastAsia="sk-SK"/>
              </w:rPr>
            </w:pPr>
            <w:r w:rsidRPr="006C144D">
              <w:rPr>
                <w:sz w:val="20"/>
                <w:szCs w:val="20"/>
                <w:lang w:eastAsia="sk-SK"/>
              </w:rPr>
              <w:t>0</w:t>
            </w:r>
          </w:p>
        </w:tc>
        <w:tc>
          <w:tcPr>
            <w:tcW w:w="1540" w:type="dxa"/>
            <w:tcBorders>
              <w:top w:val="nil"/>
              <w:left w:val="nil"/>
              <w:bottom w:val="single" w:sz="4" w:space="0" w:color="auto"/>
              <w:right w:val="single" w:sz="4" w:space="0" w:color="auto"/>
            </w:tcBorders>
          </w:tcPr>
          <w:p w14:paraId="4C052FCB" w14:textId="4E963EE8" w:rsidR="008B0AD1" w:rsidRPr="00C41C1C" w:rsidRDefault="008B0AD1" w:rsidP="008B0AD1">
            <w:pPr>
              <w:jc w:val="center"/>
              <w:rPr>
                <w:sz w:val="20"/>
                <w:lang w:eastAsia="sk-SK"/>
              </w:rPr>
            </w:pPr>
            <w:r w:rsidRPr="00C41C1C">
              <w:rPr>
                <w:sz w:val="20"/>
                <w:lang w:eastAsia="sk-SK"/>
              </w:rPr>
              <w:t>0</w:t>
            </w:r>
          </w:p>
        </w:tc>
        <w:tc>
          <w:tcPr>
            <w:tcW w:w="2220" w:type="dxa"/>
            <w:tcBorders>
              <w:top w:val="nil"/>
              <w:left w:val="nil"/>
              <w:bottom w:val="single" w:sz="4" w:space="0" w:color="auto"/>
              <w:right w:val="single" w:sz="4" w:space="0" w:color="auto"/>
            </w:tcBorders>
            <w:noWrap/>
            <w:vAlign w:val="bottom"/>
          </w:tcPr>
          <w:p w14:paraId="7E074AF2" w14:textId="77777777" w:rsidR="008B0AD1" w:rsidRPr="007D5748" w:rsidRDefault="008B0AD1" w:rsidP="008B0AD1">
            <w:pPr>
              <w:rPr>
                <w:lang w:eastAsia="sk-SK"/>
              </w:rPr>
            </w:pPr>
          </w:p>
        </w:tc>
      </w:tr>
      <w:tr w:rsidR="008B0AD1" w:rsidRPr="007D5748" w14:paraId="4FE8EE77" w14:textId="77777777" w:rsidTr="00B51CD5">
        <w:trPr>
          <w:trHeight w:val="255"/>
        </w:trPr>
        <w:tc>
          <w:tcPr>
            <w:tcW w:w="7070" w:type="dxa"/>
            <w:tcBorders>
              <w:top w:val="nil"/>
              <w:left w:val="single" w:sz="4" w:space="0" w:color="auto"/>
              <w:bottom w:val="single" w:sz="4" w:space="0" w:color="auto"/>
              <w:right w:val="single" w:sz="4" w:space="0" w:color="auto"/>
            </w:tcBorders>
          </w:tcPr>
          <w:p w14:paraId="55DA908C" w14:textId="77777777" w:rsidR="008B0AD1" w:rsidRPr="007D5748" w:rsidRDefault="008B0AD1" w:rsidP="008B0AD1">
            <w:pPr>
              <w:rPr>
                <w:b/>
                <w:bCs/>
                <w:sz w:val="20"/>
                <w:szCs w:val="20"/>
                <w:lang w:eastAsia="sk-SK"/>
              </w:rPr>
            </w:pPr>
            <w:r w:rsidRPr="007D5748">
              <w:rPr>
                <w:b/>
                <w:bCs/>
                <w:sz w:val="20"/>
                <w:szCs w:val="20"/>
                <w:lang w:eastAsia="sk-SK"/>
              </w:rPr>
              <w:t>Kapitálové výdavky (700)</w:t>
            </w:r>
          </w:p>
        </w:tc>
        <w:tc>
          <w:tcPr>
            <w:tcW w:w="1540" w:type="dxa"/>
            <w:tcBorders>
              <w:top w:val="nil"/>
              <w:left w:val="nil"/>
              <w:bottom w:val="single" w:sz="4" w:space="0" w:color="auto"/>
              <w:right w:val="single" w:sz="4" w:space="0" w:color="auto"/>
            </w:tcBorders>
          </w:tcPr>
          <w:p w14:paraId="3CE821B4" w14:textId="7623594A" w:rsidR="008B0AD1" w:rsidRPr="008B0AD1" w:rsidRDefault="00AD1466" w:rsidP="008B0AD1">
            <w:pPr>
              <w:jc w:val="center"/>
              <w:rPr>
                <w:bCs/>
                <w:sz w:val="20"/>
                <w:szCs w:val="20"/>
                <w:lang w:eastAsia="sk-SK"/>
              </w:rPr>
            </w:pPr>
            <w:r w:rsidRPr="00AD1466">
              <w:rPr>
                <w:bCs/>
                <w:sz w:val="20"/>
                <w:szCs w:val="20"/>
                <w:lang w:eastAsia="sk-SK"/>
              </w:rPr>
              <w:t>6 000 000,00</w:t>
            </w:r>
          </w:p>
        </w:tc>
        <w:tc>
          <w:tcPr>
            <w:tcW w:w="1540" w:type="dxa"/>
            <w:tcBorders>
              <w:top w:val="nil"/>
              <w:left w:val="nil"/>
              <w:bottom w:val="single" w:sz="4" w:space="0" w:color="auto"/>
              <w:right w:val="single" w:sz="4" w:space="0" w:color="auto"/>
            </w:tcBorders>
          </w:tcPr>
          <w:p w14:paraId="3061BDE0" w14:textId="26692482" w:rsidR="008B0AD1" w:rsidRPr="008B0AD1" w:rsidRDefault="00AD1466" w:rsidP="00B474F7">
            <w:pPr>
              <w:jc w:val="center"/>
              <w:rPr>
                <w:bCs/>
                <w:sz w:val="20"/>
                <w:szCs w:val="20"/>
                <w:lang w:eastAsia="sk-SK"/>
              </w:rPr>
            </w:pPr>
            <w:r>
              <w:rPr>
                <w:bCs/>
                <w:sz w:val="20"/>
                <w:szCs w:val="20"/>
                <w:lang w:eastAsia="sk-SK"/>
              </w:rPr>
              <w:t>0</w:t>
            </w:r>
          </w:p>
        </w:tc>
        <w:tc>
          <w:tcPr>
            <w:tcW w:w="1540" w:type="dxa"/>
            <w:tcBorders>
              <w:top w:val="nil"/>
              <w:left w:val="nil"/>
              <w:bottom w:val="single" w:sz="4" w:space="0" w:color="auto"/>
              <w:right w:val="single" w:sz="4" w:space="0" w:color="auto"/>
            </w:tcBorders>
          </w:tcPr>
          <w:p w14:paraId="30BDF8CB" w14:textId="41B2C1C2" w:rsidR="008B0AD1" w:rsidRPr="00C41C1C" w:rsidRDefault="008B0AD1" w:rsidP="008B0AD1">
            <w:pPr>
              <w:jc w:val="center"/>
              <w:rPr>
                <w:bCs/>
                <w:sz w:val="20"/>
                <w:szCs w:val="20"/>
                <w:lang w:eastAsia="sk-SK"/>
              </w:rPr>
            </w:pPr>
            <w:r w:rsidRPr="00C41C1C">
              <w:rPr>
                <w:bCs/>
                <w:sz w:val="20"/>
                <w:szCs w:val="20"/>
                <w:lang w:eastAsia="sk-SK"/>
              </w:rPr>
              <w:t>0</w:t>
            </w:r>
          </w:p>
        </w:tc>
        <w:tc>
          <w:tcPr>
            <w:tcW w:w="1540" w:type="dxa"/>
            <w:tcBorders>
              <w:top w:val="nil"/>
              <w:left w:val="nil"/>
              <w:bottom w:val="single" w:sz="4" w:space="0" w:color="auto"/>
              <w:right w:val="single" w:sz="4" w:space="0" w:color="auto"/>
            </w:tcBorders>
          </w:tcPr>
          <w:p w14:paraId="02FE42FD" w14:textId="74F81EA6" w:rsidR="008B0AD1" w:rsidRPr="00C41C1C" w:rsidRDefault="008B0AD1" w:rsidP="008B0AD1">
            <w:pPr>
              <w:jc w:val="center"/>
              <w:rPr>
                <w:bCs/>
                <w:sz w:val="20"/>
                <w:lang w:eastAsia="sk-SK"/>
              </w:rPr>
            </w:pPr>
            <w:r w:rsidRPr="00C41C1C">
              <w:rPr>
                <w:bCs/>
                <w:sz w:val="20"/>
                <w:lang w:eastAsia="sk-SK"/>
              </w:rPr>
              <w:t>0</w:t>
            </w:r>
          </w:p>
        </w:tc>
        <w:tc>
          <w:tcPr>
            <w:tcW w:w="2220" w:type="dxa"/>
            <w:tcBorders>
              <w:top w:val="nil"/>
              <w:left w:val="nil"/>
              <w:bottom w:val="single" w:sz="4" w:space="0" w:color="auto"/>
              <w:right w:val="single" w:sz="4" w:space="0" w:color="auto"/>
            </w:tcBorders>
            <w:noWrap/>
            <w:vAlign w:val="bottom"/>
          </w:tcPr>
          <w:p w14:paraId="6F5CA312" w14:textId="77777777" w:rsidR="008B0AD1" w:rsidRPr="007D5748" w:rsidRDefault="008B0AD1" w:rsidP="008B0AD1">
            <w:pPr>
              <w:rPr>
                <w:lang w:eastAsia="sk-SK"/>
              </w:rPr>
            </w:pPr>
            <w:r w:rsidRPr="007D5748">
              <w:rPr>
                <w:lang w:eastAsia="sk-SK"/>
              </w:rPr>
              <w:t> </w:t>
            </w:r>
          </w:p>
        </w:tc>
      </w:tr>
      <w:tr w:rsidR="008B0AD1" w:rsidRPr="007D5748" w14:paraId="22FFB9B9" w14:textId="77777777" w:rsidTr="00B51CD5">
        <w:trPr>
          <w:trHeight w:val="255"/>
        </w:trPr>
        <w:tc>
          <w:tcPr>
            <w:tcW w:w="7070" w:type="dxa"/>
            <w:tcBorders>
              <w:top w:val="nil"/>
              <w:left w:val="single" w:sz="4" w:space="0" w:color="auto"/>
              <w:bottom w:val="single" w:sz="4" w:space="0" w:color="auto"/>
              <w:right w:val="single" w:sz="4" w:space="0" w:color="auto"/>
            </w:tcBorders>
          </w:tcPr>
          <w:p w14:paraId="36111EA0" w14:textId="77777777" w:rsidR="008B0AD1" w:rsidRPr="007D5748" w:rsidRDefault="008B0AD1" w:rsidP="008B0AD1">
            <w:pPr>
              <w:rPr>
                <w:sz w:val="20"/>
                <w:szCs w:val="20"/>
                <w:lang w:eastAsia="sk-SK"/>
              </w:rPr>
            </w:pPr>
            <w:r w:rsidRPr="007D5748">
              <w:rPr>
                <w:sz w:val="20"/>
                <w:szCs w:val="20"/>
                <w:lang w:eastAsia="sk-SK"/>
              </w:rPr>
              <w:t xml:space="preserve">  Obstarávanie kapitálových aktív (710)</w:t>
            </w:r>
            <w:r w:rsidRPr="007D5748">
              <w:rPr>
                <w:sz w:val="20"/>
                <w:szCs w:val="20"/>
                <w:vertAlign w:val="superscript"/>
                <w:lang w:eastAsia="sk-SK"/>
              </w:rPr>
              <w:t>2</w:t>
            </w:r>
          </w:p>
        </w:tc>
        <w:tc>
          <w:tcPr>
            <w:tcW w:w="1540" w:type="dxa"/>
            <w:tcBorders>
              <w:top w:val="nil"/>
              <w:left w:val="nil"/>
              <w:bottom w:val="single" w:sz="4" w:space="0" w:color="auto"/>
              <w:right w:val="single" w:sz="4" w:space="0" w:color="auto"/>
            </w:tcBorders>
          </w:tcPr>
          <w:p w14:paraId="49D0C055" w14:textId="30F43F43" w:rsidR="008B0AD1" w:rsidRPr="008B0AD1" w:rsidRDefault="008B0AD1" w:rsidP="008B0AD1">
            <w:pPr>
              <w:jc w:val="center"/>
              <w:rPr>
                <w:sz w:val="20"/>
                <w:szCs w:val="20"/>
                <w:lang w:eastAsia="sk-SK"/>
              </w:rPr>
            </w:pPr>
            <w:r w:rsidRPr="008B0AD1">
              <w:rPr>
                <w:sz w:val="20"/>
                <w:szCs w:val="20"/>
                <w:lang w:eastAsia="sk-SK"/>
              </w:rPr>
              <w:t>0</w:t>
            </w:r>
          </w:p>
        </w:tc>
        <w:tc>
          <w:tcPr>
            <w:tcW w:w="1540" w:type="dxa"/>
            <w:tcBorders>
              <w:top w:val="nil"/>
              <w:left w:val="nil"/>
              <w:bottom w:val="single" w:sz="4" w:space="0" w:color="auto"/>
              <w:right w:val="single" w:sz="4" w:space="0" w:color="auto"/>
            </w:tcBorders>
          </w:tcPr>
          <w:p w14:paraId="686F5F68" w14:textId="14DEDC61" w:rsidR="008B0AD1" w:rsidRPr="008B0AD1" w:rsidRDefault="008B0AD1" w:rsidP="008B0AD1">
            <w:pPr>
              <w:jc w:val="center"/>
              <w:rPr>
                <w:sz w:val="20"/>
                <w:szCs w:val="20"/>
                <w:lang w:eastAsia="sk-SK"/>
              </w:rPr>
            </w:pPr>
          </w:p>
        </w:tc>
        <w:tc>
          <w:tcPr>
            <w:tcW w:w="1540" w:type="dxa"/>
            <w:tcBorders>
              <w:top w:val="nil"/>
              <w:left w:val="nil"/>
              <w:bottom w:val="single" w:sz="4" w:space="0" w:color="auto"/>
              <w:right w:val="single" w:sz="4" w:space="0" w:color="auto"/>
            </w:tcBorders>
          </w:tcPr>
          <w:p w14:paraId="13AC1384" w14:textId="01C01259" w:rsidR="008B0AD1" w:rsidRPr="00541AAD" w:rsidRDefault="008B0AD1" w:rsidP="008B0AD1">
            <w:pPr>
              <w:jc w:val="center"/>
              <w:rPr>
                <w:sz w:val="20"/>
                <w:szCs w:val="20"/>
                <w:lang w:eastAsia="sk-SK"/>
              </w:rPr>
            </w:pPr>
            <w:r w:rsidRPr="006C144D">
              <w:rPr>
                <w:sz w:val="20"/>
                <w:szCs w:val="20"/>
                <w:lang w:eastAsia="sk-SK"/>
              </w:rPr>
              <w:t>0</w:t>
            </w:r>
          </w:p>
        </w:tc>
        <w:tc>
          <w:tcPr>
            <w:tcW w:w="1540" w:type="dxa"/>
            <w:tcBorders>
              <w:top w:val="nil"/>
              <w:left w:val="nil"/>
              <w:bottom w:val="single" w:sz="4" w:space="0" w:color="auto"/>
              <w:right w:val="single" w:sz="4" w:space="0" w:color="auto"/>
            </w:tcBorders>
          </w:tcPr>
          <w:p w14:paraId="4B7576A9" w14:textId="6DBCB45F" w:rsidR="008B0AD1" w:rsidRPr="00C41C1C" w:rsidRDefault="008B0AD1" w:rsidP="008B0AD1">
            <w:pPr>
              <w:jc w:val="center"/>
              <w:rPr>
                <w:sz w:val="20"/>
                <w:lang w:eastAsia="sk-SK"/>
              </w:rPr>
            </w:pPr>
            <w:r w:rsidRPr="00C41C1C">
              <w:rPr>
                <w:sz w:val="20"/>
                <w:lang w:eastAsia="sk-SK"/>
              </w:rPr>
              <w:t>0</w:t>
            </w:r>
          </w:p>
        </w:tc>
        <w:tc>
          <w:tcPr>
            <w:tcW w:w="2220" w:type="dxa"/>
            <w:tcBorders>
              <w:top w:val="nil"/>
              <w:left w:val="nil"/>
              <w:bottom w:val="single" w:sz="4" w:space="0" w:color="auto"/>
              <w:right w:val="single" w:sz="4" w:space="0" w:color="auto"/>
            </w:tcBorders>
            <w:noWrap/>
            <w:vAlign w:val="bottom"/>
          </w:tcPr>
          <w:p w14:paraId="745604B6" w14:textId="77777777" w:rsidR="008B0AD1" w:rsidRPr="007D5748" w:rsidRDefault="008B0AD1" w:rsidP="008B0AD1">
            <w:pPr>
              <w:rPr>
                <w:lang w:eastAsia="sk-SK"/>
              </w:rPr>
            </w:pPr>
            <w:r w:rsidRPr="007D5748">
              <w:rPr>
                <w:lang w:eastAsia="sk-SK"/>
              </w:rPr>
              <w:t> </w:t>
            </w:r>
          </w:p>
        </w:tc>
      </w:tr>
      <w:tr w:rsidR="008B0AD1" w:rsidRPr="007D5748" w14:paraId="11011CE8" w14:textId="77777777" w:rsidTr="00B51CD5">
        <w:trPr>
          <w:trHeight w:val="255"/>
        </w:trPr>
        <w:tc>
          <w:tcPr>
            <w:tcW w:w="7070" w:type="dxa"/>
            <w:tcBorders>
              <w:top w:val="nil"/>
              <w:left w:val="single" w:sz="4" w:space="0" w:color="auto"/>
              <w:bottom w:val="single" w:sz="4" w:space="0" w:color="auto"/>
              <w:right w:val="single" w:sz="4" w:space="0" w:color="auto"/>
            </w:tcBorders>
          </w:tcPr>
          <w:p w14:paraId="4784AE92" w14:textId="77777777" w:rsidR="008B0AD1" w:rsidRPr="007D5748" w:rsidRDefault="008B0AD1" w:rsidP="008B0AD1">
            <w:pPr>
              <w:rPr>
                <w:sz w:val="20"/>
                <w:szCs w:val="20"/>
                <w:lang w:eastAsia="sk-SK"/>
              </w:rPr>
            </w:pPr>
            <w:r w:rsidRPr="007D5748">
              <w:rPr>
                <w:sz w:val="20"/>
                <w:szCs w:val="20"/>
                <w:lang w:eastAsia="sk-SK"/>
              </w:rPr>
              <w:t xml:space="preserve">  Kapitálové transfery (720)</w:t>
            </w:r>
            <w:r w:rsidRPr="007D5748">
              <w:rPr>
                <w:sz w:val="20"/>
                <w:szCs w:val="20"/>
                <w:vertAlign w:val="superscript"/>
                <w:lang w:eastAsia="sk-SK"/>
              </w:rPr>
              <w:t>2</w:t>
            </w:r>
          </w:p>
        </w:tc>
        <w:tc>
          <w:tcPr>
            <w:tcW w:w="1540" w:type="dxa"/>
            <w:tcBorders>
              <w:top w:val="nil"/>
              <w:left w:val="nil"/>
              <w:bottom w:val="single" w:sz="4" w:space="0" w:color="auto"/>
              <w:right w:val="single" w:sz="4" w:space="0" w:color="auto"/>
            </w:tcBorders>
          </w:tcPr>
          <w:p w14:paraId="4829F200" w14:textId="47E687BC" w:rsidR="008B0AD1" w:rsidRPr="008B0AD1" w:rsidRDefault="00AD1466" w:rsidP="008B0AD1">
            <w:pPr>
              <w:jc w:val="center"/>
              <w:rPr>
                <w:sz w:val="20"/>
                <w:szCs w:val="20"/>
                <w:lang w:eastAsia="sk-SK"/>
              </w:rPr>
            </w:pPr>
            <w:r w:rsidRPr="00AD1466">
              <w:rPr>
                <w:sz w:val="20"/>
                <w:szCs w:val="20"/>
                <w:lang w:eastAsia="sk-SK"/>
              </w:rPr>
              <w:t>6 000 000,00</w:t>
            </w:r>
          </w:p>
        </w:tc>
        <w:tc>
          <w:tcPr>
            <w:tcW w:w="1540" w:type="dxa"/>
            <w:tcBorders>
              <w:top w:val="nil"/>
              <w:left w:val="nil"/>
              <w:bottom w:val="single" w:sz="4" w:space="0" w:color="auto"/>
              <w:right w:val="single" w:sz="4" w:space="0" w:color="auto"/>
            </w:tcBorders>
          </w:tcPr>
          <w:p w14:paraId="0C35D779" w14:textId="62185630" w:rsidR="008B0AD1" w:rsidRPr="008B0AD1" w:rsidRDefault="00AD1466" w:rsidP="00021735">
            <w:pPr>
              <w:jc w:val="center"/>
              <w:rPr>
                <w:sz w:val="20"/>
                <w:szCs w:val="20"/>
                <w:lang w:eastAsia="sk-SK"/>
              </w:rPr>
            </w:pPr>
            <w:r>
              <w:rPr>
                <w:sz w:val="20"/>
                <w:szCs w:val="20"/>
                <w:lang w:eastAsia="sk-SK"/>
              </w:rPr>
              <w:t>0</w:t>
            </w:r>
          </w:p>
        </w:tc>
        <w:tc>
          <w:tcPr>
            <w:tcW w:w="1540" w:type="dxa"/>
            <w:tcBorders>
              <w:top w:val="nil"/>
              <w:left w:val="nil"/>
              <w:bottom w:val="single" w:sz="4" w:space="0" w:color="auto"/>
              <w:right w:val="single" w:sz="4" w:space="0" w:color="auto"/>
            </w:tcBorders>
          </w:tcPr>
          <w:p w14:paraId="0897FEE6" w14:textId="408C9A7A" w:rsidR="008B0AD1" w:rsidRPr="00541AAD" w:rsidRDefault="008B0AD1" w:rsidP="008B0AD1">
            <w:pPr>
              <w:jc w:val="center"/>
              <w:rPr>
                <w:sz w:val="20"/>
                <w:szCs w:val="20"/>
                <w:lang w:eastAsia="sk-SK"/>
              </w:rPr>
            </w:pPr>
            <w:r w:rsidRPr="006C144D">
              <w:rPr>
                <w:sz w:val="20"/>
                <w:szCs w:val="20"/>
                <w:lang w:eastAsia="sk-SK"/>
              </w:rPr>
              <w:t>0</w:t>
            </w:r>
          </w:p>
        </w:tc>
        <w:tc>
          <w:tcPr>
            <w:tcW w:w="1540" w:type="dxa"/>
            <w:tcBorders>
              <w:top w:val="nil"/>
              <w:left w:val="nil"/>
              <w:bottom w:val="single" w:sz="4" w:space="0" w:color="auto"/>
              <w:right w:val="single" w:sz="4" w:space="0" w:color="auto"/>
            </w:tcBorders>
          </w:tcPr>
          <w:p w14:paraId="4A1A6B09" w14:textId="7B609A44" w:rsidR="008B0AD1" w:rsidRPr="00C41C1C" w:rsidRDefault="008B0AD1" w:rsidP="008B0AD1">
            <w:pPr>
              <w:jc w:val="center"/>
              <w:rPr>
                <w:sz w:val="20"/>
                <w:lang w:eastAsia="sk-SK"/>
              </w:rPr>
            </w:pPr>
            <w:r w:rsidRPr="00C41C1C">
              <w:rPr>
                <w:sz w:val="20"/>
                <w:lang w:eastAsia="sk-SK"/>
              </w:rPr>
              <w:t>0</w:t>
            </w:r>
          </w:p>
        </w:tc>
        <w:tc>
          <w:tcPr>
            <w:tcW w:w="2220" w:type="dxa"/>
            <w:tcBorders>
              <w:top w:val="nil"/>
              <w:left w:val="nil"/>
              <w:bottom w:val="single" w:sz="4" w:space="0" w:color="auto"/>
              <w:right w:val="single" w:sz="4" w:space="0" w:color="auto"/>
            </w:tcBorders>
            <w:noWrap/>
            <w:vAlign w:val="bottom"/>
          </w:tcPr>
          <w:p w14:paraId="72891BEC" w14:textId="77777777" w:rsidR="008B0AD1" w:rsidRPr="007D5748" w:rsidRDefault="008B0AD1" w:rsidP="008B0AD1">
            <w:pPr>
              <w:rPr>
                <w:lang w:eastAsia="sk-SK"/>
              </w:rPr>
            </w:pPr>
            <w:r w:rsidRPr="007D5748">
              <w:rPr>
                <w:lang w:eastAsia="sk-SK"/>
              </w:rPr>
              <w:t> </w:t>
            </w:r>
          </w:p>
        </w:tc>
      </w:tr>
      <w:tr w:rsidR="008B0AD1" w:rsidRPr="007D5748" w14:paraId="3FE11FB4" w14:textId="77777777" w:rsidTr="00B51CD5">
        <w:trPr>
          <w:trHeight w:val="255"/>
        </w:trPr>
        <w:tc>
          <w:tcPr>
            <w:tcW w:w="7070" w:type="dxa"/>
            <w:tcBorders>
              <w:top w:val="nil"/>
              <w:left w:val="single" w:sz="4" w:space="0" w:color="auto"/>
              <w:bottom w:val="single" w:sz="4" w:space="0" w:color="auto"/>
              <w:right w:val="single" w:sz="4" w:space="0" w:color="auto"/>
            </w:tcBorders>
          </w:tcPr>
          <w:p w14:paraId="72BEA09B" w14:textId="77777777" w:rsidR="008B0AD1" w:rsidRPr="007D5748" w:rsidRDefault="008B0AD1" w:rsidP="008B0AD1">
            <w:pPr>
              <w:rPr>
                <w:b/>
                <w:bCs/>
                <w:sz w:val="20"/>
                <w:szCs w:val="20"/>
                <w:lang w:eastAsia="sk-SK"/>
              </w:rPr>
            </w:pPr>
            <w:r w:rsidRPr="007D5748">
              <w:rPr>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16246095" w14:textId="196B7992" w:rsidR="008B0AD1" w:rsidRPr="008B0AD1" w:rsidRDefault="008B0AD1" w:rsidP="008B0AD1">
            <w:pPr>
              <w:jc w:val="center"/>
              <w:rPr>
                <w:bCs/>
                <w:sz w:val="20"/>
                <w:szCs w:val="20"/>
                <w:lang w:eastAsia="sk-SK"/>
              </w:rPr>
            </w:pPr>
            <w:r w:rsidRPr="008B0AD1">
              <w:rPr>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14:paraId="0C99FACA" w14:textId="3CE18AE0" w:rsidR="008B0AD1" w:rsidRPr="008B0AD1" w:rsidRDefault="005D1949" w:rsidP="008B0AD1">
            <w:pPr>
              <w:jc w:val="center"/>
              <w:rPr>
                <w:bCs/>
                <w:sz w:val="20"/>
                <w:szCs w:val="20"/>
                <w:lang w:eastAsia="sk-SK"/>
              </w:rPr>
            </w:pPr>
            <w:r>
              <w:rPr>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14:paraId="0A36D5E0" w14:textId="6D0F125C" w:rsidR="008B0AD1" w:rsidRPr="00C41C1C" w:rsidRDefault="008B0AD1" w:rsidP="008B0AD1">
            <w:pPr>
              <w:jc w:val="center"/>
              <w:rPr>
                <w:bCs/>
                <w:sz w:val="20"/>
                <w:szCs w:val="20"/>
                <w:lang w:eastAsia="sk-SK"/>
              </w:rPr>
            </w:pPr>
            <w:r w:rsidRPr="00C41C1C">
              <w:rPr>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14:paraId="74B7B894" w14:textId="440B2959" w:rsidR="008B0AD1" w:rsidRPr="00C41C1C" w:rsidRDefault="008B0AD1" w:rsidP="008B0AD1">
            <w:pPr>
              <w:jc w:val="center"/>
              <w:rPr>
                <w:bCs/>
                <w:sz w:val="20"/>
                <w:lang w:eastAsia="sk-SK"/>
              </w:rPr>
            </w:pPr>
            <w:r w:rsidRPr="00C41C1C">
              <w:rPr>
                <w:bCs/>
                <w:sz w:val="20"/>
                <w:lang w:eastAsia="sk-SK"/>
              </w:rPr>
              <w:t>0</w:t>
            </w:r>
          </w:p>
        </w:tc>
        <w:tc>
          <w:tcPr>
            <w:tcW w:w="2220" w:type="dxa"/>
            <w:tcBorders>
              <w:top w:val="nil"/>
              <w:left w:val="nil"/>
              <w:bottom w:val="single" w:sz="4" w:space="0" w:color="auto"/>
              <w:right w:val="single" w:sz="4" w:space="0" w:color="auto"/>
            </w:tcBorders>
            <w:noWrap/>
            <w:vAlign w:val="bottom"/>
          </w:tcPr>
          <w:p w14:paraId="47310D89" w14:textId="77777777" w:rsidR="008B0AD1" w:rsidRPr="007D5748" w:rsidRDefault="008B0AD1" w:rsidP="008B0AD1">
            <w:pPr>
              <w:rPr>
                <w:lang w:eastAsia="sk-SK"/>
              </w:rPr>
            </w:pPr>
            <w:r w:rsidRPr="007D5748">
              <w:rPr>
                <w:lang w:eastAsia="sk-SK"/>
              </w:rPr>
              <w:t> </w:t>
            </w:r>
          </w:p>
        </w:tc>
      </w:tr>
      <w:tr w:rsidR="008B0AD1" w:rsidRPr="007D5748" w14:paraId="48C76EF9" w14:textId="77777777" w:rsidTr="008B0AD1">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8A1B8D" w14:textId="77777777" w:rsidR="008B0AD1" w:rsidRPr="007D5748" w:rsidRDefault="008B0AD1" w:rsidP="008B0AD1">
            <w:pPr>
              <w:rPr>
                <w:b/>
                <w:bCs/>
                <w:sz w:val="20"/>
                <w:szCs w:val="20"/>
                <w:lang w:eastAsia="sk-SK"/>
              </w:rPr>
            </w:pPr>
            <w:r w:rsidRPr="007D5748">
              <w:rPr>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cPr>
          <w:p w14:paraId="5F4FBDEC" w14:textId="585D49CC" w:rsidR="008B0AD1" w:rsidRPr="008B0AD1" w:rsidRDefault="00AD1466" w:rsidP="008B0AD1">
            <w:pPr>
              <w:jc w:val="center"/>
              <w:rPr>
                <w:bCs/>
                <w:sz w:val="20"/>
                <w:szCs w:val="20"/>
                <w:lang w:eastAsia="sk-SK"/>
              </w:rPr>
            </w:pPr>
            <w:r w:rsidRPr="00AD1466">
              <w:rPr>
                <w:bCs/>
                <w:sz w:val="20"/>
                <w:szCs w:val="20"/>
                <w:lang w:eastAsia="sk-SK"/>
              </w:rPr>
              <w:t>6 000 000,00</w:t>
            </w:r>
          </w:p>
        </w:tc>
        <w:tc>
          <w:tcPr>
            <w:tcW w:w="1540" w:type="dxa"/>
            <w:tcBorders>
              <w:top w:val="single" w:sz="4" w:space="0" w:color="auto"/>
              <w:left w:val="nil"/>
              <w:bottom w:val="single" w:sz="4" w:space="0" w:color="auto"/>
              <w:right w:val="single" w:sz="4" w:space="0" w:color="auto"/>
            </w:tcBorders>
            <w:shd w:val="clear" w:color="auto" w:fill="BFBFBF"/>
          </w:tcPr>
          <w:p w14:paraId="1135EE70" w14:textId="15413070" w:rsidR="008B0AD1" w:rsidRPr="008B0AD1" w:rsidRDefault="00AD1466" w:rsidP="00021735">
            <w:pPr>
              <w:jc w:val="center"/>
              <w:rPr>
                <w:bCs/>
                <w:sz w:val="20"/>
                <w:szCs w:val="20"/>
                <w:lang w:eastAsia="sk-SK"/>
              </w:rPr>
            </w:pPr>
            <w:r>
              <w:rPr>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5D090126" w14:textId="764054AC" w:rsidR="008B0AD1" w:rsidRPr="007D5748" w:rsidRDefault="008B0AD1" w:rsidP="008B0AD1">
            <w:pPr>
              <w:jc w:val="center"/>
              <w:rPr>
                <w:b/>
                <w:bCs/>
                <w:sz w:val="20"/>
                <w:szCs w:val="20"/>
                <w:lang w:eastAsia="sk-SK"/>
              </w:rPr>
            </w:pPr>
            <w:r>
              <w:rPr>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3D7DED11" w14:textId="7B3E24E7" w:rsidR="008B0AD1" w:rsidRPr="007D5748" w:rsidRDefault="008B0AD1" w:rsidP="008B0AD1">
            <w:pPr>
              <w:jc w:val="center"/>
              <w:rPr>
                <w:b/>
                <w:bCs/>
                <w:lang w:eastAsia="sk-SK"/>
              </w:rPr>
            </w:pPr>
            <w:r w:rsidRPr="00C41C1C">
              <w:rPr>
                <w:b/>
                <w:bCs/>
                <w:sz w:val="20"/>
                <w:lang w:eastAsia="sk-SK"/>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2FC6BFC" w14:textId="77777777" w:rsidR="008B0AD1" w:rsidRPr="007D5748" w:rsidRDefault="008B0AD1" w:rsidP="008B0AD1">
            <w:pPr>
              <w:rPr>
                <w:lang w:eastAsia="sk-SK"/>
              </w:rPr>
            </w:pPr>
            <w:r w:rsidRPr="007D5748">
              <w:rPr>
                <w:lang w:eastAsia="sk-SK"/>
              </w:rPr>
              <w:t> </w:t>
            </w:r>
          </w:p>
        </w:tc>
      </w:tr>
    </w:tbl>
    <w:p w14:paraId="7C710B84" w14:textId="77777777" w:rsidR="00AA4CFC" w:rsidRDefault="00AA4CFC" w:rsidP="00AA4CFC">
      <w:pPr>
        <w:tabs>
          <w:tab w:val="num" w:pos="1080"/>
        </w:tabs>
        <w:ind w:left="-900"/>
        <w:jc w:val="both"/>
        <w:rPr>
          <w:bCs/>
          <w:sz w:val="20"/>
          <w:szCs w:val="20"/>
          <w:lang w:eastAsia="sk-SK"/>
        </w:rPr>
      </w:pPr>
    </w:p>
    <w:p w14:paraId="25F92ACA" w14:textId="77777777" w:rsidR="00AA4CFC" w:rsidRPr="007D5748" w:rsidRDefault="00AA4CFC" w:rsidP="00AA4CFC">
      <w:pPr>
        <w:tabs>
          <w:tab w:val="num" w:pos="1080"/>
        </w:tabs>
        <w:ind w:left="-900"/>
        <w:jc w:val="both"/>
        <w:rPr>
          <w:bCs/>
          <w:sz w:val="20"/>
          <w:szCs w:val="20"/>
          <w:lang w:eastAsia="sk-SK"/>
        </w:rPr>
      </w:pPr>
      <w:r w:rsidRPr="007D5748">
        <w:rPr>
          <w:bCs/>
          <w:sz w:val="20"/>
          <w:szCs w:val="20"/>
          <w:lang w:eastAsia="sk-SK"/>
        </w:rPr>
        <w:t>2 –  výdavky rozpísať až do položiek platnej ekonomickej klasifikácie</w:t>
      </w:r>
    </w:p>
    <w:p w14:paraId="62EB432C" w14:textId="77777777" w:rsidR="00AA4CFC" w:rsidRPr="007D5748" w:rsidRDefault="00AA4CFC" w:rsidP="00AA4CFC">
      <w:pPr>
        <w:tabs>
          <w:tab w:val="num" w:pos="1080"/>
        </w:tabs>
        <w:ind w:left="-900"/>
        <w:jc w:val="both"/>
        <w:rPr>
          <w:bCs/>
          <w:szCs w:val="20"/>
          <w:lang w:eastAsia="sk-SK"/>
        </w:rPr>
      </w:pPr>
    </w:p>
    <w:p w14:paraId="767CED3C" w14:textId="77777777" w:rsidR="00AA4CFC" w:rsidRPr="007D5748" w:rsidRDefault="00AA4CFC" w:rsidP="00AA4CFC">
      <w:pPr>
        <w:tabs>
          <w:tab w:val="num" w:pos="1080"/>
        </w:tabs>
        <w:ind w:left="-900"/>
        <w:jc w:val="both"/>
        <w:rPr>
          <w:b/>
          <w:bCs/>
          <w:sz w:val="20"/>
          <w:szCs w:val="20"/>
          <w:lang w:eastAsia="sk-SK"/>
        </w:rPr>
      </w:pPr>
      <w:r w:rsidRPr="007D5748">
        <w:rPr>
          <w:b/>
          <w:bCs/>
          <w:szCs w:val="20"/>
          <w:lang w:eastAsia="sk-SK"/>
        </w:rPr>
        <w:t>Poznámka:</w:t>
      </w:r>
    </w:p>
    <w:p w14:paraId="31A61979" w14:textId="77777777" w:rsidR="00AA4CFC" w:rsidRPr="007D5748" w:rsidRDefault="00AA4CFC" w:rsidP="00AA4CFC">
      <w:pPr>
        <w:tabs>
          <w:tab w:val="num" w:pos="1080"/>
        </w:tabs>
        <w:ind w:left="-900"/>
        <w:jc w:val="both"/>
        <w:rPr>
          <w:bCs/>
          <w:sz w:val="20"/>
          <w:szCs w:val="20"/>
          <w:lang w:eastAsia="sk-SK"/>
        </w:rPr>
      </w:pPr>
      <w:r w:rsidRPr="007D5748">
        <w:rPr>
          <w:bCs/>
          <w:szCs w:val="20"/>
          <w:lang w:eastAsia="sk-SK"/>
        </w:rPr>
        <w:t>Ak sa vplyv týka viacerých subjektov verejnej správy, vypĺňa sa samostatná tabuľka za každý subjekt.</w:t>
      </w:r>
    </w:p>
    <w:p w14:paraId="4C2C0867" w14:textId="77777777" w:rsidR="00AA4CFC" w:rsidRPr="007D5748" w:rsidRDefault="00AA4CFC" w:rsidP="00AA4CFC">
      <w:pPr>
        <w:tabs>
          <w:tab w:val="num" w:pos="1080"/>
        </w:tabs>
        <w:ind w:left="-900"/>
        <w:jc w:val="both"/>
        <w:rPr>
          <w:bCs/>
          <w:sz w:val="20"/>
          <w:szCs w:val="20"/>
          <w:lang w:eastAsia="sk-SK"/>
        </w:rPr>
      </w:pPr>
    </w:p>
    <w:p w14:paraId="504B4244" w14:textId="77777777" w:rsidR="00AA4CFC" w:rsidRPr="007D5748" w:rsidRDefault="00AA4CFC" w:rsidP="00AA4CFC">
      <w:pPr>
        <w:tabs>
          <w:tab w:val="num" w:pos="1080"/>
        </w:tabs>
        <w:ind w:left="-900"/>
        <w:jc w:val="both"/>
        <w:rPr>
          <w:bCs/>
          <w:sz w:val="20"/>
          <w:szCs w:val="20"/>
          <w:lang w:eastAsia="sk-SK"/>
        </w:rPr>
      </w:pPr>
    </w:p>
    <w:p w14:paraId="723A054A" w14:textId="77777777" w:rsidR="00AA4CFC" w:rsidRPr="007D5748" w:rsidRDefault="00AA4CFC" w:rsidP="00AA4CFC">
      <w:pPr>
        <w:tabs>
          <w:tab w:val="num" w:pos="1080"/>
        </w:tabs>
        <w:ind w:left="-900"/>
        <w:jc w:val="both"/>
        <w:rPr>
          <w:bCs/>
          <w:sz w:val="20"/>
          <w:szCs w:val="20"/>
          <w:lang w:eastAsia="sk-SK"/>
        </w:rPr>
      </w:pPr>
    </w:p>
    <w:p w14:paraId="36E9D8E0" w14:textId="77777777" w:rsidR="00AA4CFC" w:rsidRPr="007D5748" w:rsidRDefault="00AA4CFC" w:rsidP="00AA4CFC">
      <w:pPr>
        <w:tabs>
          <w:tab w:val="num" w:pos="1080"/>
        </w:tabs>
        <w:ind w:left="-900"/>
        <w:jc w:val="both"/>
        <w:rPr>
          <w:bCs/>
          <w:sz w:val="20"/>
          <w:szCs w:val="20"/>
          <w:lang w:eastAsia="sk-SK"/>
        </w:rPr>
      </w:pPr>
    </w:p>
    <w:p w14:paraId="4431DFEB" w14:textId="77777777" w:rsidR="00AA4CFC" w:rsidRPr="007D5748" w:rsidRDefault="00AA4CFC" w:rsidP="00AA4CFC">
      <w:pPr>
        <w:tabs>
          <w:tab w:val="num" w:pos="1080"/>
        </w:tabs>
        <w:ind w:left="-900"/>
        <w:jc w:val="both"/>
        <w:rPr>
          <w:bCs/>
          <w:sz w:val="20"/>
          <w:szCs w:val="20"/>
          <w:lang w:eastAsia="sk-SK"/>
        </w:rPr>
      </w:pPr>
    </w:p>
    <w:p w14:paraId="48680C58" w14:textId="77777777" w:rsidR="00AA4CFC" w:rsidRPr="007D5748" w:rsidRDefault="00AA4CFC" w:rsidP="00AA4CFC">
      <w:pPr>
        <w:tabs>
          <w:tab w:val="num" w:pos="1080"/>
        </w:tabs>
        <w:ind w:left="-900"/>
        <w:jc w:val="both"/>
        <w:rPr>
          <w:bCs/>
          <w:sz w:val="20"/>
          <w:szCs w:val="20"/>
          <w:lang w:eastAsia="sk-SK"/>
        </w:rPr>
      </w:pPr>
    </w:p>
    <w:p w14:paraId="5AAE5ADE" w14:textId="77777777" w:rsidR="00AA4CFC" w:rsidRPr="007D5748" w:rsidRDefault="00AA4CFC" w:rsidP="00AA4CFC">
      <w:pPr>
        <w:tabs>
          <w:tab w:val="num" w:pos="1080"/>
        </w:tabs>
        <w:ind w:left="-900"/>
        <w:jc w:val="both"/>
        <w:rPr>
          <w:bCs/>
          <w:sz w:val="20"/>
          <w:szCs w:val="20"/>
          <w:lang w:eastAsia="sk-SK"/>
        </w:rPr>
      </w:pPr>
    </w:p>
    <w:p w14:paraId="6DE0DAC0" w14:textId="77777777" w:rsidR="00AA4CFC" w:rsidRPr="007D5748" w:rsidRDefault="00AA4CFC" w:rsidP="00AA4CFC">
      <w:pPr>
        <w:tabs>
          <w:tab w:val="num" w:pos="1080"/>
        </w:tabs>
        <w:ind w:left="-900"/>
        <w:jc w:val="both"/>
        <w:rPr>
          <w:bCs/>
          <w:sz w:val="20"/>
          <w:szCs w:val="20"/>
          <w:lang w:eastAsia="sk-SK"/>
        </w:rPr>
      </w:pPr>
    </w:p>
    <w:p w14:paraId="6634EB5D" w14:textId="77777777" w:rsidR="00AA4CFC" w:rsidRPr="007D5748" w:rsidRDefault="00AA4CFC" w:rsidP="00AA4CFC">
      <w:pPr>
        <w:tabs>
          <w:tab w:val="num" w:pos="1080"/>
        </w:tabs>
        <w:ind w:left="-900"/>
        <w:jc w:val="both"/>
        <w:rPr>
          <w:bCs/>
          <w:sz w:val="20"/>
          <w:szCs w:val="20"/>
          <w:lang w:eastAsia="sk-SK"/>
        </w:rPr>
      </w:pPr>
    </w:p>
    <w:p w14:paraId="1736331E" w14:textId="77777777" w:rsidR="00AA4CFC" w:rsidRDefault="00AA4CFC" w:rsidP="00AA4CFC">
      <w:pPr>
        <w:tabs>
          <w:tab w:val="num" w:pos="1080"/>
        </w:tabs>
        <w:ind w:left="-900"/>
        <w:jc w:val="both"/>
        <w:rPr>
          <w:bCs/>
          <w:sz w:val="20"/>
          <w:szCs w:val="20"/>
          <w:lang w:eastAsia="sk-SK"/>
        </w:rPr>
      </w:pPr>
    </w:p>
    <w:p w14:paraId="1553C1B2" w14:textId="77777777" w:rsidR="00AA4CFC" w:rsidRDefault="00AA4CFC" w:rsidP="00AA4CFC">
      <w:pPr>
        <w:tabs>
          <w:tab w:val="num" w:pos="1080"/>
        </w:tabs>
        <w:ind w:left="-900"/>
        <w:jc w:val="both"/>
        <w:rPr>
          <w:bCs/>
          <w:sz w:val="20"/>
          <w:szCs w:val="20"/>
          <w:lang w:eastAsia="sk-SK"/>
        </w:rPr>
      </w:pPr>
    </w:p>
    <w:p w14:paraId="493A7B31" w14:textId="77777777" w:rsidR="00AA4CFC" w:rsidRDefault="00AA4CFC" w:rsidP="00AA4CFC">
      <w:pPr>
        <w:tabs>
          <w:tab w:val="num" w:pos="1080"/>
        </w:tabs>
        <w:ind w:left="-900"/>
        <w:jc w:val="both"/>
        <w:rPr>
          <w:bCs/>
          <w:sz w:val="20"/>
          <w:szCs w:val="20"/>
          <w:lang w:eastAsia="sk-SK"/>
        </w:rPr>
      </w:pPr>
    </w:p>
    <w:p w14:paraId="6394E31C" w14:textId="77777777" w:rsidR="00AA4CFC" w:rsidRPr="007D5748" w:rsidRDefault="00AA4CFC" w:rsidP="00AA4CFC">
      <w:pPr>
        <w:tabs>
          <w:tab w:val="num" w:pos="1080"/>
        </w:tabs>
        <w:ind w:left="-900"/>
        <w:jc w:val="both"/>
        <w:rPr>
          <w:bCs/>
          <w:sz w:val="20"/>
          <w:szCs w:val="20"/>
          <w:lang w:eastAsia="sk-SK"/>
        </w:rPr>
      </w:pPr>
    </w:p>
    <w:p w14:paraId="747D73D6" w14:textId="77777777" w:rsidR="00AA4CFC" w:rsidRPr="007D5748" w:rsidRDefault="00AA4CFC" w:rsidP="00AA4CFC">
      <w:pPr>
        <w:tabs>
          <w:tab w:val="num" w:pos="1080"/>
        </w:tabs>
        <w:jc w:val="right"/>
        <w:rPr>
          <w:bCs/>
          <w:lang w:eastAsia="sk-SK"/>
        </w:rPr>
      </w:pPr>
      <w:r w:rsidRPr="007D5748">
        <w:rPr>
          <w:bCs/>
          <w:lang w:eastAsia="sk-SK"/>
        </w:rPr>
        <w:lastRenderedPageBreak/>
        <w:t xml:space="preserve">                 Tabuľka č</w:t>
      </w:r>
      <w:bookmarkStart w:id="1" w:name="_GoBack"/>
      <w:bookmarkEnd w:id="1"/>
      <w:r w:rsidRPr="007D5748">
        <w:rPr>
          <w:bCs/>
          <w:lang w:eastAsia="sk-SK"/>
        </w:rPr>
        <w:t xml:space="preserve">. 5 </w:t>
      </w:r>
    </w:p>
    <w:p w14:paraId="0BD1DC9F" w14:textId="77777777" w:rsidR="00AA4CFC" w:rsidRPr="007D5748" w:rsidRDefault="00AA4CFC" w:rsidP="00AA4CFC">
      <w:pPr>
        <w:tabs>
          <w:tab w:val="num" w:pos="1080"/>
        </w:tabs>
        <w:jc w:val="both"/>
        <w:rPr>
          <w:bCs/>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AA4CFC" w:rsidRPr="007D5748" w14:paraId="40F90359" w14:textId="77777777" w:rsidTr="00B51CD5">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096741" w14:textId="77777777" w:rsidR="00AA4CFC" w:rsidRPr="007D5748" w:rsidRDefault="00AA4CFC" w:rsidP="00B51CD5">
            <w:pPr>
              <w:jc w:val="center"/>
              <w:rPr>
                <w:b/>
                <w:bCs/>
                <w:lang w:eastAsia="sk-SK"/>
              </w:rPr>
            </w:pPr>
            <w:r w:rsidRPr="007D5748">
              <w:rPr>
                <w:b/>
                <w:bCs/>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3CCAD186" w14:textId="77777777" w:rsidR="00AA4CFC" w:rsidRPr="007D5748" w:rsidRDefault="00AA4CFC" w:rsidP="00B51CD5">
            <w:pPr>
              <w:jc w:val="center"/>
              <w:rPr>
                <w:b/>
                <w:bCs/>
                <w:lang w:eastAsia="sk-SK"/>
              </w:rPr>
            </w:pPr>
            <w:r w:rsidRPr="007D5748">
              <w:rPr>
                <w:b/>
                <w:bCs/>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BD4E243" w14:textId="77777777" w:rsidR="00AA4CFC" w:rsidRPr="007D5748" w:rsidRDefault="00AA4CFC" w:rsidP="00B51CD5">
            <w:pPr>
              <w:jc w:val="center"/>
              <w:rPr>
                <w:b/>
                <w:bCs/>
                <w:lang w:eastAsia="sk-SK"/>
              </w:rPr>
            </w:pPr>
            <w:r w:rsidRPr="007D5748">
              <w:rPr>
                <w:b/>
                <w:bCs/>
                <w:lang w:eastAsia="sk-SK"/>
              </w:rPr>
              <w:t>poznámka</w:t>
            </w:r>
          </w:p>
        </w:tc>
      </w:tr>
      <w:tr w:rsidR="00AA4CFC" w:rsidRPr="007D5748" w14:paraId="38532514" w14:textId="77777777" w:rsidTr="00B51CD5">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025376" w14:textId="77777777" w:rsidR="00AA4CFC" w:rsidRPr="007D5748" w:rsidRDefault="00AA4CFC" w:rsidP="00B51CD5">
            <w:pPr>
              <w:rPr>
                <w:b/>
                <w:bCs/>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14:paraId="70489F72" w14:textId="763FF3E2" w:rsidR="00AA4CFC" w:rsidRPr="007D5748" w:rsidRDefault="00AA4CFC" w:rsidP="00AD1466">
            <w:pPr>
              <w:jc w:val="center"/>
              <w:rPr>
                <w:b/>
                <w:bCs/>
                <w:lang w:eastAsia="sk-SK"/>
              </w:rPr>
            </w:pPr>
            <w:r>
              <w:rPr>
                <w:b/>
                <w:bCs/>
                <w:lang w:eastAsia="sk-SK"/>
              </w:rPr>
              <w:t>201</w:t>
            </w:r>
            <w:r w:rsidR="00AD1466">
              <w:rPr>
                <w:b/>
                <w:bCs/>
                <w:lang w:eastAsia="sk-SK"/>
              </w:rPr>
              <w:t>9</w:t>
            </w:r>
          </w:p>
        </w:tc>
        <w:tc>
          <w:tcPr>
            <w:tcW w:w="1788" w:type="dxa"/>
            <w:tcBorders>
              <w:top w:val="nil"/>
              <w:left w:val="nil"/>
              <w:bottom w:val="single" w:sz="4" w:space="0" w:color="auto"/>
              <w:right w:val="single" w:sz="4" w:space="0" w:color="auto"/>
            </w:tcBorders>
            <w:shd w:val="clear" w:color="auto" w:fill="BFBFBF" w:themeFill="background1" w:themeFillShade="BF"/>
          </w:tcPr>
          <w:p w14:paraId="2D19C07E" w14:textId="4A87EBDE" w:rsidR="00AA4CFC" w:rsidRPr="007D5748" w:rsidRDefault="00AA4CFC" w:rsidP="00AD1466">
            <w:pPr>
              <w:jc w:val="center"/>
              <w:rPr>
                <w:b/>
                <w:bCs/>
                <w:lang w:eastAsia="sk-SK"/>
              </w:rPr>
            </w:pPr>
            <w:r>
              <w:rPr>
                <w:b/>
                <w:bCs/>
                <w:lang w:eastAsia="sk-SK"/>
              </w:rPr>
              <w:t>20</w:t>
            </w:r>
            <w:r w:rsidR="00AD1466">
              <w:rPr>
                <w:b/>
                <w:bCs/>
                <w:lang w:eastAsia="sk-SK"/>
              </w:rPr>
              <w:t>20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4FFA60CA" w14:textId="05B05468" w:rsidR="00AA4CFC" w:rsidRPr="007D5748" w:rsidRDefault="00AA4CFC" w:rsidP="00AD1466">
            <w:pPr>
              <w:jc w:val="center"/>
              <w:rPr>
                <w:b/>
                <w:bCs/>
                <w:lang w:eastAsia="sk-SK"/>
              </w:rPr>
            </w:pPr>
            <w:r>
              <w:rPr>
                <w:b/>
                <w:bCs/>
                <w:lang w:eastAsia="sk-SK"/>
              </w:rPr>
              <w:t>202</w:t>
            </w:r>
            <w:r w:rsidR="00AD1466">
              <w:rPr>
                <w:b/>
                <w:bCs/>
                <w:lang w:eastAsia="sk-SK"/>
              </w:rPr>
              <w:t>1</w:t>
            </w:r>
          </w:p>
        </w:tc>
        <w:tc>
          <w:tcPr>
            <w:tcW w:w="1722" w:type="dxa"/>
            <w:tcBorders>
              <w:top w:val="nil"/>
              <w:left w:val="nil"/>
              <w:bottom w:val="single" w:sz="4" w:space="0" w:color="auto"/>
              <w:right w:val="single" w:sz="4" w:space="0" w:color="auto"/>
            </w:tcBorders>
            <w:shd w:val="clear" w:color="auto" w:fill="BFBFBF" w:themeFill="background1" w:themeFillShade="BF"/>
          </w:tcPr>
          <w:p w14:paraId="535FF601" w14:textId="765069AD" w:rsidR="00AA4CFC" w:rsidRPr="007D5748" w:rsidRDefault="00AA4CFC" w:rsidP="00AD1466">
            <w:pPr>
              <w:jc w:val="center"/>
              <w:rPr>
                <w:b/>
                <w:bCs/>
                <w:lang w:eastAsia="sk-SK"/>
              </w:rPr>
            </w:pPr>
            <w:r>
              <w:rPr>
                <w:b/>
                <w:bCs/>
                <w:lang w:eastAsia="sk-SK"/>
              </w:rPr>
              <w:t>202</w:t>
            </w:r>
            <w:r w:rsidR="00AD1466">
              <w:rPr>
                <w:b/>
                <w:bCs/>
                <w:lang w:eastAsia="sk-SK"/>
              </w:rPr>
              <w:t>2</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6D6F4A" w14:textId="77777777" w:rsidR="00AA4CFC" w:rsidRPr="007D5748" w:rsidRDefault="00AA4CFC" w:rsidP="00B51CD5">
            <w:pPr>
              <w:rPr>
                <w:b/>
                <w:bCs/>
                <w:color w:val="FFFFFF"/>
                <w:lang w:eastAsia="sk-SK"/>
              </w:rPr>
            </w:pPr>
          </w:p>
        </w:tc>
      </w:tr>
      <w:tr w:rsidR="00AA4CFC" w:rsidRPr="007D5748" w14:paraId="3F6BDD4F" w14:textId="77777777" w:rsidTr="00B51CD5">
        <w:trPr>
          <w:trHeight w:val="255"/>
        </w:trPr>
        <w:tc>
          <w:tcPr>
            <w:tcW w:w="6188" w:type="dxa"/>
            <w:tcBorders>
              <w:top w:val="nil"/>
              <w:left w:val="single" w:sz="4" w:space="0" w:color="auto"/>
              <w:bottom w:val="single" w:sz="4" w:space="0" w:color="auto"/>
              <w:right w:val="single" w:sz="4" w:space="0" w:color="auto"/>
            </w:tcBorders>
          </w:tcPr>
          <w:p w14:paraId="68C236C5" w14:textId="77777777" w:rsidR="00AA4CFC" w:rsidRPr="007D5748" w:rsidRDefault="00AA4CFC" w:rsidP="00B51CD5">
            <w:pPr>
              <w:rPr>
                <w:b/>
                <w:bCs/>
                <w:lang w:eastAsia="sk-SK"/>
              </w:rPr>
            </w:pPr>
            <w:r w:rsidRPr="007D5748">
              <w:rPr>
                <w:b/>
                <w:bCs/>
                <w:lang w:eastAsia="sk-SK"/>
              </w:rPr>
              <w:t>Počet zamestnancov celkom</w:t>
            </w:r>
          </w:p>
        </w:tc>
        <w:tc>
          <w:tcPr>
            <w:tcW w:w="1698" w:type="dxa"/>
            <w:tcBorders>
              <w:top w:val="nil"/>
              <w:left w:val="nil"/>
              <w:bottom w:val="single" w:sz="4" w:space="0" w:color="auto"/>
              <w:right w:val="single" w:sz="4" w:space="0" w:color="auto"/>
            </w:tcBorders>
          </w:tcPr>
          <w:p w14:paraId="7DBC20D8" w14:textId="61040934" w:rsidR="00AA4CFC" w:rsidRPr="00C41C1C" w:rsidRDefault="00541AAD" w:rsidP="00B51CD5">
            <w:pPr>
              <w:jc w:val="center"/>
              <w:rPr>
                <w:bCs/>
                <w:lang w:eastAsia="sk-SK"/>
              </w:rPr>
            </w:pPr>
            <w:r w:rsidRPr="00C41C1C">
              <w:rPr>
                <w:bCs/>
                <w:lang w:eastAsia="sk-SK"/>
              </w:rPr>
              <w:t>0</w:t>
            </w:r>
          </w:p>
        </w:tc>
        <w:tc>
          <w:tcPr>
            <w:tcW w:w="1788" w:type="dxa"/>
            <w:tcBorders>
              <w:top w:val="nil"/>
              <w:left w:val="nil"/>
              <w:bottom w:val="single" w:sz="4" w:space="0" w:color="auto"/>
              <w:right w:val="single" w:sz="4" w:space="0" w:color="auto"/>
            </w:tcBorders>
          </w:tcPr>
          <w:p w14:paraId="3544F348" w14:textId="72E1F0EC" w:rsidR="00AA4CFC" w:rsidRPr="00C41C1C" w:rsidRDefault="00541AAD" w:rsidP="00B51CD5">
            <w:pPr>
              <w:jc w:val="center"/>
              <w:rPr>
                <w:bCs/>
                <w:lang w:eastAsia="sk-SK"/>
              </w:rPr>
            </w:pPr>
            <w:r w:rsidRPr="00C41C1C">
              <w:rPr>
                <w:bCs/>
                <w:lang w:eastAsia="sk-SK"/>
              </w:rPr>
              <w:t>0</w:t>
            </w:r>
          </w:p>
        </w:tc>
        <w:tc>
          <w:tcPr>
            <w:tcW w:w="2418" w:type="dxa"/>
            <w:gridSpan w:val="2"/>
            <w:tcBorders>
              <w:top w:val="nil"/>
              <w:left w:val="nil"/>
              <w:bottom w:val="single" w:sz="4" w:space="0" w:color="auto"/>
              <w:right w:val="single" w:sz="4" w:space="0" w:color="auto"/>
            </w:tcBorders>
          </w:tcPr>
          <w:p w14:paraId="3135F1E4" w14:textId="60E47030" w:rsidR="00AA4CFC" w:rsidRPr="00C41C1C" w:rsidRDefault="00541AAD" w:rsidP="00B51CD5">
            <w:pPr>
              <w:jc w:val="center"/>
              <w:rPr>
                <w:bCs/>
                <w:lang w:eastAsia="sk-SK"/>
              </w:rPr>
            </w:pPr>
            <w:r w:rsidRPr="00C41C1C">
              <w:rPr>
                <w:bCs/>
                <w:lang w:eastAsia="sk-SK"/>
              </w:rPr>
              <w:t>0</w:t>
            </w:r>
          </w:p>
        </w:tc>
        <w:tc>
          <w:tcPr>
            <w:tcW w:w="1722" w:type="dxa"/>
            <w:tcBorders>
              <w:top w:val="nil"/>
              <w:left w:val="nil"/>
              <w:bottom w:val="single" w:sz="4" w:space="0" w:color="auto"/>
              <w:right w:val="single" w:sz="4" w:space="0" w:color="auto"/>
            </w:tcBorders>
          </w:tcPr>
          <w:p w14:paraId="7D8D7E68" w14:textId="36B0D55A" w:rsidR="00AA4CFC" w:rsidRPr="00C41C1C" w:rsidRDefault="00541AAD" w:rsidP="00B51CD5">
            <w:pPr>
              <w:jc w:val="center"/>
              <w:rPr>
                <w:bCs/>
                <w:lang w:eastAsia="sk-SK"/>
              </w:rPr>
            </w:pPr>
            <w:r w:rsidRPr="00C41C1C">
              <w:rPr>
                <w:bCs/>
                <w:lang w:eastAsia="sk-SK"/>
              </w:rPr>
              <w:t>0</w:t>
            </w:r>
          </w:p>
        </w:tc>
        <w:tc>
          <w:tcPr>
            <w:tcW w:w="1620" w:type="dxa"/>
            <w:gridSpan w:val="2"/>
            <w:tcBorders>
              <w:top w:val="nil"/>
              <w:left w:val="nil"/>
              <w:bottom w:val="single" w:sz="4" w:space="0" w:color="auto"/>
              <w:right w:val="single" w:sz="4" w:space="0" w:color="auto"/>
            </w:tcBorders>
            <w:noWrap/>
            <w:vAlign w:val="bottom"/>
          </w:tcPr>
          <w:p w14:paraId="38376008" w14:textId="77777777" w:rsidR="00AA4CFC" w:rsidRPr="007D5748" w:rsidRDefault="00AA4CFC" w:rsidP="00B51CD5">
            <w:pPr>
              <w:rPr>
                <w:lang w:eastAsia="sk-SK"/>
              </w:rPr>
            </w:pPr>
            <w:r w:rsidRPr="007D5748">
              <w:rPr>
                <w:lang w:eastAsia="sk-SK"/>
              </w:rPr>
              <w:t> </w:t>
            </w:r>
          </w:p>
        </w:tc>
      </w:tr>
      <w:tr w:rsidR="00AA4CFC" w:rsidRPr="007D5748" w14:paraId="72550464" w14:textId="77777777" w:rsidTr="00B51CD5">
        <w:trPr>
          <w:trHeight w:val="255"/>
        </w:trPr>
        <w:tc>
          <w:tcPr>
            <w:tcW w:w="6188" w:type="dxa"/>
            <w:tcBorders>
              <w:top w:val="nil"/>
              <w:left w:val="single" w:sz="4" w:space="0" w:color="auto"/>
              <w:bottom w:val="single" w:sz="4" w:space="0" w:color="auto"/>
              <w:right w:val="single" w:sz="4" w:space="0" w:color="auto"/>
            </w:tcBorders>
          </w:tcPr>
          <w:p w14:paraId="281607B4" w14:textId="77777777" w:rsidR="00AA4CFC" w:rsidRPr="007D5748" w:rsidRDefault="00AA4CFC" w:rsidP="00B51CD5">
            <w:pPr>
              <w:rPr>
                <w:b/>
                <w:bCs/>
                <w:lang w:eastAsia="sk-SK"/>
              </w:rPr>
            </w:pPr>
            <w:r w:rsidRPr="007D5748">
              <w:rPr>
                <w:b/>
                <w:bCs/>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70323C5C" w14:textId="18FB8913" w:rsidR="00AA4CFC" w:rsidRPr="00C41C1C" w:rsidRDefault="00541AAD" w:rsidP="00B51CD5">
            <w:pPr>
              <w:jc w:val="center"/>
              <w:rPr>
                <w:bCs/>
                <w:lang w:eastAsia="sk-SK"/>
              </w:rPr>
            </w:pPr>
            <w:r w:rsidRPr="00C41C1C">
              <w:rPr>
                <w:bCs/>
                <w:lang w:eastAsia="sk-SK"/>
              </w:rPr>
              <w:t>0</w:t>
            </w:r>
          </w:p>
        </w:tc>
        <w:tc>
          <w:tcPr>
            <w:tcW w:w="1788" w:type="dxa"/>
            <w:tcBorders>
              <w:top w:val="single" w:sz="4" w:space="0" w:color="auto"/>
              <w:left w:val="nil"/>
              <w:bottom w:val="single" w:sz="4" w:space="0" w:color="auto"/>
              <w:right w:val="single" w:sz="4" w:space="0" w:color="auto"/>
            </w:tcBorders>
          </w:tcPr>
          <w:p w14:paraId="5242898F" w14:textId="2532628D" w:rsidR="00AA4CFC" w:rsidRPr="00C41C1C" w:rsidRDefault="00541AAD" w:rsidP="00B51CD5">
            <w:pPr>
              <w:jc w:val="center"/>
              <w:rPr>
                <w:bCs/>
                <w:lang w:eastAsia="sk-SK"/>
              </w:rPr>
            </w:pPr>
            <w:r w:rsidRPr="00C41C1C">
              <w:rPr>
                <w:bCs/>
                <w:lang w:eastAsia="sk-SK"/>
              </w:rPr>
              <w:t>0</w:t>
            </w:r>
          </w:p>
        </w:tc>
        <w:tc>
          <w:tcPr>
            <w:tcW w:w="2418" w:type="dxa"/>
            <w:gridSpan w:val="2"/>
            <w:tcBorders>
              <w:top w:val="single" w:sz="4" w:space="0" w:color="auto"/>
              <w:left w:val="nil"/>
              <w:bottom w:val="single" w:sz="4" w:space="0" w:color="auto"/>
              <w:right w:val="single" w:sz="4" w:space="0" w:color="auto"/>
            </w:tcBorders>
          </w:tcPr>
          <w:p w14:paraId="5DA421C4" w14:textId="458BF492" w:rsidR="00AA4CFC" w:rsidRPr="00C41C1C" w:rsidRDefault="00541AAD" w:rsidP="00B51CD5">
            <w:pPr>
              <w:jc w:val="center"/>
              <w:rPr>
                <w:bCs/>
                <w:lang w:eastAsia="sk-SK"/>
              </w:rPr>
            </w:pPr>
            <w:r w:rsidRPr="00C41C1C">
              <w:rPr>
                <w:bCs/>
                <w:lang w:eastAsia="sk-SK"/>
              </w:rPr>
              <w:t>0</w:t>
            </w:r>
          </w:p>
        </w:tc>
        <w:tc>
          <w:tcPr>
            <w:tcW w:w="1722" w:type="dxa"/>
            <w:tcBorders>
              <w:top w:val="single" w:sz="4" w:space="0" w:color="auto"/>
              <w:left w:val="nil"/>
              <w:bottom w:val="single" w:sz="4" w:space="0" w:color="auto"/>
              <w:right w:val="single" w:sz="4" w:space="0" w:color="auto"/>
            </w:tcBorders>
          </w:tcPr>
          <w:p w14:paraId="7CB04ED7" w14:textId="38F5B776" w:rsidR="00AA4CFC" w:rsidRPr="00C41C1C" w:rsidRDefault="00541AAD" w:rsidP="00B51CD5">
            <w:pPr>
              <w:jc w:val="center"/>
              <w:rPr>
                <w:bCs/>
                <w:lang w:eastAsia="sk-SK"/>
              </w:rPr>
            </w:pPr>
            <w:r w:rsidRPr="00C41C1C">
              <w:rPr>
                <w:bCs/>
                <w:lang w:eastAsia="sk-SK"/>
              </w:rPr>
              <w:t>0</w:t>
            </w:r>
          </w:p>
        </w:tc>
        <w:tc>
          <w:tcPr>
            <w:tcW w:w="1620" w:type="dxa"/>
            <w:gridSpan w:val="2"/>
            <w:tcBorders>
              <w:top w:val="nil"/>
              <w:left w:val="nil"/>
              <w:bottom w:val="single" w:sz="4" w:space="0" w:color="auto"/>
              <w:right w:val="single" w:sz="4" w:space="0" w:color="auto"/>
            </w:tcBorders>
            <w:noWrap/>
            <w:vAlign w:val="bottom"/>
          </w:tcPr>
          <w:p w14:paraId="12CD8ADD" w14:textId="77777777" w:rsidR="00AA4CFC" w:rsidRPr="007D5748" w:rsidRDefault="00AA4CFC" w:rsidP="00B51CD5">
            <w:pPr>
              <w:rPr>
                <w:lang w:eastAsia="sk-SK"/>
              </w:rPr>
            </w:pPr>
          </w:p>
        </w:tc>
      </w:tr>
      <w:tr w:rsidR="00AA4CFC" w:rsidRPr="007D5748" w14:paraId="26394E55" w14:textId="77777777" w:rsidTr="00B51CD5">
        <w:trPr>
          <w:trHeight w:val="255"/>
        </w:trPr>
        <w:tc>
          <w:tcPr>
            <w:tcW w:w="6188" w:type="dxa"/>
            <w:tcBorders>
              <w:top w:val="nil"/>
              <w:left w:val="single" w:sz="4" w:space="0" w:color="auto"/>
              <w:bottom w:val="single" w:sz="4" w:space="0" w:color="auto"/>
              <w:right w:val="single" w:sz="4" w:space="0" w:color="auto"/>
            </w:tcBorders>
          </w:tcPr>
          <w:p w14:paraId="429674CD" w14:textId="48E7E215" w:rsidR="00AA4CFC" w:rsidRPr="007D5748" w:rsidRDefault="00AA4CFC" w:rsidP="00480729">
            <w:pPr>
              <w:rPr>
                <w:b/>
                <w:bCs/>
                <w:lang w:eastAsia="sk-SK"/>
              </w:rPr>
            </w:pPr>
            <w:r w:rsidRPr="007D5748">
              <w:rPr>
                <w:b/>
                <w:bCs/>
                <w:lang w:eastAsia="sk-SK"/>
              </w:rPr>
              <w:t>Priemerný mzdový výdavok (</w:t>
            </w:r>
            <w:r w:rsidR="00480729">
              <w:rPr>
                <w:b/>
                <w:bCs/>
                <w:lang w:eastAsia="sk-SK"/>
              </w:rPr>
              <w:t>EUR</w:t>
            </w:r>
            <w:r w:rsidRPr="007D5748">
              <w:rPr>
                <w:b/>
                <w:bCs/>
                <w:lang w:eastAsia="sk-SK"/>
              </w:rPr>
              <w:t>)</w:t>
            </w:r>
          </w:p>
        </w:tc>
        <w:tc>
          <w:tcPr>
            <w:tcW w:w="1698" w:type="dxa"/>
            <w:tcBorders>
              <w:top w:val="single" w:sz="4" w:space="0" w:color="auto"/>
              <w:left w:val="nil"/>
              <w:bottom w:val="single" w:sz="4" w:space="0" w:color="auto"/>
              <w:right w:val="single" w:sz="4" w:space="0" w:color="auto"/>
            </w:tcBorders>
          </w:tcPr>
          <w:p w14:paraId="210BBBB5" w14:textId="04C66D2E" w:rsidR="00AA4CFC" w:rsidRPr="00C41C1C" w:rsidRDefault="00541AAD" w:rsidP="00B51CD5">
            <w:pPr>
              <w:jc w:val="center"/>
              <w:rPr>
                <w:bCs/>
                <w:lang w:eastAsia="sk-SK"/>
              </w:rPr>
            </w:pPr>
            <w:r w:rsidRPr="00C41C1C">
              <w:rPr>
                <w:bCs/>
                <w:lang w:eastAsia="sk-SK"/>
              </w:rPr>
              <w:t>0</w:t>
            </w:r>
          </w:p>
        </w:tc>
        <w:tc>
          <w:tcPr>
            <w:tcW w:w="1788" w:type="dxa"/>
            <w:tcBorders>
              <w:top w:val="single" w:sz="4" w:space="0" w:color="auto"/>
              <w:left w:val="nil"/>
              <w:bottom w:val="single" w:sz="4" w:space="0" w:color="auto"/>
              <w:right w:val="single" w:sz="4" w:space="0" w:color="auto"/>
            </w:tcBorders>
          </w:tcPr>
          <w:p w14:paraId="5A2CE36C" w14:textId="442BD5B9" w:rsidR="00AA4CFC" w:rsidRPr="00C41C1C" w:rsidRDefault="00541AAD" w:rsidP="00B51CD5">
            <w:pPr>
              <w:jc w:val="center"/>
              <w:rPr>
                <w:bCs/>
                <w:lang w:eastAsia="sk-SK"/>
              </w:rPr>
            </w:pPr>
            <w:r w:rsidRPr="00C41C1C">
              <w:rPr>
                <w:bCs/>
                <w:lang w:eastAsia="sk-SK"/>
              </w:rPr>
              <w:t>0</w:t>
            </w:r>
          </w:p>
        </w:tc>
        <w:tc>
          <w:tcPr>
            <w:tcW w:w="2418" w:type="dxa"/>
            <w:gridSpan w:val="2"/>
            <w:tcBorders>
              <w:top w:val="single" w:sz="4" w:space="0" w:color="auto"/>
              <w:left w:val="nil"/>
              <w:bottom w:val="single" w:sz="4" w:space="0" w:color="auto"/>
              <w:right w:val="single" w:sz="4" w:space="0" w:color="auto"/>
            </w:tcBorders>
          </w:tcPr>
          <w:p w14:paraId="071D89D1" w14:textId="60B2E3DC" w:rsidR="00AA4CFC" w:rsidRPr="00C41C1C" w:rsidRDefault="00541AAD" w:rsidP="00B51CD5">
            <w:pPr>
              <w:jc w:val="center"/>
              <w:rPr>
                <w:bCs/>
                <w:lang w:eastAsia="sk-SK"/>
              </w:rPr>
            </w:pPr>
            <w:r w:rsidRPr="00C41C1C">
              <w:rPr>
                <w:bCs/>
                <w:lang w:eastAsia="sk-SK"/>
              </w:rPr>
              <w:t>0</w:t>
            </w:r>
          </w:p>
        </w:tc>
        <w:tc>
          <w:tcPr>
            <w:tcW w:w="1722" w:type="dxa"/>
            <w:tcBorders>
              <w:top w:val="single" w:sz="4" w:space="0" w:color="auto"/>
              <w:left w:val="nil"/>
              <w:bottom w:val="single" w:sz="4" w:space="0" w:color="auto"/>
              <w:right w:val="single" w:sz="4" w:space="0" w:color="auto"/>
            </w:tcBorders>
          </w:tcPr>
          <w:p w14:paraId="133CD9C4" w14:textId="260DADEA" w:rsidR="00AA4CFC" w:rsidRPr="00C41C1C" w:rsidRDefault="00541AAD" w:rsidP="00B51CD5">
            <w:pPr>
              <w:jc w:val="center"/>
              <w:rPr>
                <w:bCs/>
                <w:lang w:eastAsia="sk-SK"/>
              </w:rPr>
            </w:pPr>
            <w:r w:rsidRPr="00C41C1C">
              <w:rPr>
                <w:bCs/>
                <w:lang w:eastAsia="sk-SK"/>
              </w:rPr>
              <w:t>0</w:t>
            </w:r>
          </w:p>
        </w:tc>
        <w:tc>
          <w:tcPr>
            <w:tcW w:w="1620" w:type="dxa"/>
            <w:gridSpan w:val="2"/>
            <w:tcBorders>
              <w:top w:val="nil"/>
              <w:left w:val="nil"/>
              <w:bottom w:val="single" w:sz="4" w:space="0" w:color="auto"/>
              <w:right w:val="single" w:sz="4" w:space="0" w:color="auto"/>
            </w:tcBorders>
            <w:noWrap/>
            <w:vAlign w:val="bottom"/>
          </w:tcPr>
          <w:p w14:paraId="207AE895" w14:textId="77777777" w:rsidR="00AA4CFC" w:rsidRPr="007D5748" w:rsidRDefault="00AA4CFC" w:rsidP="00B51CD5">
            <w:pPr>
              <w:rPr>
                <w:lang w:eastAsia="sk-SK"/>
              </w:rPr>
            </w:pPr>
            <w:r w:rsidRPr="007D5748">
              <w:rPr>
                <w:lang w:eastAsia="sk-SK"/>
              </w:rPr>
              <w:t> </w:t>
            </w:r>
          </w:p>
        </w:tc>
      </w:tr>
      <w:tr w:rsidR="00AA4CFC" w:rsidRPr="007D5748" w14:paraId="50AA0E6D" w14:textId="77777777" w:rsidTr="00B51CD5">
        <w:trPr>
          <w:trHeight w:val="255"/>
        </w:trPr>
        <w:tc>
          <w:tcPr>
            <w:tcW w:w="6188" w:type="dxa"/>
            <w:tcBorders>
              <w:top w:val="nil"/>
              <w:left w:val="single" w:sz="4" w:space="0" w:color="auto"/>
              <w:bottom w:val="single" w:sz="4" w:space="0" w:color="auto"/>
              <w:right w:val="single" w:sz="4" w:space="0" w:color="auto"/>
            </w:tcBorders>
          </w:tcPr>
          <w:p w14:paraId="7F7EE12D" w14:textId="77777777" w:rsidR="00AA4CFC" w:rsidRPr="007D5748" w:rsidRDefault="00AA4CFC" w:rsidP="00B51CD5">
            <w:pPr>
              <w:rPr>
                <w:lang w:eastAsia="sk-SK"/>
              </w:rPr>
            </w:pPr>
            <w:r w:rsidRPr="007D5748">
              <w:rPr>
                <w:b/>
                <w:bCs/>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4191746F" w14:textId="05009E4F" w:rsidR="00AA4CFC" w:rsidRPr="00541AAD" w:rsidRDefault="00541AAD" w:rsidP="00B51CD5">
            <w:pPr>
              <w:jc w:val="center"/>
              <w:rPr>
                <w:lang w:eastAsia="sk-SK"/>
              </w:rPr>
            </w:pPr>
            <w:r w:rsidRPr="00541AAD">
              <w:rPr>
                <w:lang w:eastAsia="sk-SK"/>
              </w:rPr>
              <w:t>0</w:t>
            </w:r>
          </w:p>
        </w:tc>
        <w:tc>
          <w:tcPr>
            <w:tcW w:w="1788" w:type="dxa"/>
            <w:tcBorders>
              <w:top w:val="single" w:sz="4" w:space="0" w:color="auto"/>
              <w:left w:val="nil"/>
              <w:bottom w:val="single" w:sz="4" w:space="0" w:color="auto"/>
              <w:right w:val="single" w:sz="4" w:space="0" w:color="auto"/>
            </w:tcBorders>
          </w:tcPr>
          <w:p w14:paraId="042C8E2F" w14:textId="03C5EB62" w:rsidR="00AA4CFC" w:rsidRPr="00541AAD" w:rsidRDefault="00541AAD" w:rsidP="00B51CD5">
            <w:pPr>
              <w:jc w:val="center"/>
              <w:rPr>
                <w:lang w:eastAsia="sk-SK"/>
              </w:rPr>
            </w:pPr>
            <w:r w:rsidRPr="00541AAD">
              <w:rPr>
                <w:lang w:eastAsia="sk-SK"/>
              </w:rPr>
              <w:t>0</w:t>
            </w:r>
          </w:p>
        </w:tc>
        <w:tc>
          <w:tcPr>
            <w:tcW w:w="2418" w:type="dxa"/>
            <w:gridSpan w:val="2"/>
            <w:tcBorders>
              <w:top w:val="single" w:sz="4" w:space="0" w:color="auto"/>
              <w:left w:val="nil"/>
              <w:bottom w:val="single" w:sz="4" w:space="0" w:color="auto"/>
              <w:right w:val="single" w:sz="4" w:space="0" w:color="auto"/>
            </w:tcBorders>
          </w:tcPr>
          <w:p w14:paraId="3C575BF8" w14:textId="5AE3C84C" w:rsidR="00AA4CFC" w:rsidRPr="00541AAD" w:rsidRDefault="00541AAD" w:rsidP="00B51CD5">
            <w:pPr>
              <w:jc w:val="center"/>
              <w:rPr>
                <w:lang w:eastAsia="sk-SK"/>
              </w:rPr>
            </w:pPr>
            <w:r w:rsidRPr="00541AAD">
              <w:rPr>
                <w:lang w:eastAsia="sk-SK"/>
              </w:rPr>
              <w:t>0</w:t>
            </w:r>
          </w:p>
        </w:tc>
        <w:tc>
          <w:tcPr>
            <w:tcW w:w="1722" w:type="dxa"/>
            <w:tcBorders>
              <w:top w:val="single" w:sz="4" w:space="0" w:color="auto"/>
              <w:left w:val="nil"/>
              <w:bottom w:val="single" w:sz="4" w:space="0" w:color="auto"/>
              <w:right w:val="single" w:sz="4" w:space="0" w:color="auto"/>
            </w:tcBorders>
          </w:tcPr>
          <w:p w14:paraId="7E700A16" w14:textId="6F87E033" w:rsidR="00AA4CFC" w:rsidRPr="00541AAD" w:rsidRDefault="00541AAD" w:rsidP="00B51CD5">
            <w:pPr>
              <w:jc w:val="center"/>
              <w:rPr>
                <w:lang w:eastAsia="sk-SK"/>
              </w:rPr>
            </w:pPr>
            <w:r w:rsidRPr="00541AAD">
              <w:rPr>
                <w:lang w:eastAsia="sk-SK"/>
              </w:rPr>
              <w:t>0</w:t>
            </w:r>
          </w:p>
        </w:tc>
        <w:tc>
          <w:tcPr>
            <w:tcW w:w="1620" w:type="dxa"/>
            <w:gridSpan w:val="2"/>
            <w:tcBorders>
              <w:top w:val="nil"/>
              <w:left w:val="nil"/>
              <w:bottom w:val="single" w:sz="4" w:space="0" w:color="auto"/>
              <w:right w:val="single" w:sz="4" w:space="0" w:color="auto"/>
            </w:tcBorders>
            <w:noWrap/>
            <w:vAlign w:val="bottom"/>
          </w:tcPr>
          <w:p w14:paraId="2B3FFBC2" w14:textId="77777777" w:rsidR="00AA4CFC" w:rsidRPr="007D5748" w:rsidRDefault="00AA4CFC" w:rsidP="00B51CD5">
            <w:pPr>
              <w:rPr>
                <w:lang w:eastAsia="sk-SK"/>
              </w:rPr>
            </w:pPr>
            <w:r w:rsidRPr="007D5748">
              <w:rPr>
                <w:lang w:eastAsia="sk-SK"/>
              </w:rPr>
              <w:t> </w:t>
            </w:r>
          </w:p>
        </w:tc>
      </w:tr>
      <w:tr w:rsidR="00AA4CFC" w:rsidRPr="007D5748" w14:paraId="294A3B5A" w14:textId="77777777" w:rsidTr="00B51CD5">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26F85A58" w14:textId="5DB8A201" w:rsidR="00AA4CFC" w:rsidRPr="007D5748" w:rsidRDefault="00AA4CFC" w:rsidP="00480729">
            <w:pPr>
              <w:rPr>
                <w:b/>
                <w:bCs/>
                <w:lang w:eastAsia="sk-SK"/>
              </w:rPr>
            </w:pPr>
            <w:r w:rsidRPr="007D5748">
              <w:rPr>
                <w:b/>
                <w:bCs/>
                <w:lang w:eastAsia="sk-SK"/>
              </w:rPr>
              <w:t>Osobné výdavky celkom (</w:t>
            </w:r>
            <w:r w:rsidR="00480729">
              <w:rPr>
                <w:b/>
                <w:bCs/>
                <w:lang w:eastAsia="sk-SK"/>
              </w:rPr>
              <w:t>EUR</w:t>
            </w:r>
            <w:r w:rsidRPr="007D5748">
              <w:rPr>
                <w:b/>
                <w:bCs/>
                <w:lang w:eastAsia="sk-SK"/>
              </w:rPr>
              <w:t>)</w:t>
            </w:r>
          </w:p>
        </w:tc>
        <w:tc>
          <w:tcPr>
            <w:tcW w:w="1698" w:type="dxa"/>
            <w:tcBorders>
              <w:top w:val="nil"/>
              <w:left w:val="nil"/>
              <w:bottom w:val="single" w:sz="4" w:space="0" w:color="auto"/>
              <w:right w:val="single" w:sz="4" w:space="0" w:color="auto"/>
            </w:tcBorders>
            <w:shd w:val="clear" w:color="auto" w:fill="BFBFBF" w:themeFill="background1" w:themeFillShade="BF"/>
          </w:tcPr>
          <w:p w14:paraId="20AEA748" w14:textId="77777777" w:rsidR="00AA4CFC" w:rsidRPr="007D5748" w:rsidRDefault="00AA4CFC" w:rsidP="00B51CD5">
            <w:pPr>
              <w:jc w:val="center"/>
              <w:rPr>
                <w:b/>
                <w:bCs/>
                <w:lang w:eastAsia="sk-SK"/>
              </w:rPr>
            </w:pPr>
            <w:r w:rsidRPr="007D5748">
              <w:rPr>
                <w:b/>
                <w:bCs/>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14:paraId="6754294E" w14:textId="77777777" w:rsidR="00AA4CFC" w:rsidRPr="007D5748" w:rsidRDefault="00AA4CFC" w:rsidP="00B51CD5">
            <w:pPr>
              <w:jc w:val="center"/>
              <w:rPr>
                <w:b/>
                <w:bCs/>
                <w:lang w:eastAsia="sk-SK"/>
              </w:rPr>
            </w:pPr>
            <w:r w:rsidRPr="007D5748">
              <w:rPr>
                <w:b/>
                <w:bCs/>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22C17F5D" w14:textId="77777777" w:rsidR="00AA4CFC" w:rsidRPr="007D5748" w:rsidRDefault="00AA4CFC" w:rsidP="00B51CD5">
            <w:pPr>
              <w:jc w:val="center"/>
              <w:rPr>
                <w:b/>
                <w:bCs/>
                <w:lang w:eastAsia="sk-SK"/>
              </w:rPr>
            </w:pPr>
            <w:r w:rsidRPr="007D5748">
              <w:rPr>
                <w:b/>
                <w:bCs/>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14:paraId="743FC715" w14:textId="77777777" w:rsidR="00AA4CFC" w:rsidRPr="007D5748" w:rsidRDefault="00AA4CFC" w:rsidP="00B51CD5">
            <w:pPr>
              <w:jc w:val="center"/>
              <w:rPr>
                <w:b/>
                <w:bCs/>
                <w:lang w:eastAsia="sk-SK"/>
              </w:rPr>
            </w:pPr>
            <w:r w:rsidRPr="007D5748">
              <w:rPr>
                <w:b/>
                <w:bCs/>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4DC56897" w14:textId="77777777" w:rsidR="00AA4CFC" w:rsidRPr="007D5748" w:rsidRDefault="00AA4CFC" w:rsidP="00B51CD5">
            <w:pPr>
              <w:rPr>
                <w:b/>
                <w:bCs/>
                <w:lang w:eastAsia="sk-SK"/>
              </w:rPr>
            </w:pPr>
            <w:r w:rsidRPr="007D5748">
              <w:rPr>
                <w:b/>
                <w:bCs/>
                <w:lang w:eastAsia="sk-SK"/>
              </w:rPr>
              <w:t> </w:t>
            </w:r>
          </w:p>
        </w:tc>
      </w:tr>
      <w:tr w:rsidR="00AA4CFC" w:rsidRPr="007D5748" w14:paraId="469C619E" w14:textId="77777777" w:rsidTr="00B51CD5">
        <w:trPr>
          <w:trHeight w:val="255"/>
        </w:trPr>
        <w:tc>
          <w:tcPr>
            <w:tcW w:w="6188" w:type="dxa"/>
            <w:tcBorders>
              <w:top w:val="nil"/>
              <w:left w:val="single" w:sz="4" w:space="0" w:color="auto"/>
              <w:bottom w:val="single" w:sz="4" w:space="0" w:color="auto"/>
              <w:right w:val="single" w:sz="4" w:space="0" w:color="auto"/>
            </w:tcBorders>
          </w:tcPr>
          <w:p w14:paraId="1FD3C503" w14:textId="77777777" w:rsidR="00AA4CFC" w:rsidRPr="007D5748" w:rsidRDefault="00AA4CFC" w:rsidP="00B51CD5">
            <w:pPr>
              <w:rPr>
                <w:b/>
                <w:bCs/>
                <w:lang w:eastAsia="sk-SK"/>
              </w:rPr>
            </w:pPr>
            <w:r w:rsidRPr="007D5748">
              <w:rPr>
                <w:b/>
                <w:bCs/>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1A39CB59" w14:textId="2268A8CB" w:rsidR="00AA4CFC" w:rsidRPr="00C41C1C" w:rsidRDefault="00541AAD" w:rsidP="00B51CD5">
            <w:pPr>
              <w:jc w:val="center"/>
              <w:rPr>
                <w:bCs/>
                <w:lang w:eastAsia="sk-SK"/>
              </w:rPr>
            </w:pPr>
            <w:r w:rsidRPr="00C41C1C">
              <w:rPr>
                <w:bCs/>
                <w:lang w:eastAsia="sk-SK"/>
              </w:rPr>
              <w:t>0</w:t>
            </w:r>
          </w:p>
        </w:tc>
        <w:tc>
          <w:tcPr>
            <w:tcW w:w="1788" w:type="dxa"/>
            <w:tcBorders>
              <w:top w:val="nil"/>
              <w:left w:val="nil"/>
              <w:bottom w:val="single" w:sz="4" w:space="0" w:color="auto"/>
              <w:right w:val="single" w:sz="4" w:space="0" w:color="auto"/>
            </w:tcBorders>
          </w:tcPr>
          <w:p w14:paraId="363AE535" w14:textId="7D96CBD7" w:rsidR="00AA4CFC" w:rsidRPr="00C41C1C" w:rsidRDefault="00541AAD" w:rsidP="00B51CD5">
            <w:pPr>
              <w:jc w:val="center"/>
              <w:rPr>
                <w:bCs/>
                <w:lang w:eastAsia="sk-SK"/>
              </w:rPr>
            </w:pPr>
            <w:r w:rsidRPr="00C41C1C">
              <w:rPr>
                <w:bCs/>
                <w:lang w:eastAsia="sk-SK"/>
              </w:rPr>
              <w:t>0</w:t>
            </w:r>
          </w:p>
        </w:tc>
        <w:tc>
          <w:tcPr>
            <w:tcW w:w="2418" w:type="dxa"/>
            <w:gridSpan w:val="2"/>
            <w:tcBorders>
              <w:top w:val="nil"/>
              <w:left w:val="nil"/>
              <w:bottom w:val="single" w:sz="4" w:space="0" w:color="auto"/>
              <w:right w:val="single" w:sz="4" w:space="0" w:color="auto"/>
            </w:tcBorders>
          </w:tcPr>
          <w:p w14:paraId="0C77EDDC" w14:textId="6D075C22" w:rsidR="00AA4CFC" w:rsidRPr="00C41C1C" w:rsidRDefault="00541AAD" w:rsidP="00B51CD5">
            <w:pPr>
              <w:jc w:val="center"/>
              <w:rPr>
                <w:bCs/>
                <w:lang w:eastAsia="sk-SK"/>
              </w:rPr>
            </w:pPr>
            <w:r w:rsidRPr="00C41C1C">
              <w:rPr>
                <w:bCs/>
                <w:lang w:eastAsia="sk-SK"/>
              </w:rPr>
              <w:t>0</w:t>
            </w:r>
          </w:p>
        </w:tc>
        <w:tc>
          <w:tcPr>
            <w:tcW w:w="1722" w:type="dxa"/>
            <w:tcBorders>
              <w:top w:val="nil"/>
              <w:left w:val="nil"/>
              <w:bottom w:val="single" w:sz="4" w:space="0" w:color="auto"/>
              <w:right w:val="single" w:sz="4" w:space="0" w:color="auto"/>
            </w:tcBorders>
          </w:tcPr>
          <w:p w14:paraId="6FECCEF6" w14:textId="721BA458" w:rsidR="00AA4CFC" w:rsidRPr="00C41C1C" w:rsidRDefault="00541AAD" w:rsidP="00B51CD5">
            <w:pPr>
              <w:jc w:val="center"/>
              <w:rPr>
                <w:bCs/>
                <w:lang w:eastAsia="sk-SK"/>
              </w:rPr>
            </w:pPr>
            <w:r w:rsidRPr="00C41C1C">
              <w:rPr>
                <w:bCs/>
                <w:lang w:eastAsia="sk-SK"/>
              </w:rPr>
              <w:t>0</w:t>
            </w:r>
          </w:p>
        </w:tc>
        <w:tc>
          <w:tcPr>
            <w:tcW w:w="1620" w:type="dxa"/>
            <w:gridSpan w:val="2"/>
            <w:tcBorders>
              <w:top w:val="nil"/>
              <w:left w:val="nil"/>
              <w:bottom w:val="single" w:sz="4" w:space="0" w:color="auto"/>
              <w:right w:val="single" w:sz="4" w:space="0" w:color="auto"/>
            </w:tcBorders>
            <w:noWrap/>
            <w:vAlign w:val="bottom"/>
          </w:tcPr>
          <w:p w14:paraId="6ACC9C7D" w14:textId="77777777" w:rsidR="00AA4CFC" w:rsidRPr="007D5748" w:rsidRDefault="00AA4CFC" w:rsidP="00B51CD5">
            <w:pPr>
              <w:rPr>
                <w:b/>
                <w:bCs/>
                <w:lang w:eastAsia="sk-SK"/>
              </w:rPr>
            </w:pPr>
            <w:r w:rsidRPr="007D5748">
              <w:rPr>
                <w:b/>
                <w:bCs/>
                <w:lang w:eastAsia="sk-SK"/>
              </w:rPr>
              <w:t> </w:t>
            </w:r>
          </w:p>
        </w:tc>
      </w:tr>
      <w:tr w:rsidR="00AA4CFC" w:rsidRPr="007D5748" w14:paraId="6FAE8554" w14:textId="77777777" w:rsidTr="00B51CD5">
        <w:trPr>
          <w:trHeight w:val="255"/>
        </w:trPr>
        <w:tc>
          <w:tcPr>
            <w:tcW w:w="6188" w:type="dxa"/>
            <w:tcBorders>
              <w:top w:val="nil"/>
              <w:left w:val="single" w:sz="4" w:space="0" w:color="auto"/>
              <w:bottom w:val="single" w:sz="4" w:space="0" w:color="auto"/>
              <w:right w:val="single" w:sz="4" w:space="0" w:color="auto"/>
            </w:tcBorders>
          </w:tcPr>
          <w:p w14:paraId="7859CE20" w14:textId="77777777" w:rsidR="00AA4CFC" w:rsidRPr="007D5748" w:rsidRDefault="00AA4CFC" w:rsidP="00B51CD5">
            <w:pPr>
              <w:rPr>
                <w:lang w:eastAsia="sk-SK"/>
              </w:rPr>
            </w:pPr>
            <w:r w:rsidRPr="007D5748">
              <w:rPr>
                <w:b/>
                <w:bCs/>
                <w:lang w:eastAsia="sk-SK"/>
              </w:rPr>
              <w:t xml:space="preserve">   z toho vplyv na ŠR</w:t>
            </w:r>
          </w:p>
        </w:tc>
        <w:tc>
          <w:tcPr>
            <w:tcW w:w="1698" w:type="dxa"/>
            <w:tcBorders>
              <w:top w:val="nil"/>
              <w:left w:val="nil"/>
              <w:bottom w:val="single" w:sz="4" w:space="0" w:color="auto"/>
              <w:right w:val="single" w:sz="4" w:space="0" w:color="auto"/>
            </w:tcBorders>
          </w:tcPr>
          <w:p w14:paraId="284598C3" w14:textId="24204066" w:rsidR="00AA4CFC" w:rsidRPr="00541AAD" w:rsidRDefault="00541AAD" w:rsidP="00B51CD5">
            <w:pPr>
              <w:jc w:val="center"/>
              <w:rPr>
                <w:lang w:eastAsia="sk-SK"/>
              </w:rPr>
            </w:pPr>
            <w:r w:rsidRPr="006C144D">
              <w:rPr>
                <w:lang w:eastAsia="sk-SK"/>
              </w:rPr>
              <w:t>0</w:t>
            </w:r>
          </w:p>
        </w:tc>
        <w:tc>
          <w:tcPr>
            <w:tcW w:w="1788" w:type="dxa"/>
            <w:tcBorders>
              <w:top w:val="nil"/>
              <w:left w:val="nil"/>
              <w:bottom w:val="single" w:sz="4" w:space="0" w:color="auto"/>
              <w:right w:val="single" w:sz="4" w:space="0" w:color="auto"/>
            </w:tcBorders>
          </w:tcPr>
          <w:p w14:paraId="1102437D" w14:textId="1D16EF38" w:rsidR="00AA4CFC" w:rsidRPr="00541AAD" w:rsidRDefault="00541AAD" w:rsidP="00B51CD5">
            <w:pPr>
              <w:jc w:val="center"/>
              <w:rPr>
                <w:lang w:eastAsia="sk-SK"/>
              </w:rPr>
            </w:pPr>
            <w:r w:rsidRPr="00541AAD">
              <w:rPr>
                <w:lang w:eastAsia="sk-SK"/>
              </w:rPr>
              <w:t>0</w:t>
            </w:r>
          </w:p>
        </w:tc>
        <w:tc>
          <w:tcPr>
            <w:tcW w:w="2418" w:type="dxa"/>
            <w:gridSpan w:val="2"/>
            <w:tcBorders>
              <w:top w:val="nil"/>
              <w:left w:val="nil"/>
              <w:bottom w:val="single" w:sz="4" w:space="0" w:color="auto"/>
              <w:right w:val="single" w:sz="4" w:space="0" w:color="auto"/>
            </w:tcBorders>
          </w:tcPr>
          <w:p w14:paraId="1EE3D34D" w14:textId="4E66738B" w:rsidR="00AA4CFC" w:rsidRPr="00541AAD" w:rsidRDefault="00541AAD" w:rsidP="00B51CD5">
            <w:pPr>
              <w:jc w:val="center"/>
              <w:rPr>
                <w:lang w:eastAsia="sk-SK"/>
              </w:rPr>
            </w:pPr>
            <w:r w:rsidRPr="00541AAD">
              <w:rPr>
                <w:lang w:eastAsia="sk-SK"/>
              </w:rPr>
              <w:t>0</w:t>
            </w:r>
          </w:p>
        </w:tc>
        <w:tc>
          <w:tcPr>
            <w:tcW w:w="1722" w:type="dxa"/>
            <w:tcBorders>
              <w:top w:val="nil"/>
              <w:left w:val="nil"/>
              <w:bottom w:val="single" w:sz="4" w:space="0" w:color="auto"/>
              <w:right w:val="single" w:sz="4" w:space="0" w:color="auto"/>
            </w:tcBorders>
          </w:tcPr>
          <w:p w14:paraId="252DEFFD" w14:textId="297CAFF1" w:rsidR="00AA4CFC" w:rsidRPr="00541AAD" w:rsidRDefault="00541AAD" w:rsidP="00B51CD5">
            <w:pPr>
              <w:jc w:val="center"/>
              <w:rPr>
                <w:lang w:eastAsia="sk-SK"/>
              </w:rPr>
            </w:pPr>
            <w:r w:rsidRPr="00541AAD">
              <w:rPr>
                <w:lang w:eastAsia="sk-SK"/>
              </w:rPr>
              <w:t>0</w:t>
            </w:r>
          </w:p>
        </w:tc>
        <w:tc>
          <w:tcPr>
            <w:tcW w:w="1620" w:type="dxa"/>
            <w:gridSpan w:val="2"/>
            <w:tcBorders>
              <w:top w:val="nil"/>
              <w:left w:val="nil"/>
              <w:bottom w:val="single" w:sz="4" w:space="0" w:color="auto"/>
              <w:right w:val="single" w:sz="4" w:space="0" w:color="auto"/>
            </w:tcBorders>
            <w:noWrap/>
            <w:vAlign w:val="bottom"/>
          </w:tcPr>
          <w:p w14:paraId="6E5C8D88" w14:textId="77777777" w:rsidR="00AA4CFC" w:rsidRPr="007D5748" w:rsidRDefault="00AA4CFC" w:rsidP="00B51CD5">
            <w:pPr>
              <w:rPr>
                <w:lang w:eastAsia="sk-SK"/>
              </w:rPr>
            </w:pPr>
            <w:r w:rsidRPr="007D5748">
              <w:rPr>
                <w:lang w:eastAsia="sk-SK"/>
              </w:rPr>
              <w:t> </w:t>
            </w:r>
          </w:p>
        </w:tc>
      </w:tr>
      <w:tr w:rsidR="00AA4CFC" w:rsidRPr="007D5748" w14:paraId="21EF3767" w14:textId="77777777" w:rsidTr="00B51CD5">
        <w:trPr>
          <w:trHeight w:val="255"/>
        </w:trPr>
        <w:tc>
          <w:tcPr>
            <w:tcW w:w="6188" w:type="dxa"/>
            <w:tcBorders>
              <w:top w:val="nil"/>
              <w:left w:val="single" w:sz="4" w:space="0" w:color="auto"/>
              <w:bottom w:val="single" w:sz="4" w:space="0" w:color="auto"/>
              <w:right w:val="single" w:sz="4" w:space="0" w:color="auto"/>
            </w:tcBorders>
          </w:tcPr>
          <w:p w14:paraId="153DC926" w14:textId="77777777" w:rsidR="00AA4CFC" w:rsidRPr="007D5748" w:rsidRDefault="00AA4CFC" w:rsidP="00B51CD5">
            <w:pPr>
              <w:rPr>
                <w:b/>
                <w:bCs/>
                <w:lang w:eastAsia="sk-SK"/>
              </w:rPr>
            </w:pPr>
            <w:r w:rsidRPr="007D5748">
              <w:rPr>
                <w:b/>
                <w:bCs/>
                <w:lang w:eastAsia="sk-SK"/>
              </w:rPr>
              <w:t>Poistné a príspevok do poisťovní (620)</w:t>
            </w:r>
          </w:p>
        </w:tc>
        <w:tc>
          <w:tcPr>
            <w:tcW w:w="1698" w:type="dxa"/>
            <w:tcBorders>
              <w:top w:val="nil"/>
              <w:left w:val="nil"/>
              <w:bottom w:val="single" w:sz="4" w:space="0" w:color="auto"/>
              <w:right w:val="single" w:sz="4" w:space="0" w:color="auto"/>
            </w:tcBorders>
          </w:tcPr>
          <w:p w14:paraId="7E5A845A" w14:textId="04535BEE" w:rsidR="00AA4CFC" w:rsidRPr="00C41C1C" w:rsidRDefault="00541AAD" w:rsidP="00B51CD5">
            <w:pPr>
              <w:jc w:val="center"/>
              <w:rPr>
                <w:bCs/>
                <w:lang w:eastAsia="sk-SK"/>
              </w:rPr>
            </w:pPr>
            <w:r w:rsidRPr="00C41C1C">
              <w:rPr>
                <w:bCs/>
                <w:lang w:eastAsia="sk-SK"/>
              </w:rPr>
              <w:t>0</w:t>
            </w:r>
          </w:p>
        </w:tc>
        <w:tc>
          <w:tcPr>
            <w:tcW w:w="1788" w:type="dxa"/>
            <w:tcBorders>
              <w:top w:val="nil"/>
              <w:left w:val="nil"/>
              <w:bottom w:val="single" w:sz="4" w:space="0" w:color="auto"/>
              <w:right w:val="single" w:sz="4" w:space="0" w:color="auto"/>
            </w:tcBorders>
          </w:tcPr>
          <w:p w14:paraId="719470D2" w14:textId="13E3F16B" w:rsidR="00AA4CFC" w:rsidRPr="00C41C1C" w:rsidRDefault="00541AAD" w:rsidP="00B51CD5">
            <w:pPr>
              <w:jc w:val="center"/>
              <w:rPr>
                <w:bCs/>
                <w:lang w:eastAsia="sk-SK"/>
              </w:rPr>
            </w:pPr>
            <w:r w:rsidRPr="00C41C1C">
              <w:rPr>
                <w:bCs/>
                <w:lang w:eastAsia="sk-SK"/>
              </w:rPr>
              <w:t>0</w:t>
            </w:r>
          </w:p>
        </w:tc>
        <w:tc>
          <w:tcPr>
            <w:tcW w:w="2418" w:type="dxa"/>
            <w:gridSpan w:val="2"/>
            <w:tcBorders>
              <w:top w:val="nil"/>
              <w:left w:val="nil"/>
              <w:bottom w:val="single" w:sz="4" w:space="0" w:color="auto"/>
              <w:right w:val="single" w:sz="4" w:space="0" w:color="auto"/>
            </w:tcBorders>
          </w:tcPr>
          <w:p w14:paraId="66B91981" w14:textId="4B6B8A9D" w:rsidR="00AA4CFC" w:rsidRPr="00C41C1C" w:rsidRDefault="00541AAD" w:rsidP="00B51CD5">
            <w:pPr>
              <w:jc w:val="center"/>
              <w:rPr>
                <w:bCs/>
                <w:lang w:eastAsia="sk-SK"/>
              </w:rPr>
            </w:pPr>
            <w:r w:rsidRPr="00C41C1C">
              <w:rPr>
                <w:bCs/>
                <w:lang w:eastAsia="sk-SK"/>
              </w:rPr>
              <w:t>0</w:t>
            </w:r>
          </w:p>
        </w:tc>
        <w:tc>
          <w:tcPr>
            <w:tcW w:w="1722" w:type="dxa"/>
            <w:tcBorders>
              <w:top w:val="nil"/>
              <w:left w:val="nil"/>
              <w:bottom w:val="single" w:sz="4" w:space="0" w:color="auto"/>
              <w:right w:val="single" w:sz="4" w:space="0" w:color="auto"/>
            </w:tcBorders>
          </w:tcPr>
          <w:p w14:paraId="66145562" w14:textId="2F7680A7" w:rsidR="00AA4CFC" w:rsidRPr="00C41C1C" w:rsidRDefault="00541AAD" w:rsidP="00B51CD5">
            <w:pPr>
              <w:jc w:val="center"/>
              <w:rPr>
                <w:bCs/>
                <w:lang w:eastAsia="sk-SK"/>
              </w:rPr>
            </w:pPr>
            <w:r w:rsidRPr="00C41C1C">
              <w:rPr>
                <w:bCs/>
                <w:lang w:eastAsia="sk-SK"/>
              </w:rPr>
              <w:t>0</w:t>
            </w:r>
          </w:p>
        </w:tc>
        <w:tc>
          <w:tcPr>
            <w:tcW w:w="1620" w:type="dxa"/>
            <w:gridSpan w:val="2"/>
            <w:tcBorders>
              <w:top w:val="nil"/>
              <w:left w:val="nil"/>
              <w:bottom w:val="single" w:sz="4" w:space="0" w:color="auto"/>
              <w:right w:val="single" w:sz="4" w:space="0" w:color="auto"/>
            </w:tcBorders>
            <w:noWrap/>
            <w:vAlign w:val="bottom"/>
          </w:tcPr>
          <w:p w14:paraId="351C838B" w14:textId="77777777" w:rsidR="00AA4CFC" w:rsidRPr="007D5748" w:rsidRDefault="00AA4CFC" w:rsidP="00B51CD5">
            <w:pPr>
              <w:rPr>
                <w:b/>
                <w:bCs/>
                <w:lang w:eastAsia="sk-SK"/>
              </w:rPr>
            </w:pPr>
            <w:r w:rsidRPr="007D5748">
              <w:rPr>
                <w:b/>
                <w:bCs/>
                <w:lang w:eastAsia="sk-SK"/>
              </w:rPr>
              <w:t> </w:t>
            </w:r>
          </w:p>
        </w:tc>
      </w:tr>
      <w:tr w:rsidR="00AA4CFC" w:rsidRPr="007D5748" w14:paraId="6A7FEB55" w14:textId="77777777" w:rsidTr="00B51CD5">
        <w:trPr>
          <w:trHeight w:val="255"/>
        </w:trPr>
        <w:tc>
          <w:tcPr>
            <w:tcW w:w="6188" w:type="dxa"/>
            <w:tcBorders>
              <w:top w:val="nil"/>
              <w:left w:val="single" w:sz="4" w:space="0" w:color="auto"/>
              <w:bottom w:val="single" w:sz="4" w:space="0" w:color="auto"/>
              <w:right w:val="single" w:sz="4" w:space="0" w:color="auto"/>
            </w:tcBorders>
          </w:tcPr>
          <w:p w14:paraId="712D1DF7" w14:textId="77777777" w:rsidR="00AA4CFC" w:rsidRPr="007D5748" w:rsidRDefault="00AA4CFC" w:rsidP="00B51CD5">
            <w:pPr>
              <w:rPr>
                <w:lang w:eastAsia="sk-SK"/>
              </w:rPr>
            </w:pPr>
            <w:r w:rsidRPr="007D5748">
              <w:rPr>
                <w:b/>
                <w:bCs/>
                <w:lang w:eastAsia="sk-SK"/>
              </w:rPr>
              <w:t xml:space="preserve">   z toho vplyv na ŠR</w:t>
            </w:r>
          </w:p>
        </w:tc>
        <w:tc>
          <w:tcPr>
            <w:tcW w:w="1698" w:type="dxa"/>
            <w:tcBorders>
              <w:top w:val="nil"/>
              <w:left w:val="nil"/>
              <w:bottom w:val="single" w:sz="4" w:space="0" w:color="auto"/>
              <w:right w:val="single" w:sz="4" w:space="0" w:color="auto"/>
            </w:tcBorders>
          </w:tcPr>
          <w:p w14:paraId="6AE38BBB" w14:textId="0CFA68E5" w:rsidR="00AA4CFC" w:rsidRPr="00541AAD" w:rsidRDefault="00541AAD" w:rsidP="00B51CD5">
            <w:pPr>
              <w:jc w:val="center"/>
              <w:rPr>
                <w:lang w:eastAsia="sk-SK"/>
              </w:rPr>
            </w:pPr>
            <w:r w:rsidRPr="006C144D">
              <w:rPr>
                <w:lang w:eastAsia="sk-SK"/>
              </w:rPr>
              <w:t>0</w:t>
            </w:r>
          </w:p>
        </w:tc>
        <w:tc>
          <w:tcPr>
            <w:tcW w:w="1788" w:type="dxa"/>
            <w:tcBorders>
              <w:top w:val="nil"/>
              <w:left w:val="nil"/>
              <w:bottom w:val="single" w:sz="4" w:space="0" w:color="auto"/>
              <w:right w:val="single" w:sz="4" w:space="0" w:color="auto"/>
            </w:tcBorders>
          </w:tcPr>
          <w:p w14:paraId="367480A4" w14:textId="2AB14095" w:rsidR="00AA4CFC" w:rsidRPr="00541AAD" w:rsidRDefault="00541AAD" w:rsidP="00B51CD5">
            <w:pPr>
              <w:jc w:val="center"/>
              <w:rPr>
                <w:lang w:eastAsia="sk-SK"/>
              </w:rPr>
            </w:pPr>
            <w:r w:rsidRPr="00541AAD">
              <w:rPr>
                <w:lang w:eastAsia="sk-SK"/>
              </w:rPr>
              <w:t>0</w:t>
            </w:r>
          </w:p>
        </w:tc>
        <w:tc>
          <w:tcPr>
            <w:tcW w:w="2418" w:type="dxa"/>
            <w:gridSpan w:val="2"/>
            <w:tcBorders>
              <w:top w:val="nil"/>
              <w:left w:val="nil"/>
              <w:bottom w:val="single" w:sz="4" w:space="0" w:color="auto"/>
              <w:right w:val="single" w:sz="4" w:space="0" w:color="auto"/>
            </w:tcBorders>
          </w:tcPr>
          <w:p w14:paraId="2E77E939" w14:textId="77B1912F" w:rsidR="00AA4CFC" w:rsidRPr="00541AAD" w:rsidRDefault="00541AAD" w:rsidP="00B51CD5">
            <w:pPr>
              <w:jc w:val="center"/>
              <w:rPr>
                <w:lang w:eastAsia="sk-SK"/>
              </w:rPr>
            </w:pPr>
            <w:r w:rsidRPr="00541AAD">
              <w:rPr>
                <w:lang w:eastAsia="sk-SK"/>
              </w:rPr>
              <w:t>0</w:t>
            </w:r>
          </w:p>
        </w:tc>
        <w:tc>
          <w:tcPr>
            <w:tcW w:w="1722" w:type="dxa"/>
            <w:tcBorders>
              <w:top w:val="nil"/>
              <w:left w:val="nil"/>
              <w:bottom w:val="single" w:sz="4" w:space="0" w:color="auto"/>
              <w:right w:val="single" w:sz="4" w:space="0" w:color="auto"/>
            </w:tcBorders>
          </w:tcPr>
          <w:p w14:paraId="493AFAC9" w14:textId="703240CF" w:rsidR="00AA4CFC" w:rsidRPr="00541AAD" w:rsidRDefault="00541AAD" w:rsidP="00B51CD5">
            <w:pPr>
              <w:jc w:val="center"/>
              <w:rPr>
                <w:lang w:eastAsia="sk-SK"/>
              </w:rPr>
            </w:pPr>
            <w:r w:rsidRPr="00541AAD">
              <w:rPr>
                <w:lang w:eastAsia="sk-SK"/>
              </w:rPr>
              <w:t>0</w:t>
            </w:r>
          </w:p>
        </w:tc>
        <w:tc>
          <w:tcPr>
            <w:tcW w:w="1620" w:type="dxa"/>
            <w:gridSpan w:val="2"/>
            <w:tcBorders>
              <w:top w:val="nil"/>
              <w:left w:val="nil"/>
              <w:bottom w:val="single" w:sz="4" w:space="0" w:color="auto"/>
              <w:right w:val="single" w:sz="4" w:space="0" w:color="auto"/>
            </w:tcBorders>
            <w:noWrap/>
            <w:vAlign w:val="bottom"/>
          </w:tcPr>
          <w:p w14:paraId="76B3CB01" w14:textId="77777777" w:rsidR="00AA4CFC" w:rsidRPr="007D5748" w:rsidRDefault="00AA4CFC" w:rsidP="00B51CD5">
            <w:pPr>
              <w:rPr>
                <w:lang w:eastAsia="sk-SK"/>
              </w:rPr>
            </w:pPr>
            <w:r w:rsidRPr="007D5748">
              <w:rPr>
                <w:lang w:eastAsia="sk-SK"/>
              </w:rPr>
              <w:t> </w:t>
            </w:r>
          </w:p>
        </w:tc>
      </w:tr>
      <w:tr w:rsidR="00AA4CFC" w:rsidRPr="007D5748" w14:paraId="237CC462" w14:textId="77777777" w:rsidTr="00B51CD5">
        <w:trPr>
          <w:trHeight w:val="255"/>
        </w:trPr>
        <w:tc>
          <w:tcPr>
            <w:tcW w:w="6188" w:type="dxa"/>
            <w:tcBorders>
              <w:top w:val="nil"/>
              <w:left w:val="nil"/>
              <w:bottom w:val="nil"/>
              <w:right w:val="nil"/>
            </w:tcBorders>
            <w:noWrap/>
            <w:vAlign w:val="bottom"/>
          </w:tcPr>
          <w:p w14:paraId="48741364" w14:textId="77777777" w:rsidR="00AA4CFC" w:rsidRPr="007D5748" w:rsidRDefault="00AA4CFC" w:rsidP="00B51CD5">
            <w:pPr>
              <w:rPr>
                <w:lang w:eastAsia="sk-SK"/>
              </w:rPr>
            </w:pPr>
          </w:p>
        </w:tc>
        <w:tc>
          <w:tcPr>
            <w:tcW w:w="1698" w:type="dxa"/>
            <w:tcBorders>
              <w:top w:val="nil"/>
              <w:left w:val="nil"/>
              <w:bottom w:val="nil"/>
              <w:right w:val="nil"/>
            </w:tcBorders>
            <w:noWrap/>
            <w:vAlign w:val="bottom"/>
          </w:tcPr>
          <w:p w14:paraId="2818B24E" w14:textId="77777777" w:rsidR="00AA4CFC" w:rsidRPr="007D5748" w:rsidRDefault="00AA4CFC" w:rsidP="00B51CD5">
            <w:pPr>
              <w:rPr>
                <w:lang w:eastAsia="sk-SK"/>
              </w:rPr>
            </w:pPr>
          </w:p>
        </w:tc>
        <w:tc>
          <w:tcPr>
            <w:tcW w:w="1788" w:type="dxa"/>
            <w:tcBorders>
              <w:top w:val="nil"/>
              <w:left w:val="nil"/>
              <w:bottom w:val="nil"/>
              <w:right w:val="nil"/>
            </w:tcBorders>
            <w:noWrap/>
            <w:vAlign w:val="bottom"/>
          </w:tcPr>
          <w:p w14:paraId="567D1F0B" w14:textId="77777777" w:rsidR="00AA4CFC" w:rsidRPr="007D5748" w:rsidRDefault="00AA4CFC" w:rsidP="00B51CD5">
            <w:pPr>
              <w:rPr>
                <w:lang w:eastAsia="sk-SK"/>
              </w:rPr>
            </w:pPr>
          </w:p>
        </w:tc>
        <w:tc>
          <w:tcPr>
            <w:tcW w:w="2418" w:type="dxa"/>
            <w:gridSpan w:val="2"/>
            <w:tcBorders>
              <w:top w:val="nil"/>
              <w:left w:val="nil"/>
              <w:bottom w:val="nil"/>
              <w:right w:val="nil"/>
            </w:tcBorders>
            <w:noWrap/>
            <w:vAlign w:val="bottom"/>
          </w:tcPr>
          <w:p w14:paraId="191CD87E" w14:textId="77777777" w:rsidR="00AA4CFC" w:rsidRPr="007D5748" w:rsidRDefault="00AA4CFC" w:rsidP="00B51CD5">
            <w:pPr>
              <w:rPr>
                <w:lang w:eastAsia="sk-SK"/>
              </w:rPr>
            </w:pPr>
          </w:p>
        </w:tc>
        <w:tc>
          <w:tcPr>
            <w:tcW w:w="1722" w:type="dxa"/>
            <w:tcBorders>
              <w:top w:val="nil"/>
              <w:left w:val="nil"/>
              <w:bottom w:val="nil"/>
              <w:right w:val="nil"/>
            </w:tcBorders>
            <w:noWrap/>
            <w:vAlign w:val="bottom"/>
          </w:tcPr>
          <w:p w14:paraId="02AA180B" w14:textId="77777777" w:rsidR="00AA4CFC" w:rsidRPr="007D5748" w:rsidRDefault="00AA4CFC" w:rsidP="00B51CD5">
            <w:pPr>
              <w:rPr>
                <w:lang w:eastAsia="sk-SK"/>
              </w:rPr>
            </w:pPr>
          </w:p>
        </w:tc>
        <w:tc>
          <w:tcPr>
            <w:tcW w:w="1620" w:type="dxa"/>
            <w:gridSpan w:val="2"/>
            <w:tcBorders>
              <w:top w:val="nil"/>
              <w:left w:val="nil"/>
              <w:bottom w:val="nil"/>
              <w:right w:val="nil"/>
            </w:tcBorders>
            <w:noWrap/>
            <w:vAlign w:val="bottom"/>
          </w:tcPr>
          <w:p w14:paraId="52690F4C" w14:textId="77777777" w:rsidR="00AA4CFC" w:rsidRPr="007D5748" w:rsidRDefault="00AA4CFC" w:rsidP="00B51CD5">
            <w:pPr>
              <w:rPr>
                <w:lang w:eastAsia="sk-SK"/>
              </w:rPr>
            </w:pPr>
          </w:p>
        </w:tc>
      </w:tr>
      <w:tr w:rsidR="00AA4CFC" w:rsidRPr="007D5748" w14:paraId="7A4A40CD" w14:textId="77777777" w:rsidTr="00B51CD5">
        <w:trPr>
          <w:trHeight w:val="255"/>
        </w:trPr>
        <w:tc>
          <w:tcPr>
            <w:tcW w:w="6188" w:type="dxa"/>
            <w:tcBorders>
              <w:top w:val="nil"/>
              <w:left w:val="nil"/>
              <w:bottom w:val="nil"/>
              <w:right w:val="nil"/>
            </w:tcBorders>
          </w:tcPr>
          <w:p w14:paraId="0486B20E" w14:textId="77777777" w:rsidR="00AA4CFC" w:rsidRPr="007D5748" w:rsidRDefault="00AA4CFC" w:rsidP="00B51CD5">
            <w:pPr>
              <w:rPr>
                <w:b/>
                <w:bCs/>
                <w:lang w:eastAsia="sk-SK"/>
              </w:rPr>
            </w:pPr>
            <w:r w:rsidRPr="007D5748">
              <w:rPr>
                <w:b/>
                <w:bCs/>
                <w:lang w:eastAsia="sk-SK"/>
              </w:rPr>
              <w:t>Poznámky:</w:t>
            </w:r>
          </w:p>
        </w:tc>
        <w:tc>
          <w:tcPr>
            <w:tcW w:w="1698" w:type="dxa"/>
            <w:tcBorders>
              <w:top w:val="nil"/>
              <w:left w:val="nil"/>
              <w:bottom w:val="nil"/>
              <w:right w:val="nil"/>
            </w:tcBorders>
            <w:noWrap/>
            <w:vAlign w:val="bottom"/>
          </w:tcPr>
          <w:p w14:paraId="3E697D61" w14:textId="77777777" w:rsidR="00AA4CFC" w:rsidRPr="007D5748" w:rsidRDefault="00AA4CFC" w:rsidP="00B51CD5">
            <w:pPr>
              <w:rPr>
                <w:lang w:eastAsia="sk-SK"/>
              </w:rPr>
            </w:pPr>
          </w:p>
        </w:tc>
        <w:tc>
          <w:tcPr>
            <w:tcW w:w="1788" w:type="dxa"/>
            <w:tcBorders>
              <w:top w:val="nil"/>
              <w:left w:val="nil"/>
              <w:bottom w:val="nil"/>
              <w:right w:val="nil"/>
            </w:tcBorders>
            <w:noWrap/>
            <w:vAlign w:val="bottom"/>
          </w:tcPr>
          <w:p w14:paraId="6FFBD837" w14:textId="77777777" w:rsidR="00AA4CFC" w:rsidRPr="007D5748" w:rsidRDefault="00AA4CFC" w:rsidP="00B51CD5">
            <w:pPr>
              <w:rPr>
                <w:lang w:eastAsia="sk-SK"/>
              </w:rPr>
            </w:pPr>
          </w:p>
        </w:tc>
        <w:tc>
          <w:tcPr>
            <w:tcW w:w="2418" w:type="dxa"/>
            <w:gridSpan w:val="2"/>
            <w:tcBorders>
              <w:top w:val="nil"/>
              <w:left w:val="nil"/>
              <w:bottom w:val="nil"/>
              <w:right w:val="nil"/>
            </w:tcBorders>
            <w:noWrap/>
            <w:vAlign w:val="bottom"/>
          </w:tcPr>
          <w:p w14:paraId="2BA297FD" w14:textId="77777777" w:rsidR="00AA4CFC" w:rsidRPr="007D5748" w:rsidRDefault="00AA4CFC" w:rsidP="00B51CD5">
            <w:pPr>
              <w:rPr>
                <w:lang w:eastAsia="sk-SK"/>
              </w:rPr>
            </w:pPr>
          </w:p>
        </w:tc>
        <w:tc>
          <w:tcPr>
            <w:tcW w:w="1722" w:type="dxa"/>
            <w:tcBorders>
              <w:top w:val="nil"/>
              <w:left w:val="nil"/>
              <w:bottom w:val="nil"/>
              <w:right w:val="nil"/>
            </w:tcBorders>
            <w:noWrap/>
            <w:vAlign w:val="bottom"/>
          </w:tcPr>
          <w:p w14:paraId="17AD8EDE" w14:textId="77777777" w:rsidR="00AA4CFC" w:rsidRPr="007D5748" w:rsidRDefault="00AA4CFC" w:rsidP="00B51CD5">
            <w:pPr>
              <w:rPr>
                <w:lang w:eastAsia="sk-SK"/>
              </w:rPr>
            </w:pPr>
          </w:p>
        </w:tc>
        <w:tc>
          <w:tcPr>
            <w:tcW w:w="1620" w:type="dxa"/>
            <w:gridSpan w:val="2"/>
            <w:tcBorders>
              <w:top w:val="nil"/>
              <w:left w:val="nil"/>
              <w:bottom w:val="nil"/>
              <w:right w:val="nil"/>
            </w:tcBorders>
            <w:noWrap/>
            <w:vAlign w:val="bottom"/>
          </w:tcPr>
          <w:p w14:paraId="784E98D6" w14:textId="77777777" w:rsidR="00AA4CFC" w:rsidRPr="007D5748" w:rsidRDefault="00AA4CFC" w:rsidP="00B51CD5">
            <w:pPr>
              <w:rPr>
                <w:lang w:eastAsia="sk-SK"/>
              </w:rPr>
            </w:pPr>
          </w:p>
        </w:tc>
      </w:tr>
      <w:tr w:rsidR="00AA4CFC" w:rsidRPr="007D5748" w14:paraId="0AE72259" w14:textId="77777777" w:rsidTr="00B51CD5">
        <w:trPr>
          <w:trHeight w:val="255"/>
        </w:trPr>
        <w:tc>
          <w:tcPr>
            <w:tcW w:w="13814" w:type="dxa"/>
            <w:gridSpan w:val="6"/>
            <w:tcBorders>
              <w:top w:val="nil"/>
              <w:left w:val="nil"/>
              <w:bottom w:val="nil"/>
              <w:right w:val="nil"/>
            </w:tcBorders>
            <w:noWrap/>
          </w:tcPr>
          <w:p w14:paraId="0DA4EA71" w14:textId="77777777" w:rsidR="00AA4CFC" w:rsidRPr="007D5748" w:rsidRDefault="00AA4CFC" w:rsidP="0051258C">
            <w:pPr>
              <w:tabs>
                <w:tab w:val="num" w:pos="1080"/>
              </w:tabs>
              <w:jc w:val="both"/>
              <w:rPr>
                <w:bCs/>
                <w:szCs w:val="20"/>
                <w:lang w:eastAsia="sk-SK"/>
              </w:rPr>
            </w:pPr>
            <w:r w:rsidRPr="007D5748">
              <w:rPr>
                <w:bCs/>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0AC2AF2B" w14:textId="77777777" w:rsidR="00AA4CFC" w:rsidRPr="007D5748" w:rsidRDefault="00AA4CFC" w:rsidP="0051258C">
            <w:pPr>
              <w:jc w:val="both"/>
              <w:rPr>
                <w:lang w:eastAsia="sk-SK"/>
              </w:rPr>
            </w:pPr>
            <w:r w:rsidRPr="007D5748">
              <w:rPr>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69C6CE59" w14:textId="77777777" w:rsidR="00AA4CFC" w:rsidRPr="007D5748" w:rsidRDefault="00AA4CFC" w:rsidP="0051258C">
            <w:pPr>
              <w:jc w:val="both"/>
              <w:rPr>
                <w:lang w:eastAsia="sk-SK"/>
              </w:rPr>
            </w:pPr>
          </w:p>
        </w:tc>
      </w:tr>
      <w:tr w:rsidR="00AA4CFC" w:rsidRPr="007D5748" w14:paraId="51DF408F" w14:textId="77777777" w:rsidTr="00B51CD5">
        <w:trPr>
          <w:trHeight w:val="255"/>
        </w:trPr>
        <w:tc>
          <w:tcPr>
            <w:tcW w:w="10394" w:type="dxa"/>
            <w:gridSpan w:val="4"/>
            <w:tcBorders>
              <w:top w:val="nil"/>
              <w:left w:val="nil"/>
              <w:bottom w:val="nil"/>
              <w:right w:val="nil"/>
            </w:tcBorders>
            <w:noWrap/>
            <w:vAlign w:val="bottom"/>
          </w:tcPr>
          <w:p w14:paraId="38326CD1" w14:textId="77777777" w:rsidR="00AA4CFC" w:rsidRDefault="00AA4CFC" w:rsidP="0051258C">
            <w:pPr>
              <w:jc w:val="both"/>
              <w:rPr>
                <w:lang w:eastAsia="sk-SK"/>
              </w:rPr>
            </w:pPr>
            <w:r w:rsidRPr="007D5748">
              <w:rPr>
                <w:lang w:eastAsia="sk-SK"/>
              </w:rPr>
              <w:t>Kategórie 610 a 620 sú z tejto prílohy prenášané do príslušných kategórií prílohy „výdavky“.</w:t>
            </w:r>
          </w:p>
          <w:p w14:paraId="01856CB7" w14:textId="77777777" w:rsidR="00AA4CFC" w:rsidRDefault="00AA4CFC" w:rsidP="0051258C">
            <w:pPr>
              <w:jc w:val="both"/>
              <w:rPr>
                <w:lang w:eastAsia="sk-SK"/>
              </w:rPr>
            </w:pPr>
          </w:p>
          <w:p w14:paraId="601D6707" w14:textId="77777777" w:rsidR="00AA4CFC" w:rsidRPr="007D5748" w:rsidRDefault="00AA4CFC" w:rsidP="0051258C">
            <w:pPr>
              <w:jc w:val="both"/>
              <w:rPr>
                <w:lang w:eastAsia="sk-SK"/>
              </w:rPr>
            </w:pPr>
          </w:p>
        </w:tc>
        <w:tc>
          <w:tcPr>
            <w:tcW w:w="1698" w:type="dxa"/>
            <w:tcBorders>
              <w:top w:val="nil"/>
              <w:left w:val="nil"/>
              <w:bottom w:val="nil"/>
              <w:right w:val="nil"/>
            </w:tcBorders>
            <w:noWrap/>
            <w:vAlign w:val="bottom"/>
          </w:tcPr>
          <w:p w14:paraId="6306684F" w14:textId="77777777" w:rsidR="00AA4CFC" w:rsidRPr="007D5748" w:rsidRDefault="00AA4CFC" w:rsidP="0051258C">
            <w:pPr>
              <w:jc w:val="both"/>
              <w:rPr>
                <w:lang w:eastAsia="sk-SK"/>
              </w:rPr>
            </w:pPr>
          </w:p>
        </w:tc>
        <w:tc>
          <w:tcPr>
            <w:tcW w:w="2352" w:type="dxa"/>
            <w:gridSpan w:val="2"/>
            <w:tcBorders>
              <w:top w:val="nil"/>
              <w:left w:val="nil"/>
              <w:bottom w:val="nil"/>
              <w:right w:val="nil"/>
            </w:tcBorders>
            <w:noWrap/>
            <w:vAlign w:val="bottom"/>
          </w:tcPr>
          <w:p w14:paraId="07DC86B4" w14:textId="77777777" w:rsidR="00AA4CFC" w:rsidRPr="007D5748" w:rsidRDefault="00AA4CFC" w:rsidP="0051258C">
            <w:pPr>
              <w:jc w:val="both"/>
              <w:rPr>
                <w:lang w:eastAsia="sk-SK"/>
              </w:rPr>
            </w:pPr>
          </w:p>
        </w:tc>
        <w:tc>
          <w:tcPr>
            <w:tcW w:w="990" w:type="dxa"/>
            <w:tcBorders>
              <w:top w:val="nil"/>
              <w:left w:val="nil"/>
              <w:bottom w:val="nil"/>
              <w:right w:val="nil"/>
            </w:tcBorders>
            <w:noWrap/>
            <w:vAlign w:val="bottom"/>
          </w:tcPr>
          <w:p w14:paraId="32285F5D" w14:textId="77777777" w:rsidR="00AA4CFC" w:rsidRPr="007D5748" w:rsidRDefault="00AA4CFC" w:rsidP="0051258C">
            <w:pPr>
              <w:jc w:val="both"/>
              <w:rPr>
                <w:lang w:eastAsia="sk-SK"/>
              </w:rPr>
            </w:pPr>
          </w:p>
        </w:tc>
      </w:tr>
    </w:tbl>
    <w:p w14:paraId="2AC475F8" w14:textId="5AA6CA50" w:rsidR="00010EC9" w:rsidRPr="00975CBF" w:rsidRDefault="00010EC9" w:rsidP="004C13B7">
      <w:pPr>
        <w:tabs>
          <w:tab w:val="left" w:pos="12906"/>
        </w:tabs>
      </w:pPr>
    </w:p>
    <w:sectPr w:rsidR="00010EC9" w:rsidRPr="00975CBF" w:rsidSect="001F119E">
      <w:headerReference w:type="default"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7987D" w14:textId="77777777" w:rsidR="005240A4" w:rsidRDefault="005240A4">
      <w:r>
        <w:separator/>
      </w:r>
    </w:p>
  </w:endnote>
  <w:endnote w:type="continuationSeparator" w:id="0">
    <w:p w14:paraId="04549C7E" w14:textId="77777777" w:rsidR="005240A4" w:rsidRDefault="0052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5724"/>
      <w:docPartObj>
        <w:docPartGallery w:val="Page Numbers (Bottom of Page)"/>
        <w:docPartUnique/>
      </w:docPartObj>
    </w:sdtPr>
    <w:sdtEndPr/>
    <w:sdtContent>
      <w:p w14:paraId="06FCB68A" w14:textId="57DCAA16" w:rsidR="00181DBB" w:rsidRDefault="00181DBB">
        <w:pPr>
          <w:pStyle w:val="Pta"/>
          <w:jc w:val="right"/>
        </w:pPr>
        <w:r>
          <w:fldChar w:fldCharType="begin"/>
        </w:r>
        <w:r>
          <w:instrText>PAGE   \* MERGEFORMAT</w:instrText>
        </w:r>
        <w:r>
          <w:fldChar w:fldCharType="separate"/>
        </w:r>
        <w:r w:rsidR="00AD1466">
          <w:rPr>
            <w:noProof/>
          </w:rPr>
          <w:t>4</w:t>
        </w:r>
        <w:r>
          <w:fldChar w:fldCharType="end"/>
        </w:r>
      </w:p>
    </w:sdtContent>
  </w:sdt>
  <w:p w14:paraId="18E93DB3" w14:textId="77777777" w:rsidR="00181DBB" w:rsidRDefault="00181DB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581191"/>
      <w:docPartObj>
        <w:docPartGallery w:val="Page Numbers (Bottom of Page)"/>
        <w:docPartUnique/>
      </w:docPartObj>
    </w:sdtPr>
    <w:sdtEndPr/>
    <w:sdtContent>
      <w:p w14:paraId="096FF7D9" w14:textId="005D1807" w:rsidR="00181DBB" w:rsidRDefault="00181DBB">
        <w:pPr>
          <w:pStyle w:val="Pta"/>
          <w:jc w:val="right"/>
        </w:pPr>
        <w:r>
          <w:fldChar w:fldCharType="begin"/>
        </w:r>
        <w:r>
          <w:instrText>PAGE   \* MERGEFORMAT</w:instrText>
        </w:r>
        <w:r>
          <w:fldChar w:fldCharType="separate"/>
        </w:r>
        <w:r w:rsidR="00AD1466">
          <w:rPr>
            <w:noProof/>
          </w:rPr>
          <w:t>5</w:t>
        </w:r>
        <w:r>
          <w:fldChar w:fldCharType="end"/>
        </w:r>
      </w:p>
    </w:sdtContent>
  </w:sdt>
  <w:p w14:paraId="22303919" w14:textId="77777777" w:rsidR="00181DBB" w:rsidRPr="001D6749" w:rsidRDefault="00181DBB">
    <w:pPr>
      <w:pStyle w:val="Pt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952667"/>
      <w:docPartObj>
        <w:docPartGallery w:val="Page Numbers (Bottom of Page)"/>
        <w:docPartUnique/>
      </w:docPartObj>
    </w:sdtPr>
    <w:sdtEndPr/>
    <w:sdtContent>
      <w:p w14:paraId="2D628FD3" w14:textId="28B0ED9B" w:rsidR="00181DBB" w:rsidRDefault="00181DBB">
        <w:pPr>
          <w:pStyle w:val="Pta"/>
          <w:jc w:val="right"/>
        </w:pPr>
        <w:r>
          <w:fldChar w:fldCharType="begin"/>
        </w:r>
        <w:r>
          <w:instrText>PAGE   \* MERGEFORMAT</w:instrText>
        </w:r>
        <w:r>
          <w:fldChar w:fldCharType="separate"/>
        </w:r>
        <w:r>
          <w:rPr>
            <w:noProof/>
          </w:rPr>
          <w:t>8</w:t>
        </w:r>
        <w:r>
          <w:fldChar w:fldCharType="end"/>
        </w:r>
      </w:p>
    </w:sdtContent>
  </w:sdt>
  <w:p w14:paraId="4ED290FE" w14:textId="77777777" w:rsidR="00181DBB" w:rsidRDefault="00181DB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B022A" w14:textId="77777777" w:rsidR="005240A4" w:rsidRDefault="005240A4">
      <w:r>
        <w:separator/>
      </w:r>
    </w:p>
  </w:footnote>
  <w:footnote w:type="continuationSeparator" w:id="0">
    <w:p w14:paraId="43631531" w14:textId="77777777" w:rsidR="005240A4" w:rsidRDefault="0052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94CA2" w14:textId="77777777" w:rsidR="00181DBB" w:rsidRPr="0024067A" w:rsidRDefault="00181DBB">
    <w:pPr>
      <w:pStyle w:val="Hlavik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21509" w14:textId="77777777" w:rsidR="00181DBB" w:rsidRPr="0024067A" w:rsidRDefault="00181DBB">
    <w:pPr>
      <w:pStyle w:val="Hlavika"/>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80030" w14:textId="09DDE897" w:rsidR="00181DBB" w:rsidRPr="0024067A" w:rsidRDefault="00181DBB" w:rsidP="00E006A7">
    <w:pPr>
      <w:pStyle w:val="Hlavika"/>
      <w:jc w:val="right"/>
    </w:pPr>
  </w:p>
  <w:p w14:paraId="5DEC2307" w14:textId="77777777" w:rsidR="00181DBB" w:rsidRDefault="00181DBB">
    <w:pPr>
      <w:pStyle w:val="Hlavika"/>
      <w:rPr>
        <w:noProof/>
        <w:lang w:eastAsia="sk-SK"/>
      </w:rPr>
    </w:pPr>
  </w:p>
  <w:p w14:paraId="4708AB78" w14:textId="77777777" w:rsidR="00181DBB" w:rsidRDefault="00181DB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460A"/>
    <w:multiLevelType w:val="hybridMultilevel"/>
    <w:tmpl w:val="86B8D38C"/>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70F0DB3"/>
    <w:multiLevelType w:val="hybridMultilevel"/>
    <w:tmpl w:val="3A38D1A6"/>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2" w15:restartNumberingAfterBreak="0">
    <w:nsid w:val="097C0328"/>
    <w:multiLevelType w:val="hybridMultilevel"/>
    <w:tmpl w:val="67B270B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4" w15:restartNumberingAfterBreak="0">
    <w:nsid w:val="0D471133"/>
    <w:multiLevelType w:val="hybridMultilevel"/>
    <w:tmpl w:val="15EA2648"/>
    <w:lvl w:ilvl="0" w:tplc="49FE04AC">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FCB195C"/>
    <w:multiLevelType w:val="hybridMultilevel"/>
    <w:tmpl w:val="BA109C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E93C51"/>
    <w:multiLevelType w:val="hybridMultilevel"/>
    <w:tmpl w:val="9A8C9538"/>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2061723"/>
    <w:multiLevelType w:val="hybridMultilevel"/>
    <w:tmpl w:val="B5783B42"/>
    <w:lvl w:ilvl="0" w:tplc="49FE04A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124633FD"/>
    <w:multiLevelType w:val="hybridMultilevel"/>
    <w:tmpl w:val="75EA2EB6"/>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1483092B"/>
    <w:multiLevelType w:val="hybridMultilevel"/>
    <w:tmpl w:val="A9FCB43C"/>
    <w:lvl w:ilvl="0" w:tplc="B972E48E">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18CB67E0"/>
    <w:multiLevelType w:val="hybridMultilevel"/>
    <w:tmpl w:val="0F5C81C8"/>
    <w:lvl w:ilvl="0" w:tplc="7D9C6B6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15:restartNumberingAfterBreak="0">
    <w:nsid w:val="1E084959"/>
    <w:multiLevelType w:val="hybridMultilevel"/>
    <w:tmpl w:val="41000650"/>
    <w:lvl w:ilvl="0" w:tplc="6FC2BE4E">
      <w:start w:val="7"/>
      <w:numFmt w:val="bullet"/>
      <w:lvlText w:val="-"/>
      <w:lvlJc w:val="left"/>
      <w:pPr>
        <w:ind w:left="720" w:hanging="360"/>
      </w:pPr>
      <w:rPr>
        <w:rFonts w:ascii="Calibri Light" w:eastAsia="Times New Roman" w:hAnsi="Calibri Light" w:cs="Calibri Light"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4505461"/>
    <w:multiLevelType w:val="hybridMultilevel"/>
    <w:tmpl w:val="3ADA4084"/>
    <w:lvl w:ilvl="0" w:tplc="49FE04AC">
      <w:start w:val="1"/>
      <w:numFmt w:val="bullet"/>
      <w:lvlText w:val=""/>
      <w:lvlJc w:val="left"/>
      <w:pPr>
        <w:ind w:left="375" w:hanging="360"/>
      </w:pPr>
      <w:rPr>
        <w:rFonts w:ascii="Symbol" w:hAnsi="Symbol" w:hint="default"/>
      </w:rPr>
    </w:lvl>
    <w:lvl w:ilvl="1" w:tplc="041B0003" w:tentative="1">
      <w:start w:val="1"/>
      <w:numFmt w:val="bullet"/>
      <w:lvlText w:val="o"/>
      <w:lvlJc w:val="left"/>
      <w:pPr>
        <w:ind w:left="1095" w:hanging="360"/>
      </w:pPr>
      <w:rPr>
        <w:rFonts w:ascii="Courier New" w:hAnsi="Courier New" w:cs="Courier New" w:hint="default"/>
      </w:rPr>
    </w:lvl>
    <w:lvl w:ilvl="2" w:tplc="041B0005" w:tentative="1">
      <w:start w:val="1"/>
      <w:numFmt w:val="bullet"/>
      <w:lvlText w:val=""/>
      <w:lvlJc w:val="left"/>
      <w:pPr>
        <w:ind w:left="1815" w:hanging="360"/>
      </w:pPr>
      <w:rPr>
        <w:rFonts w:ascii="Wingdings" w:hAnsi="Wingdings" w:hint="default"/>
      </w:rPr>
    </w:lvl>
    <w:lvl w:ilvl="3" w:tplc="041B0001" w:tentative="1">
      <w:start w:val="1"/>
      <w:numFmt w:val="bullet"/>
      <w:lvlText w:val=""/>
      <w:lvlJc w:val="left"/>
      <w:pPr>
        <w:ind w:left="2535" w:hanging="360"/>
      </w:pPr>
      <w:rPr>
        <w:rFonts w:ascii="Symbol" w:hAnsi="Symbol" w:hint="default"/>
      </w:rPr>
    </w:lvl>
    <w:lvl w:ilvl="4" w:tplc="041B0003" w:tentative="1">
      <w:start w:val="1"/>
      <w:numFmt w:val="bullet"/>
      <w:lvlText w:val="o"/>
      <w:lvlJc w:val="left"/>
      <w:pPr>
        <w:ind w:left="3255" w:hanging="360"/>
      </w:pPr>
      <w:rPr>
        <w:rFonts w:ascii="Courier New" w:hAnsi="Courier New" w:cs="Courier New" w:hint="default"/>
      </w:rPr>
    </w:lvl>
    <w:lvl w:ilvl="5" w:tplc="041B0005" w:tentative="1">
      <w:start w:val="1"/>
      <w:numFmt w:val="bullet"/>
      <w:lvlText w:val=""/>
      <w:lvlJc w:val="left"/>
      <w:pPr>
        <w:ind w:left="3975" w:hanging="360"/>
      </w:pPr>
      <w:rPr>
        <w:rFonts w:ascii="Wingdings" w:hAnsi="Wingdings" w:hint="default"/>
      </w:rPr>
    </w:lvl>
    <w:lvl w:ilvl="6" w:tplc="041B0001" w:tentative="1">
      <w:start w:val="1"/>
      <w:numFmt w:val="bullet"/>
      <w:lvlText w:val=""/>
      <w:lvlJc w:val="left"/>
      <w:pPr>
        <w:ind w:left="4695" w:hanging="360"/>
      </w:pPr>
      <w:rPr>
        <w:rFonts w:ascii="Symbol" w:hAnsi="Symbol" w:hint="default"/>
      </w:rPr>
    </w:lvl>
    <w:lvl w:ilvl="7" w:tplc="041B0003" w:tentative="1">
      <w:start w:val="1"/>
      <w:numFmt w:val="bullet"/>
      <w:lvlText w:val="o"/>
      <w:lvlJc w:val="left"/>
      <w:pPr>
        <w:ind w:left="5415" w:hanging="360"/>
      </w:pPr>
      <w:rPr>
        <w:rFonts w:ascii="Courier New" w:hAnsi="Courier New" w:cs="Courier New" w:hint="default"/>
      </w:rPr>
    </w:lvl>
    <w:lvl w:ilvl="8" w:tplc="041B0005" w:tentative="1">
      <w:start w:val="1"/>
      <w:numFmt w:val="bullet"/>
      <w:lvlText w:val=""/>
      <w:lvlJc w:val="left"/>
      <w:pPr>
        <w:ind w:left="6135" w:hanging="360"/>
      </w:pPr>
      <w:rPr>
        <w:rFonts w:ascii="Wingdings" w:hAnsi="Wingdings" w:hint="default"/>
      </w:rPr>
    </w:lvl>
  </w:abstractNum>
  <w:abstractNum w:abstractNumId="14" w15:restartNumberingAfterBreak="0">
    <w:nsid w:val="24580BB4"/>
    <w:multiLevelType w:val="hybridMultilevel"/>
    <w:tmpl w:val="498499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27A93704"/>
    <w:multiLevelType w:val="hybridMultilevel"/>
    <w:tmpl w:val="FA90F3A4"/>
    <w:lvl w:ilvl="0" w:tplc="041B000F">
      <w:start w:val="3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27DE2596"/>
    <w:multiLevelType w:val="hybridMultilevel"/>
    <w:tmpl w:val="3B1888C4"/>
    <w:lvl w:ilvl="0" w:tplc="49FE04AC">
      <w:start w:val="1"/>
      <w:numFmt w:val="bullet"/>
      <w:lvlText w:val=""/>
      <w:lvlJc w:val="left"/>
      <w:pPr>
        <w:ind w:left="735" w:hanging="360"/>
      </w:pPr>
      <w:rPr>
        <w:rFonts w:ascii="Symbol" w:hAnsi="Symbol" w:hint="default"/>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18" w15:restartNumberingAfterBreak="0">
    <w:nsid w:val="28AA3C0D"/>
    <w:multiLevelType w:val="hybridMultilevel"/>
    <w:tmpl w:val="9FF04590"/>
    <w:lvl w:ilvl="0" w:tplc="041B000F">
      <w:start w:val="3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F296D73"/>
    <w:multiLevelType w:val="hybridMultilevel"/>
    <w:tmpl w:val="4E4E6272"/>
    <w:lvl w:ilvl="0" w:tplc="B972E48E">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30C413AE"/>
    <w:multiLevelType w:val="hybridMultilevel"/>
    <w:tmpl w:val="6904268C"/>
    <w:lvl w:ilvl="0" w:tplc="D8FCB7A4">
      <w:start w:val="1"/>
      <w:numFmt w:val="bullet"/>
      <w:lvlText w:val="-"/>
      <w:lvlJc w:val="left"/>
      <w:pPr>
        <w:ind w:left="720" w:hanging="360"/>
      </w:pPr>
      <w:rPr>
        <w:rFonts w:ascii="Calibri Light" w:eastAsia="Calibr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2341F1C"/>
    <w:multiLevelType w:val="hybridMultilevel"/>
    <w:tmpl w:val="2EEECBB6"/>
    <w:lvl w:ilvl="0" w:tplc="6FC2BE4E">
      <w:start w:val="7"/>
      <w:numFmt w:val="bullet"/>
      <w:lvlText w:val="-"/>
      <w:lvlJc w:val="left"/>
      <w:pPr>
        <w:ind w:left="720" w:hanging="360"/>
      </w:pPr>
      <w:rPr>
        <w:rFonts w:ascii="Calibri Light" w:eastAsia="Times New Roman"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3" w15:restartNumberingAfterBreak="0">
    <w:nsid w:val="3EEE616B"/>
    <w:multiLevelType w:val="hybridMultilevel"/>
    <w:tmpl w:val="1B66904E"/>
    <w:lvl w:ilvl="0" w:tplc="C172B8E0">
      <w:start w:val="11"/>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2B25E07"/>
    <w:multiLevelType w:val="hybridMultilevel"/>
    <w:tmpl w:val="028ABCD4"/>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42E0558A"/>
    <w:multiLevelType w:val="hybridMultilevel"/>
    <w:tmpl w:val="8FB0D980"/>
    <w:lvl w:ilvl="0" w:tplc="49FE04A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45B205A6"/>
    <w:multiLevelType w:val="hybridMultilevel"/>
    <w:tmpl w:val="8A06996A"/>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29"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0" w15:restartNumberingAfterBreak="0">
    <w:nsid w:val="47B771D7"/>
    <w:multiLevelType w:val="hybridMultilevel"/>
    <w:tmpl w:val="A0AA0FD0"/>
    <w:lvl w:ilvl="0" w:tplc="2254616A">
      <w:start w:val="1"/>
      <w:numFmt w:val="decimal"/>
      <w:lvlText w:val="%1."/>
      <w:lvlJc w:val="left"/>
      <w:pPr>
        <w:ind w:left="465" w:hanging="360"/>
      </w:pPr>
      <w:rPr>
        <w:rFonts w:hint="default"/>
      </w:rPr>
    </w:lvl>
    <w:lvl w:ilvl="1" w:tplc="041B0019" w:tentative="1">
      <w:start w:val="1"/>
      <w:numFmt w:val="lowerLetter"/>
      <w:lvlText w:val="%2."/>
      <w:lvlJc w:val="left"/>
      <w:pPr>
        <w:ind w:left="1185" w:hanging="360"/>
      </w:pPr>
    </w:lvl>
    <w:lvl w:ilvl="2" w:tplc="041B001B" w:tentative="1">
      <w:start w:val="1"/>
      <w:numFmt w:val="lowerRoman"/>
      <w:lvlText w:val="%3."/>
      <w:lvlJc w:val="right"/>
      <w:pPr>
        <w:ind w:left="1905" w:hanging="180"/>
      </w:pPr>
    </w:lvl>
    <w:lvl w:ilvl="3" w:tplc="041B000F" w:tentative="1">
      <w:start w:val="1"/>
      <w:numFmt w:val="decimal"/>
      <w:lvlText w:val="%4."/>
      <w:lvlJc w:val="left"/>
      <w:pPr>
        <w:ind w:left="2625" w:hanging="360"/>
      </w:pPr>
    </w:lvl>
    <w:lvl w:ilvl="4" w:tplc="041B0019" w:tentative="1">
      <w:start w:val="1"/>
      <w:numFmt w:val="lowerLetter"/>
      <w:lvlText w:val="%5."/>
      <w:lvlJc w:val="left"/>
      <w:pPr>
        <w:ind w:left="3345" w:hanging="360"/>
      </w:pPr>
    </w:lvl>
    <w:lvl w:ilvl="5" w:tplc="041B001B" w:tentative="1">
      <w:start w:val="1"/>
      <w:numFmt w:val="lowerRoman"/>
      <w:lvlText w:val="%6."/>
      <w:lvlJc w:val="right"/>
      <w:pPr>
        <w:ind w:left="4065" w:hanging="180"/>
      </w:pPr>
    </w:lvl>
    <w:lvl w:ilvl="6" w:tplc="041B000F" w:tentative="1">
      <w:start w:val="1"/>
      <w:numFmt w:val="decimal"/>
      <w:lvlText w:val="%7."/>
      <w:lvlJc w:val="left"/>
      <w:pPr>
        <w:ind w:left="4785" w:hanging="360"/>
      </w:pPr>
    </w:lvl>
    <w:lvl w:ilvl="7" w:tplc="041B0019" w:tentative="1">
      <w:start w:val="1"/>
      <w:numFmt w:val="lowerLetter"/>
      <w:lvlText w:val="%8."/>
      <w:lvlJc w:val="left"/>
      <w:pPr>
        <w:ind w:left="5505" w:hanging="360"/>
      </w:pPr>
    </w:lvl>
    <w:lvl w:ilvl="8" w:tplc="041B001B" w:tentative="1">
      <w:start w:val="1"/>
      <w:numFmt w:val="lowerRoman"/>
      <w:lvlText w:val="%9."/>
      <w:lvlJc w:val="right"/>
      <w:pPr>
        <w:ind w:left="6225" w:hanging="180"/>
      </w:pPr>
    </w:lvl>
  </w:abstractNum>
  <w:abstractNum w:abstractNumId="31" w15:restartNumberingAfterBreak="0">
    <w:nsid w:val="49C25F9E"/>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32" w15:restartNumberingAfterBreak="0">
    <w:nsid w:val="4AAF4E28"/>
    <w:multiLevelType w:val="hybridMultilevel"/>
    <w:tmpl w:val="65F6EDD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0DA00A9"/>
    <w:multiLevelType w:val="hybridMultilevel"/>
    <w:tmpl w:val="053E8916"/>
    <w:lvl w:ilvl="0" w:tplc="8DE615EA">
      <w:start w:val="1"/>
      <w:numFmt w:val="bullet"/>
      <w:lvlText w:val="-"/>
      <w:lvlJc w:val="left"/>
      <w:pPr>
        <w:ind w:left="360" w:hanging="360"/>
      </w:pPr>
      <w:rPr>
        <w:rFonts w:ascii="Times New Roman" w:eastAsia="Times New Roman" w:hAnsi="Times New Roman" w:cs="Times New Roman"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15:restartNumberingAfterBreak="0">
    <w:nsid w:val="54742E70"/>
    <w:multiLevelType w:val="hybridMultilevel"/>
    <w:tmpl w:val="D44CE6FC"/>
    <w:lvl w:ilvl="0" w:tplc="FBA230A6">
      <w:start w:val="11"/>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5" w15:restartNumberingAfterBreak="0">
    <w:nsid w:val="57425073"/>
    <w:multiLevelType w:val="hybridMultilevel"/>
    <w:tmpl w:val="43405646"/>
    <w:lvl w:ilvl="0" w:tplc="ADC6FE98">
      <w:start w:val="5"/>
      <w:numFmt w:val="decimal"/>
      <w:lvlText w:val="%1."/>
      <w:lvlJc w:val="left"/>
      <w:pPr>
        <w:tabs>
          <w:tab w:val="num" w:pos="540"/>
        </w:tabs>
        <w:ind w:left="5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37" w15:restartNumberingAfterBreak="0">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15:restartNumberingAfterBreak="0">
    <w:nsid w:val="69F11C3C"/>
    <w:multiLevelType w:val="hybridMultilevel"/>
    <w:tmpl w:val="AB348A18"/>
    <w:lvl w:ilvl="0" w:tplc="64B8417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AA213B4"/>
    <w:multiLevelType w:val="hybridMultilevel"/>
    <w:tmpl w:val="A1BA0F6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6C513955"/>
    <w:multiLevelType w:val="hybridMultilevel"/>
    <w:tmpl w:val="7D4E802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72417971"/>
    <w:multiLevelType w:val="hybridMultilevel"/>
    <w:tmpl w:val="6D3AA53E"/>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73C77A99"/>
    <w:multiLevelType w:val="hybridMultilevel"/>
    <w:tmpl w:val="0FC09930"/>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15:restartNumberingAfterBreak="0">
    <w:nsid w:val="762700E6"/>
    <w:multiLevelType w:val="hybridMultilevel"/>
    <w:tmpl w:val="FFD2E028"/>
    <w:lvl w:ilvl="0" w:tplc="FB4059A8">
      <w:start w:val="1"/>
      <w:numFmt w:val="decimal"/>
      <w:lvlText w:val="%1."/>
      <w:lvlJc w:val="left"/>
      <w:pPr>
        <w:ind w:left="720" w:hanging="360"/>
      </w:pPr>
      <w:rPr>
        <w:rFonts w:hint="default"/>
        <w:b/>
        <w:sz w:val="3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B0D031B"/>
    <w:multiLevelType w:val="hybridMultilevel"/>
    <w:tmpl w:val="8920F6F4"/>
    <w:lvl w:ilvl="0" w:tplc="016C0336">
      <w:start w:val="3"/>
      <w:numFmt w:val="bullet"/>
      <w:lvlText w:val="-"/>
      <w:lvlJc w:val="left"/>
      <w:pPr>
        <w:ind w:left="720" w:hanging="360"/>
      </w:pPr>
      <w:rPr>
        <w:rFonts w:ascii="Times New Roman" w:eastAsiaTheme="minorEastAsia"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CF926B5"/>
    <w:multiLevelType w:val="hybridMultilevel"/>
    <w:tmpl w:val="5B842E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F3852E1"/>
    <w:multiLevelType w:val="hybridMultilevel"/>
    <w:tmpl w:val="6F56B7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6"/>
    <w:lvlOverride w:ilvl="0">
      <w:startOverride w:val="1"/>
    </w:lvlOverride>
  </w:num>
  <w:num w:numId="2">
    <w:abstractNumId w:val="11"/>
  </w:num>
  <w:num w:numId="3">
    <w:abstractNumId w:val="28"/>
  </w:num>
  <w:num w:numId="4">
    <w:abstractNumId w:val="29"/>
  </w:num>
  <w:num w:numId="5">
    <w:abstractNumId w:val="22"/>
  </w:num>
  <w:num w:numId="6">
    <w:abstractNumId w:val="24"/>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6"/>
  </w:num>
  <w:num w:numId="10">
    <w:abstractNumId w:val="32"/>
  </w:num>
  <w:num w:numId="11">
    <w:abstractNumId w:val="4"/>
  </w:num>
  <w:num w:numId="12">
    <w:abstractNumId w:val="9"/>
  </w:num>
  <w:num w:numId="13">
    <w:abstractNumId w:val="21"/>
  </w:num>
  <w:num w:numId="14">
    <w:abstractNumId w:val="42"/>
  </w:num>
  <w:num w:numId="15">
    <w:abstractNumId w:val="8"/>
  </w:num>
  <w:num w:numId="16">
    <w:abstractNumId w:val="0"/>
  </w:num>
  <w:num w:numId="17">
    <w:abstractNumId w:val="12"/>
  </w:num>
  <w:num w:numId="18">
    <w:abstractNumId w:val="7"/>
  </w:num>
  <w:num w:numId="19">
    <w:abstractNumId w:val="41"/>
  </w:num>
  <w:num w:numId="20">
    <w:abstractNumId w:val="2"/>
  </w:num>
  <w:num w:numId="21">
    <w:abstractNumId w:val="43"/>
  </w:num>
  <w:num w:numId="22">
    <w:abstractNumId w:val="19"/>
  </w:num>
  <w:num w:numId="23">
    <w:abstractNumId w:val="34"/>
  </w:num>
  <w:num w:numId="24">
    <w:abstractNumId w:val="23"/>
  </w:num>
  <w:num w:numId="25">
    <w:abstractNumId w:val="6"/>
  </w:num>
  <w:num w:numId="26">
    <w:abstractNumId w:val="16"/>
  </w:num>
  <w:num w:numId="27">
    <w:abstractNumId w:val="18"/>
  </w:num>
  <w:num w:numId="28">
    <w:abstractNumId w:val="33"/>
  </w:num>
  <w:num w:numId="29">
    <w:abstractNumId w:val="30"/>
  </w:num>
  <w:num w:numId="30">
    <w:abstractNumId w:val="13"/>
  </w:num>
  <w:num w:numId="31">
    <w:abstractNumId w:val="17"/>
  </w:num>
  <w:num w:numId="32">
    <w:abstractNumId w:val="44"/>
  </w:num>
  <w:num w:numId="33">
    <w:abstractNumId w:val="27"/>
  </w:num>
  <w:num w:numId="34">
    <w:abstractNumId w:val="15"/>
  </w:num>
  <w:num w:numId="35">
    <w:abstractNumId w:val="26"/>
  </w:num>
  <w:num w:numId="36">
    <w:abstractNumId w:val="40"/>
  </w:num>
  <w:num w:numId="37">
    <w:abstractNumId w:val="5"/>
  </w:num>
  <w:num w:numId="38">
    <w:abstractNumId w:val="20"/>
  </w:num>
  <w:num w:numId="39">
    <w:abstractNumId w:val="25"/>
  </w:num>
  <w:num w:numId="40">
    <w:abstractNumId w:val="31"/>
  </w:num>
  <w:num w:numId="41">
    <w:abstractNumId w:val="1"/>
  </w:num>
  <w:num w:numId="42">
    <w:abstractNumId w:val="35"/>
  </w:num>
  <w:num w:numId="43">
    <w:abstractNumId w:val="10"/>
  </w:num>
  <w:num w:numId="44">
    <w:abstractNumId w:val="14"/>
  </w:num>
  <w:num w:numId="45">
    <w:abstractNumId w:val="45"/>
  </w:num>
  <w:num w:numId="46">
    <w:abstractNumId w:val="46"/>
  </w:num>
  <w:num w:numId="47">
    <w:abstractNumId w:val="38"/>
  </w:num>
  <w:num w:numId="48">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18"/>
    <w:rsid w:val="000021CE"/>
    <w:rsid w:val="00002D60"/>
    <w:rsid w:val="000047CE"/>
    <w:rsid w:val="00005081"/>
    <w:rsid w:val="00005578"/>
    <w:rsid w:val="0000668E"/>
    <w:rsid w:val="000066CF"/>
    <w:rsid w:val="00007530"/>
    <w:rsid w:val="000108F8"/>
    <w:rsid w:val="00010D2B"/>
    <w:rsid w:val="00010EC9"/>
    <w:rsid w:val="0001102F"/>
    <w:rsid w:val="00011338"/>
    <w:rsid w:val="00012083"/>
    <w:rsid w:val="000135F1"/>
    <w:rsid w:val="00013A5D"/>
    <w:rsid w:val="00013F4F"/>
    <w:rsid w:val="00017179"/>
    <w:rsid w:val="000177E9"/>
    <w:rsid w:val="0002045F"/>
    <w:rsid w:val="00020743"/>
    <w:rsid w:val="0002109C"/>
    <w:rsid w:val="00021735"/>
    <w:rsid w:val="00022935"/>
    <w:rsid w:val="000238F5"/>
    <w:rsid w:val="0002698D"/>
    <w:rsid w:val="0002716F"/>
    <w:rsid w:val="00030D29"/>
    <w:rsid w:val="000319DA"/>
    <w:rsid w:val="00032D7C"/>
    <w:rsid w:val="00033BF8"/>
    <w:rsid w:val="00033DCA"/>
    <w:rsid w:val="00033FFE"/>
    <w:rsid w:val="00034934"/>
    <w:rsid w:val="00034F62"/>
    <w:rsid w:val="00035512"/>
    <w:rsid w:val="000356E7"/>
    <w:rsid w:val="00036B88"/>
    <w:rsid w:val="00036E65"/>
    <w:rsid w:val="0004031A"/>
    <w:rsid w:val="00041C3B"/>
    <w:rsid w:val="0004367A"/>
    <w:rsid w:val="000436C5"/>
    <w:rsid w:val="00043733"/>
    <w:rsid w:val="00044D0A"/>
    <w:rsid w:val="0004616C"/>
    <w:rsid w:val="00046AC8"/>
    <w:rsid w:val="000476FE"/>
    <w:rsid w:val="0005369A"/>
    <w:rsid w:val="000609D3"/>
    <w:rsid w:val="00060D0C"/>
    <w:rsid w:val="000611E9"/>
    <w:rsid w:val="000617B3"/>
    <w:rsid w:val="00063C01"/>
    <w:rsid w:val="00064C09"/>
    <w:rsid w:val="000659F3"/>
    <w:rsid w:val="00067330"/>
    <w:rsid w:val="00067BF3"/>
    <w:rsid w:val="00071982"/>
    <w:rsid w:val="00072EE8"/>
    <w:rsid w:val="00073BF2"/>
    <w:rsid w:val="0007479F"/>
    <w:rsid w:val="000757CE"/>
    <w:rsid w:val="00075C81"/>
    <w:rsid w:val="00077E38"/>
    <w:rsid w:val="00080335"/>
    <w:rsid w:val="0008284E"/>
    <w:rsid w:val="00084484"/>
    <w:rsid w:val="000855B6"/>
    <w:rsid w:val="00086284"/>
    <w:rsid w:val="0008674B"/>
    <w:rsid w:val="000904C3"/>
    <w:rsid w:val="00090545"/>
    <w:rsid w:val="000911F4"/>
    <w:rsid w:val="00091327"/>
    <w:rsid w:val="000933F0"/>
    <w:rsid w:val="000946BD"/>
    <w:rsid w:val="00094E2B"/>
    <w:rsid w:val="00096993"/>
    <w:rsid w:val="00096CCE"/>
    <w:rsid w:val="000972AA"/>
    <w:rsid w:val="0009750F"/>
    <w:rsid w:val="000A0451"/>
    <w:rsid w:val="000A1443"/>
    <w:rsid w:val="000A1B0D"/>
    <w:rsid w:val="000A2505"/>
    <w:rsid w:val="000A328C"/>
    <w:rsid w:val="000A6C18"/>
    <w:rsid w:val="000A7F59"/>
    <w:rsid w:val="000B022D"/>
    <w:rsid w:val="000B0F93"/>
    <w:rsid w:val="000B27FD"/>
    <w:rsid w:val="000B2AED"/>
    <w:rsid w:val="000B54C6"/>
    <w:rsid w:val="000B59A7"/>
    <w:rsid w:val="000B5AEA"/>
    <w:rsid w:val="000B5F3A"/>
    <w:rsid w:val="000B7711"/>
    <w:rsid w:val="000C088E"/>
    <w:rsid w:val="000C0A48"/>
    <w:rsid w:val="000C2CC3"/>
    <w:rsid w:val="000C3D60"/>
    <w:rsid w:val="000C40A5"/>
    <w:rsid w:val="000C4A08"/>
    <w:rsid w:val="000C59C9"/>
    <w:rsid w:val="000C5AAE"/>
    <w:rsid w:val="000C5ACC"/>
    <w:rsid w:val="000C5B60"/>
    <w:rsid w:val="000D0E40"/>
    <w:rsid w:val="000D12FB"/>
    <w:rsid w:val="000D283D"/>
    <w:rsid w:val="000D293C"/>
    <w:rsid w:val="000D482C"/>
    <w:rsid w:val="000D48EA"/>
    <w:rsid w:val="000D49EC"/>
    <w:rsid w:val="000D5B2B"/>
    <w:rsid w:val="000D7A0F"/>
    <w:rsid w:val="000E10D8"/>
    <w:rsid w:val="000E139C"/>
    <w:rsid w:val="000E1560"/>
    <w:rsid w:val="000E1726"/>
    <w:rsid w:val="000E2783"/>
    <w:rsid w:val="000E4E86"/>
    <w:rsid w:val="000E4FBC"/>
    <w:rsid w:val="000E5021"/>
    <w:rsid w:val="000F04C7"/>
    <w:rsid w:val="000F05C1"/>
    <w:rsid w:val="000F131C"/>
    <w:rsid w:val="000F1DE2"/>
    <w:rsid w:val="000F200C"/>
    <w:rsid w:val="000F350C"/>
    <w:rsid w:val="000F3982"/>
    <w:rsid w:val="000F487C"/>
    <w:rsid w:val="000F5EF6"/>
    <w:rsid w:val="000F6B06"/>
    <w:rsid w:val="00100168"/>
    <w:rsid w:val="00100940"/>
    <w:rsid w:val="00100DAF"/>
    <w:rsid w:val="00103CA8"/>
    <w:rsid w:val="00104706"/>
    <w:rsid w:val="00106F90"/>
    <w:rsid w:val="00110117"/>
    <w:rsid w:val="00110363"/>
    <w:rsid w:val="00111AC6"/>
    <w:rsid w:val="00112E3C"/>
    <w:rsid w:val="0011407E"/>
    <w:rsid w:val="001156F1"/>
    <w:rsid w:val="00115717"/>
    <w:rsid w:val="00115EC8"/>
    <w:rsid w:val="00116036"/>
    <w:rsid w:val="00116D86"/>
    <w:rsid w:val="00117295"/>
    <w:rsid w:val="00117338"/>
    <w:rsid w:val="001178F0"/>
    <w:rsid w:val="0011798C"/>
    <w:rsid w:val="00117EB7"/>
    <w:rsid w:val="00120357"/>
    <w:rsid w:val="00121B1A"/>
    <w:rsid w:val="00121E3C"/>
    <w:rsid w:val="00122E0A"/>
    <w:rsid w:val="00124A1F"/>
    <w:rsid w:val="00125646"/>
    <w:rsid w:val="00127064"/>
    <w:rsid w:val="0012710C"/>
    <w:rsid w:val="00127135"/>
    <w:rsid w:val="00130C09"/>
    <w:rsid w:val="001314A8"/>
    <w:rsid w:val="00131E4D"/>
    <w:rsid w:val="00135965"/>
    <w:rsid w:val="00136077"/>
    <w:rsid w:val="00140FE6"/>
    <w:rsid w:val="00141B73"/>
    <w:rsid w:val="00143C8C"/>
    <w:rsid w:val="00144EDE"/>
    <w:rsid w:val="0014571C"/>
    <w:rsid w:val="00150607"/>
    <w:rsid w:val="001513B5"/>
    <w:rsid w:val="001547F1"/>
    <w:rsid w:val="0015494A"/>
    <w:rsid w:val="0015560F"/>
    <w:rsid w:val="00156EEC"/>
    <w:rsid w:val="001615BE"/>
    <w:rsid w:val="00161ADF"/>
    <w:rsid w:val="00161B60"/>
    <w:rsid w:val="00162002"/>
    <w:rsid w:val="001639DF"/>
    <w:rsid w:val="00165D2C"/>
    <w:rsid w:val="00166371"/>
    <w:rsid w:val="001675BE"/>
    <w:rsid w:val="0017015D"/>
    <w:rsid w:val="00170246"/>
    <w:rsid w:val="001705D1"/>
    <w:rsid w:val="00174177"/>
    <w:rsid w:val="00174246"/>
    <w:rsid w:val="001745EF"/>
    <w:rsid w:val="00175A8B"/>
    <w:rsid w:val="00175E12"/>
    <w:rsid w:val="0017716C"/>
    <w:rsid w:val="00180A20"/>
    <w:rsid w:val="00181A19"/>
    <w:rsid w:val="00181DBB"/>
    <w:rsid w:val="001824F9"/>
    <w:rsid w:val="00182652"/>
    <w:rsid w:val="001830C7"/>
    <w:rsid w:val="0018494B"/>
    <w:rsid w:val="00184C81"/>
    <w:rsid w:val="001856FC"/>
    <w:rsid w:val="001869A4"/>
    <w:rsid w:val="00187C03"/>
    <w:rsid w:val="00190FA0"/>
    <w:rsid w:val="00191DC5"/>
    <w:rsid w:val="00192547"/>
    <w:rsid w:val="00192963"/>
    <w:rsid w:val="00197B59"/>
    <w:rsid w:val="001A0DA1"/>
    <w:rsid w:val="001A165C"/>
    <w:rsid w:val="001A2280"/>
    <w:rsid w:val="001A56F4"/>
    <w:rsid w:val="001A6405"/>
    <w:rsid w:val="001A7A7E"/>
    <w:rsid w:val="001B0648"/>
    <w:rsid w:val="001B47B6"/>
    <w:rsid w:val="001B58B9"/>
    <w:rsid w:val="001C001B"/>
    <w:rsid w:val="001C021E"/>
    <w:rsid w:val="001C03CF"/>
    <w:rsid w:val="001C0AB9"/>
    <w:rsid w:val="001C1423"/>
    <w:rsid w:val="001C14CC"/>
    <w:rsid w:val="001C28F6"/>
    <w:rsid w:val="001C3EC5"/>
    <w:rsid w:val="001C4504"/>
    <w:rsid w:val="001C49A8"/>
    <w:rsid w:val="001D0B90"/>
    <w:rsid w:val="001D3350"/>
    <w:rsid w:val="001D46F1"/>
    <w:rsid w:val="001D4848"/>
    <w:rsid w:val="001D52EA"/>
    <w:rsid w:val="001D62AA"/>
    <w:rsid w:val="001E05C9"/>
    <w:rsid w:val="001E1057"/>
    <w:rsid w:val="001E1C9C"/>
    <w:rsid w:val="001E1EB2"/>
    <w:rsid w:val="001E2F8C"/>
    <w:rsid w:val="001E320E"/>
    <w:rsid w:val="001E327B"/>
    <w:rsid w:val="001E3C45"/>
    <w:rsid w:val="001E4186"/>
    <w:rsid w:val="001E41AD"/>
    <w:rsid w:val="001E496D"/>
    <w:rsid w:val="001F0536"/>
    <w:rsid w:val="001F0BB1"/>
    <w:rsid w:val="001F119E"/>
    <w:rsid w:val="001F2770"/>
    <w:rsid w:val="001F2BB1"/>
    <w:rsid w:val="001F5F89"/>
    <w:rsid w:val="002000B7"/>
    <w:rsid w:val="00200EF1"/>
    <w:rsid w:val="00201DDC"/>
    <w:rsid w:val="00203E4B"/>
    <w:rsid w:val="0020416B"/>
    <w:rsid w:val="002044D9"/>
    <w:rsid w:val="0020507B"/>
    <w:rsid w:val="00206C6C"/>
    <w:rsid w:val="00207628"/>
    <w:rsid w:val="00207C26"/>
    <w:rsid w:val="00210113"/>
    <w:rsid w:val="00212828"/>
    <w:rsid w:val="00212C2E"/>
    <w:rsid w:val="00212C83"/>
    <w:rsid w:val="00214698"/>
    <w:rsid w:val="00214FCF"/>
    <w:rsid w:val="00215DC9"/>
    <w:rsid w:val="00216102"/>
    <w:rsid w:val="00217629"/>
    <w:rsid w:val="0022045C"/>
    <w:rsid w:val="002209F7"/>
    <w:rsid w:val="00220E0C"/>
    <w:rsid w:val="00221066"/>
    <w:rsid w:val="0022639C"/>
    <w:rsid w:val="0022705F"/>
    <w:rsid w:val="002270C4"/>
    <w:rsid w:val="002313AE"/>
    <w:rsid w:val="00231947"/>
    <w:rsid w:val="002336D5"/>
    <w:rsid w:val="00235152"/>
    <w:rsid w:val="00235192"/>
    <w:rsid w:val="00236149"/>
    <w:rsid w:val="00237715"/>
    <w:rsid w:val="00237A35"/>
    <w:rsid w:val="00240198"/>
    <w:rsid w:val="00242589"/>
    <w:rsid w:val="002442F6"/>
    <w:rsid w:val="002458A9"/>
    <w:rsid w:val="00246736"/>
    <w:rsid w:val="00246F4E"/>
    <w:rsid w:val="00251FC1"/>
    <w:rsid w:val="00252924"/>
    <w:rsid w:val="00252CED"/>
    <w:rsid w:val="00254E0F"/>
    <w:rsid w:val="00255325"/>
    <w:rsid w:val="00255B55"/>
    <w:rsid w:val="0025722C"/>
    <w:rsid w:val="00260307"/>
    <w:rsid w:val="0026045B"/>
    <w:rsid w:val="002606DB"/>
    <w:rsid w:val="00260EA5"/>
    <w:rsid w:val="00261384"/>
    <w:rsid w:val="00262BCC"/>
    <w:rsid w:val="0026609A"/>
    <w:rsid w:val="002666CE"/>
    <w:rsid w:val="00272DEF"/>
    <w:rsid w:val="00272FEF"/>
    <w:rsid w:val="00273527"/>
    <w:rsid w:val="00276477"/>
    <w:rsid w:val="002807BE"/>
    <w:rsid w:val="0028135E"/>
    <w:rsid w:val="002819EA"/>
    <w:rsid w:val="0028456B"/>
    <w:rsid w:val="002871CB"/>
    <w:rsid w:val="00291F1E"/>
    <w:rsid w:val="0029227E"/>
    <w:rsid w:val="00293038"/>
    <w:rsid w:val="00293726"/>
    <w:rsid w:val="00293FC2"/>
    <w:rsid w:val="00295488"/>
    <w:rsid w:val="00296182"/>
    <w:rsid w:val="00296BD3"/>
    <w:rsid w:val="002A1342"/>
    <w:rsid w:val="002A150E"/>
    <w:rsid w:val="002A2EFA"/>
    <w:rsid w:val="002A3E82"/>
    <w:rsid w:val="002A401A"/>
    <w:rsid w:val="002A4290"/>
    <w:rsid w:val="002A4431"/>
    <w:rsid w:val="002A4461"/>
    <w:rsid w:val="002A4A5A"/>
    <w:rsid w:val="002A56F7"/>
    <w:rsid w:val="002A77B9"/>
    <w:rsid w:val="002B1871"/>
    <w:rsid w:val="002B35FB"/>
    <w:rsid w:val="002B43F0"/>
    <w:rsid w:val="002B4EB1"/>
    <w:rsid w:val="002B6C23"/>
    <w:rsid w:val="002B78B9"/>
    <w:rsid w:val="002C2001"/>
    <w:rsid w:val="002C5FCE"/>
    <w:rsid w:val="002C61BA"/>
    <w:rsid w:val="002C669B"/>
    <w:rsid w:val="002C72EC"/>
    <w:rsid w:val="002C7310"/>
    <w:rsid w:val="002D0B47"/>
    <w:rsid w:val="002D12A8"/>
    <w:rsid w:val="002D1872"/>
    <w:rsid w:val="002D21DC"/>
    <w:rsid w:val="002D2228"/>
    <w:rsid w:val="002D5E54"/>
    <w:rsid w:val="002D686C"/>
    <w:rsid w:val="002D6AC0"/>
    <w:rsid w:val="002D741D"/>
    <w:rsid w:val="002E1577"/>
    <w:rsid w:val="002E18BF"/>
    <w:rsid w:val="002E3748"/>
    <w:rsid w:val="002E3943"/>
    <w:rsid w:val="002E4DE7"/>
    <w:rsid w:val="002E5206"/>
    <w:rsid w:val="002F01EF"/>
    <w:rsid w:val="002F05A3"/>
    <w:rsid w:val="002F05BB"/>
    <w:rsid w:val="002F0BFB"/>
    <w:rsid w:val="002F19EB"/>
    <w:rsid w:val="002F2120"/>
    <w:rsid w:val="002F2C91"/>
    <w:rsid w:val="002F3937"/>
    <w:rsid w:val="002F66F1"/>
    <w:rsid w:val="00300966"/>
    <w:rsid w:val="00301E30"/>
    <w:rsid w:val="00301F0F"/>
    <w:rsid w:val="00303F5A"/>
    <w:rsid w:val="0030497C"/>
    <w:rsid w:val="00307101"/>
    <w:rsid w:val="0030784F"/>
    <w:rsid w:val="00307D76"/>
    <w:rsid w:val="0031304A"/>
    <w:rsid w:val="00313504"/>
    <w:rsid w:val="00313A43"/>
    <w:rsid w:val="00316678"/>
    <w:rsid w:val="00316EDF"/>
    <w:rsid w:val="00317C4E"/>
    <w:rsid w:val="003209CB"/>
    <w:rsid w:val="00322A63"/>
    <w:rsid w:val="00323A70"/>
    <w:rsid w:val="0032476E"/>
    <w:rsid w:val="00325E62"/>
    <w:rsid w:val="00326C0B"/>
    <w:rsid w:val="00327B95"/>
    <w:rsid w:val="003307A2"/>
    <w:rsid w:val="00331F8C"/>
    <w:rsid w:val="003320C6"/>
    <w:rsid w:val="00334C2D"/>
    <w:rsid w:val="00335D6C"/>
    <w:rsid w:val="00336995"/>
    <w:rsid w:val="0034160C"/>
    <w:rsid w:val="003422F5"/>
    <w:rsid w:val="003455CE"/>
    <w:rsid w:val="00347EDC"/>
    <w:rsid w:val="0035193A"/>
    <w:rsid w:val="00352871"/>
    <w:rsid w:val="00352E21"/>
    <w:rsid w:val="00356DD3"/>
    <w:rsid w:val="00360865"/>
    <w:rsid w:val="00363B1D"/>
    <w:rsid w:val="003660B2"/>
    <w:rsid w:val="003678D1"/>
    <w:rsid w:val="00367D9E"/>
    <w:rsid w:val="00370015"/>
    <w:rsid w:val="003706C6"/>
    <w:rsid w:val="00372C00"/>
    <w:rsid w:val="003745F3"/>
    <w:rsid w:val="003746AA"/>
    <w:rsid w:val="00375E42"/>
    <w:rsid w:val="00376CDD"/>
    <w:rsid w:val="003772FE"/>
    <w:rsid w:val="0038082D"/>
    <w:rsid w:val="00381131"/>
    <w:rsid w:val="0038151F"/>
    <w:rsid w:val="003816DC"/>
    <w:rsid w:val="00381B69"/>
    <w:rsid w:val="00381B86"/>
    <w:rsid w:val="003827E7"/>
    <w:rsid w:val="003829F1"/>
    <w:rsid w:val="0038338E"/>
    <w:rsid w:val="003835AC"/>
    <w:rsid w:val="00383EDE"/>
    <w:rsid w:val="00384DD2"/>
    <w:rsid w:val="0038580F"/>
    <w:rsid w:val="00385997"/>
    <w:rsid w:val="00385B24"/>
    <w:rsid w:val="00386BFB"/>
    <w:rsid w:val="00386E9E"/>
    <w:rsid w:val="00387B7C"/>
    <w:rsid w:val="003901FF"/>
    <w:rsid w:val="00391A17"/>
    <w:rsid w:val="00392BC7"/>
    <w:rsid w:val="00394D77"/>
    <w:rsid w:val="00395104"/>
    <w:rsid w:val="00396546"/>
    <w:rsid w:val="003A0073"/>
    <w:rsid w:val="003A07BF"/>
    <w:rsid w:val="003A1ECD"/>
    <w:rsid w:val="003A2AC2"/>
    <w:rsid w:val="003A2D07"/>
    <w:rsid w:val="003A36F2"/>
    <w:rsid w:val="003A4294"/>
    <w:rsid w:val="003A59E9"/>
    <w:rsid w:val="003A5AE6"/>
    <w:rsid w:val="003A5CA6"/>
    <w:rsid w:val="003A6784"/>
    <w:rsid w:val="003B02D5"/>
    <w:rsid w:val="003B1129"/>
    <w:rsid w:val="003B2394"/>
    <w:rsid w:val="003B28BF"/>
    <w:rsid w:val="003B363A"/>
    <w:rsid w:val="003B3A76"/>
    <w:rsid w:val="003B3F9F"/>
    <w:rsid w:val="003B4900"/>
    <w:rsid w:val="003B777D"/>
    <w:rsid w:val="003B787D"/>
    <w:rsid w:val="003B7D3F"/>
    <w:rsid w:val="003C0D02"/>
    <w:rsid w:val="003C2CDD"/>
    <w:rsid w:val="003C353F"/>
    <w:rsid w:val="003C3693"/>
    <w:rsid w:val="003C3DBC"/>
    <w:rsid w:val="003C4998"/>
    <w:rsid w:val="003C4BD4"/>
    <w:rsid w:val="003C5514"/>
    <w:rsid w:val="003C5EF5"/>
    <w:rsid w:val="003C739A"/>
    <w:rsid w:val="003D1390"/>
    <w:rsid w:val="003D1983"/>
    <w:rsid w:val="003D2043"/>
    <w:rsid w:val="003D306E"/>
    <w:rsid w:val="003D55FD"/>
    <w:rsid w:val="003D5DF7"/>
    <w:rsid w:val="003D634A"/>
    <w:rsid w:val="003D7D0D"/>
    <w:rsid w:val="003E16B3"/>
    <w:rsid w:val="003E3E8C"/>
    <w:rsid w:val="003E4AA1"/>
    <w:rsid w:val="003E5782"/>
    <w:rsid w:val="003E6336"/>
    <w:rsid w:val="003E7290"/>
    <w:rsid w:val="003F0875"/>
    <w:rsid w:val="003F0FFE"/>
    <w:rsid w:val="003F1AF7"/>
    <w:rsid w:val="003F2EAC"/>
    <w:rsid w:val="003F6600"/>
    <w:rsid w:val="003F7A1D"/>
    <w:rsid w:val="00401248"/>
    <w:rsid w:val="004017EC"/>
    <w:rsid w:val="00401C18"/>
    <w:rsid w:val="00402ADB"/>
    <w:rsid w:val="00403E90"/>
    <w:rsid w:val="0040446A"/>
    <w:rsid w:val="00404A44"/>
    <w:rsid w:val="00406859"/>
    <w:rsid w:val="00410613"/>
    <w:rsid w:val="00412846"/>
    <w:rsid w:val="004136FD"/>
    <w:rsid w:val="0041605F"/>
    <w:rsid w:val="004207F6"/>
    <w:rsid w:val="00421041"/>
    <w:rsid w:val="004216F5"/>
    <w:rsid w:val="0042191B"/>
    <w:rsid w:val="004222C5"/>
    <w:rsid w:val="00423E32"/>
    <w:rsid w:val="004254B5"/>
    <w:rsid w:val="00426110"/>
    <w:rsid w:val="00426A32"/>
    <w:rsid w:val="004275FC"/>
    <w:rsid w:val="0043018D"/>
    <w:rsid w:val="00430E44"/>
    <w:rsid w:val="00430EA0"/>
    <w:rsid w:val="00432590"/>
    <w:rsid w:val="004334E4"/>
    <w:rsid w:val="004336E1"/>
    <w:rsid w:val="0043418A"/>
    <w:rsid w:val="00434857"/>
    <w:rsid w:val="00435060"/>
    <w:rsid w:val="004369C3"/>
    <w:rsid w:val="00436CC0"/>
    <w:rsid w:val="004427F4"/>
    <w:rsid w:val="00442BB0"/>
    <w:rsid w:val="00443903"/>
    <w:rsid w:val="00444304"/>
    <w:rsid w:val="004443E8"/>
    <w:rsid w:val="004445E5"/>
    <w:rsid w:val="004446F0"/>
    <w:rsid w:val="004446F7"/>
    <w:rsid w:val="00444815"/>
    <w:rsid w:val="0044537E"/>
    <w:rsid w:val="0044790F"/>
    <w:rsid w:val="0045129D"/>
    <w:rsid w:val="004513F4"/>
    <w:rsid w:val="00452C47"/>
    <w:rsid w:val="00453454"/>
    <w:rsid w:val="00453612"/>
    <w:rsid w:val="004541E8"/>
    <w:rsid w:val="0045562E"/>
    <w:rsid w:val="00457402"/>
    <w:rsid w:val="00461064"/>
    <w:rsid w:val="004620D4"/>
    <w:rsid w:val="0046270F"/>
    <w:rsid w:val="00464B30"/>
    <w:rsid w:val="00466A8B"/>
    <w:rsid w:val="004670F5"/>
    <w:rsid w:val="004673FE"/>
    <w:rsid w:val="00467E20"/>
    <w:rsid w:val="004706A2"/>
    <w:rsid w:val="004716C3"/>
    <w:rsid w:val="0047227A"/>
    <w:rsid w:val="00472F58"/>
    <w:rsid w:val="0047372D"/>
    <w:rsid w:val="0047442D"/>
    <w:rsid w:val="00475FDE"/>
    <w:rsid w:val="00476BF0"/>
    <w:rsid w:val="00477A80"/>
    <w:rsid w:val="00480729"/>
    <w:rsid w:val="0048088A"/>
    <w:rsid w:val="00482553"/>
    <w:rsid w:val="00483179"/>
    <w:rsid w:val="00486847"/>
    <w:rsid w:val="00487554"/>
    <w:rsid w:val="0049193F"/>
    <w:rsid w:val="004933B9"/>
    <w:rsid w:val="00494229"/>
    <w:rsid w:val="0049540D"/>
    <w:rsid w:val="004A0CDE"/>
    <w:rsid w:val="004A228C"/>
    <w:rsid w:val="004A2906"/>
    <w:rsid w:val="004A3585"/>
    <w:rsid w:val="004A48A7"/>
    <w:rsid w:val="004A4B96"/>
    <w:rsid w:val="004A6F06"/>
    <w:rsid w:val="004B0C21"/>
    <w:rsid w:val="004B14F5"/>
    <w:rsid w:val="004B168A"/>
    <w:rsid w:val="004B18A5"/>
    <w:rsid w:val="004B1F8F"/>
    <w:rsid w:val="004B29A0"/>
    <w:rsid w:val="004B350D"/>
    <w:rsid w:val="004B404E"/>
    <w:rsid w:val="004B4377"/>
    <w:rsid w:val="004B5641"/>
    <w:rsid w:val="004B7F8E"/>
    <w:rsid w:val="004C00AE"/>
    <w:rsid w:val="004C13B7"/>
    <w:rsid w:val="004C1A70"/>
    <w:rsid w:val="004C36E6"/>
    <w:rsid w:val="004C3705"/>
    <w:rsid w:val="004C3B4B"/>
    <w:rsid w:val="004C3C08"/>
    <w:rsid w:val="004C4CB1"/>
    <w:rsid w:val="004C5EC9"/>
    <w:rsid w:val="004C6261"/>
    <w:rsid w:val="004C64D0"/>
    <w:rsid w:val="004D04E6"/>
    <w:rsid w:val="004D1E3C"/>
    <w:rsid w:val="004D265D"/>
    <w:rsid w:val="004D3FCD"/>
    <w:rsid w:val="004D4FBB"/>
    <w:rsid w:val="004D544B"/>
    <w:rsid w:val="004D68D7"/>
    <w:rsid w:val="004D7A17"/>
    <w:rsid w:val="004D7EE2"/>
    <w:rsid w:val="004E0D6F"/>
    <w:rsid w:val="004E1919"/>
    <w:rsid w:val="004E234D"/>
    <w:rsid w:val="004E3E74"/>
    <w:rsid w:val="004E402F"/>
    <w:rsid w:val="004E426E"/>
    <w:rsid w:val="004E498E"/>
    <w:rsid w:val="004E55D6"/>
    <w:rsid w:val="004E6480"/>
    <w:rsid w:val="004E6B5D"/>
    <w:rsid w:val="004E7030"/>
    <w:rsid w:val="004E713D"/>
    <w:rsid w:val="004F14BF"/>
    <w:rsid w:val="004F1EF3"/>
    <w:rsid w:val="004F2E4F"/>
    <w:rsid w:val="004F3841"/>
    <w:rsid w:val="004F4859"/>
    <w:rsid w:val="004F4967"/>
    <w:rsid w:val="004F703B"/>
    <w:rsid w:val="004F7365"/>
    <w:rsid w:val="004F7D3C"/>
    <w:rsid w:val="005004C3"/>
    <w:rsid w:val="00501D97"/>
    <w:rsid w:val="00501F27"/>
    <w:rsid w:val="00504100"/>
    <w:rsid w:val="00506057"/>
    <w:rsid w:val="00506E65"/>
    <w:rsid w:val="00506EC0"/>
    <w:rsid w:val="00507F7B"/>
    <w:rsid w:val="00510B42"/>
    <w:rsid w:val="0051258C"/>
    <w:rsid w:val="00512882"/>
    <w:rsid w:val="00512E2A"/>
    <w:rsid w:val="00514B48"/>
    <w:rsid w:val="005215A7"/>
    <w:rsid w:val="00522397"/>
    <w:rsid w:val="00523FCA"/>
    <w:rsid w:val="005240A4"/>
    <w:rsid w:val="005255AF"/>
    <w:rsid w:val="00525733"/>
    <w:rsid w:val="005259D0"/>
    <w:rsid w:val="00526080"/>
    <w:rsid w:val="00527D1B"/>
    <w:rsid w:val="00532578"/>
    <w:rsid w:val="00534E2C"/>
    <w:rsid w:val="00536802"/>
    <w:rsid w:val="00536E7D"/>
    <w:rsid w:val="00537005"/>
    <w:rsid w:val="0054150F"/>
    <w:rsid w:val="00541AAD"/>
    <w:rsid w:val="00542B59"/>
    <w:rsid w:val="005432C6"/>
    <w:rsid w:val="005435AB"/>
    <w:rsid w:val="005439F8"/>
    <w:rsid w:val="0054594D"/>
    <w:rsid w:val="005474AF"/>
    <w:rsid w:val="0054777D"/>
    <w:rsid w:val="0055039F"/>
    <w:rsid w:val="00551C6D"/>
    <w:rsid w:val="005522C5"/>
    <w:rsid w:val="00552624"/>
    <w:rsid w:val="0055509A"/>
    <w:rsid w:val="00562708"/>
    <w:rsid w:val="00563409"/>
    <w:rsid w:val="00563A49"/>
    <w:rsid w:val="00563D8D"/>
    <w:rsid w:val="00564017"/>
    <w:rsid w:val="005649B1"/>
    <w:rsid w:val="00565015"/>
    <w:rsid w:val="0056677A"/>
    <w:rsid w:val="00570282"/>
    <w:rsid w:val="00571FF0"/>
    <w:rsid w:val="00580B27"/>
    <w:rsid w:val="00580FDF"/>
    <w:rsid w:val="00582D38"/>
    <w:rsid w:val="005854A1"/>
    <w:rsid w:val="00586989"/>
    <w:rsid w:val="00587E4C"/>
    <w:rsid w:val="00590A59"/>
    <w:rsid w:val="00590AF2"/>
    <w:rsid w:val="005911A1"/>
    <w:rsid w:val="005917A6"/>
    <w:rsid w:val="0059240A"/>
    <w:rsid w:val="0059394C"/>
    <w:rsid w:val="00593B43"/>
    <w:rsid w:val="00593CA0"/>
    <w:rsid w:val="00594037"/>
    <w:rsid w:val="0059510A"/>
    <w:rsid w:val="00595CA8"/>
    <w:rsid w:val="00595D7F"/>
    <w:rsid w:val="005971BE"/>
    <w:rsid w:val="005A0303"/>
    <w:rsid w:val="005A19CC"/>
    <w:rsid w:val="005A378E"/>
    <w:rsid w:val="005A4C65"/>
    <w:rsid w:val="005A5FE3"/>
    <w:rsid w:val="005A744C"/>
    <w:rsid w:val="005A7792"/>
    <w:rsid w:val="005B004A"/>
    <w:rsid w:val="005B0CEF"/>
    <w:rsid w:val="005B121E"/>
    <w:rsid w:val="005B1EF8"/>
    <w:rsid w:val="005B21B5"/>
    <w:rsid w:val="005B25AD"/>
    <w:rsid w:val="005B2968"/>
    <w:rsid w:val="005B34C9"/>
    <w:rsid w:val="005B6406"/>
    <w:rsid w:val="005C1CA0"/>
    <w:rsid w:val="005C4707"/>
    <w:rsid w:val="005C58AB"/>
    <w:rsid w:val="005C5B66"/>
    <w:rsid w:val="005C6814"/>
    <w:rsid w:val="005D1949"/>
    <w:rsid w:val="005D1E9B"/>
    <w:rsid w:val="005D3941"/>
    <w:rsid w:val="005D7539"/>
    <w:rsid w:val="005E04A5"/>
    <w:rsid w:val="005E26BD"/>
    <w:rsid w:val="005E56DF"/>
    <w:rsid w:val="005E73DA"/>
    <w:rsid w:val="005F047D"/>
    <w:rsid w:val="005F2422"/>
    <w:rsid w:val="005F405C"/>
    <w:rsid w:val="005F4833"/>
    <w:rsid w:val="005F4B11"/>
    <w:rsid w:val="005F4B22"/>
    <w:rsid w:val="005F5DAF"/>
    <w:rsid w:val="005F76D3"/>
    <w:rsid w:val="005F7D83"/>
    <w:rsid w:val="005F7E81"/>
    <w:rsid w:val="00600AF0"/>
    <w:rsid w:val="00600B0D"/>
    <w:rsid w:val="00600DFC"/>
    <w:rsid w:val="00601126"/>
    <w:rsid w:val="00602ABE"/>
    <w:rsid w:val="0060418C"/>
    <w:rsid w:val="00604514"/>
    <w:rsid w:val="00607418"/>
    <w:rsid w:val="00612550"/>
    <w:rsid w:val="00614E39"/>
    <w:rsid w:val="00615258"/>
    <w:rsid w:val="00615395"/>
    <w:rsid w:val="00615F86"/>
    <w:rsid w:val="00617F1A"/>
    <w:rsid w:val="00620B6E"/>
    <w:rsid w:val="00621C2B"/>
    <w:rsid w:val="00623257"/>
    <w:rsid w:val="00623E68"/>
    <w:rsid w:val="00624EC1"/>
    <w:rsid w:val="0062613C"/>
    <w:rsid w:val="006264B9"/>
    <w:rsid w:val="0062787A"/>
    <w:rsid w:val="00627BAC"/>
    <w:rsid w:val="00631271"/>
    <w:rsid w:val="006326A2"/>
    <w:rsid w:val="00633027"/>
    <w:rsid w:val="00633076"/>
    <w:rsid w:val="006347D2"/>
    <w:rsid w:val="00635E99"/>
    <w:rsid w:val="00636B44"/>
    <w:rsid w:val="00640477"/>
    <w:rsid w:val="006416B9"/>
    <w:rsid w:val="0064184D"/>
    <w:rsid w:val="00641C31"/>
    <w:rsid w:val="00642F22"/>
    <w:rsid w:val="00642F7B"/>
    <w:rsid w:val="00642FAA"/>
    <w:rsid w:val="0064565B"/>
    <w:rsid w:val="006463C5"/>
    <w:rsid w:val="006467EB"/>
    <w:rsid w:val="00647624"/>
    <w:rsid w:val="00647957"/>
    <w:rsid w:val="00647A9B"/>
    <w:rsid w:val="00650B20"/>
    <w:rsid w:val="006539D9"/>
    <w:rsid w:val="00656634"/>
    <w:rsid w:val="006578E3"/>
    <w:rsid w:val="00664A0A"/>
    <w:rsid w:val="0066514A"/>
    <w:rsid w:val="00665A6C"/>
    <w:rsid w:val="006669B6"/>
    <w:rsid w:val="00666B49"/>
    <w:rsid w:val="00667A4D"/>
    <w:rsid w:val="00667AC8"/>
    <w:rsid w:val="00670D4F"/>
    <w:rsid w:val="0067148A"/>
    <w:rsid w:val="00672C43"/>
    <w:rsid w:val="006731F5"/>
    <w:rsid w:val="0067435A"/>
    <w:rsid w:val="00674578"/>
    <w:rsid w:val="00675DC0"/>
    <w:rsid w:val="006761A3"/>
    <w:rsid w:val="00676A59"/>
    <w:rsid w:val="0067751F"/>
    <w:rsid w:val="00677836"/>
    <w:rsid w:val="006803E3"/>
    <w:rsid w:val="00680B41"/>
    <w:rsid w:val="00680B8A"/>
    <w:rsid w:val="0068100A"/>
    <w:rsid w:val="0068206F"/>
    <w:rsid w:val="00683CB2"/>
    <w:rsid w:val="0068413C"/>
    <w:rsid w:val="00684236"/>
    <w:rsid w:val="00684E35"/>
    <w:rsid w:val="006851FD"/>
    <w:rsid w:val="00685889"/>
    <w:rsid w:val="00687A9D"/>
    <w:rsid w:val="0069258E"/>
    <w:rsid w:val="0069291B"/>
    <w:rsid w:val="00692A25"/>
    <w:rsid w:val="006930FA"/>
    <w:rsid w:val="00693402"/>
    <w:rsid w:val="00694E70"/>
    <w:rsid w:val="00694F99"/>
    <w:rsid w:val="00695209"/>
    <w:rsid w:val="006958E3"/>
    <w:rsid w:val="00695977"/>
    <w:rsid w:val="00697EB1"/>
    <w:rsid w:val="006A162C"/>
    <w:rsid w:val="006A2E7C"/>
    <w:rsid w:val="006A31DC"/>
    <w:rsid w:val="006A3D8B"/>
    <w:rsid w:val="006A40B7"/>
    <w:rsid w:val="006A4BD2"/>
    <w:rsid w:val="006A4EEF"/>
    <w:rsid w:val="006A7F80"/>
    <w:rsid w:val="006B010B"/>
    <w:rsid w:val="006B1202"/>
    <w:rsid w:val="006B1AB3"/>
    <w:rsid w:val="006B1CFB"/>
    <w:rsid w:val="006B1E70"/>
    <w:rsid w:val="006B31A5"/>
    <w:rsid w:val="006B32A6"/>
    <w:rsid w:val="006B5B81"/>
    <w:rsid w:val="006B5E0B"/>
    <w:rsid w:val="006B6685"/>
    <w:rsid w:val="006B6FDE"/>
    <w:rsid w:val="006B75EE"/>
    <w:rsid w:val="006B7EAD"/>
    <w:rsid w:val="006C05AA"/>
    <w:rsid w:val="006C144D"/>
    <w:rsid w:val="006C1DE2"/>
    <w:rsid w:val="006C48F1"/>
    <w:rsid w:val="006C4BE2"/>
    <w:rsid w:val="006C64C0"/>
    <w:rsid w:val="006C6740"/>
    <w:rsid w:val="006C7A30"/>
    <w:rsid w:val="006D094B"/>
    <w:rsid w:val="006D179E"/>
    <w:rsid w:val="006D2375"/>
    <w:rsid w:val="006D2BBE"/>
    <w:rsid w:val="006D316A"/>
    <w:rsid w:val="006D464E"/>
    <w:rsid w:val="006D5B35"/>
    <w:rsid w:val="006D604F"/>
    <w:rsid w:val="006D6798"/>
    <w:rsid w:val="006D6BF9"/>
    <w:rsid w:val="006D7D05"/>
    <w:rsid w:val="006E17E3"/>
    <w:rsid w:val="006E3762"/>
    <w:rsid w:val="006E3A8F"/>
    <w:rsid w:val="006E3AB3"/>
    <w:rsid w:val="006E4A2B"/>
    <w:rsid w:val="006E4B53"/>
    <w:rsid w:val="006E5738"/>
    <w:rsid w:val="006E7D05"/>
    <w:rsid w:val="006E7DD3"/>
    <w:rsid w:val="006F002C"/>
    <w:rsid w:val="006F12A0"/>
    <w:rsid w:val="006F25B9"/>
    <w:rsid w:val="006F26FE"/>
    <w:rsid w:val="006F3051"/>
    <w:rsid w:val="006F3092"/>
    <w:rsid w:val="006F3151"/>
    <w:rsid w:val="006F33DB"/>
    <w:rsid w:val="006F38EA"/>
    <w:rsid w:val="006F3E3E"/>
    <w:rsid w:val="006F47C9"/>
    <w:rsid w:val="006F4F30"/>
    <w:rsid w:val="006F5368"/>
    <w:rsid w:val="006F61A1"/>
    <w:rsid w:val="006F7DDD"/>
    <w:rsid w:val="00703621"/>
    <w:rsid w:val="00703BBC"/>
    <w:rsid w:val="00707EAF"/>
    <w:rsid w:val="007101C7"/>
    <w:rsid w:val="00710A08"/>
    <w:rsid w:val="007138F9"/>
    <w:rsid w:val="00713B1C"/>
    <w:rsid w:val="00714CAF"/>
    <w:rsid w:val="007155BD"/>
    <w:rsid w:val="00715D07"/>
    <w:rsid w:val="0071789A"/>
    <w:rsid w:val="00721DA9"/>
    <w:rsid w:val="007226C6"/>
    <w:rsid w:val="00723389"/>
    <w:rsid w:val="00723BA8"/>
    <w:rsid w:val="007242D7"/>
    <w:rsid w:val="00726D2F"/>
    <w:rsid w:val="00726FF7"/>
    <w:rsid w:val="00727533"/>
    <w:rsid w:val="00727ACA"/>
    <w:rsid w:val="00730BE6"/>
    <w:rsid w:val="007317BA"/>
    <w:rsid w:val="00732D1C"/>
    <w:rsid w:val="00732D3A"/>
    <w:rsid w:val="00732FB7"/>
    <w:rsid w:val="0073369F"/>
    <w:rsid w:val="00735436"/>
    <w:rsid w:val="0073658F"/>
    <w:rsid w:val="007365A2"/>
    <w:rsid w:val="00736DD4"/>
    <w:rsid w:val="007406AB"/>
    <w:rsid w:val="00740871"/>
    <w:rsid w:val="00740D1D"/>
    <w:rsid w:val="00742FC0"/>
    <w:rsid w:val="007435A8"/>
    <w:rsid w:val="007445FC"/>
    <w:rsid w:val="0074592B"/>
    <w:rsid w:val="00745A5D"/>
    <w:rsid w:val="00747BE1"/>
    <w:rsid w:val="00750538"/>
    <w:rsid w:val="00750C13"/>
    <w:rsid w:val="00751012"/>
    <w:rsid w:val="0075433A"/>
    <w:rsid w:val="00754729"/>
    <w:rsid w:val="00755FD5"/>
    <w:rsid w:val="007562BF"/>
    <w:rsid w:val="00756EDD"/>
    <w:rsid w:val="00757707"/>
    <w:rsid w:val="007608E0"/>
    <w:rsid w:val="00761A09"/>
    <w:rsid w:val="007620DD"/>
    <w:rsid w:val="00762555"/>
    <w:rsid w:val="00763CC8"/>
    <w:rsid w:val="0076518F"/>
    <w:rsid w:val="00765210"/>
    <w:rsid w:val="0076617C"/>
    <w:rsid w:val="00766E11"/>
    <w:rsid w:val="0077284C"/>
    <w:rsid w:val="00772ABA"/>
    <w:rsid w:val="00772B11"/>
    <w:rsid w:val="00773B21"/>
    <w:rsid w:val="007765A0"/>
    <w:rsid w:val="0077793A"/>
    <w:rsid w:val="007802FF"/>
    <w:rsid w:val="007811CC"/>
    <w:rsid w:val="00781F5E"/>
    <w:rsid w:val="007825D8"/>
    <w:rsid w:val="00783361"/>
    <w:rsid w:val="00783566"/>
    <w:rsid w:val="00783CF1"/>
    <w:rsid w:val="00784028"/>
    <w:rsid w:val="007846D5"/>
    <w:rsid w:val="007867D8"/>
    <w:rsid w:val="007874C6"/>
    <w:rsid w:val="00790295"/>
    <w:rsid w:val="00790333"/>
    <w:rsid w:val="00791D09"/>
    <w:rsid w:val="007921D2"/>
    <w:rsid w:val="007924A2"/>
    <w:rsid w:val="007924C8"/>
    <w:rsid w:val="0079255D"/>
    <w:rsid w:val="00792B8E"/>
    <w:rsid w:val="007953F5"/>
    <w:rsid w:val="0079604B"/>
    <w:rsid w:val="00796EB2"/>
    <w:rsid w:val="00797B9F"/>
    <w:rsid w:val="00797DD6"/>
    <w:rsid w:val="007A1F97"/>
    <w:rsid w:val="007A422E"/>
    <w:rsid w:val="007A497D"/>
    <w:rsid w:val="007B07AD"/>
    <w:rsid w:val="007B0DA4"/>
    <w:rsid w:val="007B10DE"/>
    <w:rsid w:val="007B1516"/>
    <w:rsid w:val="007B2377"/>
    <w:rsid w:val="007B3FC2"/>
    <w:rsid w:val="007B449F"/>
    <w:rsid w:val="007B55B6"/>
    <w:rsid w:val="007B76FC"/>
    <w:rsid w:val="007B7812"/>
    <w:rsid w:val="007B793E"/>
    <w:rsid w:val="007C012E"/>
    <w:rsid w:val="007C08F7"/>
    <w:rsid w:val="007C27EA"/>
    <w:rsid w:val="007C4E31"/>
    <w:rsid w:val="007D0E61"/>
    <w:rsid w:val="007D10DB"/>
    <w:rsid w:val="007D2C2C"/>
    <w:rsid w:val="007D5463"/>
    <w:rsid w:val="007D5A23"/>
    <w:rsid w:val="007D6B5D"/>
    <w:rsid w:val="007E0FBD"/>
    <w:rsid w:val="007E12D0"/>
    <w:rsid w:val="007E18A4"/>
    <w:rsid w:val="007E18E8"/>
    <w:rsid w:val="007E1B5E"/>
    <w:rsid w:val="007E1FB4"/>
    <w:rsid w:val="007E394A"/>
    <w:rsid w:val="007E428F"/>
    <w:rsid w:val="007E598A"/>
    <w:rsid w:val="007E7F75"/>
    <w:rsid w:val="007F26CA"/>
    <w:rsid w:val="007F5BEA"/>
    <w:rsid w:val="007F769D"/>
    <w:rsid w:val="008012ED"/>
    <w:rsid w:val="008030D3"/>
    <w:rsid w:val="00803A15"/>
    <w:rsid w:val="00811520"/>
    <w:rsid w:val="00813250"/>
    <w:rsid w:val="00814C99"/>
    <w:rsid w:val="008155C0"/>
    <w:rsid w:val="00816D92"/>
    <w:rsid w:val="00817374"/>
    <w:rsid w:val="008206D7"/>
    <w:rsid w:val="00825072"/>
    <w:rsid w:val="0082558B"/>
    <w:rsid w:val="0082600D"/>
    <w:rsid w:val="0083025D"/>
    <w:rsid w:val="0083145B"/>
    <w:rsid w:val="008319DB"/>
    <w:rsid w:val="00831D9F"/>
    <w:rsid w:val="00831FE3"/>
    <w:rsid w:val="00833500"/>
    <w:rsid w:val="00833A65"/>
    <w:rsid w:val="00834469"/>
    <w:rsid w:val="00834694"/>
    <w:rsid w:val="008360C7"/>
    <w:rsid w:val="00836272"/>
    <w:rsid w:val="008375AA"/>
    <w:rsid w:val="00841CEB"/>
    <w:rsid w:val="008439BD"/>
    <w:rsid w:val="00843B11"/>
    <w:rsid w:val="00846469"/>
    <w:rsid w:val="00846587"/>
    <w:rsid w:val="00847153"/>
    <w:rsid w:val="00847C55"/>
    <w:rsid w:val="00850532"/>
    <w:rsid w:val="00852EB7"/>
    <w:rsid w:val="008531BB"/>
    <w:rsid w:val="008534CE"/>
    <w:rsid w:val="0085394E"/>
    <w:rsid w:val="00853C11"/>
    <w:rsid w:val="00854444"/>
    <w:rsid w:val="00855450"/>
    <w:rsid w:val="00855B7B"/>
    <w:rsid w:val="00855CF1"/>
    <w:rsid w:val="00856411"/>
    <w:rsid w:val="00856717"/>
    <w:rsid w:val="008574A4"/>
    <w:rsid w:val="00864C1C"/>
    <w:rsid w:val="008663BF"/>
    <w:rsid w:val="00873ABF"/>
    <w:rsid w:val="008753EA"/>
    <w:rsid w:val="00876E55"/>
    <w:rsid w:val="0087732B"/>
    <w:rsid w:val="008778E3"/>
    <w:rsid w:val="00881D93"/>
    <w:rsid w:val="00883E2B"/>
    <w:rsid w:val="00884016"/>
    <w:rsid w:val="008876BB"/>
    <w:rsid w:val="0089045C"/>
    <w:rsid w:val="00890944"/>
    <w:rsid w:val="00890DE7"/>
    <w:rsid w:val="00895253"/>
    <w:rsid w:val="00896075"/>
    <w:rsid w:val="0089660D"/>
    <w:rsid w:val="008A0A87"/>
    <w:rsid w:val="008A10A7"/>
    <w:rsid w:val="008A1468"/>
    <w:rsid w:val="008A1D35"/>
    <w:rsid w:val="008A1FB0"/>
    <w:rsid w:val="008A295F"/>
    <w:rsid w:val="008A30C4"/>
    <w:rsid w:val="008A34E0"/>
    <w:rsid w:val="008A3B78"/>
    <w:rsid w:val="008A42FB"/>
    <w:rsid w:val="008A61FA"/>
    <w:rsid w:val="008B01B9"/>
    <w:rsid w:val="008B0AD1"/>
    <w:rsid w:val="008B16F7"/>
    <w:rsid w:val="008B18B0"/>
    <w:rsid w:val="008B1A97"/>
    <w:rsid w:val="008B5E42"/>
    <w:rsid w:val="008B6A54"/>
    <w:rsid w:val="008C0542"/>
    <w:rsid w:val="008C12DD"/>
    <w:rsid w:val="008C16C5"/>
    <w:rsid w:val="008C221B"/>
    <w:rsid w:val="008C362A"/>
    <w:rsid w:val="008C3EF8"/>
    <w:rsid w:val="008C4A50"/>
    <w:rsid w:val="008C6625"/>
    <w:rsid w:val="008D0083"/>
    <w:rsid w:val="008D0853"/>
    <w:rsid w:val="008D2918"/>
    <w:rsid w:val="008D39F0"/>
    <w:rsid w:val="008D4496"/>
    <w:rsid w:val="008D4AB2"/>
    <w:rsid w:val="008D4DFD"/>
    <w:rsid w:val="008D58A1"/>
    <w:rsid w:val="008D6B98"/>
    <w:rsid w:val="008D7668"/>
    <w:rsid w:val="008E0541"/>
    <w:rsid w:val="008E118E"/>
    <w:rsid w:val="008E1568"/>
    <w:rsid w:val="008E4C2C"/>
    <w:rsid w:val="008E573A"/>
    <w:rsid w:val="008E6956"/>
    <w:rsid w:val="008F09DC"/>
    <w:rsid w:val="008F194F"/>
    <w:rsid w:val="008F4594"/>
    <w:rsid w:val="008F4D56"/>
    <w:rsid w:val="008F5499"/>
    <w:rsid w:val="008F73F3"/>
    <w:rsid w:val="008F7F47"/>
    <w:rsid w:val="00901705"/>
    <w:rsid w:val="00901C1E"/>
    <w:rsid w:val="0090394D"/>
    <w:rsid w:val="00907415"/>
    <w:rsid w:val="00907BBB"/>
    <w:rsid w:val="0091049C"/>
    <w:rsid w:val="009109FB"/>
    <w:rsid w:val="00911D97"/>
    <w:rsid w:val="00911E30"/>
    <w:rsid w:val="00912C48"/>
    <w:rsid w:val="00912DB5"/>
    <w:rsid w:val="00912DC4"/>
    <w:rsid w:val="00915331"/>
    <w:rsid w:val="00916B94"/>
    <w:rsid w:val="00917036"/>
    <w:rsid w:val="009173E4"/>
    <w:rsid w:val="009175F1"/>
    <w:rsid w:val="00917980"/>
    <w:rsid w:val="00920203"/>
    <w:rsid w:val="00921193"/>
    <w:rsid w:val="00921FDC"/>
    <w:rsid w:val="0092272D"/>
    <w:rsid w:val="0092294B"/>
    <w:rsid w:val="00922E24"/>
    <w:rsid w:val="00923032"/>
    <w:rsid w:val="009230B0"/>
    <w:rsid w:val="009257B6"/>
    <w:rsid w:val="00926A0A"/>
    <w:rsid w:val="00926DB0"/>
    <w:rsid w:val="00931B32"/>
    <w:rsid w:val="0093209F"/>
    <w:rsid w:val="009320A7"/>
    <w:rsid w:val="00934FFB"/>
    <w:rsid w:val="00935A60"/>
    <w:rsid w:val="00941339"/>
    <w:rsid w:val="00944085"/>
    <w:rsid w:val="009444E3"/>
    <w:rsid w:val="00945852"/>
    <w:rsid w:val="00951AB6"/>
    <w:rsid w:val="00952543"/>
    <w:rsid w:val="00952A42"/>
    <w:rsid w:val="0095398F"/>
    <w:rsid w:val="009559C2"/>
    <w:rsid w:val="009576B7"/>
    <w:rsid w:val="00960556"/>
    <w:rsid w:val="00960EAF"/>
    <w:rsid w:val="00961345"/>
    <w:rsid w:val="009614B3"/>
    <w:rsid w:val="00961B05"/>
    <w:rsid w:val="00962B25"/>
    <w:rsid w:val="00962D5D"/>
    <w:rsid w:val="009649B4"/>
    <w:rsid w:val="00965E0D"/>
    <w:rsid w:val="00966074"/>
    <w:rsid w:val="00966C66"/>
    <w:rsid w:val="009671CE"/>
    <w:rsid w:val="009678EA"/>
    <w:rsid w:val="00970068"/>
    <w:rsid w:val="00971A55"/>
    <w:rsid w:val="009720DB"/>
    <w:rsid w:val="0097288B"/>
    <w:rsid w:val="009730FB"/>
    <w:rsid w:val="009738DE"/>
    <w:rsid w:val="00975CBF"/>
    <w:rsid w:val="00980498"/>
    <w:rsid w:val="00981201"/>
    <w:rsid w:val="009825CA"/>
    <w:rsid w:val="00982F31"/>
    <w:rsid w:val="0098417B"/>
    <w:rsid w:val="00985351"/>
    <w:rsid w:val="00985720"/>
    <w:rsid w:val="009858CC"/>
    <w:rsid w:val="00985ECE"/>
    <w:rsid w:val="00986351"/>
    <w:rsid w:val="009921FF"/>
    <w:rsid w:val="00992E13"/>
    <w:rsid w:val="009946F6"/>
    <w:rsid w:val="00994C2F"/>
    <w:rsid w:val="00994C3D"/>
    <w:rsid w:val="0099586F"/>
    <w:rsid w:val="009A06BF"/>
    <w:rsid w:val="009A12A4"/>
    <w:rsid w:val="009A1FF5"/>
    <w:rsid w:val="009A4184"/>
    <w:rsid w:val="009A51CF"/>
    <w:rsid w:val="009A5745"/>
    <w:rsid w:val="009A5EAC"/>
    <w:rsid w:val="009A607F"/>
    <w:rsid w:val="009B0CAA"/>
    <w:rsid w:val="009B1AB9"/>
    <w:rsid w:val="009B28E1"/>
    <w:rsid w:val="009B301B"/>
    <w:rsid w:val="009B38AD"/>
    <w:rsid w:val="009B5DED"/>
    <w:rsid w:val="009B74AE"/>
    <w:rsid w:val="009B7DC5"/>
    <w:rsid w:val="009C24C0"/>
    <w:rsid w:val="009C36F5"/>
    <w:rsid w:val="009C3DA2"/>
    <w:rsid w:val="009C6601"/>
    <w:rsid w:val="009C755B"/>
    <w:rsid w:val="009C7E15"/>
    <w:rsid w:val="009D1731"/>
    <w:rsid w:val="009D2A4B"/>
    <w:rsid w:val="009D4C44"/>
    <w:rsid w:val="009D5B69"/>
    <w:rsid w:val="009E0AD6"/>
    <w:rsid w:val="009E1E6C"/>
    <w:rsid w:val="009E3F75"/>
    <w:rsid w:val="009E4DB9"/>
    <w:rsid w:val="009E7112"/>
    <w:rsid w:val="009E7A9F"/>
    <w:rsid w:val="009F2242"/>
    <w:rsid w:val="009F2687"/>
    <w:rsid w:val="009F519D"/>
    <w:rsid w:val="009F51D1"/>
    <w:rsid w:val="009F520B"/>
    <w:rsid w:val="009F528F"/>
    <w:rsid w:val="009F5477"/>
    <w:rsid w:val="009F7089"/>
    <w:rsid w:val="009F772B"/>
    <w:rsid w:val="00A06230"/>
    <w:rsid w:val="00A079BD"/>
    <w:rsid w:val="00A07D10"/>
    <w:rsid w:val="00A1152D"/>
    <w:rsid w:val="00A11CDC"/>
    <w:rsid w:val="00A13050"/>
    <w:rsid w:val="00A161BF"/>
    <w:rsid w:val="00A16A7D"/>
    <w:rsid w:val="00A16C4D"/>
    <w:rsid w:val="00A16F89"/>
    <w:rsid w:val="00A17033"/>
    <w:rsid w:val="00A205C4"/>
    <w:rsid w:val="00A20A1D"/>
    <w:rsid w:val="00A21793"/>
    <w:rsid w:val="00A217FC"/>
    <w:rsid w:val="00A23224"/>
    <w:rsid w:val="00A23AFF"/>
    <w:rsid w:val="00A258CF"/>
    <w:rsid w:val="00A30EF6"/>
    <w:rsid w:val="00A31ADF"/>
    <w:rsid w:val="00A33338"/>
    <w:rsid w:val="00A34D45"/>
    <w:rsid w:val="00A35202"/>
    <w:rsid w:val="00A370F2"/>
    <w:rsid w:val="00A3713A"/>
    <w:rsid w:val="00A40C38"/>
    <w:rsid w:val="00A4260C"/>
    <w:rsid w:val="00A431B0"/>
    <w:rsid w:val="00A43A97"/>
    <w:rsid w:val="00A46BC6"/>
    <w:rsid w:val="00A47FD0"/>
    <w:rsid w:val="00A50126"/>
    <w:rsid w:val="00A530AF"/>
    <w:rsid w:val="00A54300"/>
    <w:rsid w:val="00A54C67"/>
    <w:rsid w:val="00A556C5"/>
    <w:rsid w:val="00A565A2"/>
    <w:rsid w:val="00A578B8"/>
    <w:rsid w:val="00A606EA"/>
    <w:rsid w:val="00A61633"/>
    <w:rsid w:val="00A61D7D"/>
    <w:rsid w:val="00A62946"/>
    <w:rsid w:val="00A62B55"/>
    <w:rsid w:val="00A63810"/>
    <w:rsid w:val="00A6426A"/>
    <w:rsid w:val="00A64871"/>
    <w:rsid w:val="00A66AB3"/>
    <w:rsid w:val="00A676EB"/>
    <w:rsid w:val="00A677B3"/>
    <w:rsid w:val="00A712F7"/>
    <w:rsid w:val="00A75F5F"/>
    <w:rsid w:val="00A75FCE"/>
    <w:rsid w:val="00A766C6"/>
    <w:rsid w:val="00A76F62"/>
    <w:rsid w:val="00A76FE5"/>
    <w:rsid w:val="00A77B13"/>
    <w:rsid w:val="00A819B8"/>
    <w:rsid w:val="00A8269F"/>
    <w:rsid w:val="00A84E81"/>
    <w:rsid w:val="00A85977"/>
    <w:rsid w:val="00A86A5F"/>
    <w:rsid w:val="00A90B4F"/>
    <w:rsid w:val="00A914DF"/>
    <w:rsid w:val="00A92173"/>
    <w:rsid w:val="00A9272E"/>
    <w:rsid w:val="00A9315A"/>
    <w:rsid w:val="00A93B79"/>
    <w:rsid w:val="00A94197"/>
    <w:rsid w:val="00A975C5"/>
    <w:rsid w:val="00A97DB7"/>
    <w:rsid w:val="00AA126B"/>
    <w:rsid w:val="00AA34B6"/>
    <w:rsid w:val="00AA4300"/>
    <w:rsid w:val="00AA4CFC"/>
    <w:rsid w:val="00AA5EFC"/>
    <w:rsid w:val="00AB05D0"/>
    <w:rsid w:val="00AB12BE"/>
    <w:rsid w:val="00AB3799"/>
    <w:rsid w:val="00AB3A08"/>
    <w:rsid w:val="00AB49DB"/>
    <w:rsid w:val="00AB567F"/>
    <w:rsid w:val="00AB5B9A"/>
    <w:rsid w:val="00AB609E"/>
    <w:rsid w:val="00AC025E"/>
    <w:rsid w:val="00AC0B8C"/>
    <w:rsid w:val="00AC259E"/>
    <w:rsid w:val="00AC4E0F"/>
    <w:rsid w:val="00AC5069"/>
    <w:rsid w:val="00AC5938"/>
    <w:rsid w:val="00AC7720"/>
    <w:rsid w:val="00AD0030"/>
    <w:rsid w:val="00AD0D24"/>
    <w:rsid w:val="00AD0E6C"/>
    <w:rsid w:val="00AD1466"/>
    <w:rsid w:val="00AD1E1B"/>
    <w:rsid w:val="00AD3CD8"/>
    <w:rsid w:val="00AD3EBE"/>
    <w:rsid w:val="00AD4A91"/>
    <w:rsid w:val="00AD5F51"/>
    <w:rsid w:val="00AD5FF5"/>
    <w:rsid w:val="00AD65AA"/>
    <w:rsid w:val="00AD768C"/>
    <w:rsid w:val="00AD76DD"/>
    <w:rsid w:val="00AD7741"/>
    <w:rsid w:val="00AE0274"/>
    <w:rsid w:val="00AE05E4"/>
    <w:rsid w:val="00AE16F4"/>
    <w:rsid w:val="00AE2167"/>
    <w:rsid w:val="00AE240B"/>
    <w:rsid w:val="00AE4BB6"/>
    <w:rsid w:val="00AE5892"/>
    <w:rsid w:val="00AE5FC1"/>
    <w:rsid w:val="00AE7666"/>
    <w:rsid w:val="00AE78DA"/>
    <w:rsid w:val="00AE7973"/>
    <w:rsid w:val="00AF021B"/>
    <w:rsid w:val="00AF61E2"/>
    <w:rsid w:val="00AF6504"/>
    <w:rsid w:val="00AF6623"/>
    <w:rsid w:val="00AF7967"/>
    <w:rsid w:val="00AF7A1E"/>
    <w:rsid w:val="00B00F3B"/>
    <w:rsid w:val="00B03487"/>
    <w:rsid w:val="00B041FE"/>
    <w:rsid w:val="00B05537"/>
    <w:rsid w:val="00B05DB0"/>
    <w:rsid w:val="00B0693F"/>
    <w:rsid w:val="00B06E5F"/>
    <w:rsid w:val="00B109F9"/>
    <w:rsid w:val="00B1118F"/>
    <w:rsid w:val="00B13E50"/>
    <w:rsid w:val="00B14FED"/>
    <w:rsid w:val="00B15E5B"/>
    <w:rsid w:val="00B164A6"/>
    <w:rsid w:val="00B16DA0"/>
    <w:rsid w:val="00B2083B"/>
    <w:rsid w:val="00B21C83"/>
    <w:rsid w:val="00B22B62"/>
    <w:rsid w:val="00B255FE"/>
    <w:rsid w:val="00B271BC"/>
    <w:rsid w:val="00B31862"/>
    <w:rsid w:val="00B31B7D"/>
    <w:rsid w:val="00B3262F"/>
    <w:rsid w:val="00B32BEE"/>
    <w:rsid w:val="00B32D56"/>
    <w:rsid w:val="00B32FAC"/>
    <w:rsid w:val="00B33D73"/>
    <w:rsid w:val="00B34235"/>
    <w:rsid w:val="00B35C0D"/>
    <w:rsid w:val="00B37FA7"/>
    <w:rsid w:val="00B4130C"/>
    <w:rsid w:val="00B42F32"/>
    <w:rsid w:val="00B43401"/>
    <w:rsid w:val="00B43D17"/>
    <w:rsid w:val="00B44D50"/>
    <w:rsid w:val="00B44FF7"/>
    <w:rsid w:val="00B4542E"/>
    <w:rsid w:val="00B466F0"/>
    <w:rsid w:val="00B46923"/>
    <w:rsid w:val="00B474F7"/>
    <w:rsid w:val="00B4781F"/>
    <w:rsid w:val="00B4793E"/>
    <w:rsid w:val="00B47FF8"/>
    <w:rsid w:val="00B50C30"/>
    <w:rsid w:val="00B51CD5"/>
    <w:rsid w:val="00B5307B"/>
    <w:rsid w:val="00B5362C"/>
    <w:rsid w:val="00B536D9"/>
    <w:rsid w:val="00B537AB"/>
    <w:rsid w:val="00B5389E"/>
    <w:rsid w:val="00B56FD4"/>
    <w:rsid w:val="00B57457"/>
    <w:rsid w:val="00B57F9A"/>
    <w:rsid w:val="00B60A05"/>
    <w:rsid w:val="00B61186"/>
    <w:rsid w:val="00B623E5"/>
    <w:rsid w:val="00B63145"/>
    <w:rsid w:val="00B634DB"/>
    <w:rsid w:val="00B644EE"/>
    <w:rsid w:val="00B656FE"/>
    <w:rsid w:val="00B6664E"/>
    <w:rsid w:val="00B70D87"/>
    <w:rsid w:val="00B72342"/>
    <w:rsid w:val="00B75758"/>
    <w:rsid w:val="00B77454"/>
    <w:rsid w:val="00B81187"/>
    <w:rsid w:val="00B81912"/>
    <w:rsid w:val="00B81A02"/>
    <w:rsid w:val="00B82C90"/>
    <w:rsid w:val="00B82D77"/>
    <w:rsid w:val="00B851FC"/>
    <w:rsid w:val="00B8557A"/>
    <w:rsid w:val="00B85B56"/>
    <w:rsid w:val="00B86154"/>
    <w:rsid w:val="00B87221"/>
    <w:rsid w:val="00B91F46"/>
    <w:rsid w:val="00B93A03"/>
    <w:rsid w:val="00B944CB"/>
    <w:rsid w:val="00B94596"/>
    <w:rsid w:val="00B94628"/>
    <w:rsid w:val="00B96574"/>
    <w:rsid w:val="00B96744"/>
    <w:rsid w:val="00B969E0"/>
    <w:rsid w:val="00B974E5"/>
    <w:rsid w:val="00B9750B"/>
    <w:rsid w:val="00B97C87"/>
    <w:rsid w:val="00B97DD0"/>
    <w:rsid w:val="00BA0E27"/>
    <w:rsid w:val="00BA36E9"/>
    <w:rsid w:val="00BB141B"/>
    <w:rsid w:val="00BB1EDA"/>
    <w:rsid w:val="00BB2090"/>
    <w:rsid w:val="00BB32F6"/>
    <w:rsid w:val="00BB513D"/>
    <w:rsid w:val="00BB551A"/>
    <w:rsid w:val="00BB60D4"/>
    <w:rsid w:val="00BB65BD"/>
    <w:rsid w:val="00BB69AD"/>
    <w:rsid w:val="00BC10B8"/>
    <w:rsid w:val="00BC14E6"/>
    <w:rsid w:val="00BC44CB"/>
    <w:rsid w:val="00BC4C4A"/>
    <w:rsid w:val="00BC57CF"/>
    <w:rsid w:val="00BC6516"/>
    <w:rsid w:val="00BD090F"/>
    <w:rsid w:val="00BD0E9E"/>
    <w:rsid w:val="00BD17D7"/>
    <w:rsid w:val="00BD27A2"/>
    <w:rsid w:val="00BD3F7C"/>
    <w:rsid w:val="00BD4002"/>
    <w:rsid w:val="00BD4AA2"/>
    <w:rsid w:val="00BD4DDE"/>
    <w:rsid w:val="00BD6916"/>
    <w:rsid w:val="00BE0052"/>
    <w:rsid w:val="00BE1B9E"/>
    <w:rsid w:val="00BE2622"/>
    <w:rsid w:val="00BE3CD0"/>
    <w:rsid w:val="00BE40A0"/>
    <w:rsid w:val="00BE65F8"/>
    <w:rsid w:val="00BE7F7A"/>
    <w:rsid w:val="00BF0B7F"/>
    <w:rsid w:val="00BF2625"/>
    <w:rsid w:val="00BF3C11"/>
    <w:rsid w:val="00C00736"/>
    <w:rsid w:val="00C0118D"/>
    <w:rsid w:val="00C02490"/>
    <w:rsid w:val="00C02BF0"/>
    <w:rsid w:val="00C04B0F"/>
    <w:rsid w:val="00C04C84"/>
    <w:rsid w:val="00C07F35"/>
    <w:rsid w:val="00C152F8"/>
    <w:rsid w:val="00C155C1"/>
    <w:rsid w:val="00C20BC4"/>
    <w:rsid w:val="00C20D55"/>
    <w:rsid w:val="00C219CD"/>
    <w:rsid w:val="00C22B0D"/>
    <w:rsid w:val="00C23C5A"/>
    <w:rsid w:val="00C241C1"/>
    <w:rsid w:val="00C25BD6"/>
    <w:rsid w:val="00C2646E"/>
    <w:rsid w:val="00C272F8"/>
    <w:rsid w:val="00C274A2"/>
    <w:rsid w:val="00C27F23"/>
    <w:rsid w:val="00C3024C"/>
    <w:rsid w:val="00C31115"/>
    <w:rsid w:val="00C3356D"/>
    <w:rsid w:val="00C337A2"/>
    <w:rsid w:val="00C33A20"/>
    <w:rsid w:val="00C33D9C"/>
    <w:rsid w:val="00C375FE"/>
    <w:rsid w:val="00C37C62"/>
    <w:rsid w:val="00C401F6"/>
    <w:rsid w:val="00C413C2"/>
    <w:rsid w:val="00C41590"/>
    <w:rsid w:val="00C41C1C"/>
    <w:rsid w:val="00C41F18"/>
    <w:rsid w:val="00C44DD6"/>
    <w:rsid w:val="00C46161"/>
    <w:rsid w:val="00C52184"/>
    <w:rsid w:val="00C52846"/>
    <w:rsid w:val="00C52E0F"/>
    <w:rsid w:val="00C52EDD"/>
    <w:rsid w:val="00C538B9"/>
    <w:rsid w:val="00C538E0"/>
    <w:rsid w:val="00C540DD"/>
    <w:rsid w:val="00C54308"/>
    <w:rsid w:val="00C55982"/>
    <w:rsid w:val="00C566BD"/>
    <w:rsid w:val="00C571BF"/>
    <w:rsid w:val="00C60CA3"/>
    <w:rsid w:val="00C6170B"/>
    <w:rsid w:val="00C625E8"/>
    <w:rsid w:val="00C6360E"/>
    <w:rsid w:val="00C63D4D"/>
    <w:rsid w:val="00C63E75"/>
    <w:rsid w:val="00C64BF9"/>
    <w:rsid w:val="00C658F3"/>
    <w:rsid w:val="00C709CE"/>
    <w:rsid w:val="00C715CE"/>
    <w:rsid w:val="00C72E63"/>
    <w:rsid w:val="00C73130"/>
    <w:rsid w:val="00C73239"/>
    <w:rsid w:val="00C73923"/>
    <w:rsid w:val="00C73AAD"/>
    <w:rsid w:val="00C73BE7"/>
    <w:rsid w:val="00C7546F"/>
    <w:rsid w:val="00C75DC7"/>
    <w:rsid w:val="00C802AC"/>
    <w:rsid w:val="00C81A6E"/>
    <w:rsid w:val="00C81D52"/>
    <w:rsid w:val="00C83940"/>
    <w:rsid w:val="00C8394E"/>
    <w:rsid w:val="00C83E7A"/>
    <w:rsid w:val="00C8498E"/>
    <w:rsid w:val="00C909DF"/>
    <w:rsid w:val="00C93E7D"/>
    <w:rsid w:val="00C94675"/>
    <w:rsid w:val="00C953C7"/>
    <w:rsid w:val="00C96EF8"/>
    <w:rsid w:val="00C97389"/>
    <w:rsid w:val="00C975C5"/>
    <w:rsid w:val="00C9773B"/>
    <w:rsid w:val="00C97C63"/>
    <w:rsid w:val="00C97EC3"/>
    <w:rsid w:val="00CA2088"/>
    <w:rsid w:val="00CA5236"/>
    <w:rsid w:val="00CA631C"/>
    <w:rsid w:val="00CB2271"/>
    <w:rsid w:val="00CB2BB3"/>
    <w:rsid w:val="00CB2DE0"/>
    <w:rsid w:val="00CB5D6B"/>
    <w:rsid w:val="00CB7189"/>
    <w:rsid w:val="00CB7AC3"/>
    <w:rsid w:val="00CB7DD5"/>
    <w:rsid w:val="00CC1429"/>
    <w:rsid w:val="00CC1D1A"/>
    <w:rsid w:val="00CC21DB"/>
    <w:rsid w:val="00CC2A81"/>
    <w:rsid w:val="00CC399B"/>
    <w:rsid w:val="00CC5AB6"/>
    <w:rsid w:val="00CC6A3E"/>
    <w:rsid w:val="00CC6BD8"/>
    <w:rsid w:val="00CD007D"/>
    <w:rsid w:val="00CD0446"/>
    <w:rsid w:val="00CD23B6"/>
    <w:rsid w:val="00CD295B"/>
    <w:rsid w:val="00CD2CFC"/>
    <w:rsid w:val="00CD2E2F"/>
    <w:rsid w:val="00CD38A2"/>
    <w:rsid w:val="00CD63F6"/>
    <w:rsid w:val="00CE0C7D"/>
    <w:rsid w:val="00CE0CB7"/>
    <w:rsid w:val="00CE1F53"/>
    <w:rsid w:val="00CE4CFD"/>
    <w:rsid w:val="00CE6A61"/>
    <w:rsid w:val="00CE7740"/>
    <w:rsid w:val="00CE7B54"/>
    <w:rsid w:val="00CE7F87"/>
    <w:rsid w:val="00CF0AFA"/>
    <w:rsid w:val="00CF1FEA"/>
    <w:rsid w:val="00CF203B"/>
    <w:rsid w:val="00CF3D58"/>
    <w:rsid w:val="00CF6BF9"/>
    <w:rsid w:val="00CF6D79"/>
    <w:rsid w:val="00D028A0"/>
    <w:rsid w:val="00D052AE"/>
    <w:rsid w:val="00D059FC"/>
    <w:rsid w:val="00D10309"/>
    <w:rsid w:val="00D108EA"/>
    <w:rsid w:val="00D11367"/>
    <w:rsid w:val="00D13329"/>
    <w:rsid w:val="00D1415E"/>
    <w:rsid w:val="00D144F7"/>
    <w:rsid w:val="00D14D75"/>
    <w:rsid w:val="00D1668A"/>
    <w:rsid w:val="00D208D9"/>
    <w:rsid w:val="00D211FE"/>
    <w:rsid w:val="00D21581"/>
    <w:rsid w:val="00D25F16"/>
    <w:rsid w:val="00D2767F"/>
    <w:rsid w:val="00D2777A"/>
    <w:rsid w:val="00D3091C"/>
    <w:rsid w:val="00D32508"/>
    <w:rsid w:val="00D34326"/>
    <w:rsid w:val="00D34A2A"/>
    <w:rsid w:val="00D34E5B"/>
    <w:rsid w:val="00D354F3"/>
    <w:rsid w:val="00D357D4"/>
    <w:rsid w:val="00D36782"/>
    <w:rsid w:val="00D37FED"/>
    <w:rsid w:val="00D406DB"/>
    <w:rsid w:val="00D41B61"/>
    <w:rsid w:val="00D4231E"/>
    <w:rsid w:val="00D4253D"/>
    <w:rsid w:val="00D43693"/>
    <w:rsid w:val="00D44CC2"/>
    <w:rsid w:val="00D44E04"/>
    <w:rsid w:val="00D455B4"/>
    <w:rsid w:val="00D456A0"/>
    <w:rsid w:val="00D46AE0"/>
    <w:rsid w:val="00D501B8"/>
    <w:rsid w:val="00D50570"/>
    <w:rsid w:val="00D509B1"/>
    <w:rsid w:val="00D50E24"/>
    <w:rsid w:val="00D53486"/>
    <w:rsid w:val="00D540FB"/>
    <w:rsid w:val="00D57F62"/>
    <w:rsid w:val="00D6027B"/>
    <w:rsid w:val="00D6102E"/>
    <w:rsid w:val="00D624E6"/>
    <w:rsid w:val="00D629B6"/>
    <w:rsid w:val="00D62A30"/>
    <w:rsid w:val="00D64EE8"/>
    <w:rsid w:val="00D672A2"/>
    <w:rsid w:val="00D67618"/>
    <w:rsid w:val="00D70773"/>
    <w:rsid w:val="00D71671"/>
    <w:rsid w:val="00D71A45"/>
    <w:rsid w:val="00D71AC6"/>
    <w:rsid w:val="00D72361"/>
    <w:rsid w:val="00D7280C"/>
    <w:rsid w:val="00D73367"/>
    <w:rsid w:val="00D7632D"/>
    <w:rsid w:val="00D7777D"/>
    <w:rsid w:val="00D80D25"/>
    <w:rsid w:val="00D80F6D"/>
    <w:rsid w:val="00D8165D"/>
    <w:rsid w:val="00D82939"/>
    <w:rsid w:val="00D84333"/>
    <w:rsid w:val="00D85885"/>
    <w:rsid w:val="00D86287"/>
    <w:rsid w:val="00D86F8D"/>
    <w:rsid w:val="00D928C4"/>
    <w:rsid w:val="00D93305"/>
    <w:rsid w:val="00D94623"/>
    <w:rsid w:val="00D975A5"/>
    <w:rsid w:val="00DA0F7A"/>
    <w:rsid w:val="00DA27C1"/>
    <w:rsid w:val="00DA2EB2"/>
    <w:rsid w:val="00DA43CF"/>
    <w:rsid w:val="00DA49D0"/>
    <w:rsid w:val="00DA49E2"/>
    <w:rsid w:val="00DA60F9"/>
    <w:rsid w:val="00DA748B"/>
    <w:rsid w:val="00DA7B9C"/>
    <w:rsid w:val="00DB1A27"/>
    <w:rsid w:val="00DB1EE4"/>
    <w:rsid w:val="00DB2664"/>
    <w:rsid w:val="00DC1990"/>
    <w:rsid w:val="00DC1D2A"/>
    <w:rsid w:val="00DC240E"/>
    <w:rsid w:val="00DC2530"/>
    <w:rsid w:val="00DC2751"/>
    <w:rsid w:val="00DC2D25"/>
    <w:rsid w:val="00DC2E1C"/>
    <w:rsid w:val="00DC4614"/>
    <w:rsid w:val="00DC54F5"/>
    <w:rsid w:val="00DC627F"/>
    <w:rsid w:val="00DC6B6A"/>
    <w:rsid w:val="00DD280F"/>
    <w:rsid w:val="00DD4A79"/>
    <w:rsid w:val="00DD6B07"/>
    <w:rsid w:val="00DD6CDD"/>
    <w:rsid w:val="00DD770C"/>
    <w:rsid w:val="00DD7CAC"/>
    <w:rsid w:val="00DE0468"/>
    <w:rsid w:val="00DE063B"/>
    <w:rsid w:val="00DE07FF"/>
    <w:rsid w:val="00DE1758"/>
    <w:rsid w:val="00DE196E"/>
    <w:rsid w:val="00DE1B50"/>
    <w:rsid w:val="00DE28AC"/>
    <w:rsid w:val="00DE2F11"/>
    <w:rsid w:val="00DE4464"/>
    <w:rsid w:val="00DE4B79"/>
    <w:rsid w:val="00DE5E41"/>
    <w:rsid w:val="00DE64BE"/>
    <w:rsid w:val="00DE77F6"/>
    <w:rsid w:val="00DE7CD2"/>
    <w:rsid w:val="00DF3138"/>
    <w:rsid w:val="00DF38A3"/>
    <w:rsid w:val="00DF3CA8"/>
    <w:rsid w:val="00DF519B"/>
    <w:rsid w:val="00DF5444"/>
    <w:rsid w:val="00DF5DAC"/>
    <w:rsid w:val="00DF7D32"/>
    <w:rsid w:val="00E006A7"/>
    <w:rsid w:val="00E00A1F"/>
    <w:rsid w:val="00E012A7"/>
    <w:rsid w:val="00E025AE"/>
    <w:rsid w:val="00E0283D"/>
    <w:rsid w:val="00E0378C"/>
    <w:rsid w:val="00E049CD"/>
    <w:rsid w:val="00E0572B"/>
    <w:rsid w:val="00E067E1"/>
    <w:rsid w:val="00E11B61"/>
    <w:rsid w:val="00E12852"/>
    <w:rsid w:val="00E13780"/>
    <w:rsid w:val="00E143D5"/>
    <w:rsid w:val="00E149E9"/>
    <w:rsid w:val="00E166E9"/>
    <w:rsid w:val="00E2133A"/>
    <w:rsid w:val="00E264FA"/>
    <w:rsid w:val="00E26F70"/>
    <w:rsid w:val="00E302ED"/>
    <w:rsid w:val="00E32C61"/>
    <w:rsid w:val="00E32DBB"/>
    <w:rsid w:val="00E33228"/>
    <w:rsid w:val="00E33DFC"/>
    <w:rsid w:val="00E33F77"/>
    <w:rsid w:val="00E362DF"/>
    <w:rsid w:val="00E37469"/>
    <w:rsid w:val="00E37A44"/>
    <w:rsid w:val="00E408FD"/>
    <w:rsid w:val="00E4434C"/>
    <w:rsid w:val="00E4581C"/>
    <w:rsid w:val="00E45D3E"/>
    <w:rsid w:val="00E46C7A"/>
    <w:rsid w:val="00E50958"/>
    <w:rsid w:val="00E51EF7"/>
    <w:rsid w:val="00E52DF0"/>
    <w:rsid w:val="00E5357C"/>
    <w:rsid w:val="00E53C5A"/>
    <w:rsid w:val="00E53EC7"/>
    <w:rsid w:val="00E555E1"/>
    <w:rsid w:val="00E56706"/>
    <w:rsid w:val="00E56787"/>
    <w:rsid w:val="00E5765C"/>
    <w:rsid w:val="00E60300"/>
    <w:rsid w:val="00E61508"/>
    <w:rsid w:val="00E6248B"/>
    <w:rsid w:val="00E65FAD"/>
    <w:rsid w:val="00E66D3D"/>
    <w:rsid w:val="00E677B3"/>
    <w:rsid w:val="00E707EA"/>
    <w:rsid w:val="00E71643"/>
    <w:rsid w:val="00E717AA"/>
    <w:rsid w:val="00E72B97"/>
    <w:rsid w:val="00E72E07"/>
    <w:rsid w:val="00E73B25"/>
    <w:rsid w:val="00E74C61"/>
    <w:rsid w:val="00E75080"/>
    <w:rsid w:val="00E75F5A"/>
    <w:rsid w:val="00E76415"/>
    <w:rsid w:val="00E769C6"/>
    <w:rsid w:val="00E81CF0"/>
    <w:rsid w:val="00E83418"/>
    <w:rsid w:val="00E83677"/>
    <w:rsid w:val="00E8418B"/>
    <w:rsid w:val="00E84A20"/>
    <w:rsid w:val="00E84FA8"/>
    <w:rsid w:val="00E860BA"/>
    <w:rsid w:val="00E90848"/>
    <w:rsid w:val="00E908B5"/>
    <w:rsid w:val="00E91AC6"/>
    <w:rsid w:val="00E94596"/>
    <w:rsid w:val="00E97051"/>
    <w:rsid w:val="00E9760F"/>
    <w:rsid w:val="00EA0B45"/>
    <w:rsid w:val="00EA0BB8"/>
    <w:rsid w:val="00EA34C7"/>
    <w:rsid w:val="00EA3A65"/>
    <w:rsid w:val="00EA5FAB"/>
    <w:rsid w:val="00EA620D"/>
    <w:rsid w:val="00EA6498"/>
    <w:rsid w:val="00EA6AED"/>
    <w:rsid w:val="00EB0E94"/>
    <w:rsid w:val="00EB31FC"/>
    <w:rsid w:val="00EB3F29"/>
    <w:rsid w:val="00EB659C"/>
    <w:rsid w:val="00EC200A"/>
    <w:rsid w:val="00EC276C"/>
    <w:rsid w:val="00EC2EF0"/>
    <w:rsid w:val="00EC37D7"/>
    <w:rsid w:val="00EC38D9"/>
    <w:rsid w:val="00EC495D"/>
    <w:rsid w:val="00EC50A9"/>
    <w:rsid w:val="00EC5DF8"/>
    <w:rsid w:val="00EC60BF"/>
    <w:rsid w:val="00EC6D70"/>
    <w:rsid w:val="00EC77AC"/>
    <w:rsid w:val="00ED09E0"/>
    <w:rsid w:val="00ED3B2F"/>
    <w:rsid w:val="00EE146D"/>
    <w:rsid w:val="00EE4AA4"/>
    <w:rsid w:val="00EE7746"/>
    <w:rsid w:val="00EE7D9D"/>
    <w:rsid w:val="00EF12BC"/>
    <w:rsid w:val="00EF2015"/>
    <w:rsid w:val="00EF268A"/>
    <w:rsid w:val="00EF2B75"/>
    <w:rsid w:val="00EF3935"/>
    <w:rsid w:val="00EF7758"/>
    <w:rsid w:val="00F00280"/>
    <w:rsid w:val="00F016E9"/>
    <w:rsid w:val="00F017A8"/>
    <w:rsid w:val="00F03BA9"/>
    <w:rsid w:val="00F05AB1"/>
    <w:rsid w:val="00F07867"/>
    <w:rsid w:val="00F07874"/>
    <w:rsid w:val="00F07C60"/>
    <w:rsid w:val="00F07E62"/>
    <w:rsid w:val="00F1012F"/>
    <w:rsid w:val="00F13A7F"/>
    <w:rsid w:val="00F14C94"/>
    <w:rsid w:val="00F14F91"/>
    <w:rsid w:val="00F156C4"/>
    <w:rsid w:val="00F178C9"/>
    <w:rsid w:val="00F20898"/>
    <w:rsid w:val="00F21061"/>
    <w:rsid w:val="00F21CCF"/>
    <w:rsid w:val="00F227D0"/>
    <w:rsid w:val="00F238E1"/>
    <w:rsid w:val="00F240FF"/>
    <w:rsid w:val="00F24CCE"/>
    <w:rsid w:val="00F25496"/>
    <w:rsid w:val="00F25677"/>
    <w:rsid w:val="00F262F5"/>
    <w:rsid w:val="00F26C37"/>
    <w:rsid w:val="00F30018"/>
    <w:rsid w:val="00F30733"/>
    <w:rsid w:val="00F31AFE"/>
    <w:rsid w:val="00F321E4"/>
    <w:rsid w:val="00F32BE8"/>
    <w:rsid w:val="00F334D1"/>
    <w:rsid w:val="00F359AE"/>
    <w:rsid w:val="00F404A8"/>
    <w:rsid w:val="00F40770"/>
    <w:rsid w:val="00F40A16"/>
    <w:rsid w:val="00F43117"/>
    <w:rsid w:val="00F43667"/>
    <w:rsid w:val="00F43E8C"/>
    <w:rsid w:val="00F448D1"/>
    <w:rsid w:val="00F458BE"/>
    <w:rsid w:val="00F472A3"/>
    <w:rsid w:val="00F50B2B"/>
    <w:rsid w:val="00F50EFD"/>
    <w:rsid w:val="00F52810"/>
    <w:rsid w:val="00F55D27"/>
    <w:rsid w:val="00F5633E"/>
    <w:rsid w:val="00F56E42"/>
    <w:rsid w:val="00F5793C"/>
    <w:rsid w:val="00F57E6B"/>
    <w:rsid w:val="00F60B4D"/>
    <w:rsid w:val="00F61537"/>
    <w:rsid w:val="00F6183F"/>
    <w:rsid w:val="00F61D40"/>
    <w:rsid w:val="00F62308"/>
    <w:rsid w:val="00F634AE"/>
    <w:rsid w:val="00F65C6A"/>
    <w:rsid w:val="00F65D34"/>
    <w:rsid w:val="00F6618B"/>
    <w:rsid w:val="00F704E0"/>
    <w:rsid w:val="00F70A47"/>
    <w:rsid w:val="00F70AF9"/>
    <w:rsid w:val="00F7197E"/>
    <w:rsid w:val="00F71D8D"/>
    <w:rsid w:val="00F72FE1"/>
    <w:rsid w:val="00F73814"/>
    <w:rsid w:val="00F75A27"/>
    <w:rsid w:val="00F7672F"/>
    <w:rsid w:val="00F76743"/>
    <w:rsid w:val="00F76E11"/>
    <w:rsid w:val="00F77824"/>
    <w:rsid w:val="00F810F4"/>
    <w:rsid w:val="00F81183"/>
    <w:rsid w:val="00F81791"/>
    <w:rsid w:val="00F821A3"/>
    <w:rsid w:val="00F821ED"/>
    <w:rsid w:val="00F840CA"/>
    <w:rsid w:val="00F84513"/>
    <w:rsid w:val="00F8681D"/>
    <w:rsid w:val="00F86B0D"/>
    <w:rsid w:val="00F86E53"/>
    <w:rsid w:val="00F90FA3"/>
    <w:rsid w:val="00F91113"/>
    <w:rsid w:val="00F91FD5"/>
    <w:rsid w:val="00F931CB"/>
    <w:rsid w:val="00F93508"/>
    <w:rsid w:val="00F93D0C"/>
    <w:rsid w:val="00F96384"/>
    <w:rsid w:val="00FA1534"/>
    <w:rsid w:val="00FA2C53"/>
    <w:rsid w:val="00FA2CC1"/>
    <w:rsid w:val="00FA3A2F"/>
    <w:rsid w:val="00FA3D13"/>
    <w:rsid w:val="00FA5C89"/>
    <w:rsid w:val="00FA5E2C"/>
    <w:rsid w:val="00FB000D"/>
    <w:rsid w:val="00FB0C58"/>
    <w:rsid w:val="00FB1AB4"/>
    <w:rsid w:val="00FB2C04"/>
    <w:rsid w:val="00FB37FD"/>
    <w:rsid w:val="00FB3B4E"/>
    <w:rsid w:val="00FB54D9"/>
    <w:rsid w:val="00FB625C"/>
    <w:rsid w:val="00FB6349"/>
    <w:rsid w:val="00FB6DFF"/>
    <w:rsid w:val="00FC165C"/>
    <w:rsid w:val="00FC1BAC"/>
    <w:rsid w:val="00FC26F0"/>
    <w:rsid w:val="00FC3B29"/>
    <w:rsid w:val="00FC5C32"/>
    <w:rsid w:val="00FC6425"/>
    <w:rsid w:val="00FD1092"/>
    <w:rsid w:val="00FD146E"/>
    <w:rsid w:val="00FD27ED"/>
    <w:rsid w:val="00FD3167"/>
    <w:rsid w:val="00FD4C02"/>
    <w:rsid w:val="00FD7097"/>
    <w:rsid w:val="00FD7140"/>
    <w:rsid w:val="00FD7573"/>
    <w:rsid w:val="00FD7621"/>
    <w:rsid w:val="00FE0B18"/>
    <w:rsid w:val="00FE0F70"/>
    <w:rsid w:val="00FE24A1"/>
    <w:rsid w:val="00FE5390"/>
    <w:rsid w:val="00FE69F3"/>
    <w:rsid w:val="00FF0147"/>
    <w:rsid w:val="00FF025D"/>
    <w:rsid w:val="00FF20A7"/>
    <w:rsid w:val="00FF2294"/>
    <w:rsid w:val="00FF32D2"/>
    <w:rsid w:val="00FF3D7D"/>
    <w:rsid w:val="00FF4127"/>
    <w:rsid w:val="00FF4C45"/>
    <w:rsid w:val="00FF4DA2"/>
    <w:rsid w:val="00FF5B9A"/>
    <w:rsid w:val="00FF5EE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3D05643"/>
  <w15:docId w15:val="{182C083C-2D3F-47D2-BF2D-4A934F5D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3145B"/>
    <w:rPr>
      <w:sz w:val="24"/>
      <w:szCs w:val="24"/>
      <w:lang w:eastAsia="en-US"/>
    </w:rPr>
  </w:style>
  <w:style w:type="paragraph" w:styleId="Nadpis1">
    <w:name w:val="heading 1"/>
    <w:basedOn w:val="Normlny"/>
    <w:next w:val="Normlny"/>
    <w:link w:val="Nadpis1Char"/>
    <w:uiPriority w:val="9"/>
    <w:qFormat/>
    <w:rsid w:val="008F73F3"/>
    <w:pPr>
      <w:keepNext/>
      <w:numPr>
        <w:numId w:val="2"/>
      </w:numPr>
      <w:jc w:val="center"/>
      <w:outlineLvl w:val="0"/>
    </w:pPr>
    <w:rPr>
      <w:rFonts w:eastAsia="Arial Unicode MS"/>
      <w:b/>
      <w:sz w:val="28"/>
      <w:szCs w:val="20"/>
    </w:rPr>
  </w:style>
  <w:style w:type="paragraph" w:styleId="Nadpis2">
    <w:name w:val="heading 2"/>
    <w:aliases w:val="Úloha"/>
    <w:basedOn w:val="Normlny"/>
    <w:next w:val="Normlny"/>
    <w:link w:val="Nadpis2Char"/>
    <w:uiPriority w:val="9"/>
    <w:qFormat/>
    <w:rsid w:val="008F73F3"/>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8F73F3"/>
    <w:pPr>
      <w:keepNext/>
      <w:numPr>
        <w:ilvl w:val="2"/>
        <w:numId w:val="2"/>
      </w:numPr>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8F73F3"/>
    <w:pPr>
      <w:keepNext/>
      <w:numPr>
        <w:ilvl w:val="3"/>
        <w:numId w:val="2"/>
      </w:numPr>
      <w:spacing w:before="240" w:after="60"/>
      <w:outlineLvl w:val="3"/>
    </w:pPr>
    <w:rPr>
      <w:b/>
      <w:bCs/>
      <w:sz w:val="28"/>
      <w:szCs w:val="28"/>
    </w:rPr>
  </w:style>
  <w:style w:type="paragraph" w:styleId="Nadpis5">
    <w:name w:val="heading 5"/>
    <w:basedOn w:val="Normlny"/>
    <w:next w:val="Normlny"/>
    <w:link w:val="Nadpis5Char"/>
    <w:uiPriority w:val="9"/>
    <w:qFormat/>
    <w:rsid w:val="008F73F3"/>
    <w:pPr>
      <w:keepNext/>
      <w:numPr>
        <w:ilvl w:val="4"/>
        <w:numId w:val="2"/>
      </w:numPr>
      <w:outlineLvl w:val="4"/>
    </w:pPr>
    <w:rPr>
      <w:b/>
      <w:bCs/>
    </w:rPr>
  </w:style>
  <w:style w:type="paragraph" w:styleId="Nadpis6">
    <w:name w:val="heading 6"/>
    <w:basedOn w:val="Normlny"/>
    <w:next w:val="Normlny"/>
    <w:link w:val="Nadpis6Char"/>
    <w:uiPriority w:val="9"/>
    <w:qFormat/>
    <w:rsid w:val="008F73F3"/>
    <w:pPr>
      <w:keepNext/>
      <w:numPr>
        <w:ilvl w:val="5"/>
        <w:numId w:val="2"/>
      </w:numPr>
      <w:jc w:val="both"/>
      <w:outlineLvl w:val="5"/>
    </w:pPr>
    <w:rPr>
      <w:b/>
      <w:bCs/>
      <w:u w:val="single"/>
    </w:rPr>
  </w:style>
  <w:style w:type="paragraph" w:styleId="Nadpis7">
    <w:name w:val="heading 7"/>
    <w:basedOn w:val="Normlny"/>
    <w:next w:val="Normlny"/>
    <w:link w:val="Nadpis7Char"/>
    <w:uiPriority w:val="9"/>
    <w:qFormat/>
    <w:rsid w:val="008F73F3"/>
    <w:pPr>
      <w:keepNext/>
      <w:numPr>
        <w:ilvl w:val="6"/>
        <w:numId w:val="2"/>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8F73F3"/>
    <w:pPr>
      <w:jc w:val="center"/>
    </w:pPr>
    <w:rPr>
      <w:b/>
      <w:szCs w:val="20"/>
    </w:rPr>
  </w:style>
  <w:style w:type="paragraph" w:styleId="Zkladntext">
    <w:name w:val="Body Text"/>
    <w:aliases w:val="b,Základný text1"/>
    <w:basedOn w:val="Normlny"/>
    <w:link w:val="ZkladntextChar"/>
    <w:uiPriority w:val="99"/>
    <w:rsid w:val="008F73F3"/>
    <w:rPr>
      <w:b/>
      <w:szCs w:val="20"/>
    </w:rPr>
  </w:style>
  <w:style w:type="paragraph" w:styleId="Zkladntext2">
    <w:name w:val="Body Text 2"/>
    <w:basedOn w:val="Normlny"/>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lang w:eastAsia="en-US"/>
    </w:rPr>
  </w:style>
  <w:style w:type="character" w:customStyle="1" w:styleId="ZkladntextChar">
    <w:name w:val="Základný text Char"/>
    <w:aliases w:val="b Char,Základný text1 Char"/>
    <w:link w:val="Zkladntext"/>
    <w:uiPriority w:val="99"/>
    <w:rsid w:val="00923032"/>
    <w:rPr>
      <w:b/>
      <w:sz w:val="24"/>
    </w:rPr>
  </w:style>
  <w:style w:type="paragraph" w:customStyle="1" w:styleId="Zakladnystyl">
    <w:name w:val="Zakladny styl"/>
    <w:rsid w:val="00923032"/>
    <w:rPr>
      <w:sz w:val="24"/>
      <w:szCs w:val="24"/>
      <w:lang w:eastAsia="en-US"/>
    </w:rPr>
  </w:style>
  <w:style w:type="character" w:styleId="PouitHypertextovPrepojenie">
    <w:name w:val="FollowedHyperlink"/>
    <w:rsid w:val="000904C3"/>
    <w:rPr>
      <w:rFonts w:cs="Times New Roman"/>
      <w:color w:val="auto"/>
      <w:u w:val="none"/>
    </w:rPr>
  </w:style>
  <w:style w:type="paragraph" w:styleId="Odsekzoznamu">
    <w:name w:val="List Paragraph"/>
    <w:basedOn w:val="Normlny"/>
    <w:link w:val="OdsekzoznamuChar"/>
    <w:uiPriority w:val="34"/>
    <w:qFormat/>
    <w:rsid w:val="00A819B8"/>
    <w:pPr>
      <w:ind w:left="720"/>
      <w:contextualSpacing/>
    </w:pPr>
  </w:style>
  <w:style w:type="character" w:customStyle="1" w:styleId="OdsekzoznamuChar">
    <w:name w:val="Odsek zoznamu Char"/>
    <w:link w:val="Odsekzoznamu"/>
    <w:uiPriority w:val="34"/>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uiPriority w:val="9"/>
    <w:rsid w:val="004C3C08"/>
    <w:rPr>
      <w:rFonts w:ascii="Arial" w:hAnsi="Arial" w:cs="Arial"/>
      <w:b/>
      <w:bCs/>
      <w:sz w:val="26"/>
      <w:szCs w:val="26"/>
      <w:lang w:eastAsia="en-US"/>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iPriority w:val="99"/>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lang w:eastAsia="en-US"/>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1">
    <w:name w:val="Char Char Char Char Char Char Char1"/>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20"/>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35"/>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4"/>
      </w:numPr>
      <w:spacing w:before="240" w:line="260" w:lineRule="atLeast"/>
      <w:jc w:val="both"/>
    </w:pPr>
    <w:rPr>
      <w:rFonts w:eastAsia="SimSun"/>
      <w:sz w:val="22"/>
      <w:szCs w:val="22"/>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uiPriority w:val="9"/>
    <w:rsid w:val="00C571BF"/>
    <w:rPr>
      <w:rFonts w:ascii="Arial" w:hAnsi="Arial" w:cs="Arial"/>
      <w:b/>
      <w:bCs/>
      <w:i/>
      <w:iCs/>
      <w:sz w:val="28"/>
      <w:szCs w:val="28"/>
      <w:lang w:eastAsia="en-US"/>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aliases w:val="Footnote symbol,IT Fußnotenzeichen,Footnote symboFußnotenzeichen,Footnote sign,-E Fußnotenzeichen,ESPON Footnote No,Footnote call,Odwołanie przypisu,Footnote Reference Superscript,BVI fnr,Footnote reference number"/>
    <w:link w:val="Footnotenumber"/>
    <w:uiPriority w:val="99"/>
    <w:qFormat/>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5"/>
      </w:numPr>
    </w:pPr>
  </w:style>
  <w:style w:type="paragraph" w:styleId="Revzia">
    <w:name w:val="Revision"/>
    <w:hidden/>
    <w:uiPriority w:val="99"/>
    <w:semiHidden/>
    <w:rsid w:val="00C571BF"/>
    <w:rPr>
      <w:sz w:val="24"/>
      <w:szCs w:val="24"/>
      <w:lang w:val="en-US" w:eastAsia="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6"/>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pPr>
      <w:numPr>
        <w:numId w:val="9"/>
      </w:numPr>
    </w:pPr>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7"/>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rPr>
  </w:style>
  <w:style w:type="paragraph" w:customStyle="1" w:styleId="Point0">
    <w:name w:val="Point 0"/>
    <w:basedOn w:val="Normlny"/>
    <w:uiPriority w:val="99"/>
    <w:rsid w:val="00C8498E"/>
    <w:pPr>
      <w:spacing w:before="120" w:after="120" w:line="360" w:lineRule="auto"/>
      <w:ind w:left="850" w:hanging="850"/>
    </w:pPr>
  </w:style>
  <w:style w:type="paragraph" w:customStyle="1" w:styleId="Tiret2">
    <w:name w:val="Tiret 2"/>
    <w:basedOn w:val="Normlny"/>
    <w:rsid w:val="00C8498E"/>
    <w:pPr>
      <w:numPr>
        <w:numId w:val="8"/>
      </w:numPr>
      <w:spacing w:before="120" w:after="120" w:line="360" w:lineRule="auto"/>
    </w:p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style>
  <w:style w:type="paragraph" w:customStyle="1" w:styleId="ManualNumPar1">
    <w:name w:val="Manual NumPar 1"/>
    <w:basedOn w:val="Normlny"/>
    <w:next w:val="Normlny"/>
    <w:rsid w:val="00C8498E"/>
    <w:pPr>
      <w:spacing w:before="120" w:after="120" w:line="360" w:lineRule="auto"/>
      <w:ind w:left="850" w:hanging="850"/>
    </w:pPr>
  </w:style>
  <w:style w:type="character" w:customStyle="1" w:styleId="Point1Char">
    <w:name w:val="Point 1 Char"/>
    <w:link w:val="Point1"/>
    <w:locked/>
    <w:rsid w:val="00C8498E"/>
    <w:rPr>
      <w:sz w:val="24"/>
      <w:szCs w:val="24"/>
      <w:lang w:eastAsia="en-US"/>
    </w:rPr>
  </w:style>
  <w:style w:type="paragraph" w:customStyle="1" w:styleId="Footnotenumber">
    <w:name w:val="Footnote number"/>
    <w:aliases w:val="fr"/>
    <w:basedOn w:val="Normlny"/>
    <w:link w:val="Odkaznapoznmkupodiarou"/>
    <w:uiPriority w:val="99"/>
    <w:rsid w:val="00CC2A81"/>
    <w:pPr>
      <w:spacing w:after="160" w:line="240" w:lineRule="exact"/>
    </w:pPr>
    <w:rPr>
      <w:sz w:val="20"/>
      <w:szCs w:val="20"/>
      <w:vertAlign w:val="superscript"/>
    </w:rPr>
  </w:style>
  <w:style w:type="table" w:customStyle="1" w:styleId="Svtlmkatabulky11">
    <w:name w:val="Světlá mřížka tabulky11"/>
    <w:basedOn w:val="Normlnatabuka"/>
    <w:uiPriority w:val="40"/>
    <w:rsid w:val="007E598A"/>
    <w:rPr>
      <w:rFonts w:ascii="Calibri" w:eastAsia="Calibri" w:hAnsi="Calibri"/>
      <w:sz w:val="22"/>
      <w:szCs w:val="22"/>
      <w:lang w:val="en-GB"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lavikaobsahu">
    <w:name w:val="TOC Heading"/>
    <w:basedOn w:val="Nadpis1"/>
    <w:next w:val="Normlny"/>
    <w:uiPriority w:val="39"/>
    <w:unhideWhenUsed/>
    <w:qFormat/>
    <w:rsid w:val="002E3748"/>
    <w:pPr>
      <w:keepLines/>
      <w:numPr>
        <w:numId w:val="0"/>
      </w:numPr>
      <w:spacing w:before="480" w:line="276" w:lineRule="auto"/>
      <w:jc w:val="left"/>
      <w:outlineLvl w:val="9"/>
    </w:pPr>
    <w:rPr>
      <w:rFonts w:ascii="Cambria" w:eastAsia="Times New Roman" w:hAnsi="Cambria"/>
      <w:bCs/>
      <w:color w:val="365F91"/>
      <w:szCs w:val="28"/>
      <w:lang w:eastAsia="sk-SK"/>
    </w:rPr>
  </w:style>
  <w:style w:type="paragraph" w:styleId="Obsah3">
    <w:name w:val="toc 3"/>
    <w:basedOn w:val="Normlny"/>
    <w:next w:val="Normlny"/>
    <w:autoRedefine/>
    <w:uiPriority w:val="39"/>
    <w:unhideWhenUsed/>
    <w:qFormat/>
    <w:rsid w:val="002E3748"/>
    <w:pPr>
      <w:ind w:left="480"/>
    </w:pPr>
  </w:style>
  <w:style w:type="paragraph" w:styleId="Obsah1">
    <w:name w:val="toc 1"/>
    <w:basedOn w:val="Normlny"/>
    <w:next w:val="Normlny"/>
    <w:autoRedefine/>
    <w:uiPriority w:val="39"/>
    <w:unhideWhenUsed/>
    <w:qFormat/>
    <w:rsid w:val="00212828"/>
    <w:pPr>
      <w:tabs>
        <w:tab w:val="left" w:pos="480"/>
        <w:tab w:val="right" w:leader="dot" w:pos="9639"/>
      </w:tabs>
      <w:spacing w:line="360" w:lineRule="auto"/>
      <w:ind w:left="480" w:right="1" w:hanging="480"/>
    </w:pPr>
    <w:rPr>
      <w:rFonts w:ascii="Calibri Light" w:eastAsia="Calibri" w:hAnsi="Calibri Light" w:cs="Calibri Light"/>
      <w:b/>
      <w:noProof/>
    </w:rPr>
  </w:style>
  <w:style w:type="paragraph" w:styleId="Obsah2">
    <w:name w:val="toc 2"/>
    <w:basedOn w:val="Normlny"/>
    <w:next w:val="Normlny"/>
    <w:autoRedefine/>
    <w:uiPriority w:val="39"/>
    <w:unhideWhenUsed/>
    <w:qFormat/>
    <w:rsid w:val="002E3748"/>
    <w:pPr>
      <w:ind w:left="240"/>
    </w:pPr>
  </w:style>
  <w:style w:type="numbering" w:customStyle="1" w:styleId="List121">
    <w:name w:val="List 121"/>
    <w:basedOn w:val="Bezzoznamu"/>
    <w:rsid w:val="002B6C23"/>
  </w:style>
  <w:style w:type="numbering" w:customStyle="1" w:styleId="Bezzoznamu6">
    <w:name w:val="Bez zoznamu6"/>
    <w:next w:val="Bezzoznamu"/>
    <w:uiPriority w:val="99"/>
    <w:semiHidden/>
    <w:unhideWhenUsed/>
    <w:rsid w:val="002E1577"/>
  </w:style>
  <w:style w:type="character" w:customStyle="1" w:styleId="Nadpis4Char">
    <w:name w:val="Nadpis 4 Char"/>
    <w:basedOn w:val="Predvolenpsmoodseku"/>
    <w:link w:val="Nadpis4"/>
    <w:uiPriority w:val="9"/>
    <w:rsid w:val="002E1577"/>
    <w:rPr>
      <w:b/>
      <w:bCs/>
      <w:sz w:val="28"/>
      <w:szCs w:val="28"/>
      <w:lang w:eastAsia="en-US"/>
    </w:rPr>
  </w:style>
  <w:style w:type="character" w:customStyle="1" w:styleId="Nadpis5Char">
    <w:name w:val="Nadpis 5 Char"/>
    <w:basedOn w:val="Predvolenpsmoodseku"/>
    <w:link w:val="Nadpis5"/>
    <w:uiPriority w:val="9"/>
    <w:rsid w:val="002E1577"/>
    <w:rPr>
      <w:b/>
      <w:bCs/>
      <w:sz w:val="24"/>
      <w:szCs w:val="24"/>
      <w:lang w:eastAsia="en-US"/>
    </w:rPr>
  </w:style>
  <w:style w:type="character" w:customStyle="1" w:styleId="Nadpis6Char">
    <w:name w:val="Nadpis 6 Char"/>
    <w:basedOn w:val="Predvolenpsmoodseku"/>
    <w:link w:val="Nadpis6"/>
    <w:uiPriority w:val="9"/>
    <w:rsid w:val="002E1577"/>
    <w:rPr>
      <w:b/>
      <w:bCs/>
      <w:sz w:val="24"/>
      <w:szCs w:val="24"/>
      <w:u w:val="single"/>
      <w:lang w:eastAsia="en-US"/>
    </w:rPr>
  </w:style>
  <w:style w:type="character" w:customStyle="1" w:styleId="Nadpis7Char">
    <w:name w:val="Nadpis 7 Char"/>
    <w:basedOn w:val="Predvolenpsmoodseku"/>
    <w:link w:val="Nadpis7"/>
    <w:uiPriority w:val="9"/>
    <w:rsid w:val="002E1577"/>
    <w:rPr>
      <w:b/>
      <w:sz w:val="24"/>
      <w:szCs w:val="26"/>
      <w:lang w:eastAsia="en-US"/>
    </w:rPr>
  </w:style>
  <w:style w:type="character" w:customStyle="1" w:styleId="Jemnzvraznenie1">
    <w:name w:val="Jemné zvýraznenie1"/>
    <w:uiPriority w:val="19"/>
    <w:qFormat/>
    <w:rsid w:val="002E1577"/>
    <w:rPr>
      <w:i/>
      <w:iCs/>
      <w:color w:val="404040"/>
    </w:rPr>
  </w:style>
  <w:style w:type="paragraph" w:styleId="Zvraznencitcia">
    <w:name w:val="Intense Quote"/>
    <w:basedOn w:val="Normlny"/>
    <w:next w:val="Normlny"/>
    <w:link w:val="ZvraznencitciaChar"/>
    <w:uiPriority w:val="30"/>
    <w:qFormat/>
    <w:rsid w:val="002E1577"/>
    <w:pPr>
      <w:pBdr>
        <w:bottom w:val="single" w:sz="4" w:space="4" w:color="4F81BD"/>
      </w:pBdr>
      <w:spacing w:before="200" w:after="280"/>
      <w:ind w:left="936" w:right="936"/>
    </w:pPr>
    <w:rPr>
      <w:b/>
      <w:bCs/>
      <w:i/>
      <w:iCs/>
      <w:color w:val="4F81BD"/>
      <w:lang w:eastAsia="sk-SK"/>
    </w:rPr>
  </w:style>
  <w:style w:type="character" w:customStyle="1" w:styleId="ZvraznencitciaChar">
    <w:name w:val="Zvýraznená citácia Char"/>
    <w:basedOn w:val="Predvolenpsmoodseku"/>
    <w:link w:val="Zvraznencitcia"/>
    <w:uiPriority w:val="30"/>
    <w:rsid w:val="002E1577"/>
    <w:rPr>
      <w:b/>
      <w:bCs/>
      <w:i/>
      <w:iCs/>
      <w:color w:val="4F81BD"/>
      <w:sz w:val="24"/>
      <w:szCs w:val="24"/>
    </w:rPr>
  </w:style>
  <w:style w:type="character" w:styleId="Jemnzvraznenie">
    <w:name w:val="Subtle Emphasis"/>
    <w:uiPriority w:val="19"/>
    <w:qFormat/>
    <w:rsid w:val="002E1577"/>
    <w:rPr>
      <w:i/>
      <w:iCs/>
      <w:color w:val="808080"/>
    </w:rPr>
  </w:style>
  <w:style w:type="character" w:styleId="Nzovknihy">
    <w:name w:val="Book Title"/>
    <w:basedOn w:val="Predvolenpsmoodseku"/>
    <w:uiPriority w:val="33"/>
    <w:qFormat/>
    <w:rsid w:val="002E1577"/>
    <w:rPr>
      <w:b/>
      <w:bCs/>
      <w:smallCaps/>
      <w:spacing w:val="5"/>
    </w:rPr>
  </w:style>
  <w:style w:type="table" w:customStyle="1" w:styleId="Mriekatabuky2">
    <w:name w:val="Mriežka tabuľky2"/>
    <w:basedOn w:val="Normlnatabuka"/>
    <w:next w:val="Mriekatabuky"/>
    <w:uiPriority w:val="39"/>
    <w:rsid w:val="002E15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podfarbeniezvraznenie1">
    <w:name w:val="Light Shading Accent 1"/>
    <w:basedOn w:val="Normlnatabuka"/>
    <w:uiPriority w:val="60"/>
    <w:rsid w:val="002E15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trednmrieka3zvraznenie5">
    <w:name w:val="Medium Grid 3 Accent 5"/>
    <w:basedOn w:val="Normlnatabuka"/>
    <w:uiPriority w:val="69"/>
    <w:rsid w:val="002E1577"/>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vetlpodfarbenie">
    <w:name w:val="Light Shading"/>
    <w:basedOn w:val="Normlnatabuka"/>
    <w:uiPriority w:val="60"/>
    <w:rsid w:val="002E1577"/>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Farebnmriekazvraznenie5">
    <w:name w:val="Colorful Grid Accent 5"/>
    <w:basedOn w:val="Normlnatabuka"/>
    <w:uiPriority w:val="73"/>
    <w:rsid w:val="002E1577"/>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byajntabuka31">
    <w:name w:val="Obyčajná tabuľka 31"/>
    <w:basedOn w:val="Normlnatabuka"/>
    <w:uiPriority w:val="43"/>
    <w:rsid w:val="002E157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Strednmrieka3zvraznenie3">
    <w:name w:val="Medium Grid 3 Accent 3"/>
    <w:basedOn w:val="Normlnatabuka"/>
    <w:uiPriority w:val="69"/>
    <w:rsid w:val="002E1577"/>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riekatabuky3">
    <w:name w:val="Mriežka tabuľky3"/>
    <w:basedOn w:val="Normlnatabuka"/>
    <w:next w:val="Mriekatabuky"/>
    <w:uiPriority w:val="39"/>
    <w:rsid w:val="002E15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ov-M">
    <w:name w:val="Názov-M"/>
    <w:basedOn w:val="Normlny"/>
    <w:next w:val="Normlny"/>
    <w:qFormat/>
    <w:rsid w:val="00010EC9"/>
    <w:pPr>
      <w:jc w:val="center"/>
    </w:pPr>
    <w:rPr>
      <w:b/>
      <w:lang w:eastAsia="sk-SK"/>
    </w:rPr>
  </w:style>
  <w:style w:type="numbering" w:customStyle="1" w:styleId="Bezzoznamu7">
    <w:name w:val="Bez zoznamu7"/>
    <w:next w:val="Bezzoznamu"/>
    <w:uiPriority w:val="99"/>
    <w:semiHidden/>
    <w:unhideWhenUsed/>
    <w:rsid w:val="00295488"/>
  </w:style>
  <w:style w:type="table" w:customStyle="1" w:styleId="Mriekatabuky4">
    <w:name w:val="Mriežka tabuľky4"/>
    <w:basedOn w:val="Normlnatabuka"/>
    <w:next w:val="Mriekatabuky"/>
    <w:uiPriority w:val="39"/>
    <w:rsid w:val="002954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podfarbeniezvraznenie11">
    <w:name w:val="Svetlé podfarbenie – zvýraznenie 11"/>
    <w:basedOn w:val="Normlnatabuka"/>
    <w:next w:val="Svetlpodfarbeniezvraznenie1"/>
    <w:uiPriority w:val="60"/>
    <w:rsid w:val="0029548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trednmrieka3zvraznenie51">
    <w:name w:val="Stredná mriežka 3 – zvýraznenie 51"/>
    <w:basedOn w:val="Normlnatabuka"/>
    <w:next w:val="Strednmrieka3zvraznenie5"/>
    <w:uiPriority w:val="69"/>
    <w:rsid w:val="00295488"/>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Svetlpodfarbenie1">
    <w:name w:val="Svetlé podfarbenie1"/>
    <w:basedOn w:val="Normlnatabuka"/>
    <w:next w:val="Svetlpodfarbenie"/>
    <w:uiPriority w:val="60"/>
    <w:rsid w:val="00295488"/>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Farebnmriekazvraznenie51">
    <w:name w:val="Farebná mriežka – zvýraznenie 51"/>
    <w:basedOn w:val="Normlnatabuka"/>
    <w:next w:val="Farebnmriekazvraznenie5"/>
    <w:uiPriority w:val="73"/>
    <w:rsid w:val="00295488"/>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byajntabuka311">
    <w:name w:val="Obyčajná tabuľka 311"/>
    <w:basedOn w:val="Normlnatabuka"/>
    <w:uiPriority w:val="43"/>
    <w:rsid w:val="0029548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trednmrieka3zvraznenie31">
    <w:name w:val="Stredná mriežka 3 – zvýraznenie 31"/>
    <w:basedOn w:val="Normlnatabuka"/>
    <w:next w:val="Strednmrieka3zvraznenie3"/>
    <w:uiPriority w:val="69"/>
    <w:rsid w:val="00295488"/>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riekatabuky5">
    <w:name w:val="Mriežka tabuľky5"/>
    <w:basedOn w:val="Normlnatabuka"/>
    <w:next w:val="Mriekatabuky"/>
    <w:uiPriority w:val="59"/>
    <w:rsid w:val="00E006A7"/>
    <w:rPr>
      <w:rFonts w:eastAsiaTheme="minorEastAs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Normlnatabuka"/>
    <w:next w:val="Mriekatabuky"/>
    <w:uiPriority w:val="59"/>
    <w:rsid w:val="0049540D"/>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87921">
      <w:bodyDiv w:val="1"/>
      <w:marLeft w:val="0"/>
      <w:marRight w:val="0"/>
      <w:marTop w:val="0"/>
      <w:marBottom w:val="0"/>
      <w:divBdr>
        <w:top w:val="none" w:sz="0" w:space="0" w:color="auto"/>
        <w:left w:val="none" w:sz="0" w:space="0" w:color="auto"/>
        <w:bottom w:val="none" w:sz="0" w:space="0" w:color="auto"/>
        <w:right w:val="none" w:sz="0" w:space="0" w:color="auto"/>
      </w:divBdr>
    </w:div>
    <w:div w:id="106705563">
      <w:bodyDiv w:val="1"/>
      <w:marLeft w:val="0"/>
      <w:marRight w:val="0"/>
      <w:marTop w:val="0"/>
      <w:marBottom w:val="0"/>
      <w:divBdr>
        <w:top w:val="none" w:sz="0" w:space="0" w:color="auto"/>
        <w:left w:val="none" w:sz="0" w:space="0" w:color="auto"/>
        <w:bottom w:val="none" w:sz="0" w:space="0" w:color="auto"/>
        <w:right w:val="none" w:sz="0" w:space="0" w:color="auto"/>
      </w:divBdr>
    </w:div>
    <w:div w:id="125241382">
      <w:bodyDiv w:val="1"/>
      <w:marLeft w:val="0"/>
      <w:marRight w:val="0"/>
      <w:marTop w:val="0"/>
      <w:marBottom w:val="0"/>
      <w:divBdr>
        <w:top w:val="none" w:sz="0" w:space="0" w:color="auto"/>
        <w:left w:val="none" w:sz="0" w:space="0" w:color="auto"/>
        <w:bottom w:val="none" w:sz="0" w:space="0" w:color="auto"/>
        <w:right w:val="none" w:sz="0" w:space="0" w:color="auto"/>
      </w:divBdr>
    </w:div>
    <w:div w:id="155536640">
      <w:bodyDiv w:val="1"/>
      <w:marLeft w:val="0"/>
      <w:marRight w:val="0"/>
      <w:marTop w:val="0"/>
      <w:marBottom w:val="0"/>
      <w:divBdr>
        <w:top w:val="none" w:sz="0" w:space="0" w:color="auto"/>
        <w:left w:val="none" w:sz="0" w:space="0" w:color="auto"/>
        <w:bottom w:val="none" w:sz="0" w:space="0" w:color="auto"/>
        <w:right w:val="none" w:sz="0" w:space="0" w:color="auto"/>
      </w:divBdr>
    </w:div>
    <w:div w:id="203174272">
      <w:bodyDiv w:val="1"/>
      <w:marLeft w:val="0"/>
      <w:marRight w:val="0"/>
      <w:marTop w:val="0"/>
      <w:marBottom w:val="0"/>
      <w:divBdr>
        <w:top w:val="none" w:sz="0" w:space="0" w:color="auto"/>
        <w:left w:val="none" w:sz="0" w:space="0" w:color="auto"/>
        <w:bottom w:val="none" w:sz="0" w:space="0" w:color="auto"/>
        <w:right w:val="none" w:sz="0" w:space="0" w:color="auto"/>
      </w:divBdr>
    </w:div>
    <w:div w:id="363604065">
      <w:bodyDiv w:val="1"/>
      <w:marLeft w:val="0"/>
      <w:marRight w:val="0"/>
      <w:marTop w:val="0"/>
      <w:marBottom w:val="0"/>
      <w:divBdr>
        <w:top w:val="none" w:sz="0" w:space="0" w:color="auto"/>
        <w:left w:val="none" w:sz="0" w:space="0" w:color="auto"/>
        <w:bottom w:val="none" w:sz="0" w:space="0" w:color="auto"/>
        <w:right w:val="none" w:sz="0" w:space="0" w:color="auto"/>
      </w:divBdr>
    </w:div>
    <w:div w:id="457794805">
      <w:bodyDiv w:val="1"/>
      <w:marLeft w:val="0"/>
      <w:marRight w:val="0"/>
      <w:marTop w:val="0"/>
      <w:marBottom w:val="0"/>
      <w:divBdr>
        <w:top w:val="none" w:sz="0" w:space="0" w:color="auto"/>
        <w:left w:val="none" w:sz="0" w:space="0" w:color="auto"/>
        <w:bottom w:val="none" w:sz="0" w:space="0" w:color="auto"/>
        <w:right w:val="none" w:sz="0" w:space="0" w:color="auto"/>
      </w:divBdr>
    </w:div>
    <w:div w:id="478612351">
      <w:bodyDiv w:val="1"/>
      <w:marLeft w:val="0"/>
      <w:marRight w:val="0"/>
      <w:marTop w:val="0"/>
      <w:marBottom w:val="0"/>
      <w:divBdr>
        <w:top w:val="none" w:sz="0" w:space="0" w:color="auto"/>
        <w:left w:val="none" w:sz="0" w:space="0" w:color="auto"/>
        <w:bottom w:val="none" w:sz="0" w:space="0" w:color="auto"/>
        <w:right w:val="none" w:sz="0" w:space="0" w:color="auto"/>
      </w:divBdr>
    </w:div>
    <w:div w:id="552085243">
      <w:bodyDiv w:val="1"/>
      <w:marLeft w:val="0"/>
      <w:marRight w:val="0"/>
      <w:marTop w:val="0"/>
      <w:marBottom w:val="0"/>
      <w:divBdr>
        <w:top w:val="none" w:sz="0" w:space="0" w:color="auto"/>
        <w:left w:val="none" w:sz="0" w:space="0" w:color="auto"/>
        <w:bottom w:val="none" w:sz="0" w:space="0" w:color="auto"/>
        <w:right w:val="none" w:sz="0" w:space="0" w:color="auto"/>
      </w:divBdr>
    </w:div>
    <w:div w:id="580522912">
      <w:bodyDiv w:val="1"/>
      <w:marLeft w:val="0"/>
      <w:marRight w:val="0"/>
      <w:marTop w:val="0"/>
      <w:marBottom w:val="0"/>
      <w:divBdr>
        <w:top w:val="none" w:sz="0" w:space="0" w:color="auto"/>
        <w:left w:val="none" w:sz="0" w:space="0" w:color="auto"/>
        <w:bottom w:val="none" w:sz="0" w:space="0" w:color="auto"/>
        <w:right w:val="none" w:sz="0" w:space="0" w:color="auto"/>
      </w:divBdr>
    </w:div>
    <w:div w:id="685136537">
      <w:bodyDiv w:val="1"/>
      <w:marLeft w:val="0"/>
      <w:marRight w:val="0"/>
      <w:marTop w:val="0"/>
      <w:marBottom w:val="0"/>
      <w:divBdr>
        <w:top w:val="none" w:sz="0" w:space="0" w:color="auto"/>
        <w:left w:val="none" w:sz="0" w:space="0" w:color="auto"/>
        <w:bottom w:val="none" w:sz="0" w:space="0" w:color="auto"/>
        <w:right w:val="none" w:sz="0" w:space="0" w:color="auto"/>
      </w:divBdr>
    </w:div>
    <w:div w:id="692849803">
      <w:bodyDiv w:val="1"/>
      <w:marLeft w:val="0"/>
      <w:marRight w:val="0"/>
      <w:marTop w:val="0"/>
      <w:marBottom w:val="0"/>
      <w:divBdr>
        <w:top w:val="none" w:sz="0" w:space="0" w:color="auto"/>
        <w:left w:val="none" w:sz="0" w:space="0" w:color="auto"/>
        <w:bottom w:val="none" w:sz="0" w:space="0" w:color="auto"/>
        <w:right w:val="none" w:sz="0" w:space="0" w:color="auto"/>
      </w:divBdr>
    </w:div>
    <w:div w:id="778987257">
      <w:bodyDiv w:val="1"/>
      <w:marLeft w:val="0"/>
      <w:marRight w:val="0"/>
      <w:marTop w:val="0"/>
      <w:marBottom w:val="0"/>
      <w:divBdr>
        <w:top w:val="none" w:sz="0" w:space="0" w:color="auto"/>
        <w:left w:val="none" w:sz="0" w:space="0" w:color="auto"/>
        <w:bottom w:val="none" w:sz="0" w:space="0" w:color="auto"/>
        <w:right w:val="none" w:sz="0" w:space="0" w:color="auto"/>
      </w:divBdr>
    </w:div>
    <w:div w:id="872616045">
      <w:bodyDiv w:val="1"/>
      <w:marLeft w:val="0"/>
      <w:marRight w:val="0"/>
      <w:marTop w:val="0"/>
      <w:marBottom w:val="0"/>
      <w:divBdr>
        <w:top w:val="none" w:sz="0" w:space="0" w:color="auto"/>
        <w:left w:val="none" w:sz="0" w:space="0" w:color="auto"/>
        <w:bottom w:val="none" w:sz="0" w:space="0" w:color="auto"/>
        <w:right w:val="none" w:sz="0" w:space="0" w:color="auto"/>
      </w:divBdr>
    </w:div>
    <w:div w:id="917981353">
      <w:bodyDiv w:val="1"/>
      <w:marLeft w:val="0"/>
      <w:marRight w:val="0"/>
      <w:marTop w:val="0"/>
      <w:marBottom w:val="0"/>
      <w:divBdr>
        <w:top w:val="none" w:sz="0" w:space="0" w:color="auto"/>
        <w:left w:val="none" w:sz="0" w:space="0" w:color="auto"/>
        <w:bottom w:val="none" w:sz="0" w:space="0" w:color="auto"/>
        <w:right w:val="none" w:sz="0" w:space="0" w:color="auto"/>
      </w:divBdr>
    </w:div>
    <w:div w:id="1032463533">
      <w:bodyDiv w:val="1"/>
      <w:marLeft w:val="0"/>
      <w:marRight w:val="0"/>
      <w:marTop w:val="0"/>
      <w:marBottom w:val="0"/>
      <w:divBdr>
        <w:top w:val="none" w:sz="0" w:space="0" w:color="auto"/>
        <w:left w:val="none" w:sz="0" w:space="0" w:color="auto"/>
        <w:bottom w:val="none" w:sz="0" w:space="0" w:color="auto"/>
        <w:right w:val="none" w:sz="0" w:space="0" w:color="auto"/>
      </w:divBdr>
    </w:div>
    <w:div w:id="1132598963">
      <w:bodyDiv w:val="1"/>
      <w:marLeft w:val="0"/>
      <w:marRight w:val="0"/>
      <w:marTop w:val="0"/>
      <w:marBottom w:val="0"/>
      <w:divBdr>
        <w:top w:val="none" w:sz="0" w:space="0" w:color="auto"/>
        <w:left w:val="none" w:sz="0" w:space="0" w:color="auto"/>
        <w:bottom w:val="none" w:sz="0" w:space="0" w:color="auto"/>
        <w:right w:val="none" w:sz="0" w:space="0" w:color="auto"/>
      </w:divBdr>
      <w:divsChild>
        <w:div w:id="534466931">
          <w:marLeft w:val="0"/>
          <w:marRight w:val="0"/>
          <w:marTop w:val="0"/>
          <w:marBottom w:val="0"/>
          <w:divBdr>
            <w:top w:val="none" w:sz="0" w:space="0" w:color="auto"/>
            <w:left w:val="none" w:sz="0" w:space="0" w:color="auto"/>
            <w:bottom w:val="none" w:sz="0" w:space="0" w:color="auto"/>
            <w:right w:val="none" w:sz="0" w:space="0" w:color="auto"/>
          </w:divBdr>
        </w:div>
      </w:divsChild>
    </w:div>
    <w:div w:id="1144395139">
      <w:bodyDiv w:val="1"/>
      <w:marLeft w:val="0"/>
      <w:marRight w:val="0"/>
      <w:marTop w:val="0"/>
      <w:marBottom w:val="0"/>
      <w:divBdr>
        <w:top w:val="none" w:sz="0" w:space="0" w:color="auto"/>
        <w:left w:val="none" w:sz="0" w:space="0" w:color="auto"/>
        <w:bottom w:val="none" w:sz="0" w:space="0" w:color="auto"/>
        <w:right w:val="none" w:sz="0" w:space="0" w:color="auto"/>
      </w:divBdr>
    </w:div>
    <w:div w:id="1192836976">
      <w:bodyDiv w:val="1"/>
      <w:marLeft w:val="0"/>
      <w:marRight w:val="0"/>
      <w:marTop w:val="0"/>
      <w:marBottom w:val="0"/>
      <w:divBdr>
        <w:top w:val="none" w:sz="0" w:space="0" w:color="auto"/>
        <w:left w:val="none" w:sz="0" w:space="0" w:color="auto"/>
        <w:bottom w:val="none" w:sz="0" w:space="0" w:color="auto"/>
        <w:right w:val="none" w:sz="0" w:space="0" w:color="auto"/>
      </w:divBdr>
    </w:div>
    <w:div w:id="1238445212">
      <w:bodyDiv w:val="1"/>
      <w:marLeft w:val="0"/>
      <w:marRight w:val="0"/>
      <w:marTop w:val="0"/>
      <w:marBottom w:val="0"/>
      <w:divBdr>
        <w:top w:val="none" w:sz="0" w:space="0" w:color="auto"/>
        <w:left w:val="none" w:sz="0" w:space="0" w:color="auto"/>
        <w:bottom w:val="none" w:sz="0" w:space="0" w:color="auto"/>
        <w:right w:val="none" w:sz="0" w:space="0" w:color="auto"/>
      </w:divBdr>
    </w:div>
    <w:div w:id="1378046447">
      <w:bodyDiv w:val="1"/>
      <w:marLeft w:val="0"/>
      <w:marRight w:val="0"/>
      <w:marTop w:val="0"/>
      <w:marBottom w:val="0"/>
      <w:divBdr>
        <w:top w:val="none" w:sz="0" w:space="0" w:color="auto"/>
        <w:left w:val="none" w:sz="0" w:space="0" w:color="auto"/>
        <w:bottom w:val="none" w:sz="0" w:space="0" w:color="auto"/>
        <w:right w:val="none" w:sz="0" w:space="0" w:color="auto"/>
      </w:divBdr>
    </w:div>
    <w:div w:id="1398089022">
      <w:bodyDiv w:val="1"/>
      <w:marLeft w:val="0"/>
      <w:marRight w:val="0"/>
      <w:marTop w:val="0"/>
      <w:marBottom w:val="0"/>
      <w:divBdr>
        <w:top w:val="none" w:sz="0" w:space="0" w:color="auto"/>
        <w:left w:val="none" w:sz="0" w:space="0" w:color="auto"/>
        <w:bottom w:val="none" w:sz="0" w:space="0" w:color="auto"/>
        <w:right w:val="none" w:sz="0" w:space="0" w:color="auto"/>
      </w:divBdr>
    </w:div>
    <w:div w:id="1475559035">
      <w:bodyDiv w:val="1"/>
      <w:marLeft w:val="0"/>
      <w:marRight w:val="0"/>
      <w:marTop w:val="0"/>
      <w:marBottom w:val="0"/>
      <w:divBdr>
        <w:top w:val="none" w:sz="0" w:space="0" w:color="auto"/>
        <w:left w:val="none" w:sz="0" w:space="0" w:color="auto"/>
        <w:bottom w:val="none" w:sz="0" w:space="0" w:color="auto"/>
        <w:right w:val="none" w:sz="0" w:space="0" w:color="auto"/>
      </w:divBdr>
    </w:div>
    <w:div w:id="1481506968">
      <w:bodyDiv w:val="1"/>
      <w:marLeft w:val="0"/>
      <w:marRight w:val="0"/>
      <w:marTop w:val="0"/>
      <w:marBottom w:val="0"/>
      <w:divBdr>
        <w:top w:val="none" w:sz="0" w:space="0" w:color="auto"/>
        <w:left w:val="none" w:sz="0" w:space="0" w:color="auto"/>
        <w:bottom w:val="none" w:sz="0" w:space="0" w:color="auto"/>
        <w:right w:val="none" w:sz="0" w:space="0" w:color="auto"/>
      </w:divBdr>
    </w:div>
    <w:div w:id="1538614690">
      <w:bodyDiv w:val="1"/>
      <w:marLeft w:val="0"/>
      <w:marRight w:val="0"/>
      <w:marTop w:val="0"/>
      <w:marBottom w:val="0"/>
      <w:divBdr>
        <w:top w:val="none" w:sz="0" w:space="0" w:color="auto"/>
        <w:left w:val="none" w:sz="0" w:space="0" w:color="auto"/>
        <w:bottom w:val="none" w:sz="0" w:space="0" w:color="auto"/>
        <w:right w:val="none" w:sz="0" w:space="0" w:color="auto"/>
      </w:divBdr>
    </w:div>
    <w:div w:id="1549953756">
      <w:bodyDiv w:val="1"/>
      <w:marLeft w:val="0"/>
      <w:marRight w:val="0"/>
      <w:marTop w:val="0"/>
      <w:marBottom w:val="0"/>
      <w:divBdr>
        <w:top w:val="none" w:sz="0" w:space="0" w:color="auto"/>
        <w:left w:val="none" w:sz="0" w:space="0" w:color="auto"/>
        <w:bottom w:val="none" w:sz="0" w:space="0" w:color="auto"/>
        <w:right w:val="none" w:sz="0" w:space="0" w:color="auto"/>
      </w:divBdr>
      <w:divsChild>
        <w:div w:id="2137673803">
          <w:marLeft w:val="0"/>
          <w:marRight w:val="0"/>
          <w:marTop w:val="0"/>
          <w:marBottom w:val="0"/>
          <w:divBdr>
            <w:top w:val="none" w:sz="0" w:space="0" w:color="auto"/>
            <w:left w:val="none" w:sz="0" w:space="0" w:color="auto"/>
            <w:bottom w:val="none" w:sz="0" w:space="0" w:color="auto"/>
            <w:right w:val="none" w:sz="0" w:space="0" w:color="auto"/>
          </w:divBdr>
        </w:div>
      </w:divsChild>
    </w:div>
    <w:div w:id="1694576242">
      <w:bodyDiv w:val="1"/>
      <w:marLeft w:val="0"/>
      <w:marRight w:val="0"/>
      <w:marTop w:val="0"/>
      <w:marBottom w:val="0"/>
      <w:divBdr>
        <w:top w:val="none" w:sz="0" w:space="0" w:color="auto"/>
        <w:left w:val="none" w:sz="0" w:space="0" w:color="auto"/>
        <w:bottom w:val="none" w:sz="0" w:space="0" w:color="auto"/>
        <w:right w:val="none" w:sz="0" w:space="0" w:color="auto"/>
      </w:divBdr>
    </w:div>
    <w:div w:id="1857619943">
      <w:bodyDiv w:val="1"/>
      <w:marLeft w:val="0"/>
      <w:marRight w:val="0"/>
      <w:marTop w:val="0"/>
      <w:marBottom w:val="0"/>
      <w:divBdr>
        <w:top w:val="none" w:sz="0" w:space="0" w:color="auto"/>
        <w:left w:val="none" w:sz="0" w:space="0" w:color="auto"/>
        <w:bottom w:val="none" w:sz="0" w:space="0" w:color="auto"/>
        <w:right w:val="none" w:sz="0" w:space="0" w:color="auto"/>
      </w:divBdr>
      <w:divsChild>
        <w:div w:id="1155609910">
          <w:marLeft w:val="0"/>
          <w:marRight w:val="0"/>
          <w:marTop w:val="0"/>
          <w:marBottom w:val="0"/>
          <w:divBdr>
            <w:top w:val="none" w:sz="0" w:space="0" w:color="auto"/>
            <w:left w:val="none" w:sz="0" w:space="0" w:color="auto"/>
            <w:bottom w:val="none" w:sz="0" w:space="0" w:color="auto"/>
            <w:right w:val="none" w:sz="0" w:space="0" w:color="auto"/>
          </w:divBdr>
        </w:div>
      </w:divsChild>
    </w:div>
    <w:div w:id="20733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5673A-2A3C-4C1C-9975-F6270500B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1772</Words>
  <Characters>9760</Characters>
  <DocSecurity>0</DocSecurity>
  <Lines>81</Lines>
  <Paragraphs>23</Paragraphs>
  <ScaleCrop>false</ScaleCrop>
  <HeadingPairs>
    <vt:vector size="2" baseType="variant">
      <vt:variant>
        <vt:lpstr>Názov</vt:lpstr>
      </vt:variant>
      <vt:variant>
        <vt:i4>1</vt:i4>
      </vt:variant>
    </vt:vector>
  </HeadingPairs>
  <TitlesOfParts>
    <vt:vector size="1" baseType="lpstr">
      <vt:lpstr>Príloha č</vt:lpstr>
    </vt:vector>
  </TitlesOfParts>
  <LinksUpToDate>false</LinksUpToDate>
  <CharactersWithSpaces>11509</CharactersWithSpaces>
  <SharedDoc>false</SharedDoc>
  <HLinks>
    <vt:vector size="474" baseType="variant">
      <vt:variant>
        <vt:i4>2752526</vt:i4>
      </vt:variant>
      <vt:variant>
        <vt:i4>237</vt:i4>
      </vt:variant>
      <vt:variant>
        <vt:i4>0</vt:i4>
      </vt:variant>
      <vt:variant>
        <vt:i4>5</vt:i4>
      </vt:variant>
      <vt:variant>
        <vt:lpwstr>mailto:horvath@mhsr.sk</vt:lpwstr>
      </vt:variant>
      <vt:variant>
        <vt:lpwstr/>
      </vt:variant>
      <vt:variant>
        <vt:i4>2031617</vt:i4>
      </vt:variant>
      <vt:variant>
        <vt:i4>234</vt:i4>
      </vt:variant>
      <vt:variant>
        <vt:i4>0</vt:i4>
      </vt:variant>
      <vt:variant>
        <vt:i4>5</vt:i4>
      </vt:variant>
      <vt:variant>
        <vt:lpwstr>https://www.slov-lex.sk/pravne-predpisy/SK/ZZ/2012/251/20170801</vt:lpwstr>
      </vt:variant>
      <vt:variant>
        <vt:lpwstr>paragraf-4.odsek-6</vt:lpwstr>
      </vt:variant>
      <vt:variant>
        <vt:i4>2031617</vt:i4>
      </vt:variant>
      <vt:variant>
        <vt:i4>231</vt:i4>
      </vt:variant>
      <vt:variant>
        <vt:i4>0</vt:i4>
      </vt:variant>
      <vt:variant>
        <vt:i4>5</vt:i4>
      </vt:variant>
      <vt:variant>
        <vt:lpwstr>https://www.slov-lex.sk/pravne-predpisy/SK/ZZ/2012/251/20170801</vt:lpwstr>
      </vt:variant>
      <vt:variant>
        <vt:lpwstr>paragraf-4.odsek-6</vt:lpwstr>
      </vt:variant>
      <vt:variant>
        <vt:i4>3604607</vt:i4>
      </vt:variant>
      <vt:variant>
        <vt:i4>228</vt:i4>
      </vt:variant>
      <vt:variant>
        <vt:i4>0</vt:i4>
      </vt:variant>
      <vt:variant>
        <vt:i4>5</vt:i4>
      </vt:variant>
      <vt:variant>
        <vt:lpwstr>https://www.slov-lex.sk/pravne-predpisy/SK/ZZ/2012/251/20170801</vt:lpwstr>
      </vt:variant>
      <vt:variant>
        <vt:lpwstr>paragraf-64.odsek-6.pismeno-l</vt:lpwstr>
      </vt:variant>
      <vt:variant>
        <vt:i4>3604607</vt:i4>
      </vt:variant>
      <vt:variant>
        <vt:i4>225</vt:i4>
      </vt:variant>
      <vt:variant>
        <vt:i4>0</vt:i4>
      </vt:variant>
      <vt:variant>
        <vt:i4>5</vt:i4>
      </vt:variant>
      <vt:variant>
        <vt:lpwstr>https://www.slov-lex.sk/pravne-predpisy/SK/ZZ/2012/251/20170801</vt:lpwstr>
      </vt:variant>
      <vt:variant>
        <vt:lpwstr>paragraf-64.odsek-6.pismeno-e</vt:lpwstr>
      </vt:variant>
      <vt:variant>
        <vt:i4>3604607</vt:i4>
      </vt:variant>
      <vt:variant>
        <vt:i4>222</vt:i4>
      </vt:variant>
      <vt:variant>
        <vt:i4>0</vt:i4>
      </vt:variant>
      <vt:variant>
        <vt:i4>5</vt:i4>
      </vt:variant>
      <vt:variant>
        <vt:lpwstr>https://www.slov-lex.sk/pravne-predpisy/SK/ZZ/2012/251/20170801</vt:lpwstr>
      </vt:variant>
      <vt:variant>
        <vt:lpwstr>paragraf-64.odsek-6.pismeno-l</vt:lpwstr>
      </vt:variant>
      <vt:variant>
        <vt:i4>3604607</vt:i4>
      </vt:variant>
      <vt:variant>
        <vt:i4>219</vt:i4>
      </vt:variant>
      <vt:variant>
        <vt:i4>0</vt:i4>
      </vt:variant>
      <vt:variant>
        <vt:i4>5</vt:i4>
      </vt:variant>
      <vt:variant>
        <vt:lpwstr>https://www.slov-lex.sk/pravne-predpisy/SK/ZZ/2012/251/20170801</vt:lpwstr>
      </vt:variant>
      <vt:variant>
        <vt:lpwstr>paragraf-64.odsek-6.pismeno-e</vt:lpwstr>
      </vt:variant>
      <vt:variant>
        <vt:i4>3473523</vt:i4>
      </vt:variant>
      <vt:variant>
        <vt:i4>216</vt:i4>
      </vt:variant>
      <vt:variant>
        <vt:i4>0</vt:i4>
      </vt:variant>
      <vt:variant>
        <vt:i4>5</vt:i4>
      </vt:variant>
      <vt:variant>
        <vt:lpwstr>https://www.slov-lex.sk/pravne-predpisy/SK/ZZ/2012/251/20170801</vt:lpwstr>
      </vt:variant>
      <vt:variant>
        <vt:lpwstr>paragraf-49.odsek-7.pismeno-k</vt:lpwstr>
      </vt:variant>
      <vt:variant>
        <vt:i4>3473523</vt:i4>
      </vt:variant>
      <vt:variant>
        <vt:i4>213</vt:i4>
      </vt:variant>
      <vt:variant>
        <vt:i4>0</vt:i4>
      </vt:variant>
      <vt:variant>
        <vt:i4>5</vt:i4>
      </vt:variant>
      <vt:variant>
        <vt:lpwstr>https://www.slov-lex.sk/pravne-predpisy/SK/ZZ/2012/251/20170801</vt:lpwstr>
      </vt:variant>
      <vt:variant>
        <vt:lpwstr>paragraf-49.odsek-7.pismeno-h</vt:lpwstr>
      </vt:variant>
      <vt:variant>
        <vt:i4>3473523</vt:i4>
      </vt:variant>
      <vt:variant>
        <vt:i4>210</vt:i4>
      </vt:variant>
      <vt:variant>
        <vt:i4>0</vt:i4>
      </vt:variant>
      <vt:variant>
        <vt:i4>5</vt:i4>
      </vt:variant>
      <vt:variant>
        <vt:lpwstr>https://www.slov-lex.sk/pravne-predpisy/SK/ZZ/2012/251/20170801</vt:lpwstr>
      </vt:variant>
      <vt:variant>
        <vt:lpwstr>paragraf-49.odsek-7.pismeno-c</vt:lpwstr>
      </vt:variant>
      <vt:variant>
        <vt:i4>3473523</vt:i4>
      </vt:variant>
      <vt:variant>
        <vt:i4>207</vt:i4>
      </vt:variant>
      <vt:variant>
        <vt:i4>0</vt:i4>
      </vt:variant>
      <vt:variant>
        <vt:i4>5</vt:i4>
      </vt:variant>
      <vt:variant>
        <vt:lpwstr>https://www.slov-lex.sk/pravne-predpisy/SK/ZZ/2012/251/20170801</vt:lpwstr>
      </vt:variant>
      <vt:variant>
        <vt:lpwstr>paragraf-49.odsek-7.pismeno-a</vt:lpwstr>
      </vt:variant>
      <vt:variant>
        <vt:i4>3604604</vt:i4>
      </vt:variant>
      <vt:variant>
        <vt:i4>204</vt:i4>
      </vt:variant>
      <vt:variant>
        <vt:i4>0</vt:i4>
      </vt:variant>
      <vt:variant>
        <vt:i4>5</vt:i4>
      </vt:variant>
      <vt:variant>
        <vt:lpwstr>https://www.slov-lex.sk/pravne-predpisy/SK/ZZ/2012/251/20170801</vt:lpwstr>
      </vt:variant>
      <vt:variant>
        <vt:lpwstr>paragraf-67.odsek-6.pismeno-m</vt:lpwstr>
      </vt:variant>
      <vt:variant>
        <vt:i4>3604604</vt:i4>
      </vt:variant>
      <vt:variant>
        <vt:i4>201</vt:i4>
      </vt:variant>
      <vt:variant>
        <vt:i4>0</vt:i4>
      </vt:variant>
      <vt:variant>
        <vt:i4>5</vt:i4>
      </vt:variant>
      <vt:variant>
        <vt:lpwstr>https://www.slov-lex.sk/pravne-predpisy/SK/ZZ/2012/251/20170801</vt:lpwstr>
      </vt:variant>
      <vt:variant>
        <vt:lpwstr>paragraf-67.odsek-6.pismeno-j</vt:lpwstr>
      </vt:variant>
      <vt:variant>
        <vt:i4>3604604</vt:i4>
      </vt:variant>
      <vt:variant>
        <vt:i4>198</vt:i4>
      </vt:variant>
      <vt:variant>
        <vt:i4>0</vt:i4>
      </vt:variant>
      <vt:variant>
        <vt:i4>5</vt:i4>
      </vt:variant>
      <vt:variant>
        <vt:lpwstr>https://www.slov-lex.sk/pravne-predpisy/SK/ZZ/2012/251/20170801</vt:lpwstr>
      </vt:variant>
      <vt:variant>
        <vt:lpwstr>paragraf-67.odsek-6.pismeno-g</vt:lpwstr>
      </vt:variant>
      <vt:variant>
        <vt:i4>3604604</vt:i4>
      </vt:variant>
      <vt:variant>
        <vt:i4>195</vt:i4>
      </vt:variant>
      <vt:variant>
        <vt:i4>0</vt:i4>
      </vt:variant>
      <vt:variant>
        <vt:i4>5</vt:i4>
      </vt:variant>
      <vt:variant>
        <vt:lpwstr>https://www.slov-lex.sk/pravne-predpisy/SK/ZZ/2012/251/20170801</vt:lpwstr>
      </vt:variant>
      <vt:variant>
        <vt:lpwstr>paragraf-67.odsek-6.pismeno-b</vt:lpwstr>
      </vt:variant>
      <vt:variant>
        <vt:i4>3604604</vt:i4>
      </vt:variant>
      <vt:variant>
        <vt:i4>192</vt:i4>
      </vt:variant>
      <vt:variant>
        <vt:i4>0</vt:i4>
      </vt:variant>
      <vt:variant>
        <vt:i4>5</vt:i4>
      </vt:variant>
      <vt:variant>
        <vt:lpwstr>https://www.slov-lex.sk/pravne-predpisy/SK/ZZ/2012/251/20170801</vt:lpwstr>
      </vt:variant>
      <vt:variant>
        <vt:lpwstr>paragraf-67.odsek-6.pismeno-a</vt:lpwstr>
      </vt:variant>
      <vt:variant>
        <vt:i4>3604604</vt:i4>
      </vt:variant>
      <vt:variant>
        <vt:i4>189</vt:i4>
      </vt:variant>
      <vt:variant>
        <vt:i4>0</vt:i4>
      </vt:variant>
      <vt:variant>
        <vt:i4>5</vt:i4>
      </vt:variant>
      <vt:variant>
        <vt:lpwstr>https://www.slov-lex.sk/pravne-predpisy/SK/ZZ/2012/251/20170801</vt:lpwstr>
      </vt:variant>
      <vt:variant>
        <vt:lpwstr>paragraf-67.odsek-6.pismeno-m</vt:lpwstr>
      </vt:variant>
      <vt:variant>
        <vt:i4>3604604</vt:i4>
      </vt:variant>
      <vt:variant>
        <vt:i4>186</vt:i4>
      </vt:variant>
      <vt:variant>
        <vt:i4>0</vt:i4>
      </vt:variant>
      <vt:variant>
        <vt:i4>5</vt:i4>
      </vt:variant>
      <vt:variant>
        <vt:lpwstr>https://www.slov-lex.sk/pravne-predpisy/SK/ZZ/2012/251/20170801</vt:lpwstr>
      </vt:variant>
      <vt:variant>
        <vt:lpwstr>paragraf-67.odsek-6.pismeno-j</vt:lpwstr>
      </vt:variant>
      <vt:variant>
        <vt:i4>3604604</vt:i4>
      </vt:variant>
      <vt:variant>
        <vt:i4>183</vt:i4>
      </vt:variant>
      <vt:variant>
        <vt:i4>0</vt:i4>
      </vt:variant>
      <vt:variant>
        <vt:i4>5</vt:i4>
      </vt:variant>
      <vt:variant>
        <vt:lpwstr>https://www.slov-lex.sk/pravne-predpisy/SK/ZZ/2012/251/20170801</vt:lpwstr>
      </vt:variant>
      <vt:variant>
        <vt:lpwstr>paragraf-67.odsek-6.pismeno-g</vt:lpwstr>
      </vt:variant>
      <vt:variant>
        <vt:i4>3604604</vt:i4>
      </vt:variant>
      <vt:variant>
        <vt:i4>180</vt:i4>
      </vt:variant>
      <vt:variant>
        <vt:i4>0</vt:i4>
      </vt:variant>
      <vt:variant>
        <vt:i4>5</vt:i4>
      </vt:variant>
      <vt:variant>
        <vt:lpwstr>https://www.slov-lex.sk/pravne-predpisy/SK/ZZ/2012/251/20170801</vt:lpwstr>
      </vt:variant>
      <vt:variant>
        <vt:lpwstr>paragraf-67.odsek-6.pismeno-b</vt:lpwstr>
      </vt:variant>
      <vt:variant>
        <vt:i4>3604604</vt:i4>
      </vt:variant>
      <vt:variant>
        <vt:i4>177</vt:i4>
      </vt:variant>
      <vt:variant>
        <vt:i4>0</vt:i4>
      </vt:variant>
      <vt:variant>
        <vt:i4>5</vt:i4>
      </vt:variant>
      <vt:variant>
        <vt:lpwstr>https://www.slov-lex.sk/pravne-predpisy/SK/ZZ/2012/251/20170801</vt:lpwstr>
      </vt:variant>
      <vt:variant>
        <vt:lpwstr>paragraf-67.odsek-6.pismeno-a</vt:lpwstr>
      </vt:variant>
      <vt:variant>
        <vt:i4>3604607</vt:i4>
      </vt:variant>
      <vt:variant>
        <vt:i4>174</vt:i4>
      </vt:variant>
      <vt:variant>
        <vt:i4>0</vt:i4>
      </vt:variant>
      <vt:variant>
        <vt:i4>5</vt:i4>
      </vt:variant>
      <vt:variant>
        <vt:lpwstr>https://www.slov-lex.sk/pravne-predpisy/SK/ZZ/2012/251/20170801</vt:lpwstr>
      </vt:variant>
      <vt:variant>
        <vt:lpwstr>paragraf-64.odsek-6.pismeno-n</vt:lpwstr>
      </vt:variant>
      <vt:variant>
        <vt:i4>3604607</vt:i4>
      </vt:variant>
      <vt:variant>
        <vt:i4>171</vt:i4>
      </vt:variant>
      <vt:variant>
        <vt:i4>0</vt:i4>
      </vt:variant>
      <vt:variant>
        <vt:i4>5</vt:i4>
      </vt:variant>
      <vt:variant>
        <vt:lpwstr>https://www.slov-lex.sk/pravne-predpisy/SK/ZZ/2012/251/20170801</vt:lpwstr>
      </vt:variant>
      <vt:variant>
        <vt:lpwstr>paragraf-64.odsek-6.pismeno-i</vt:lpwstr>
      </vt:variant>
      <vt:variant>
        <vt:i4>3604607</vt:i4>
      </vt:variant>
      <vt:variant>
        <vt:i4>168</vt:i4>
      </vt:variant>
      <vt:variant>
        <vt:i4>0</vt:i4>
      </vt:variant>
      <vt:variant>
        <vt:i4>5</vt:i4>
      </vt:variant>
      <vt:variant>
        <vt:lpwstr>https://www.slov-lex.sk/pravne-predpisy/SK/ZZ/2012/251/20170801</vt:lpwstr>
      </vt:variant>
      <vt:variant>
        <vt:lpwstr>paragraf-64.odsek-6.pismeno-a</vt:lpwstr>
      </vt:variant>
      <vt:variant>
        <vt:i4>3604607</vt:i4>
      </vt:variant>
      <vt:variant>
        <vt:i4>165</vt:i4>
      </vt:variant>
      <vt:variant>
        <vt:i4>0</vt:i4>
      </vt:variant>
      <vt:variant>
        <vt:i4>5</vt:i4>
      </vt:variant>
      <vt:variant>
        <vt:lpwstr>https://www.slov-lex.sk/pravne-predpisy/SK/ZZ/2012/251/20170801</vt:lpwstr>
      </vt:variant>
      <vt:variant>
        <vt:lpwstr>paragraf-64.odsek-6.pismeno-n</vt:lpwstr>
      </vt:variant>
      <vt:variant>
        <vt:i4>3604607</vt:i4>
      </vt:variant>
      <vt:variant>
        <vt:i4>162</vt:i4>
      </vt:variant>
      <vt:variant>
        <vt:i4>0</vt:i4>
      </vt:variant>
      <vt:variant>
        <vt:i4>5</vt:i4>
      </vt:variant>
      <vt:variant>
        <vt:lpwstr>https://www.slov-lex.sk/pravne-predpisy/SK/ZZ/2012/251/20170801</vt:lpwstr>
      </vt:variant>
      <vt:variant>
        <vt:lpwstr>paragraf-64.odsek-6.pismeno-i</vt:lpwstr>
      </vt:variant>
      <vt:variant>
        <vt:i4>3604607</vt:i4>
      </vt:variant>
      <vt:variant>
        <vt:i4>159</vt:i4>
      </vt:variant>
      <vt:variant>
        <vt:i4>0</vt:i4>
      </vt:variant>
      <vt:variant>
        <vt:i4>5</vt:i4>
      </vt:variant>
      <vt:variant>
        <vt:lpwstr>https://www.slov-lex.sk/pravne-predpisy/SK/ZZ/2012/251/20170801</vt:lpwstr>
      </vt:variant>
      <vt:variant>
        <vt:lpwstr>paragraf-64.odsek-6.pismeno-a</vt:lpwstr>
      </vt:variant>
      <vt:variant>
        <vt:i4>3473523</vt:i4>
      </vt:variant>
      <vt:variant>
        <vt:i4>156</vt:i4>
      </vt:variant>
      <vt:variant>
        <vt:i4>0</vt:i4>
      </vt:variant>
      <vt:variant>
        <vt:i4>5</vt:i4>
      </vt:variant>
      <vt:variant>
        <vt:lpwstr>https://www.slov-lex.sk/pravne-predpisy/SK/ZZ/2012/251/20170801</vt:lpwstr>
      </vt:variant>
      <vt:variant>
        <vt:lpwstr>paragraf-49.odsek-7.pismeno-o</vt:lpwstr>
      </vt:variant>
      <vt:variant>
        <vt:i4>3473523</vt:i4>
      </vt:variant>
      <vt:variant>
        <vt:i4>153</vt:i4>
      </vt:variant>
      <vt:variant>
        <vt:i4>0</vt:i4>
      </vt:variant>
      <vt:variant>
        <vt:i4>5</vt:i4>
      </vt:variant>
      <vt:variant>
        <vt:lpwstr>https://www.slov-lex.sk/pravne-predpisy/SK/ZZ/2012/251/20170801</vt:lpwstr>
      </vt:variant>
      <vt:variant>
        <vt:lpwstr>paragraf-49.odsek-7.pismeno-f</vt:lpwstr>
      </vt:variant>
      <vt:variant>
        <vt:i4>3473523</vt:i4>
      </vt:variant>
      <vt:variant>
        <vt:i4>150</vt:i4>
      </vt:variant>
      <vt:variant>
        <vt:i4>0</vt:i4>
      </vt:variant>
      <vt:variant>
        <vt:i4>5</vt:i4>
      </vt:variant>
      <vt:variant>
        <vt:lpwstr>https://www.slov-lex.sk/pravne-predpisy/SK/ZZ/2012/251/20170801</vt:lpwstr>
      </vt:variant>
      <vt:variant>
        <vt:lpwstr>paragraf-49.odsek-7.pismeno-d</vt:lpwstr>
      </vt:variant>
      <vt:variant>
        <vt:i4>3473523</vt:i4>
      </vt:variant>
      <vt:variant>
        <vt:i4>147</vt:i4>
      </vt:variant>
      <vt:variant>
        <vt:i4>0</vt:i4>
      </vt:variant>
      <vt:variant>
        <vt:i4>5</vt:i4>
      </vt:variant>
      <vt:variant>
        <vt:lpwstr>https://www.slov-lex.sk/pravne-predpisy/SK/ZZ/2012/251/20170801</vt:lpwstr>
      </vt:variant>
      <vt:variant>
        <vt:lpwstr>paragraf-49.odsek-7.pismeno-b</vt:lpwstr>
      </vt:variant>
      <vt:variant>
        <vt:i4>3473523</vt:i4>
      </vt:variant>
      <vt:variant>
        <vt:i4>144</vt:i4>
      </vt:variant>
      <vt:variant>
        <vt:i4>0</vt:i4>
      </vt:variant>
      <vt:variant>
        <vt:i4>5</vt:i4>
      </vt:variant>
      <vt:variant>
        <vt:lpwstr>https://www.slov-lex.sk/pravne-predpisy/SK/ZZ/2012/251/20170801</vt:lpwstr>
      </vt:variant>
      <vt:variant>
        <vt:lpwstr>paragraf-49.odsek-7.pismeno-o</vt:lpwstr>
      </vt:variant>
      <vt:variant>
        <vt:i4>3473523</vt:i4>
      </vt:variant>
      <vt:variant>
        <vt:i4>141</vt:i4>
      </vt:variant>
      <vt:variant>
        <vt:i4>0</vt:i4>
      </vt:variant>
      <vt:variant>
        <vt:i4>5</vt:i4>
      </vt:variant>
      <vt:variant>
        <vt:lpwstr>https://www.slov-lex.sk/pravne-predpisy/SK/ZZ/2012/251/20170801</vt:lpwstr>
      </vt:variant>
      <vt:variant>
        <vt:lpwstr>paragraf-49.odsek-7.pismeno-d</vt:lpwstr>
      </vt:variant>
      <vt:variant>
        <vt:i4>3473523</vt:i4>
      </vt:variant>
      <vt:variant>
        <vt:i4>138</vt:i4>
      </vt:variant>
      <vt:variant>
        <vt:i4>0</vt:i4>
      </vt:variant>
      <vt:variant>
        <vt:i4>5</vt:i4>
      </vt:variant>
      <vt:variant>
        <vt:lpwstr>https://www.slov-lex.sk/pravne-predpisy/SK/ZZ/2012/251/20170801</vt:lpwstr>
      </vt:variant>
      <vt:variant>
        <vt:lpwstr>paragraf-49.odsek-7.pismeno-d</vt:lpwstr>
      </vt:variant>
      <vt:variant>
        <vt:i4>3473523</vt:i4>
      </vt:variant>
      <vt:variant>
        <vt:i4>135</vt:i4>
      </vt:variant>
      <vt:variant>
        <vt:i4>0</vt:i4>
      </vt:variant>
      <vt:variant>
        <vt:i4>5</vt:i4>
      </vt:variant>
      <vt:variant>
        <vt:lpwstr>https://www.slov-lex.sk/pravne-predpisy/SK/ZZ/2012/251/20170801</vt:lpwstr>
      </vt:variant>
      <vt:variant>
        <vt:lpwstr>paragraf-49.odsek-7.pismeno-b</vt:lpwstr>
      </vt:variant>
      <vt:variant>
        <vt:i4>3604604</vt:i4>
      </vt:variant>
      <vt:variant>
        <vt:i4>132</vt:i4>
      </vt:variant>
      <vt:variant>
        <vt:i4>0</vt:i4>
      </vt:variant>
      <vt:variant>
        <vt:i4>5</vt:i4>
      </vt:variant>
      <vt:variant>
        <vt:lpwstr>https://www.slov-lex.sk/pravne-predpisy/SK/ZZ/2012/251/20170801</vt:lpwstr>
      </vt:variant>
      <vt:variant>
        <vt:lpwstr>paragraf-67.odsek-6.pismeno-l</vt:lpwstr>
      </vt:variant>
      <vt:variant>
        <vt:i4>3604604</vt:i4>
      </vt:variant>
      <vt:variant>
        <vt:i4>129</vt:i4>
      </vt:variant>
      <vt:variant>
        <vt:i4>0</vt:i4>
      </vt:variant>
      <vt:variant>
        <vt:i4>5</vt:i4>
      </vt:variant>
      <vt:variant>
        <vt:lpwstr>https://www.slov-lex.sk/pravne-predpisy/SK/ZZ/2012/251/20170801</vt:lpwstr>
      </vt:variant>
      <vt:variant>
        <vt:lpwstr>paragraf-67.odsek-6.pismeno-l</vt:lpwstr>
      </vt:variant>
      <vt:variant>
        <vt:i4>3604604</vt:i4>
      </vt:variant>
      <vt:variant>
        <vt:i4>126</vt:i4>
      </vt:variant>
      <vt:variant>
        <vt:i4>0</vt:i4>
      </vt:variant>
      <vt:variant>
        <vt:i4>5</vt:i4>
      </vt:variant>
      <vt:variant>
        <vt:lpwstr>https://www.slov-lex.sk/pravne-predpisy/SK/ZZ/2012/251/20170801</vt:lpwstr>
      </vt:variant>
      <vt:variant>
        <vt:lpwstr>paragraf-67.odsek-6.pismeno-i</vt:lpwstr>
      </vt:variant>
      <vt:variant>
        <vt:i4>3604604</vt:i4>
      </vt:variant>
      <vt:variant>
        <vt:i4>123</vt:i4>
      </vt:variant>
      <vt:variant>
        <vt:i4>0</vt:i4>
      </vt:variant>
      <vt:variant>
        <vt:i4>5</vt:i4>
      </vt:variant>
      <vt:variant>
        <vt:lpwstr>https://www.slov-lex.sk/pravne-predpisy/SK/ZZ/2012/251/20170801</vt:lpwstr>
      </vt:variant>
      <vt:variant>
        <vt:lpwstr>paragraf-67.odsek-6.pismeno-h</vt:lpwstr>
      </vt:variant>
      <vt:variant>
        <vt:i4>3604604</vt:i4>
      </vt:variant>
      <vt:variant>
        <vt:i4>120</vt:i4>
      </vt:variant>
      <vt:variant>
        <vt:i4>0</vt:i4>
      </vt:variant>
      <vt:variant>
        <vt:i4>5</vt:i4>
      </vt:variant>
      <vt:variant>
        <vt:lpwstr>https://www.slov-lex.sk/pravne-predpisy/SK/ZZ/2012/251/20170801</vt:lpwstr>
      </vt:variant>
      <vt:variant>
        <vt:lpwstr>paragraf-67.odsek-6.pismeno-c</vt:lpwstr>
      </vt:variant>
      <vt:variant>
        <vt:i4>3604604</vt:i4>
      </vt:variant>
      <vt:variant>
        <vt:i4>117</vt:i4>
      </vt:variant>
      <vt:variant>
        <vt:i4>0</vt:i4>
      </vt:variant>
      <vt:variant>
        <vt:i4>5</vt:i4>
      </vt:variant>
      <vt:variant>
        <vt:lpwstr>https://www.slov-lex.sk/pravne-predpisy/SK/ZZ/2012/251/20170801</vt:lpwstr>
      </vt:variant>
      <vt:variant>
        <vt:lpwstr>paragraf-67.odsek-6.pismeno-l</vt:lpwstr>
      </vt:variant>
      <vt:variant>
        <vt:i4>3604604</vt:i4>
      </vt:variant>
      <vt:variant>
        <vt:i4>114</vt:i4>
      </vt:variant>
      <vt:variant>
        <vt:i4>0</vt:i4>
      </vt:variant>
      <vt:variant>
        <vt:i4>5</vt:i4>
      </vt:variant>
      <vt:variant>
        <vt:lpwstr>https://www.slov-lex.sk/pravne-predpisy/SK/ZZ/2012/251/20170801</vt:lpwstr>
      </vt:variant>
      <vt:variant>
        <vt:lpwstr>paragraf-67.odsek-6.pismeno-l</vt:lpwstr>
      </vt:variant>
      <vt:variant>
        <vt:i4>3604604</vt:i4>
      </vt:variant>
      <vt:variant>
        <vt:i4>111</vt:i4>
      </vt:variant>
      <vt:variant>
        <vt:i4>0</vt:i4>
      </vt:variant>
      <vt:variant>
        <vt:i4>5</vt:i4>
      </vt:variant>
      <vt:variant>
        <vt:lpwstr>https://www.slov-lex.sk/pravne-predpisy/SK/ZZ/2012/251/20170801</vt:lpwstr>
      </vt:variant>
      <vt:variant>
        <vt:lpwstr>paragraf-67.odsek-6.pismeno-i</vt:lpwstr>
      </vt:variant>
      <vt:variant>
        <vt:i4>3604604</vt:i4>
      </vt:variant>
      <vt:variant>
        <vt:i4>108</vt:i4>
      </vt:variant>
      <vt:variant>
        <vt:i4>0</vt:i4>
      </vt:variant>
      <vt:variant>
        <vt:i4>5</vt:i4>
      </vt:variant>
      <vt:variant>
        <vt:lpwstr>https://www.slov-lex.sk/pravne-predpisy/SK/ZZ/2012/251/20170801</vt:lpwstr>
      </vt:variant>
      <vt:variant>
        <vt:lpwstr>paragraf-67.odsek-6.pismeno-h</vt:lpwstr>
      </vt:variant>
      <vt:variant>
        <vt:i4>3604604</vt:i4>
      </vt:variant>
      <vt:variant>
        <vt:i4>105</vt:i4>
      </vt:variant>
      <vt:variant>
        <vt:i4>0</vt:i4>
      </vt:variant>
      <vt:variant>
        <vt:i4>5</vt:i4>
      </vt:variant>
      <vt:variant>
        <vt:lpwstr>https://www.slov-lex.sk/pravne-predpisy/SK/ZZ/2012/251/20170801</vt:lpwstr>
      </vt:variant>
      <vt:variant>
        <vt:lpwstr>paragraf-67.odsek-6.pismeno-c</vt:lpwstr>
      </vt:variant>
      <vt:variant>
        <vt:i4>3604607</vt:i4>
      </vt:variant>
      <vt:variant>
        <vt:i4>102</vt:i4>
      </vt:variant>
      <vt:variant>
        <vt:i4>0</vt:i4>
      </vt:variant>
      <vt:variant>
        <vt:i4>5</vt:i4>
      </vt:variant>
      <vt:variant>
        <vt:lpwstr>https://www.slov-lex.sk/pravne-predpisy/SK/ZZ/2012/251/20170801</vt:lpwstr>
      </vt:variant>
      <vt:variant>
        <vt:lpwstr>paragraf-64.odsek-6.pismeno-l</vt:lpwstr>
      </vt:variant>
      <vt:variant>
        <vt:i4>3604607</vt:i4>
      </vt:variant>
      <vt:variant>
        <vt:i4>99</vt:i4>
      </vt:variant>
      <vt:variant>
        <vt:i4>0</vt:i4>
      </vt:variant>
      <vt:variant>
        <vt:i4>5</vt:i4>
      </vt:variant>
      <vt:variant>
        <vt:lpwstr>https://www.slov-lex.sk/pravne-predpisy/SK/ZZ/2012/251/20170801</vt:lpwstr>
      </vt:variant>
      <vt:variant>
        <vt:lpwstr>paragraf-64.odsek-6.pismeno-e</vt:lpwstr>
      </vt:variant>
      <vt:variant>
        <vt:i4>3604607</vt:i4>
      </vt:variant>
      <vt:variant>
        <vt:i4>96</vt:i4>
      </vt:variant>
      <vt:variant>
        <vt:i4>0</vt:i4>
      </vt:variant>
      <vt:variant>
        <vt:i4>5</vt:i4>
      </vt:variant>
      <vt:variant>
        <vt:lpwstr>https://www.slov-lex.sk/pravne-predpisy/SK/ZZ/2012/251/20170801</vt:lpwstr>
      </vt:variant>
      <vt:variant>
        <vt:lpwstr>paragraf-64.odsek-6.pismeno-l</vt:lpwstr>
      </vt:variant>
      <vt:variant>
        <vt:i4>3604607</vt:i4>
      </vt:variant>
      <vt:variant>
        <vt:i4>93</vt:i4>
      </vt:variant>
      <vt:variant>
        <vt:i4>0</vt:i4>
      </vt:variant>
      <vt:variant>
        <vt:i4>5</vt:i4>
      </vt:variant>
      <vt:variant>
        <vt:lpwstr>https://www.slov-lex.sk/pravne-predpisy/SK/ZZ/2012/251/20170801</vt:lpwstr>
      </vt:variant>
      <vt:variant>
        <vt:lpwstr>paragraf-64.odsek-6.pismeno-e</vt:lpwstr>
      </vt:variant>
      <vt:variant>
        <vt:i4>3473523</vt:i4>
      </vt:variant>
      <vt:variant>
        <vt:i4>90</vt:i4>
      </vt:variant>
      <vt:variant>
        <vt:i4>0</vt:i4>
      </vt:variant>
      <vt:variant>
        <vt:i4>5</vt:i4>
      </vt:variant>
      <vt:variant>
        <vt:lpwstr>https://www.slov-lex.sk/pravne-predpisy/SK/ZZ/2012/251/20170801</vt:lpwstr>
      </vt:variant>
      <vt:variant>
        <vt:lpwstr>paragraf-49.odsek-7.pismeno-k</vt:lpwstr>
      </vt:variant>
      <vt:variant>
        <vt:i4>3473523</vt:i4>
      </vt:variant>
      <vt:variant>
        <vt:i4>87</vt:i4>
      </vt:variant>
      <vt:variant>
        <vt:i4>0</vt:i4>
      </vt:variant>
      <vt:variant>
        <vt:i4>5</vt:i4>
      </vt:variant>
      <vt:variant>
        <vt:lpwstr>https://www.slov-lex.sk/pravne-predpisy/SK/ZZ/2012/251/20170801</vt:lpwstr>
      </vt:variant>
      <vt:variant>
        <vt:lpwstr>paragraf-49.odsek-7.pismeno-h</vt:lpwstr>
      </vt:variant>
      <vt:variant>
        <vt:i4>3473523</vt:i4>
      </vt:variant>
      <vt:variant>
        <vt:i4>84</vt:i4>
      </vt:variant>
      <vt:variant>
        <vt:i4>0</vt:i4>
      </vt:variant>
      <vt:variant>
        <vt:i4>5</vt:i4>
      </vt:variant>
      <vt:variant>
        <vt:lpwstr>https://www.slov-lex.sk/pravne-predpisy/SK/ZZ/2012/251/20170801</vt:lpwstr>
      </vt:variant>
      <vt:variant>
        <vt:lpwstr>paragraf-49.odsek-7.pismeno-c</vt:lpwstr>
      </vt:variant>
      <vt:variant>
        <vt:i4>3473523</vt:i4>
      </vt:variant>
      <vt:variant>
        <vt:i4>81</vt:i4>
      </vt:variant>
      <vt:variant>
        <vt:i4>0</vt:i4>
      </vt:variant>
      <vt:variant>
        <vt:i4>5</vt:i4>
      </vt:variant>
      <vt:variant>
        <vt:lpwstr>https://www.slov-lex.sk/pravne-predpisy/SK/ZZ/2012/251/20170801</vt:lpwstr>
      </vt:variant>
      <vt:variant>
        <vt:lpwstr>paragraf-49.odsek-7.pismeno-a</vt:lpwstr>
      </vt:variant>
      <vt:variant>
        <vt:i4>3473523</vt:i4>
      </vt:variant>
      <vt:variant>
        <vt:i4>78</vt:i4>
      </vt:variant>
      <vt:variant>
        <vt:i4>0</vt:i4>
      </vt:variant>
      <vt:variant>
        <vt:i4>5</vt:i4>
      </vt:variant>
      <vt:variant>
        <vt:lpwstr>https://www.slov-lex.sk/pravne-predpisy/SK/ZZ/2012/251/20170801</vt:lpwstr>
      </vt:variant>
      <vt:variant>
        <vt:lpwstr>paragraf-49.odsek-7.pismeno-k</vt:lpwstr>
      </vt:variant>
      <vt:variant>
        <vt:i4>3473523</vt:i4>
      </vt:variant>
      <vt:variant>
        <vt:i4>75</vt:i4>
      </vt:variant>
      <vt:variant>
        <vt:i4>0</vt:i4>
      </vt:variant>
      <vt:variant>
        <vt:i4>5</vt:i4>
      </vt:variant>
      <vt:variant>
        <vt:lpwstr>https://www.slov-lex.sk/pravne-predpisy/SK/ZZ/2012/251/20170801</vt:lpwstr>
      </vt:variant>
      <vt:variant>
        <vt:lpwstr>paragraf-49.odsek-7.pismeno-h</vt:lpwstr>
      </vt:variant>
      <vt:variant>
        <vt:i4>3473523</vt:i4>
      </vt:variant>
      <vt:variant>
        <vt:i4>72</vt:i4>
      </vt:variant>
      <vt:variant>
        <vt:i4>0</vt:i4>
      </vt:variant>
      <vt:variant>
        <vt:i4>5</vt:i4>
      </vt:variant>
      <vt:variant>
        <vt:lpwstr>https://www.slov-lex.sk/pravne-predpisy/SK/ZZ/2012/251/20170801</vt:lpwstr>
      </vt:variant>
      <vt:variant>
        <vt:lpwstr>paragraf-49.odsek-7.pismeno-c</vt:lpwstr>
      </vt:variant>
      <vt:variant>
        <vt:i4>3473523</vt:i4>
      </vt:variant>
      <vt:variant>
        <vt:i4>69</vt:i4>
      </vt:variant>
      <vt:variant>
        <vt:i4>0</vt:i4>
      </vt:variant>
      <vt:variant>
        <vt:i4>5</vt:i4>
      </vt:variant>
      <vt:variant>
        <vt:lpwstr>https://www.slov-lex.sk/pravne-predpisy/SK/ZZ/2012/251/20170801</vt:lpwstr>
      </vt:variant>
      <vt:variant>
        <vt:lpwstr>paragraf-49.odsek-7.pismeno-a</vt:lpwstr>
      </vt:variant>
      <vt:variant>
        <vt:i4>3604604</vt:i4>
      </vt:variant>
      <vt:variant>
        <vt:i4>66</vt:i4>
      </vt:variant>
      <vt:variant>
        <vt:i4>0</vt:i4>
      </vt:variant>
      <vt:variant>
        <vt:i4>5</vt:i4>
      </vt:variant>
      <vt:variant>
        <vt:lpwstr>https://www.slov-lex.sk/pravne-predpisy/SK/ZZ/2012/251/20170801</vt:lpwstr>
      </vt:variant>
      <vt:variant>
        <vt:lpwstr>paragraf-67.odsek-6.pismeno-m</vt:lpwstr>
      </vt:variant>
      <vt:variant>
        <vt:i4>3604604</vt:i4>
      </vt:variant>
      <vt:variant>
        <vt:i4>63</vt:i4>
      </vt:variant>
      <vt:variant>
        <vt:i4>0</vt:i4>
      </vt:variant>
      <vt:variant>
        <vt:i4>5</vt:i4>
      </vt:variant>
      <vt:variant>
        <vt:lpwstr>https://www.slov-lex.sk/pravne-predpisy/SK/ZZ/2012/251/20170801</vt:lpwstr>
      </vt:variant>
      <vt:variant>
        <vt:lpwstr>paragraf-67.odsek-6.pismeno-j</vt:lpwstr>
      </vt:variant>
      <vt:variant>
        <vt:i4>3604604</vt:i4>
      </vt:variant>
      <vt:variant>
        <vt:i4>60</vt:i4>
      </vt:variant>
      <vt:variant>
        <vt:i4>0</vt:i4>
      </vt:variant>
      <vt:variant>
        <vt:i4>5</vt:i4>
      </vt:variant>
      <vt:variant>
        <vt:lpwstr>https://www.slov-lex.sk/pravne-predpisy/SK/ZZ/2012/251/20170801</vt:lpwstr>
      </vt:variant>
      <vt:variant>
        <vt:lpwstr>paragraf-67.odsek-6.pismeno-g</vt:lpwstr>
      </vt:variant>
      <vt:variant>
        <vt:i4>3604604</vt:i4>
      </vt:variant>
      <vt:variant>
        <vt:i4>57</vt:i4>
      </vt:variant>
      <vt:variant>
        <vt:i4>0</vt:i4>
      </vt:variant>
      <vt:variant>
        <vt:i4>5</vt:i4>
      </vt:variant>
      <vt:variant>
        <vt:lpwstr>https://www.slov-lex.sk/pravne-predpisy/SK/ZZ/2012/251/20170801</vt:lpwstr>
      </vt:variant>
      <vt:variant>
        <vt:lpwstr>paragraf-67.odsek-6.pismeno-a</vt:lpwstr>
      </vt:variant>
      <vt:variant>
        <vt:i4>3604604</vt:i4>
      </vt:variant>
      <vt:variant>
        <vt:i4>54</vt:i4>
      </vt:variant>
      <vt:variant>
        <vt:i4>0</vt:i4>
      </vt:variant>
      <vt:variant>
        <vt:i4>5</vt:i4>
      </vt:variant>
      <vt:variant>
        <vt:lpwstr>https://www.slov-lex.sk/pravne-predpisy/SK/ZZ/2012/251/20170801</vt:lpwstr>
      </vt:variant>
      <vt:variant>
        <vt:lpwstr>paragraf-67.odsek-6.pismeno-m</vt:lpwstr>
      </vt:variant>
      <vt:variant>
        <vt:i4>3604604</vt:i4>
      </vt:variant>
      <vt:variant>
        <vt:i4>51</vt:i4>
      </vt:variant>
      <vt:variant>
        <vt:i4>0</vt:i4>
      </vt:variant>
      <vt:variant>
        <vt:i4>5</vt:i4>
      </vt:variant>
      <vt:variant>
        <vt:lpwstr>https://www.slov-lex.sk/pravne-predpisy/SK/ZZ/2012/251/20170801</vt:lpwstr>
      </vt:variant>
      <vt:variant>
        <vt:lpwstr>paragraf-67.odsek-6.pismeno-j</vt:lpwstr>
      </vt:variant>
      <vt:variant>
        <vt:i4>3604604</vt:i4>
      </vt:variant>
      <vt:variant>
        <vt:i4>48</vt:i4>
      </vt:variant>
      <vt:variant>
        <vt:i4>0</vt:i4>
      </vt:variant>
      <vt:variant>
        <vt:i4>5</vt:i4>
      </vt:variant>
      <vt:variant>
        <vt:lpwstr>https://www.slov-lex.sk/pravne-predpisy/SK/ZZ/2012/251/20170801</vt:lpwstr>
      </vt:variant>
      <vt:variant>
        <vt:lpwstr>paragraf-67.odsek-6.pismeno-g</vt:lpwstr>
      </vt:variant>
      <vt:variant>
        <vt:i4>3604604</vt:i4>
      </vt:variant>
      <vt:variant>
        <vt:i4>45</vt:i4>
      </vt:variant>
      <vt:variant>
        <vt:i4>0</vt:i4>
      </vt:variant>
      <vt:variant>
        <vt:i4>5</vt:i4>
      </vt:variant>
      <vt:variant>
        <vt:lpwstr>https://www.slov-lex.sk/pravne-predpisy/SK/ZZ/2012/251/20170801</vt:lpwstr>
      </vt:variant>
      <vt:variant>
        <vt:lpwstr>paragraf-67.odsek-6.pismeno-a</vt:lpwstr>
      </vt:variant>
      <vt:variant>
        <vt:i4>3604607</vt:i4>
      </vt:variant>
      <vt:variant>
        <vt:i4>42</vt:i4>
      </vt:variant>
      <vt:variant>
        <vt:i4>0</vt:i4>
      </vt:variant>
      <vt:variant>
        <vt:i4>5</vt:i4>
      </vt:variant>
      <vt:variant>
        <vt:lpwstr>https://www.slov-lex.sk/pravne-predpisy/SK/ZZ/2012/251/20170801</vt:lpwstr>
      </vt:variant>
      <vt:variant>
        <vt:lpwstr>paragraf-64.odsek-6.pismeno-n</vt:lpwstr>
      </vt:variant>
      <vt:variant>
        <vt:i4>3604607</vt:i4>
      </vt:variant>
      <vt:variant>
        <vt:i4>39</vt:i4>
      </vt:variant>
      <vt:variant>
        <vt:i4>0</vt:i4>
      </vt:variant>
      <vt:variant>
        <vt:i4>5</vt:i4>
      </vt:variant>
      <vt:variant>
        <vt:lpwstr>https://www.slov-lex.sk/pravne-predpisy/SK/ZZ/2012/251/20170801</vt:lpwstr>
      </vt:variant>
      <vt:variant>
        <vt:lpwstr>paragraf-64.odsek-6.pismeno-i</vt:lpwstr>
      </vt:variant>
      <vt:variant>
        <vt:i4>3604607</vt:i4>
      </vt:variant>
      <vt:variant>
        <vt:i4>36</vt:i4>
      </vt:variant>
      <vt:variant>
        <vt:i4>0</vt:i4>
      </vt:variant>
      <vt:variant>
        <vt:i4>5</vt:i4>
      </vt:variant>
      <vt:variant>
        <vt:lpwstr>https://www.slov-lex.sk/pravne-predpisy/SK/ZZ/2012/251/20170801</vt:lpwstr>
      </vt:variant>
      <vt:variant>
        <vt:lpwstr>paragraf-64.odsek-6.pismeno-a</vt:lpwstr>
      </vt:variant>
      <vt:variant>
        <vt:i4>3604607</vt:i4>
      </vt:variant>
      <vt:variant>
        <vt:i4>33</vt:i4>
      </vt:variant>
      <vt:variant>
        <vt:i4>0</vt:i4>
      </vt:variant>
      <vt:variant>
        <vt:i4>5</vt:i4>
      </vt:variant>
      <vt:variant>
        <vt:lpwstr>https://www.slov-lex.sk/pravne-predpisy/SK/ZZ/2012/251/20170801</vt:lpwstr>
      </vt:variant>
      <vt:variant>
        <vt:lpwstr>paragraf-64.odsek-6.pismeno-n</vt:lpwstr>
      </vt:variant>
      <vt:variant>
        <vt:i4>3604607</vt:i4>
      </vt:variant>
      <vt:variant>
        <vt:i4>30</vt:i4>
      </vt:variant>
      <vt:variant>
        <vt:i4>0</vt:i4>
      </vt:variant>
      <vt:variant>
        <vt:i4>5</vt:i4>
      </vt:variant>
      <vt:variant>
        <vt:lpwstr>https://www.slov-lex.sk/pravne-predpisy/SK/ZZ/2012/251/20170801</vt:lpwstr>
      </vt:variant>
      <vt:variant>
        <vt:lpwstr>paragraf-64.odsek-6.pismeno-i</vt:lpwstr>
      </vt:variant>
      <vt:variant>
        <vt:i4>3604607</vt:i4>
      </vt:variant>
      <vt:variant>
        <vt:i4>27</vt:i4>
      </vt:variant>
      <vt:variant>
        <vt:i4>0</vt:i4>
      </vt:variant>
      <vt:variant>
        <vt:i4>5</vt:i4>
      </vt:variant>
      <vt:variant>
        <vt:lpwstr>https://www.slov-lex.sk/pravne-predpisy/SK/ZZ/2012/251/20170801</vt:lpwstr>
      </vt:variant>
      <vt:variant>
        <vt:lpwstr>paragraf-64.odsek-6.pismeno-a</vt:lpwstr>
      </vt:variant>
      <vt:variant>
        <vt:i4>3473523</vt:i4>
      </vt:variant>
      <vt:variant>
        <vt:i4>24</vt:i4>
      </vt:variant>
      <vt:variant>
        <vt:i4>0</vt:i4>
      </vt:variant>
      <vt:variant>
        <vt:i4>5</vt:i4>
      </vt:variant>
      <vt:variant>
        <vt:lpwstr>https://www.slov-lex.sk/pravne-predpisy/SK/ZZ/2012/251/20170801</vt:lpwstr>
      </vt:variant>
      <vt:variant>
        <vt:lpwstr>paragraf-49.odsek-7.pismeno-o</vt:lpwstr>
      </vt:variant>
      <vt:variant>
        <vt:i4>3473523</vt:i4>
      </vt:variant>
      <vt:variant>
        <vt:i4>21</vt:i4>
      </vt:variant>
      <vt:variant>
        <vt:i4>0</vt:i4>
      </vt:variant>
      <vt:variant>
        <vt:i4>5</vt:i4>
      </vt:variant>
      <vt:variant>
        <vt:lpwstr>https://www.slov-lex.sk/pravne-predpisy/SK/ZZ/2012/251/20170801</vt:lpwstr>
      </vt:variant>
      <vt:variant>
        <vt:lpwstr>paragraf-49.odsek-7.pismeno-f</vt:lpwstr>
      </vt:variant>
      <vt:variant>
        <vt:i4>3473523</vt:i4>
      </vt:variant>
      <vt:variant>
        <vt:i4>18</vt:i4>
      </vt:variant>
      <vt:variant>
        <vt:i4>0</vt:i4>
      </vt:variant>
      <vt:variant>
        <vt:i4>5</vt:i4>
      </vt:variant>
      <vt:variant>
        <vt:lpwstr>https://www.slov-lex.sk/pravne-predpisy/SK/ZZ/2012/251/20170801</vt:lpwstr>
      </vt:variant>
      <vt:variant>
        <vt:lpwstr>paragraf-49.odsek-7.pismeno-d</vt:lpwstr>
      </vt:variant>
      <vt:variant>
        <vt:i4>3473523</vt:i4>
      </vt:variant>
      <vt:variant>
        <vt:i4>15</vt:i4>
      </vt:variant>
      <vt:variant>
        <vt:i4>0</vt:i4>
      </vt:variant>
      <vt:variant>
        <vt:i4>5</vt:i4>
      </vt:variant>
      <vt:variant>
        <vt:lpwstr>https://www.slov-lex.sk/pravne-predpisy/SK/ZZ/2012/251/20170801</vt:lpwstr>
      </vt:variant>
      <vt:variant>
        <vt:lpwstr>paragraf-49.odsek-7.pismeno-b</vt:lpwstr>
      </vt:variant>
      <vt:variant>
        <vt:i4>3473523</vt:i4>
      </vt:variant>
      <vt:variant>
        <vt:i4>12</vt:i4>
      </vt:variant>
      <vt:variant>
        <vt:i4>0</vt:i4>
      </vt:variant>
      <vt:variant>
        <vt:i4>5</vt:i4>
      </vt:variant>
      <vt:variant>
        <vt:lpwstr>https://www.slov-lex.sk/pravne-predpisy/SK/ZZ/2012/251/20170801</vt:lpwstr>
      </vt:variant>
      <vt:variant>
        <vt:lpwstr>paragraf-49.odsek-7.pismeno-o</vt:lpwstr>
      </vt:variant>
      <vt:variant>
        <vt:i4>3473523</vt:i4>
      </vt:variant>
      <vt:variant>
        <vt:i4>9</vt:i4>
      </vt:variant>
      <vt:variant>
        <vt:i4>0</vt:i4>
      </vt:variant>
      <vt:variant>
        <vt:i4>5</vt:i4>
      </vt:variant>
      <vt:variant>
        <vt:lpwstr>https://www.slov-lex.sk/pravne-predpisy/SK/ZZ/2012/251/20170801</vt:lpwstr>
      </vt:variant>
      <vt:variant>
        <vt:lpwstr>paragraf-49.odsek-7.pismeno-f</vt:lpwstr>
      </vt:variant>
      <vt:variant>
        <vt:i4>3473523</vt:i4>
      </vt:variant>
      <vt:variant>
        <vt:i4>6</vt:i4>
      </vt:variant>
      <vt:variant>
        <vt:i4>0</vt:i4>
      </vt:variant>
      <vt:variant>
        <vt:i4>5</vt:i4>
      </vt:variant>
      <vt:variant>
        <vt:lpwstr>https://www.slov-lex.sk/pravne-predpisy/SK/ZZ/2012/251/20170801</vt:lpwstr>
      </vt:variant>
      <vt:variant>
        <vt:lpwstr>paragraf-49.odsek-7.pismeno-d</vt:lpwstr>
      </vt:variant>
      <vt:variant>
        <vt:i4>3473523</vt:i4>
      </vt:variant>
      <vt:variant>
        <vt:i4>3</vt:i4>
      </vt:variant>
      <vt:variant>
        <vt:i4>0</vt:i4>
      </vt:variant>
      <vt:variant>
        <vt:i4>5</vt:i4>
      </vt:variant>
      <vt:variant>
        <vt:lpwstr>https://www.slov-lex.sk/pravne-predpisy/SK/ZZ/2012/251/20170801</vt:lpwstr>
      </vt:variant>
      <vt:variant>
        <vt:lpwstr>paragraf-49.odsek-7.pismeno-b</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2019-02-19T13:37:00Z</cp:lastPrinted>
  <dcterms:created xsi:type="dcterms:W3CDTF">2019-02-19T14:41:00Z</dcterms:created>
  <dcterms:modified xsi:type="dcterms:W3CDTF">2019-02-20T08:51:00Z</dcterms:modified>
</cp:coreProperties>
</file>