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0F" w:rsidRPr="00506D52" w:rsidRDefault="00C3320F">
      <w:pPr>
        <w:pStyle w:val="Nadpis1"/>
        <w:spacing w:after="120"/>
        <w:rPr>
          <w:sz w:val="20"/>
          <w:szCs w:val="20"/>
        </w:rPr>
      </w:pPr>
      <w:bookmarkStart w:id="0" w:name="_GoBack"/>
      <w:bookmarkEnd w:id="0"/>
    </w:p>
    <w:p w:rsidR="003144D4" w:rsidRPr="00506D52" w:rsidRDefault="003144D4" w:rsidP="003144D4">
      <w:pPr>
        <w:rPr>
          <w:rFonts w:ascii="inherit" w:hAnsi="inherit"/>
        </w:rPr>
      </w:pPr>
    </w:p>
    <w:tbl>
      <w:tblPr>
        <w:tblW w:w="15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992"/>
        <w:gridCol w:w="1011"/>
        <w:gridCol w:w="832"/>
        <w:gridCol w:w="5103"/>
        <w:gridCol w:w="992"/>
        <w:gridCol w:w="1065"/>
      </w:tblGrid>
      <w:tr w:rsidR="00C3320F" w:rsidRPr="00506D52" w:rsidTr="00A956F6">
        <w:tblPrEx>
          <w:tblCellMar>
            <w:top w:w="0" w:type="dxa"/>
            <w:bottom w:w="0" w:type="dxa"/>
          </w:tblCellMar>
        </w:tblPrEx>
        <w:tc>
          <w:tcPr>
            <w:tcW w:w="15666" w:type="dxa"/>
            <w:gridSpan w:val="8"/>
          </w:tcPr>
          <w:p w:rsidR="00C3320F" w:rsidRPr="00506D52" w:rsidRDefault="00C3320F" w:rsidP="00C3320F">
            <w:pPr>
              <w:pStyle w:val="Nadpis1"/>
              <w:rPr>
                <w:rFonts w:ascii="Times New Roman" w:hAnsi="Times New Roman"/>
                <w:kern w:val="0"/>
                <w:sz w:val="20"/>
                <w:szCs w:val="20"/>
              </w:rPr>
            </w:pPr>
            <w:r w:rsidRPr="00506D52">
              <w:rPr>
                <w:rFonts w:ascii="Times New Roman" w:hAnsi="Times New Roman"/>
                <w:kern w:val="0"/>
                <w:sz w:val="20"/>
                <w:szCs w:val="20"/>
              </w:rPr>
              <w:t>TABUĽKA  ZHODY</w:t>
            </w:r>
          </w:p>
          <w:p w:rsidR="00080FF9" w:rsidRPr="00506D52" w:rsidRDefault="00080FF9" w:rsidP="00080FF9">
            <w:pPr>
              <w:rPr>
                <w:rFonts w:ascii="inherit" w:hAnsi="inherit"/>
              </w:rPr>
            </w:pPr>
          </w:p>
          <w:p w:rsidR="00080FF9" w:rsidRPr="00506D52" w:rsidRDefault="00C3320F" w:rsidP="00080FF9">
            <w:pPr>
              <w:autoSpaceDE w:val="0"/>
              <w:autoSpaceDN w:val="0"/>
              <w:spacing w:before="0"/>
              <w:jc w:val="center"/>
              <w:rPr>
                <w:b/>
                <w:sz w:val="20"/>
                <w:szCs w:val="20"/>
              </w:rPr>
            </w:pPr>
            <w:r w:rsidRPr="00506D52">
              <w:rPr>
                <w:b/>
                <w:bCs/>
                <w:sz w:val="20"/>
                <w:szCs w:val="20"/>
              </w:rPr>
              <w:t xml:space="preserve">k návrhu nariadenia vlády </w:t>
            </w:r>
            <w:r w:rsidR="00EE6188" w:rsidRPr="00506D52">
              <w:rPr>
                <w:b/>
                <w:bCs/>
                <w:sz w:val="20"/>
                <w:szCs w:val="20"/>
              </w:rPr>
              <w:t>Sl</w:t>
            </w:r>
            <w:r w:rsidRPr="00506D52">
              <w:rPr>
                <w:b/>
                <w:bCs/>
                <w:sz w:val="20"/>
                <w:szCs w:val="20"/>
              </w:rPr>
              <w:t xml:space="preserve">ovenskej republiky č. </w:t>
            </w:r>
            <w:r w:rsidR="00EE6188" w:rsidRPr="00506D52">
              <w:rPr>
                <w:b/>
                <w:bCs/>
                <w:sz w:val="20"/>
                <w:szCs w:val="20"/>
              </w:rPr>
              <w:t>...</w:t>
            </w:r>
            <w:r w:rsidRPr="00506D52">
              <w:rPr>
                <w:b/>
                <w:bCs/>
                <w:sz w:val="20"/>
                <w:szCs w:val="20"/>
              </w:rPr>
              <w:t>/20</w:t>
            </w:r>
            <w:r w:rsidR="00EE6188" w:rsidRPr="00506D52">
              <w:rPr>
                <w:b/>
                <w:bCs/>
                <w:sz w:val="20"/>
                <w:szCs w:val="20"/>
              </w:rPr>
              <w:t>1</w:t>
            </w:r>
            <w:r w:rsidR="00597BF7" w:rsidRPr="00506D52">
              <w:rPr>
                <w:b/>
                <w:bCs/>
                <w:sz w:val="20"/>
                <w:szCs w:val="20"/>
              </w:rPr>
              <w:t>9</w:t>
            </w:r>
            <w:r w:rsidRPr="00506D52">
              <w:rPr>
                <w:b/>
                <w:bCs/>
                <w:sz w:val="20"/>
                <w:szCs w:val="20"/>
              </w:rPr>
              <w:t xml:space="preserve"> Z. z.</w:t>
            </w:r>
            <w:r w:rsidR="00080FF9" w:rsidRPr="00506D52">
              <w:rPr>
                <w:b/>
                <w:bCs/>
                <w:sz w:val="20"/>
                <w:szCs w:val="20"/>
              </w:rPr>
              <w:t>, ktorým sa mení a dopĺňa n</w:t>
            </w:r>
            <w:r w:rsidR="00080FF9" w:rsidRPr="00506D52">
              <w:rPr>
                <w:b/>
                <w:sz w:val="20"/>
                <w:szCs w:val="20"/>
              </w:rPr>
              <w:t xml:space="preserve">ariadenie vlády Slovenskej republiky </w:t>
            </w:r>
            <w:r w:rsidR="00E874B1" w:rsidRPr="00506D52">
              <w:rPr>
                <w:b/>
                <w:sz w:val="20"/>
                <w:szCs w:val="20"/>
              </w:rPr>
              <w:t>č. 356</w:t>
            </w:r>
            <w:r w:rsidR="00080FF9" w:rsidRPr="00506D52">
              <w:rPr>
                <w:b/>
                <w:sz w:val="20"/>
                <w:szCs w:val="20"/>
              </w:rPr>
              <w:t>/2006 Z. z. o ochrane zamestnancov pred rizikami sú</w:t>
            </w:r>
            <w:r w:rsidR="00E874B1" w:rsidRPr="00506D52">
              <w:rPr>
                <w:b/>
                <w:sz w:val="20"/>
                <w:szCs w:val="20"/>
              </w:rPr>
              <w:t>visiacimi s expozíciou karcinogénnym a mutagénnym</w:t>
            </w:r>
            <w:r w:rsidR="00080FF9" w:rsidRPr="00506D52">
              <w:rPr>
                <w:b/>
                <w:sz w:val="20"/>
                <w:szCs w:val="20"/>
              </w:rPr>
              <w:t xml:space="preserve"> faktorom pri práci v znení neskorších predpisov</w:t>
            </w:r>
          </w:p>
          <w:p w:rsidR="00080FF9" w:rsidRPr="00506D52" w:rsidRDefault="00080FF9" w:rsidP="00C3320F">
            <w:pPr>
              <w:autoSpaceDE w:val="0"/>
              <w:autoSpaceDN w:val="0"/>
              <w:spacing w:before="0"/>
              <w:jc w:val="center"/>
              <w:rPr>
                <w:b/>
                <w:sz w:val="20"/>
                <w:szCs w:val="20"/>
              </w:rPr>
            </w:pPr>
          </w:p>
          <w:p w:rsidR="00C3320F" w:rsidRPr="00506D52" w:rsidRDefault="00C3320F" w:rsidP="00080FF9">
            <w:pPr>
              <w:pStyle w:val="Hlavika"/>
              <w:tabs>
                <w:tab w:val="left" w:pos="709"/>
              </w:tabs>
              <w:jc w:val="both"/>
              <w:rPr>
                <w:b/>
                <w:bCs/>
                <w:sz w:val="20"/>
                <w:szCs w:val="20"/>
              </w:rPr>
            </w:pPr>
          </w:p>
        </w:tc>
      </w:tr>
      <w:tr w:rsidR="00080FF9"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rPr>
          <w:trHeight w:val="567"/>
        </w:trPr>
        <w:tc>
          <w:tcPr>
            <w:tcW w:w="15666" w:type="dxa"/>
            <w:gridSpan w:val="8"/>
          </w:tcPr>
          <w:p w:rsidR="007F687C" w:rsidRPr="00506D52" w:rsidRDefault="00080FF9" w:rsidP="00080FF9">
            <w:pPr>
              <w:pStyle w:val="Hlavika"/>
              <w:tabs>
                <w:tab w:val="left" w:pos="709"/>
              </w:tabs>
              <w:jc w:val="both"/>
              <w:rPr>
                <w:b/>
                <w:sz w:val="20"/>
                <w:szCs w:val="20"/>
              </w:rPr>
            </w:pPr>
            <w:r w:rsidRPr="00506D52">
              <w:rPr>
                <w:sz w:val="20"/>
                <w:szCs w:val="20"/>
              </w:rPr>
              <w:t xml:space="preserve">Názov smernice:  </w:t>
            </w:r>
            <w:r w:rsidRPr="00506D52">
              <w:rPr>
                <w:b/>
                <w:sz w:val="20"/>
                <w:szCs w:val="20"/>
              </w:rPr>
              <w:t xml:space="preserve">Smernica </w:t>
            </w:r>
            <w:r w:rsidR="007F687C" w:rsidRPr="00506D52">
              <w:rPr>
                <w:b/>
                <w:sz w:val="20"/>
                <w:szCs w:val="20"/>
              </w:rPr>
              <w:t>Európskeho parlamentu a Rady (EÚ) 2017/2398 z 12. decembra 2017, ktorou sa mení smernica 2004/37/ES o ochrane pracovníkov pred rizikami súvisiacimi s expoz</w:t>
            </w:r>
            <w:r w:rsidR="00453C11" w:rsidRPr="00506D52">
              <w:rPr>
                <w:b/>
                <w:sz w:val="20"/>
                <w:szCs w:val="20"/>
              </w:rPr>
              <w:t>íciou karcinogénom alebo mutagé</w:t>
            </w:r>
            <w:r w:rsidR="007F687C" w:rsidRPr="00506D52">
              <w:rPr>
                <w:b/>
                <w:sz w:val="20"/>
                <w:szCs w:val="20"/>
              </w:rPr>
              <w:t>nom pri práci</w:t>
            </w:r>
          </w:p>
          <w:p w:rsidR="00080FF9" w:rsidRPr="00506D52" w:rsidRDefault="007F687C" w:rsidP="00080FF9">
            <w:pPr>
              <w:pStyle w:val="Hlavika"/>
              <w:tabs>
                <w:tab w:val="left" w:pos="709"/>
              </w:tabs>
              <w:jc w:val="both"/>
              <w:rPr>
                <w:sz w:val="20"/>
                <w:szCs w:val="20"/>
              </w:rPr>
            </w:pPr>
            <w:r w:rsidRPr="00506D52">
              <w:rPr>
                <w:b/>
                <w:sz w:val="20"/>
                <w:szCs w:val="20"/>
              </w:rPr>
              <w:t xml:space="preserve"> </w:t>
            </w:r>
          </w:p>
          <w:p w:rsidR="00080FF9" w:rsidRPr="00506D52" w:rsidRDefault="00080FF9" w:rsidP="00F3551F">
            <w:pPr>
              <w:pStyle w:val="Normlny0"/>
            </w:pPr>
          </w:p>
        </w:tc>
      </w:tr>
      <w:tr w:rsidR="00080FF9"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6663" w:type="dxa"/>
            <w:gridSpan w:val="3"/>
            <w:vAlign w:val="center"/>
          </w:tcPr>
          <w:p w:rsidR="007F687C" w:rsidRPr="00506D52" w:rsidRDefault="007F687C" w:rsidP="007F687C">
            <w:pPr>
              <w:pStyle w:val="Hlavika"/>
              <w:tabs>
                <w:tab w:val="left" w:pos="709"/>
              </w:tabs>
              <w:jc w:val="both"/>
              <w:rPr>
                <w:b/>
                <w:sz w:val="20"/>
                <w:szCs w:val="20"/>
              </w:rPr>
            </w:pPr>
            <w:r w:rsidRPr="00506D52">
              <w:rPr>
                <w:b/>
                <w:sz w:val="20"/>
                <w:szCs w:val="20"/>
              </w:rPr>
              <w:t>Smernica Európskeho parlamentu a Rady (EÚ) 2017/2398 z 12. decembra 2017, ktorou sa mení smernica 2004/37/ES o ochrane pracovníkov pred rizikami súvisiacimi s expoz</w:t>
            </w:r>
            <w:r w:rsidR="00453C11" w:rsidRPr="00506D52">
              <w:rPr>
                <w:b/>
                <w:sz w:val="20"/>
                <w:szCs w:val="20"/>
              </w:rPr>
              <w:t>íciou karcinogénom alebo mutagé</w:t>
            </w:r>
            <w:r w:rsidRPr="00506D52">
              <w:rPr>
                <w:b/>
                <w:sz w:val="20"/>
                <w:szCs w:val="20"/>
              </w:rPr>
              <w:t>nom pri práci</w:t>
            </w:r>
          </w:p>
          <w:p w:rsidR="00080FF9" w:rsidRPr="00506D52" w:rsidRDefault="00080FF9" w:rsidP="00080FF9">
            <w:pPr>
              <w:pStyle w:val="Hlavika"/>
              <w:tabs>
                <w:tab w:val="left" w:pos="709"/>
              </w:tabs>
              <w:jc w:val="both"/>
              <w:rPr>
                <w:sz w:val="20"/>
                <w:szCs w:val="20"/>
              </w:rPr>
            </w:pPr>
          </w:p>
          <w:p w:rsidR="00080FF9" w:rsidRPr="00506D52" w:rsidRDefault="00080FF9" w:rsidP="00892B36">
            <w:pPr>
              <w:pStyle w:val="Hlavika"/>
              <w:tabs>
                <w:tab w:val="left" w:pos="709"/>
              </w:tabs>
              <w:jc w:val="both"/>
              <w:rPr>
                <w:sz w:val="20"/>
                <w:szCs w:val="20"/>
              </w:rPr>
            </w:pPr>
          </w:p>
        </w:tc>
        <w:tc>
          <w:tcPr>
            <w:tcW w:w="9003" w:type="dxa"/>
            <w:gridSpan w:val="5"/>
          </w:tcPr>
          <w:p w:rsidR="00E874B1" w:rsidRPr="00506D52" w:rsidRDefault="00E874B1" w:rsidP="00E874B1">
            <w:pPr>
              <w:autoSpaceDE w:val="0"/>
              <w:autoSpaceDN w:val="0"/>
              <w:spacing w:before="0"/>
              <w:rPr>
                <w:b/>
                <w:sz w:val="20"/>
                <w:szCs w:val="20"/>
              </w:rPr>
            </w:pPr>
            <w:r w:rsidRPr="00506D52">
              <w:rPr>
                <w:b/>
                <w:bCs/>
                <w:sz w:val="20"/>
                <w:szCs w:val="20"/>
              </w:rPr>
              <w:t>Návrh nariadenia vlády Slovenskej republiky č. .../201</w:t>
            </w:r>
            <w:r w:rsidR="00597BF7" w:rsidRPr="00506D52">
              <w:rPr>
                <w:b/>
                <w:bCs/>
                <w:sz w:val="20"/>
                <w:szCs w:val="20"/>
              </w:rPr>
              <w:t>9</w:t>
            </w:r>
            <w:r w:rsidRPr="00506D52">
              <w:rPr>
                <w:b/>
                <w:bCs/>
                <w:sz w:val="20"/>
                <w:szCs w:val="20"/>
              </w:rPr>
              <w:t xml:space="preserve"> Z. z., ktorým sa mení a dopĺňa n</w:t>
            </w:r>
            <w:r w:rsidRPr="00506D52">
              <w:rPr>
                <w:b/>
                <w:sz w:val="20"/>
                <w:szCs w:val="20"/>
              </w:rPr>
              <w:t>ariadenie vlády Slovenskej republiky č. 356/2006 Z. z. o ochrane zamestnancov pred rizikami súvisiacimi s expozíciou karcinogénnym a mutagénnym faktorom pri práci v znení neskorších predpisov</w:t>
            </w:r>
          </w:p>
          <w:p w:rsidR="00080FF9" w:rsidRPr="00506D52" w:rsidRDefault="00080FF9" w:rsidP="00A956F6">
            <w:pPr>
              <w:pStyle w:val="Hlavika"/>
              <w:tabs>
                <w:tab w:val="left" w:pos="709"/>
              </w:tabs>
              <w:jc w:val="both"/>
              <w:rPr>
                <w:bCs/>
                <w:sz w:val="20"/>
                <w:szCs w:val="20"/>
              </w:rPr>
            </w:pPr>
          </w:p>
        </w:tc>
      </w:tr>
      <w:tr w:rsidR="00080FF9"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vAlign w:val="center"/>
          </w:tcPr>
          <w:p w:rsidR="00080FF9" w:rsidRPr="00506D52" w:rsidRDefault="00080FF9" w:rsidP="000125ED">
            <w:pPr>
              <w:autoSpaceDE w:val="0"/>
              <w:autoSpaceDN w:val="0"/>
              <w:spacing w:before="0"/>
              <w:jc w:val="center"/>
              <w:rPr>
                <w:sz w:val="20"/>
                <w:szCs w:val="20"/>
              </w:rPr>
            </w:pPr>
            <w:r w:rsidRPr="00506D52">
              <w:rPr>
                <w:sz w:val="20"/>
                <w:szCs w:val="20"/>
              </w:rPr>
              <w:t>1</w:t>
            </w:r>
          </w:p>
        </w:tc>
        <w:tc>
          <w:tcPr>
            <w:tcW w:w="4536" w:type="dxa"/>
            <w:vAlign w:val="center"/>
          </w:tcPr>
          <w:p w:rsidR="00080FF9" w:rsidRPr="00506D52" w:rsidRDefault="00080FF9" w:rsidP="000125ED">
            <w:pPr>
              <w:autoSpaceDE w:val="0"/>
              <w:autoSpaceDN w:val="0"/>
              <w:spacing w:before="0"/>
              <w:jc w:val="center"/>
              <w:rPr>
                <w:sz w:val="20"/>
                <w:szCs w:val="20"/>
              </w:rPr>
            </w:pPr>
            <w:r w:rsidRPr="00506D52">
              <w:rPr>
                <w:sz w:val="20"/>
                <w:szCs w:val="20"/>
              </w:rPr>
              <w:t>2</w:t>
            </w:r>
          </w:p>
        </w:tc>
        <w:tc>
          <w:tcPr>
            <w:tcW w:w="992" w:type="dxa"/>
            <w:vAlign w:val="center"/>
          </w:tcPr>
          <w:p w:rsidR="00080FF9" w:rsidRPr="00506D52" w:rsidRDefault="00080FF9" w:rsidP="000125ED">
            <w:pPr>
              <w:autoSpaceDE w:val="0"/>
              <w:autoSpaceDN w:val="0"/>
              <w:spacing w:before="0"/>
              <w:jc w:val="center"/>
              <w:rPr>
                <w:sz w:val="20"/>
                <w:szCs w:val="20"/>
              </w:rPr>
            </w:pPr>
            <w:r w:rsidRPr="00506D52">
              <w:rPr>
                <w:sz w:val="20"/>
                <w:szCs w:val="20"/>
              </w:rPr>
              <w:t>3</w:t>
            </w:r>
          </w:p>
        </w:tc>
        <w:tc>
          <w:tcPr>
            <w:tcW w:w="1011" w:type="dxa"/>
            <w:vAlign w:val="center"/>
          </w:tcPr>
          <w:p w:rsidR="00080FF9" w:rsidRPr="00506D52" w:rsidRDefault="00080FF9" w:rsidP="000125ED">
            <w:pPr>
              <w:autoSpaceDE w:val="0"/>
              <w:autoSpaceDN w:val="0"/>
              <w:spacing w:before="0"/>
              <w:jc w:val="center"/>
              <w:rPr>
                <w:sz w:val="20"/>
                <w:szCs w:val="20"/>
              </w:rPr>
            </w:pPr>
            <w:r w:rsidRPr="00506D52">
              <w:rPr>
                <w:sz w:val="20"/>
                <w:szCs w:val="20"/>
              </w:rPr>
              <w:t>4</w:t>
            </w:r>
          </w:p>
        </w:tc>
        <w:tc>
          <w:tcPr>
            <w:tcW w:w="832" w:type="dxa"/>
            <w:vAlign w:val="center"/>
          </w:tcPr>
          <w:p w:rsidR="00080FF9" w:rsidRPr="00506D52" w:rsidRDefault="00080FF9" w:rsidP="000125ED">
            <w:pPr>
              <w:pStyle w:val="Zkladntext2"/>
              <w:spacing w:line="240" w:lineRule="exact"/>
              <w:jc w:val="center"/>
              <w:rPr>
                <w:sz w:val="20"/>
                <w:szCs w:val="20"/>
              </w:rPr>
            </w:pPr>
            <w:r w:rsidRPr="00506D52">
              <w:rPr>
                <w:sz w:val="20"/>
                <w:szCs w:val="20"/>
              </w:rPr>
              <w:t>5</w:t>
            </w:r>
          </w:p>
        </w:tc>
        <w:tc>
          <w:tcPr>
            <w:tcW w:w="5103" w:type="dxa"/>
            <w:vAlign w:val="center"/>
          </w:tcPr>
          <w:p w:rsidR="00080FF9" w:rsidRPr="00506D52" w:rsidRDefault="00080FF9" w:rsidP="000125ED">
            <w:pPr>
              <w:pStyle w:val="Zkladntext2"/>
              <w:spacing w:line="240" w:lineRule="exact"/>
              <w:jc w:val="center"/>
              <w:rPr>
                <w:sz w:val="20"/>
                <w:szCs w:val="20"/>
              </w:rPr>
            </w:pPr>
            <w:r w:rsidRPr="00506D52">
              <w:rPr>
                <w:sz w:val="20"/>
                <w:szCs w:val="20"/>
              </w:rPr>
              <w:t>6</w:t>
            </w:r>
          </w:p>
        </w:tc>
        <w:tc>
          <w:tcPr>
            <w:tcW w:w="992" w:type="dxa"/>
            <w:vAlign w:val="center"/>
          </w:tcPr>
          <w:p w:rsidR="00080FF9" w:rsidRPr="00506D52" w:rsidRDefault="00080FF9" w:rsidP="000125ED">
            <w:pPr>
              <w:autoSpaceDE w:val="0"/>
              <w:autoSpaceDN w:val="0"/>
              <w:spacing w:before="0"/>
              <w:jc w:val="center"/>
              <w:rPr>
                <w:sz w:val="20"/>
                <w:szCs w:val="20"/>
              </w:rPr>
            </w:pPr>
            <w:r w:rsidRPr="00506D52">
              <w:rPr>
                <w:sz w:val="20"/>
                <w:szCs w:val="20"/>
              </w:rPr>
              <w:t>7</w:t>
            </w:r>
          </w:p>
        </w:tc>
        <w:tc>
          <w:tcPr>
            <w:tcW w:w="1065" w:type="dxa"/>
            <w:vAlign w:val="center"/>
          </w:tcPr>
          <w:p w:rsidR="00080FF9" w:rsidRPr="00506D52" w:rsidRDefault="00080FF9" w:rsidP="000125ED">
            <w:pPr>
              <w:autoSpaceDE w:val="0"/>
              <w:autoSpaceDN w:val="0"/>
              <w:spacing w:before="0"/>
              <w:jc w:val="center"/>
              <w:rPr>
                <w:sz w:val="20"/>
                <w:szCs w:val="20"/>
              </w:rPr>
            </w:pPr>
            <w:r w:rsidRPr="00506D52">
              <w:rPr>
                <w:sz w:val="20"/>
                <w:szCs w:val="20"/>
              </w:rPr>
              <w:t>8</w:t>
            </w:r>
          </w:p>
        </w:tc>
      </w:tr>
      <w:tr w:rsidR="00080FF9"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523"/>
        </w:trPr>
        <w:tc>
          <w:tcPr>
            <w:tcW w:w="1135" w:type="dxa"/>
            <w:vAlign w:val="center"/>
          </w:tcPr>
          <w:p w:rsidR="00080FF9" w:rsidRPr="00506D52" w:rsidRDefault="00080FF9" w:rsidP="0066401C">
            <w:pPr>
              <w:autoSpaceDE w:val="0"/>
              <w:autoSpaceDN w:val="0"/>
              <w:spacing w:before="0"/>
              <w:jc w:val="center"/>
              <w:rPr>
                <w:sz w:val="20"/>
                <w:szCs w:val="20"/>
              </w:rPr>
            </w:pPr>
            <w:r w:rsidRPr="00506D52">
              <w:rPr>
                <w:sz w:val="20"/>
                <w:szCs w:val="20"/>
              </w:rPr>
              <w:t>Článok</w:t>
            </w:r>
          </w:p>
          <w:p w:rsidR="00080FF9" w:rsidRPr="00506D52" w:rsidRDefault="00080FF9" w:rsidP="0066401C">
            <w:pPr>
              <w:autoSpaceDE w:val="0"/>
              <w:autoSpaceDN w:val="0"/>
              <w:spacing w:before="0"/>
              <w:jc w:val="center"/>
              <w:rPr>
                <w:sz w:val="20"/>
                <w:szCs w:val="20"/>
              </w:rPr>
            </w:pPr>
            <w:r w:rsidRPr="00506D52">
              <w:rPr>
                <w:sz w:val="20"/>
                <w:szCs w:val="20"/>
              </w:rPr>
              <w:t>(Č, O, V, P)</w:t>
            </w:r>
          </w:p>
          <w:p w:rsidR="00080FF9" w:rsidRPr="00506D52" w:rsidRDefault="00080FF9" w:rsidP="005B716B">
            <w:pPr>
              <w:autoSpaceDE w:val="0"/>
              <w:autoSpaceDN w:val="0"/>
              <w:spacing w:before="0"/>
              <w:jc w:val="left"/>
              <w:rPr>
                <w:sz w:val="20"/>
                <w:szCs w:val="20"/>
              </w:rPr>
            </w:pPr>
          </w:p>
          <w:p w:rsidR="00080FF9" w:rsidRPr="00506D52" w:rsidRDefault="00080FF9" w:rsidP="005B716B">
            <w:pPr>
              <w:autoSpaceDE w:val="0"/>
              <w:autoSpaceDN w:val="0"/>
              <w:spacing w:before="0"/>
              <w:jc w:val="left"/>
              <w:rPr>
                <w:sz w:val="20"/>
                <w:szCs w:val="20"/>
              </w:rPr>
            </w:pPr>
          </w:p>
          <w:p w:rsidR="00080FF9" w:rsidRPr="00506D52" w:rsidRDefault="00080FF9" w:rsidP="005B716B">
            <w:pPr>
              <w:autoSpaceDE w:val="0"/>
              <w:autoSpaceDN w:val="0"/>
              <w:spacing w:before="0"/>
              <w:jc w:val="left"/>
              <w:rPr>
                <w:sz w:val="20"/>
                <w:szCs w:val="20"/>
              </w:rPr>
            </w:pPr>
          </w:p>
        </w:tc>
        <w:tc>
          <w:tcPr>
            <w:tcW w:w="4536" w:type="dxa"/>
            <w:vAlign w:val="center"/>
          </w:tcPr>
          <w:p w:rsidR="00080FF9" w:rsidRPr="00506D52" w:rsidRDefault="00080FF9" w:rsidP="005B716B">
            <w:pPr>
              <w:autoSpaceDE w:val="0"/>
              <w:autoSpaceDN w:val="0"/>
              <w:spacing w:before="0"/>
              <w:jc w:val="center"/>
              <w:rPr>
                <w:sz w:val="20"/>
                <w:szCs w:val="20"/>
              </w:rPr>
            </w:pPr>
            <w:r w:rsidRPr="00506D52">
              <w:rPr>
                <w:sz w:val="20"/>
                <w:szCs w:val="20"/>
              </w:rPr>
              <w:t>Text</w:t>
            </w:r>
          </w:p>
          <w:p w:rsidR="00080FF9" w:rsidRPr="00506D52" w:rsidRDefault="00080FF9" w:rsidP="005B716B">
            <w:pPr>
              <w:autoSpaceDE w:val="0"/>
              <w:autoSpaceDN w:val="0"/>
              <w:spacing w:before="0"/>
              <w:jc w:val="left"/>
              <w:rPr>
                <w:sz w:val="20"/>
                <w:szCs w:val="20"/>
              </w:rPr>
            </w:pPr>
          </w:p>
          <w:p w:rsidR="00080FF9" w:rsidRPr="00506D52" w:rsidRDefault="00080FF9" w:rsidP="005B716B">
            <w:pPr>
              <w:autoSpaceDE w:val="0"/>
              <w:autoSpaceDN w:val="0"/>
              <w:spacing w:before="0"/>
              <w:jc w:val="center"/>
              <w:rPr>
                <w:sz w:val="20"/>
                <w:szCs w:val="20"/>
              </w:rPr>
            </w:pPr>
          </w:p>
          <w:p w:rsidR="00080FF9" w:rsidRPr="00506D52" w:rsidRDefault="00080FF9">
            <w:pPr>
              <w:autoSpaceDE w:val="0"/>
              <w:autoSpaceDN w:val="0"/>
              <w:spacing w:before="0"/>
              <w:jc w:val="center"/>
              <w:rPr>
                <w:b/>
                <w:bCs/>
                <w:sz w:val="20"/>
                <w:szCs w:val="20"/>
              </w:rPr>
            </w:pPr>
          </w:p>
          <w:p w:rsidR="00080FF9" w:rsidRPr="00506D52" w:rsidRDefault="00080FF9">
            <w:pPr>
              <w:autoSpaceDE w:val="0"/>
              <w:autoSpaceDN w:val="0"/>
              <w:spacing w:before="0"/>
              <w:jc w:val="center"/>
              <w:rPr>
                <w:sz w:val="20"/>
                <w:szCs w:val="20"/>
              </w:rPr>
            </w:pPr>
          </w:p>
        </w:tc>
        <w:tc>
          <w:tcPr>
            <w:tcW w:w="992" w:type="dxa"/>
            <w:vAlign w:val="center"/>
          </w:tcPr>
          <w:p w:rsidR="0069510A" w:rsidRPr="00506D52" w:rsidRDefault="00080FF9" w:rsidP="005B716B">
            <w:pPr>
              <w:autoSpaceDE w:val="0"/>
              <w:autoSpaceDN w:val="0"/>
              <w:spacing w:before="0"/>
              <w:jc w:val="center"/>
              <w:rPr>
                <w:sz w:val="20"/>
                <w:szCs w:val="20"/>
              </w:rPr>
            </w:pPr>
            <w:r w:rsidRPr="00506D52">
              <w:rPr>
                <w:sz w:val="20"/>
                <w:szCs w:val="20"/>
              </w:rPr>
              <w:t>Spôsob transpo</w:t>
            </w:r>
            <w:r w:rsidR="0069510A" w:rsidRPr="00506D52">
              <w:rPr>
                <w:sz w:val="20"/>
                <w:szCs w:val="20"/>
              </w:rPr>
              <w:t>-</w:t>
            </w:r>
          </w:p>
          <w:p w:rsidR="00080FF9" w:rsidRPr="00506D52" w:rsidRDefault="00080FF9" w:rsidP="005B716B">
            <w:pPr>
              <w:autoSpaceDE w:val="0"/>
              <w:autoSpaceDN w:val="0"/>
              <w:spacing w:before="0"/>
              <w:jc w:val="center"/>
              <w:rPr>
                <w:sz w:val="20"/>
                <w:szCs w:val="20"/>
              </w:rPr>
            </w:pPr>
            <w:r w:rsidRPr="00506D52">
              <w:rPr>
                <w:sz w:val="20"/>
                <w:szCs w:val="20"/>
              </w:rPr>
              <w:t>zície</w:t>
            </w:r>
          </w:p>
          <w:p w:rsidR="00080FF9" w:rsidRPr="00506D52" w:rsidRDefault="00080FF9" w:rsidP="005B716B">
            <w:pPr>
              <w:autoSpaceDE w:val="0"/>
              <w:autoSpaceDN w:val="0"/>
              <w:spacing w:before="0"/>
              <w:jc w:val="center"/>
              <w:rPr>
                <w:sz w:val="20"/>
                <w:szCs w:val="20"/>
              </w:rPr>
            </w:pPr>
            <w:r w:rsidRPr="00506D52">
              <w:rPr>
                <w:sz w:val="20"/>
                <w:szCs w:val="20"/>
              </w:rPr>
              <w:t>(N, O, D, n.a.)</w:t>
            </w:r>
          </w:p>
          <w:p w:rsidR="00080FF9" w:rsidRPr="00506D52" w:rsidRDefault="00080FF9" w:rsidP="008C51F8">
            <w:pPr>
              <w:autoSpaceDE w:val="0"/>
              <w:autoSpaceDN w:val="0"/>
              <w:spacing w:before="0"/>
              <w:rPr>
                <w:sz w:val="20"/>
                <w:szCs w:val="20"/>
              </w:rPr>
            </w:pPr>
          </w:p>
        </w:tc>
        <w:tc>
          <w:tcPr>
            <w:tcW w:w="1011" w:type="dxa"/>
            <w:vAlign w:val="center"/>
          </w:tcPr>
          <w:p w:rsidR="00080FF9" w:rsidRPr="00506D52" w:rsidRDefault="00080FF9" w:rsidP="003645A9">
            <w:pPr>
              <w:autoSpaceDE w:val="0"/>
              <w:autoSpaceDN w:val="0"/>
              <w:spacing w:before="0"/>
              <w:jc w:val="center"/>
              <w:rPr>
                <w:sz w:val="20"/>
                <w:szCs w:val="20"/>
              </w:rPr>
            </w:pPr>
            <w:r w:rsidRPr="00506D52">
              <w:rPr>
                <w:sz w:val="20"/>
                <w:szCs w:val="20"/>
              </w:rPr>
              <w:t>Číslo predpisu</w:t>
            </w:r>
          </w:p>
          <w:p w:rsidR="00080FF9" w:rsidRPr="00506D52" w:rsidRDefault="00080FF9" w:rsidP="003645A9">
            <w:pPr>
              <w:autoSpaceDE w:val="0"/>
              <w:autoSpaceDN w:val="0"/>
              <w:spacing w:before="0"/>
              <w:jc w:val="center"/>
              <w:rPr>
                <w:sz w:val="20"/>
                <w:szCs w:val="20"/>
              </w:rPr>
            </w:pPr>
          </w:p>
          <w:p w:rsidR="00080FF9" w:rsidRPr="00506D52" w:rsidRDefault="00080FF9" w:rsidP="003645A9">
            <w:pPr>
              <w:autoSpaceDE w:val="0"/>
              <w:autoSpaceDN w:val="0"/>
              <w:spacing w:before="0"/>
              <w:jc w:val="center"/>
              <w:rPr>
                <w:sz w:val="20"/>
                <w:szCs w:val="20"/>
              </w:rPr>
            </w:pPr>
          </w:p>
          <w:p w:rsidR="00080FF9" w:rsidRPr="00506D52" w:rsidRDefault="00080FF9" w:rsidP="003645A9">
            <w:pPr>
              <w:autoSpaceDE w:val="0"/>
              <w:autoSpaceDN w:val="0"/>
              <w:spacing w:before="0"/>
              <w:jc w:val="center"/>
              <w:rPr>
                <w:b/>
                <w:bCs/>
                <w:sz w:val="20"/>
                <w:szCs w:val="20"/>
              </w:rPr>
            </w:pPr>
          </w:p>
          <w:p w:rsidR="00080FF9" w:rsidRPr="00506D52" w:rsidRDefault="00080FF9" w:rsidP="003645A9">
            <w:pPr>
              <w:autoSpaceDE w:val="0"/>
              <w:autoSpaceDN w:val="0"/>
              <w:spacing w:before="0"/>
              <w:jc w:val="center"/>
              <w:rPr>
                <w:sz w:val="20"/>
                <w:szCs w:val="20"/>
              </w:rPr>
            </w:pPr>
          </w:p>
        </w:tc>
        <w:tc>
          <w:tcPr>
            <w:tcW w:w="832" w:type="dxa"/>
            <w:vAlign w:val="center"/>
          </w:tcPr>
          <w:p w:rsidR="00080FF9" w:rsidRPr="00506D52" w:rsidRDefault="00080FF9" w:rsidP="003645A9">
            <w:pPr>
              <w:autoSpaceDE w:val="0"/>
              <w:autoSpaceDN w:val="0"/>
              <w:spacing w:before="0"/>
              <w:jc w:val="center"/>
              <w:rPr>
                <w:sz w:val="20"/>
                <w:szCs w:val="20"/>
              </w:rPr>
            </w:pPr>
            <w:r w:rsidRPr="00506D52">
              <w:rPr>
                <w:sz w:val="20"/>
                <w:szCs w:val="20"/>
              </w:rPr>
              <w:t>Článok</w:t>
            </w:r>
          </w:p>
          <w:p w:rsidR="00080FF9" w:rsidRPr="00506D52" w:rsidRDefault="00080FF9" w:rsidP="003645A9">
            <w:pPr>
              <w:autoSpaceDE w:val="0"/>
              <w:autoSpaceDN w:val="0"/>
              <w:spacing w:before="0"/>
              <w:jc w:val="center"/>
              <w:rPr>
                <w:sz w:val="20"/>
                <w:szCs w:val="20"/>
              </w:rPr>
            </w:pPr>
            <w:r w:rsidRPr="00506D52">
              <w:rPr>
                <w:sz w:val="20"/>
                <w:szCs w:val="20"/>
              </w:rPr>
              <w:t>(Č, §, O, V, P)</w:t>
            </w:r>
          </w:p>
          <w:p w:rsidR="00080FF9" w:rsidRPr="00506D52" w:rsidRDefault="00080FF9" w:rsidP="003645A9">
            <w:pPr>
              <w:autoSpaceDE w:val="0"/>
              <w:autoSpaceDN w:val="0"/>
              <w:spacing w:before="0"/>
              <w:jc w:val="center"/>
              <w:rPr>
                <w:b/>
                <w:bCs/>
                <w:sz w:val="20"/>
                <w:szCs w:val="20"/>
              </w:rPr>
            </w:pPr>
          </w:p>
          <w:p w:rsidR="00080FF9" w:rsidRPr="00506D52" w:rsidRDefault="00080FF9" w:rsidP="003645A9">
            <w:pPr>
              <w:autoSpaceDE w:val="0"/>
              <w:autoSpaceDN w:val="0"/>
              <w:spacing w:before="0"/>
              <w:jc w:val="center"/>
              <w:rPr>
                <w:sz w:val="20"/>
                <w:szCs w:val="20"/>
              </w:rPr>
            </w:pPr>
          </w:p>
        </w:tc>
        <w:tc>
          <w:tcPr>
            <w:tcW w:w="5103" w:type="dxa"/>
            <w:vAlign w:val="center"/>
          </w:tcPr>
          <w:p w:rsidR="00080FF9" w:rsidRPr="00506D52" w:rsidRDefault="00080FF9" w:rsidP="005B716B">
            <w:pPr>
              <w:autoSpaceDE w:val="0"/>
              <w:autoSpaceDN w:val="0"/>
              <w:spacing w:before="0"/>
              <w:jc w:val="center"/>
              <w:rPr>
                <w:sz w:val="20"/>
                <w:szCs w:val="20"/>
              </w:rPr>
            </w:pPr>
            <w:r w:rsidRPr="00506D52">
              <w:rPr>
                <w:sz w:val="20"/>
                <w:szCs w:val="20"/>
              </w:rPr>
              <w:t>Text</w:t>
            </w:r>
          </w:p>
          <w:p w:rsidR="00080FF9" w:rsidRPr="00506D52" w:rsidRDefault="00080FF9" w:rsidP="005B716B">
            <w:pPr>
              <w:autoSpaceDE w:val="0"/>
              <w:autoSpaceDN w:val="0"/>
              <w:spacing w:before="0"/>
              <w:jc w:val="left"/>
              <w:rPr>
                <w:sz w:val="20"/>
                <w:szCs w:val="20"/>
              </w:rPr>
            </w:pPr>
          </w:p>
          <w:p w:rsidR="00080FF9" w:rsidRPr="00506D52" w:rsidRDefault="00080FF9" w:rsidP="005B716B">
            <w:pPr>
              <w:autoSpaceDE w:val="0"/>
              <w:autoSpaceDN w:val="0"/>
              <w:spacing w:before="0"/>
              <w:jc w:val="left"/>
              <w:rPr>
                <w:sz w:val="20"/>
                <w:szCs w:val="20"/>
              </w:rPr>
            </w:pPr>
          </w:p>
          <w:p w:rsidR="00080FF9" w:rsidRPr="00506D52" w:rsidRDefault="00080FF9">
            <w:pPr>
              <w:autoSpaceDE w:val="0"/>
              <w:autoSpaceDN w:val="0"/>
              <w:spacing w:before="0"/>
              <w:jc w:val="center"/>
              <w:rPr>
                <w:b/>
                <w:bCs/>
                <w:sz w:val="20"/>
                <w:szCs w:val="20"/>
              </w:rPr>
            </w:pPr>
          </w:p>
          <w:p w:rsidR="00080FF9" w:rsidRPr="00506D52" w:rsidRDefault="00080FF9">
            <w:pPr>
              <w:autoSpaceDE w:val="0"/>
              <w:autoSpaceDN w:val="0"/>
              <w:spacing w:before="0"/>
              <w:jc w:val="center"/>
              <w:rPr>
                <w:b/>
                <w:bCs/>
                <w:sz w:val="20"/>
                <w:szCs w:val="20"/>
              </w:rPr>
            </w:pPr>
          </w:p>
        </w:tc>
        <w:tc>
          <w:tcPr>
            <w:tcW w:w="992" w:type="dxa"/>
            <w:vAlign w:val="center"/>
          </w:tcPr>
          <w:p w:rsidR="00080FF9" w:rsidRPr="00506D52" w:rsidRDefault="00080FF9" w:rsidP="004D479F">
            <w:pPr>
              <w:autoSpaceDE w:val="0"/>
              <w:autoSpaceDN w:val="0"/>
              <w:spacing w:before="0"/>
              <w:jc w:val="center"/>
              <w:rPr>
                <w:sz w:val="20"/>
                <w:szCs w:val="20"/>
              </w:rPr>
            </w:pPr>
            <w:r w:rsidRPr="00506D52">
              <w:rPr>
                <w:sz w:val="20"/>
                <w:szCs w:val="20"/>
              </w:rPr>
              <w:t>Zhoda</w:t>
            </w:r>
          </w:p>
          <w:p w:rsidR="00080FF9" w:rsidRPr="00506D52" w:rsidRDefault="00080FF9" w:rsidP="004D479F">
            <w:pPr>
              <w:autoSpaceDE w:val="0"/>
              <w:autoSpaceDN w:val="0"/>
              <w:spacing w:before="0"/>
              <w:jc w:val="center"/>
              <w:rPr>
                <w:b/>
                <w:bCs/>
                <w:sz w:val="20"/>
                <w:szCs w:val="20"/>
              </w:rPr>
            </w:pPr>
          </w:p>
          <w:p w:rsidR="00080FF9" w:rsidRPr="00506D52" w:rsidRDefault="00080FF9" w:rsidP="004D479F">
            <w:pPr>
              <w:autoSpaceDE w:val="0"/>
              <w:autoSpaceDN w:val="0"/>
              <w:spacing w:before="0"/>
              <w:jc w:val="center"/>
              <w:rPr>
                <w:b/>
                <w:bCs/>
                <w:sz w:val="20"/>
                <w:szCs w:val="20"/>
              </w:rPr>
            </w:pPr>
          </w:p>
          <w:p w:rsidR="00080FF9" w:rsidRPr="00506D52" w:rsidRDefault="00080FF9" w:rsidP="004D479F">
            <w:pPr>
              <w:autoSpaceDE w:val="0"/>
              <w:autoSpaceDN w:val="0"/>
              <w:spacing w:before="0"/>
              <w:jc w:val="center"/>
              <w:rPr>
                <w:b/>
                <w:bCs/>
                <w:sz w:val="20"/>
                <w:szCs w:val="20"/>
              </w:rPr>
            </w:pPr>
          </w:p>
          <w:p w:rsidR="00080FF9" w:rsidRPr="00506D52" w:rsidRDefault="00080FF9" w:rsidP="004D479F">
            <w:pPr>
              <w:autoSpaceDE w:val="0"/>
              <w:autoSpaceDN w:val="0"/>
              <w:spacing w:before="0"/>
              <w:jc w:val="center"/>
              <w:rPr>
                <w:sz w:val="20"/>
                <w:szCs w:val="20"/>
              </w:rPr>
            </w:pPr>
          </w:p>
        </w:tc>
        <w:tc>
          <w:tcPr>
            <w:tcW w:w="1065" w:type="dxa"/>
            <w:vAlign w:val="center"/>
          </w:tcPr>
          <w:p w:rsidR="00080FF9" w:rsidRPr="00506D52" w:rsidRDefault="00080FF9" w:rsidP="00FC24E9">
            <w:pPr>
              <w:autoSpaceDE w:val="0"/>
              <w:autoSpaceDN w:val="0"/>
              <w:spacing w:before="0"/>
              <w:jc w:val="center"/>
              <w:rPr>
                <w:sz w:val="20"/>
                <w:szCs w:val="20"/>
              </w:rPr>
            </w:pPr>
            <w:r w:rsidRPr="00506D52">
              <w:rPr>
                <w:sz w:val="20"/>
                <w:szCs w:val="20"/>
              </w:rPr>
              <w:t>Poznámky</w:t>
            </w:r>
          </w:p>
          <w:p w:rsidR="00080FF9" w:rsidRPr="00506D52" w:rsidRDefault="00080FF9" w:rsidP="005B716B">
            <w:pPr>
              <w:autoSpaceDE w:val="0"/>
              <w:autoSpaceDN w:val="0"/>
              <w:spacing w:before="0"/>
              <w:jc w:val="center"/>
              <w:rPr>
                <w:b/>
                <w:bCs/>
                <w:sz w:val="20"/>
                <w:szCs w:val="20"/>
              </w:rPr>
            </w:pPr>
          </w:p>
          <w:p w:rsidR="00080FF9" w:rsidRPr="00506D52" w:rsidRDefault="00080FF9" w:rsidP="005B716B">
            <w:pPr>
              <w:autoSpaceDE w:val="0"/>
              <w:autoSpaceDN w:val="0"/>
              <w:spacing w:before="0"/>
              <w:jc w:val="center"/>
              <w:rPr>
                <w:b/>
                <w:bCs/>
                <w:sz w:val="20"/>
                <w:szCs w:val="20"/>
              </w:rPr>
            </w:pPr>
          </w:p>
          <w:p w:rsidR="00080FF9" w:rsidRPr="00506D52" w:rsidRDefault="00080FF9" w:rsidP="005B716B">
            <w:pPr>
              <w:autoSpaceDE w:val="0"/>
              <w:autoSpaceDN w:val="0"/>
              <w:spacing w:before="0"/>
              <w:jc w:val="center"/>
              <w:rPr>
                <w:b/>
                <w:bCs/>
                <w:sz w:val="20"/>
                <w:szCs w:val="20"/>
              </w:rPr>
            </w:pPr>
          </w:p>
          <w:p w:rsidR="00080FF9" w:rsidRPr="00506D52" w:rsidRDefault="00080FF9" w:rsidP="00FC24E9">
            <w:pPr>
              <w:autoSpaceDE w:val="0"/>
              <w:autoSpaceDN w:val="0"/>
              <w:spacing w:before="0"/>
              <w:jc w:val="center"/>
              <w:rPr>
                <w:b/>
                <w:bCs/>
                <w:sz w:val="20"/>
                <w:szCs w:val="20"/>
              </w:rPr>
            </w:pPr>
          </w:p>
        </w:tc>
      </w:tr>
      <w:tr w:rsidR="00080FF9"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5F3BDE" w:rsidRPr="00506D52" w:rsidRDefault="007F687C" w:rsidP="005F3BDE">
            <w:pPr>
              <w:autoSpaceDE w:val="0"/>
              <w:autoSpaceDN w:val="0"/>
              <w:spacing w:before="0"/>
              <w:jc w:val="center"/>
              <w:rPr>
                <w:sz w:val="20"/>
                <w:szCs w:val="20"/>
              </w:rPr>
            </w:pPr>
            <w:r w:rsidRPr="00506D52">
              <w:rPr>
                <w:sz w:val="20"/>
                <w:szCs w:val="20"/>
              </w:rPr>
              <w:t>Č:1</w:t>
            </w:r>
          </w:p>
          <w:p w:rsidR="00453C11" w:rsidRPr="00506D52" w:rsidRDefault="00453C11" w:rsidP="005F3BDE">
            <w:pPr>
              <w:autoSpaceDE w:val="0"/>
              <w:autoSpaceDN w:val="0"/>
              <w:spacing w:before="0"/>
              <w:jc w:val="center"/>
              <w:rPr>
                <w:sz w:val="20"/>
                <w:szCs w:val="20"/>
              </w:rPr>
            </w:pPr>
          </w:p>
          <w:p w:rsidR="005F3BDE" w:rsidRPr="00506D52" w:rsidRDefault="005F3BDE" w:rsidP="005F3BDE">
            <w:pPr>
              <w:autoSpaceDE w:val="0"/>
              <w:autoSpaceDN w:val="0"/>
              <w:spacing w:before="0"/>
              <w:jc w:val="center"/>
              <w:rPr>
                <w:sz w:val="20"/>
                <w:szCs w:val="20"/>
              </w:rPr>
            </w:pPr>
            <w:r w:rsidRPr="00506D52">
              <w:rPr>
                <w:sz w:val="20"/>
                <w:szCs w:val="20"/>
              </w:rPr>
              <w:t>O:1</w:t>
            </w:r>
          </w:p>
          <w:p w:rsidR="00080FF9" w:rsidRPr="00506D52" w:rsidRDefault="00080FF9">
            <w:pPr>
              <w:autoSpaceDE w:val="0"/>
              <w:autoSpaceDN w:val="0"/>
              <w:spacing w:before="0"/>
              <w:jc w:val="center"/>
              <w:rPr>
                <w:sz w:val="20"/>
                <w:szCs w:val="20"/>
              </w:rPr>
            </w:pPr>
          </w:p>
          <w:p w:rsidR="005F3BDE" w:rsidRPr="00506D52" w:rsidRDefault="005F3BDE">
            <w:pPr>
              <w:autoSpaceDE w:val="0"/>
              <w:autoSpaceDN w:val="0"/>
              <w:spacing w:before="0"/>
              <w:jc w:val="center"/>
              <w:rPr>
                <w:sz w:val="20"/>
                <w:szCs w:val="20"/>
              </w:rPr>
            </w:pPr>
          </w:p>
          <w:p w:rsidR="005F3BDE" w:rsidRPr="00506D52" w:rsidRDefault="005F3BDE">
            <w:pPr>
              <w:autoSpaceDE w:val="0"/>
              <w:autoSpaceDN w:val="0"/>
              <w:spacing w:before="0"/>
              <w:jc w:val="center"/>
              <w:rPr>
                <w:sz w:val="20"/>
                <w:szCs w:val="20"/>
              </w:rPr>
            </w:pPr>
          </w:p>
          <w:p w:rsidR="005F3BDE" w:rsidRPr="00506D52" w:rsidRDefault="005F3BDE">
            <w:pPr>
              <w:autoSpaceDE w:val="0"/>
              <w:autoSpaceDN w:val="0"/>
              <w:spacing w:before="0"/>
              <w:jc w:val="center"/>
              <w:rPr>
                <w:sz w:val="20"/>
                <w:szCs w:val="20"/>
              </w:rPr>
            </w:pPr>
          </w:p>
          <w:p w:rsidR="005F3BDE" w:rsidRPr="00506D52" w:rsidRDefault="005F3BDE" w:rsidP="005F3BDE">
            <w:pPr>
              <w:autoSpaceDE w:val="0"/>
              <w:autoSpaceDN w:val="0"/>
              <w:spacing w:before="0"/>
              <w:rPr>
                <w:sz w:val="20"/>
                <w:szCs w:val="20"/>
              </w:rPr>
            </w:pPr>
          </w:p>
        </w:tc>
        <w:tc>
          <w:tcPr>
            <w:tcW w:w="4536" w:type="dxa"/>
          </w:tcPr>
          <w:p w:rsidR="00080FF9" w:rsidRPr="00506D52" w:rsidRDefault="007F687C" w:rsidP="008C51F8">
            <w:pPr>
              <w:autoSpaceDE w:val="0"/>
              <w:autoSpaceDN w:val="0"/>
              <w:spacing w:before="0"/>
              <w:rPr>
                <w:sz w:val="20"/>
                <w:szCs w:val="20"/>
              </w:rPr>
            </w:pPr>
            <w:r w:rsidRPr="00506D52">
              <w:rPr>
                <w:sz w:val="20"/>
                <w:szCs w:val="20"/>
              </w:rPr>
              <w:t>Smernica 2004/37/ES sa mení takto:</w:t>
            </w:r>
          </w:p>
          <w:p w:rsidR="00453C11" w:rsidRPr="00506D52" w:rsidRDefault="00453C11" w:rsidP="00453C11">
            <w:pPr>
              <w:spacing w:before="0"/>
              <w:rPr>
                <w:sz w:val="20"/>
                <w:szCs w:val="20"/>
              </w:rPr>
            </w:pPr>
          </w:p>
          <w:p w:rsidR="005F3BDE" w:rsidRPr="00506D52" w:rsidRDefault="005F3BDE" w:rsidP="00453C11">
            <w:pPr>
              <w:spacing w:before="0"/>
              <w:rPr>
                <w:sz w:val="20"/>
                <w:szCs w:val="20"/>
              </w:rPr>
            </w:pPr>
            <w:r w:rsidRPr="00506D52">
              <w:rPr>
                <w:sz w:val="20"/>
                <w:szCs w:val="20"/>
              </w:rPr>
              <w:t>V článku 6 sa dopĺňa tento odsek:</w:t>
            </w:r>
          </w:p>
          <w:p w:rsidR="005F3BDE" w:rsidRPr="00506D52" w:rsidRDefault="005F3BDE" w:rsidP="005F3BDE">
            <w:pPr>
              <w:spacing w:before="0"/>
              <w:rPr>
                <w:sz w:val="20"/>
                <w:szCs w:val="20"/>
              </w:rPr>
            </w:pPr>
            <w:r w:rsidRPr="00506D52">
              <w:rPr>
                <w:sz w:val="20"/>
                <w:szCs w:val="20"/>
              </w:rPr>
              <w:t>„Členské štáty zohľadnia informácie uvedené v písmenách a) až g) prvého odseku tohto článku vo svojich správach predkladaných Komisii podľa článku 17a smernice 89/391/EHS.“</w:t>
            </w:r>
          </w:p>
        </w:tc>
        <w:tc>
          <w:tcPr>
            <w:tcW w:w="992" w:type="dxa"/>
          </w:tcPr>
          <w:p w:rsidR="00080FF9" w:rsidRPr="00506D52" w:rsidRDefault="00885A8C" w:rsidP="003645A9">
            <w:pPr>
              <w:autoSpaceDE w:val="0"/>
              <w:autoSpaceDN w:val="0"/>
              <w:spacing w:before="0"/>
              <w:jc w:val="center"/>
              <w:rPr>
                <w:sz w:val="20"/>
                <w:szCs w:val="20"/>
              </w:rPr>
            </w:pPr>
            <w:r w:rsidRPr="00506D52">
              <w:rPr>
                <w:sz w:val="20"/>
                <w:szCs w:val="20"/>
              </w:rPr>
              <w:t>N</w:t>
            </w:r>
          </w:p>
        </w:tc>
        <w:tc>
          <w:tcPr>
            <w:tcW w:w="1011" w:type="dxa"/>
          </w:tcPr>
          <w:p w:rsidR="00DB0DE9" w:rsidRPr="00506D52" w:rsidRDefault="00DB0DE9" w:rsidP="003645A9">
            <w:pPr>
              <w:pStyle w:val="Normlny0"/>
              <w:jc w:val="center"/>
            </w:pPr>
            <w:r w:rsidRPr="00506D52">
              <w:t>N</w:t>
            </w:r>
            <w:r w:rsidR="00885A8C" w:rsidRPr="00506D52">
              <w:t>ávrh</w:t>
            </w:r>
          </w:p>
          <w:p w:rsidR="00080FF9" w:rsidRPr="00506D52" w:rsidRDefault="00885A8C" w:rsidP="003645A9">
            <w:pPr>
              <w:pStyle w:val="Normlny0"/>
              <w:jc w:val="center"/>
            </w:pPr>
            <w:r w:rsidRPr="00506D52">
              <w:t xml:space="preserve"> NV SR</w:t>
            </w:r>
          </w:p>
        </w:tc>
        <w:tc>
          <w:tcPr>
            <w:tcW w:w="832" w:type="dxa"/>
          </w:tcPr>
          <w:p w:rsidR="00080FF9" w:rsidRPr="00506D52" w:rsidRDefault="00885A8C" w:rsidP="003645A9">
            <w:pPr>
              <w:pStyle w:val="Normlny0"/>
              <w:jc w:val="center"/>
            </w:pPr>
            <w:r w:rsidRPr="00506D52">
              <w:t>Č:I</w:t>
            </w:r>
          </w:p>
          <w:p w:rsidR="00885A8C" w:rsidRPr="00506D52" w:rsidRDefault="00885A8C" w:rsidP="003645A9">
            <w:pPr>
              <w:pStyle w:val="Normlny0"/>
              <w:jc w:val="center"/>
            </w:pPr>
            <w:r w:rsidRPr="00506D52">
              <w:t>§ 6</w:t>
            </w:r>
          </w:p>
          <w:p w:rsidR="00885A8C" w:rsidRPr="00506D52" w:rsidRDefault="00885A8C" w:rsidP="003645A9">
            <w:pPr>
              <w:pStyle w:val="Normlny0"/>
              <w:jc w:val="center"/>
            </w:pPr>
            <w:r w:rsidRPr="00506D52">
              <w:t>O:5</w:t>
            </w:r>
          </w:p>
        </w:tc>
        <w:tc>
          <w:tcPr>
            <w:tcW w:w="5103" w:type="dxa"/>
          </w:tcPr>
          <w:p w:rsidR="00CA2245" w:rsidRPr="00506D52" w:rsidRDefault="0025274F" w:rsidP="0025274F">
            <w:pPr>
              <w:tabs>
                <w:tab w:val="num" w:pos="98"/>
              </w:tabs>
              <w:suppressAutoHyphens/>
              <w:ind w:left="98"/>
              <w:rPr>
                <w:sz w:val="20"/>
                <w:szCs w:val="20"/>
              </w:rPr>
            </w:pPr>
            <w:r w:rsidRPr="00506D52">
              <w:rPr>
                <w:sz w:val="20"/>
                <w:szCs w:val="20"/>
              </w:rPr>
              <w:t xml:space="preserve">   </w:t>
            </w:r>
            <w:r w:rsidR="00CA2245" w:rsidRPr="00506D52">
              <w:rPr>
                <w:sz w:val="20"/>
                <w:szCs w:val="20"/>
              </w:rPr>
              <w:t>„(5) Informácie podľa  odseku 2 písm. a) až g) sú súčasťou správ pre Európsku komisiu podľa osobitných predpisov.</w:t>
            </w:r>
            <w:r w:rsidR="00CA2245" w:rsidRPr="00506D52">
              <w:rPr>
                <w:sz w:val="20"/>
                <w:szCs w:val="20"/>
                <w:vertAlign w:val="superscript"/>
              </w:rPr>
              <w:t>12a</w:t>
            </w:r>
            <w:r w:rsidR="00CA2245" w:rsidRPr="00506D52">
              <w:rPr>
                <w:sz w:val="20"/>
                <w:szCs w:val="20"/>
              </w:rPr>
              <w:t>)“.</w:t>
            </w:r>
          </w:p>
          <w:p w:rsidR="00CA2245" w:rsidRPr="00506D52" w:rsidRDefault="00CA2245" w:rsidP="0025274F">
            <w:pPr>
              <w:tabs>
                <w:tab w:val="num" w:pos="98"/>
              </w:tabs>
              <w:suppressAutoHyphens/>
              <w:ind w:left="98"/>
              <w:rPr>
                <w:sz w:val="20"/>
                <w:szCs w:val="20"/>
              </w:rPr>
            </w:pPr>
            <w:r w:rsidRPr="00506D52">
              <w:rPr>
                <w:sz w:val="20"/>
                <w:szCs w:val="20"/>
              </w:rPr>
              <w:t>Poznámka pod čiarou k odkazu 12a znie:</w:t>
            </w:r>
          </w:p>
          <w:p w:rsidR="00CA2245" w:rsidRPr="00506D52" w:rsidRDefault="00CA2245" w:rsidP="0025274F">
            <w:pPr>
              <w:tabs>
                <w:tab w:val="num" w:pos="98"/>
              </w:tabs>
              <w:suppressAutoHyphens/>
              <w:ind w:left="98"/>
              <w:rPr>
                <w:sz w:val="20"/>
                <w:szCs w:val="20"/>
              </w:rPr>
            </w:pPr>
            <w:r w:rsidRPr="00506D52">
              <w:rPr>
                <w:sz w:val="20"/>
                <w:szCs w:val="20"/>
              </w:rPr>
              <w:t>„</w:t>
            </w:r>
            <w:r w:rsidRPr="00506D52">
              <w:rPr>
                <w:sz w:val="20"/>
                <w:szCs w:val="20"/>
                <w:vertAlign w:val="superscript"/>
              </w:rPr>
              <w:t>12a</w:t>
            </w:r>
            <w:r w:rsidRPr="00506D52">
              <w:rPr>
                <w:sz w:val="20"/>
                <w:szCs w:val="20"/>
              </w:rPr>
              <w:t>) § 5 ods. 4 písm. ai) ôsm</w:t>
            </w:r>
            <w:r w:rsidR="0025274F" w:rsidRPr="00506D52">
              <w:rPr>
                <w:sz w:val="20"/>
                <w:szCs w:val="20"/>
              </w:rPr>
              <w:t>y</w:t>
            </w:r>
            <w:r w:rsidRPr="00506D52">
              <w:rPr>
                <w:sz w:val="20"/>
                <w:szCs w:val="20"/>
              </w:rPr>
              <w:t xml:space="preserve"> bod zákona č. 355/2007 Z. z.</w:t>
            </w:r>
          </w:p>
          <w:p w:rsidR="00CA2245" w:rsidRPr="00506D52" w:rsidRDefault="00CA2245" w:rsidP="0025274F">
            <w:pPr>
              <w:tabs>
                <w:tab w:val="num" w:pos="98"/>
              </w:tabs>
              <w:suppressAutoHyphens/>
              <w:ind w:left="98"/>
              <w:rPr>
                <w:sz w:val="20"/>
                <w:szCs w:val="20"/>
              </w:rPr>
            </w:pPr>
            <w:r w:rsidRPr="00506D52">
              <w:rPr>
                <w:sz w:val="20"/>
                <w:szCs w:val="20"/>
              </w:rPr>
              <w:t>§ 4 písm. j) zákona č. 125/2006 Z. z. o inšpekcii práce a o zmene a doplnení zákona č. 82/2005 Z. z. o nelegálnej práci a nelegálnom zamestnávaní a o zmene a doplnení niektorých zákonov v znení neskorších predpisov.“.</w:t>
            </w:r>
          </w:p>
          <w:p w:rsidR="00080FF9" w:rsidRPr="00506D52" w:rsidRDefault="00080FF9" w:rsidP="0025274F">
            <w:pPr>
              <w:pStyle w:val="Zkladntext"/>
              <w:tabs>
                <w:tab w:val="num" w:pos="98"/>
              </w:tabs>
              <w:ind w:left="98"/>
              <w:jc w:val="left"/>
              <w:rPr>
                <w:bCs/>
                <w:sz w:val="20"/>
                <w:szCs w:val="20"/>
                <w:lang w:val="cs-CZ"/>
              </w:rPr>
            </w:pPr>
          </w:p>
        </w:tc>
        <w:tc>
          <w:tcPr>
            <w:tcW w:w="992" w:type="dxa"/>
          </w:tcPr>
          <w:p w:rsidR="00080FF9" w:rsidRPr="00506D52" w:rsidRDefault="00885A8C" w:rsidP="004D479F">
            <w:pPr>
              <w:autoSpaceDE w:val="0"/>
              <w:autoSpaceDN w:val="0"/>
              <w:spacing w:before="0"/>
              <w:jc w:val="center"/>
              <w:rPr>
                <w:sz w:val="20"/>
                <w:szCs w:val="20"/>
              </w:rPr>
            </w:pPr>
            <w:r w:rsidRPr="00506D52">
              <w:rPr>
                <w:sz w:val="20"/>
                <w:szCs w:val="20"/>
              </w:rPr>
              <w:t>Ú</w:t>
            </w:r>
          </w:p>
        </w:tc>
        <w:tc>
          <w:tcPr>
            <w:tcW w:w="1065" w:type="dxa"/>
          </w:tcPr>
          <w:p w:rsidR="00080FF9" w:rsidRPr="00506D52" w:rsidRDefault="00080FF9">
            <w:pPr>
              <w:pStyle w:val="Nadpis1"/>
              <w:suppressAutoHyphens/>
              <w:jc w:val="both"/>
              <w:rPr>
                <w:rFonts w:ascii="Times New Roman" w:hAnsi="Times New Roman"/>
                <w:b w:val="0"/>
                <w:bCs w:val="0"/>
                <w:kern w:val="0"/>
                <w:sz w:val="20"/>
                <w:szCs w:val="20"/>
              </w:rPr>
            </w:pPr>
          </w:p>
        </w:tc>
      </w:tr>
      <w:tr w:rsidR="00B7689D" w:rsidRPr="00506D52" w:rsidTr="009313E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rPr>
          <w:trHeight w:val="7351"/>
        </w:trPr>
        <w:tc>
          <w:tcPr>
            <w:tcW w:w="1135" w:type="dxa"/>
          </w:tcPr>
          <w:p w:rsidR="00B7689D" w:rsidRPr="00506D52" w:rsidRDefault="00B7689D">
            <w:pPr>
              <w:autoSpaceDE w:val="0"/>
              <w:autoSpaceDN w:val="0"/>
              <w:spacing w:before="0"/>
              <w:jc w:val="center"/>
              <w:rPr>
                <w:sz w:val="20"/>
                <w:szCs w:val="20"/>
              </w:rPr>
            </w:pPr>
            <w:r w:rsidRPr="00506D52">
              <w:rPr>
                <w:sz w:val="20"/>
                <w:szCs w:val="20"/>
              </w:rPr>
              <w:lastRenderedPageBreak/>
              <w:t>O:2</w:t>
            </w: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r w:rsidRPr="00506D52">
              <w:rPr>
                <w:sz w:val="20"/>
                <w:szCs w:val="20"/>
              </w:rPr>
              <w:t>P:a</w:t>
            </w: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p>
          <w:p w:rsidR="00B7689D" w:rsidRPr="00506D52" w:rsidRDefault="00B7689D">
            <w:pPr>
              <w:autoSpaceDE w:val="0"/>
              <w:autoSpaceDN w:val="0"/>
              <w:spacing w:before="0"/>
              <w:jc w:val="center"/>
              <w:rPr>
                <w:sz w:val="20"/>
                <w:szCs w:val="20"/>
              </w:rPr>
            </w:pPr>
            <w:r w:rsidRPr="00506D52">
              <w:rPr>
                <w:sz w:val="20"/>
                <w:szCs w:val="20"/>
              </w:rPr>
              <w:t>P: b</w:t>
            </w:r>
          </w:p>
        </w:tc>
        <w:tc>
          <w:tcPr>
            <w:tcW w:w="4536" w:type="dxa"/>
          </w:tcPr>
          <w:p w:rsidR="00B7689D" w:rsidRPr="00506D52" w:rsidRDefault="00B7689D" w:rsidP="00F3551F">
            <w:pPr>
              <w:autoSpaceDE w:val="0"/>
              <w:autoSpaceDN w:val="0"/>
              <w:spacing w:before="0"/>
              <w:jc w:val="left"/>
              <w:rPr>
                <w:sz w:val="20"/>
                <w:szCs w:val="20"/>
              </w:rPr>
            </w:pPr>
            <w:r w:rsidRPr="00506D52">
              <w:rPr>
                <w:sz w:val="20"/>
                <w:szCs w:val="20"/>
              </w:rPr>
              <w:t>Článok 14 sa mení takto:</w:t>
            </w:r>
          </w:p>
          <w:p w:rsidR="00B7689D" w:rsidRPr="00506D52" w:rsidRDefault="00B7689D" w:rsidP="00F3551F">
            <w:pPr>
              <w:autoSpaceDE w:val="0"/>
              <w:autoSpaceDN w:val="0"/>
              <w:spacing w:before="0"/>
              <w:jc w:val="left"/>
              <w:rPr>
                <w:sz w:val="20"/>
                <w:szCs w:val="20"/>
              </w:rPr>
            </w:pPr>
          </w:p>
          <w:p w:rsidR="00B7689D" w:rsidRPr="00506D52" w:rsidRDefault="00B7689D" w:rsidP="00453C11">
            <w:pPr>
              <w:numPr>
                <w:ilvl w:val="0"/>
                <w:numId w:val="39"/>
              </w:numPr>
              <w:autoSpaceDE w:val="0"/>
              <w:autoSpaceDN w:val="0"/>
              <w:spacing w:before="0"/>
              <w:ind w:left="382" w:hanging="22"/>
              <w:jc w:val="left"/>
              <w:rPr>
                <w:sz w:val="20"/>
                <w:szCs w:val="20"/>
              </w:rPr>
            </w:pPr>
            <w:r w:rsidRPr="00506D52">
              <w:rPr>
                <w:sz w:val="20"/>
                <w:szCs w:val="20"/>
              </w:rPr>
              <w:t xml:space="preserve">odsek 1sa nahrádza takto: </w:t>
            </w:r>
          </w:p>
          <w:p w:rsidR="00B7689D" w:rsidRPr="00506D52" w:rsidRDefault="00B7689D" w:rsidP="005F3BDE">
            <w:pPr>
              <w:autoSpaceDE w:val="0"/>
              <w:autoSpaceDN w:val="0"/>
              <w:spacing w:before="0"/>
              <w:rPr>
                <w:sz w:val="20"/>
                <w:szCs w:val="20"/>
              </w:rPr>
            </w:pPr>
            <w:r w:rsidRPr="00506D52">
              <w:rPr>
                <w:sz w:val="20"/>
                <w:szCs w:val="20"/>
              </w:rPr>
              <w:t>„1.   Členské štáty v súlade s vnútroštátnym právom alebo praxou stanovia opatrenia na vykonávanie príslušného zdravotného dohľadu pracovníkov, u ktorých z výsledkov posudzovania uvedeného v článku 3 ods. 2 vyplýva ohrozenie ich bezpečnosti alebo zdravia. Lekár alebo orgán zdravotného dozoru môže indikovať, že zdravotný dohľad musí pokračovať aj po ukončení expozície, a to dovtedy, dokiaľ sa to považuje za potrebné na ochranu zdravia dotknutého pracovníka.“;</w:t>
            </w:r>
          </w:p>
          <w:p w:rsidR="00B7689D" w:rsidRPr="00506D52" w:rsidRDefault="00B7689D" w:rsidP="005F3BDE">
            <w:pPr>
              <w:autoSpaceDE w:val="0"/>
              <w:autoSpaceDN w:val="0"/>
              <w:spacing w:before="0"/>
              <w:rPr>
                <w:sz w:val="20"/>
                <w:szCs w:val="20"/>
              </w:rPr>
            </w:pPr>
          </w:p>
          <w:p w:rsidR="00B7689D" w:rsidRPr="00506D52" w:rsidRDefault="00B7689D" w:rsidP="005F3BDE">
            <w:pPr>
              <w:numPr>
                <w:ilvl w:val="0"/>
                <w:numId w:val="39"/>
              </w:numPr>
              <w:autoSpaceDE w:val="0"/>
              <w:autoSpaceDN w:val="0"/>
              <w:spacing w:before="0"/>
              <w:rPr>
                <w:sz w:val="20"/>
                <w:szCs w:val="20"/>
              </w:rPr>
            </w:pPr>
            <w:r w:rsidRPr="00506D52">
              <w:rPr>
                <w:sz w:val="20"/>
                <w:szCs w:val="20"/>
              </w:rPr>
              <w:t>odsek 8 sa nahrádza takto:</w:t>
            </w:r>
          </w:p>
          <w:p w:rsidR="00B7689D" w:rsidRPr="00506D52" w:rsidRDefault="00B7689D" w:rsidP="005F3BDE">
            <w:pPr>
              <w:rPr>
                <w:sz w:val="20"/>
                <w:szCs w:val="20"/>
              </w:rPr>
            </w:pPr>
            <w:r w:rsidRPr="00506D52">
              <w:rPr>
                <w:sz w:val="20"/>
                <w:szCs w:val="20"/>
              </w:rPr>
              <w:t>„8.   Všetky prípady ochorenia na rakovinu, ktoré boli zistené podľa vnútroštátneho práva alebo praxe ako dôsledok expozície karcinogénu alebo mutagénu pri práci sa musia oznámiť príslušnému orgánu.</w:t>
            </w:r>
          </w:p>
          <w:p w:rsidR="00B7689D" w:rsidRPr="00506D52" w:rsidRDefault="00B7689D" w:rsidP="005F3BDE">
            <w:pPr>
              <w:rPr>
                <w:sz w:val="20"/>
                <w:szCs w:val="20"/>
              </w:rPr>
            </w:pPr>
            <w:r w:rsidRPr="00506D52">
              <w:rPr>
                <w:sz w:val="20"/>
                <w:szCs w:val="20"/>
              </w:rPr>
              <w:t>Členské štáty zohľadnia informácie uvedené v tomto odseku vo svojich správach predkladaných Komisii podľa článku 17a smernice 89/391/EHS.“</w:t>
            </w:r>
          </w:p>
          <w:p w:rsidR="00B7689D" w:rsidRPr="00506D52" w:rsidRDefault="00B7689D" w:rsidP="005F3BDE">
            <w:pPr>
              <w:autoSpaceDE w:val="0"/>
              <w:autoSpaceDN w:val="0"/>
              <w:spacing w:before="0"/>
              <w:rPr>
                <w:sz w:val="20"/>
                <w:szCs w:val="20"/>
              </w:rPr>
            </w:pPr>
          </w:p>
        </w:tc>
        <w:tc>
          <w:tcPr>
            <w:tcW w:w="992" w:type="dxa"/>
          </w:tcPr>
          <w:p w:rsidR="00B7689D" w:rsidRPr="00506D52" w:rsidRDefault="00B7689D" w:rsidP="003645A9">
            <w:pPr>
              <w:autoSpaceDE w:val="0"/>
              <w:autoSpaceDN w:val="0"/>
              <w:spacing w:before="0"/>
              <w:jc w:val="center"/>
              <w:rPr>
                <w:sz w:val="20"/>
                <w:szCs w:val="20"/>
              </w:rPr>
            </w:pPr>
            <w:r w:rsidRPr="00506D52">
              <w:rPr>
                <w:sz w:val="20"/>
                <w:szCs w:val="20"/>
              </w:rPr>
              <w:t>N</w:t>
            </w: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p>
          <w:p w:rsidR="00DB0DE9" w:rsidRPr="00506D52" w:rsidRDefault="00DB0DE9" w:rsidP="003645A9">
            <w:pPr>
              <w:autoSpaceDE w:val="0"/>
              <w:autoSpaceDN w:val="0"/>
              <w:spacing w:before="0"/>
              <w:jc w:val="center"/>
              <w:rPr>
                <w:sz w:val="20"/>
                <w:szCs w:val="20"/>
              </w:rPr>
            </w:pPr>
            <w:r w:rsidRPr="00506D52">
              <w:rPr>
                <w:sz w:val="20"/>
                <w:szCs w:val="20"/>
              </w:rPr>
              <w:t>N</w:t>
            </w:r>
          </w:p>
        </w:tc>
        <w:tc>
          <w:tcPr>
            <w:tcW w:w="1011" w:type="dxa"/>
          </w:tcPr>
          <w:p w:rsidR="0025274F" w:rsidRPr="00506D52" w:rsidRDefault="0025274F" w:rsidP="0025274F">
            <w:pPr>
              <w:autoSpaceDE w:val="0"/>
              <w:autoSpaceDN w:val="0"/>
              <w:spacing w:before="0"/>
              <w:jc w:val="center"/>
              <w:rPr>
                <w:sz w:val="20"/>
                <w:szCs w:val="20"/>
              </w:rPr>
            </w:pPr>
            <w:r w:rsidRPr="00506D52">
              <w:rPr>
                <w:sz w:val="20"/>
                <w:szCs w:val="20"/>
              </w:rPr>
              <w:t>NV SR č. 356/2006 Z. z.</w:t>
            </w:r>
          </w:p>
          <w:p w:rsidR="00B7689D" w:rsidRPr="00506D52" w:rsidRDefault="00B7689D" w:rsidP="00B7689D">
            <w:pPr>
              <w:autoSpaceDE w:val="0"/>
              <w:autoSpaceDN w:val="0"/>
              <w:spacing w:before="0"/>
              <w:jc w:val="center"/>
              <w:rPr>
                <w:sz w:val="20"/>
                <w:szCs w:val="20"/>
              </w:rPr>
            </w:pPr>
            <w:r w:rsidRPr="00506D52">
              <w:rPr>
                <w:sz w:val="20"/>
                <w:szCs w:val="20"/>
              </w:rPr>
              <w:t xml:space="preserve"> </w:t>
            </w:r>
          </w:p>
          <w:p w:rsidR="00B7689D" w:rsidRPr="00506D52" w:rsidRDefault="00B7689D"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p>
          <w:p w:rsidR="00DB0DE9" w:rsidRPr="00506D52" w:rsidRDefault="00DB0DE9" w:rsidP="00B7689D">
            <w:pPr>
              <w:autoSpaceDE w:val="0"/>
              <w:autoSpaceDN w:val="0"/>
              <w:spacing w:before="0"/>
              <w:jc w:val="center"/>
              <w:rPr>
                <w:sz w:val="20"/>
                <w:szCs w:val="20"/>
              </w:rPr>
            </w:pPr>
            <w:r w:rsidRPr="00506D52">
              <w:rPr>
                <w:sz w:val="20"/>
                <w:szCs w:val="20"/>
              </w:rPr>
              <w:t>N</w:t>
            </w:r>
            <w:r w:rsidR="00B7689D" w:rsidRPr="00506D52">
              <w:rPr>
                <w:sz w:val="20"/>
                <w:szCs w:val="20"/>
              </w:rPr>
              <w:t>ávrh</w:t>
            </w:r>
          </w:p>
          <w:p w:rsidR="00B7689D" w:rsidRPr="00506D52" w:rsidRDefault="00B7689D" w:rsidP="00B7689D">
            <w:pPr>
              <w:autoSpaceDE w:val="0"/>
              <w:autoSpaceDN w:val="0"/>
              <w:spacing w:before="0"/>
              <w:jc w:val="center"/>
              <w:rPr>
                <w:sz w:val="20"/>
                <w:szCs w:val="20"/>
              </w:rPr>
            </w:pPr>
            <w:r w:rsidRPr="00506D52">
              <w:rPr>
                <w:sz w:val="20"/>
                <w:szCs w:val="20"/>
              </w:rPr>
              <w:t xml:space="preserve"> NV SR</w:t>
            </w:r>
          </w:p>
          <w:p w:rsidR="00B7689D" w:rsidRPr="00506D52" w:rsidRDefault="00B7689D"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p>
          <w:p w:rsidR="0025274F" w:rsidRPr="00506D52" w:rsidRDefault="0025274F"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p>
          <w:p w:rsidR="00B7689D" w:rsidRPr="00506D52" w:rsidRDefault="00B7689D" w:rsidP="00B7689D">
            <w:pPr>
              <w:autoSpaceDE w:val="0"/>
              <w:autoSpaceDN w:val="0"/>
              <w:spacing w:before="0"/>
              <w:jc w:val="center"/>
              <w:rPr>
                <w:sz w:val="20"/>
                <w:szCs w:val="20"/>
              </w:rPr>
            </w:pPr>
            <w:r w:rsidRPr="00506D52">
              <w:rPr>
                <w:sz w:val="20"/>
                <w:szCs w:val="20"/>
              </w:rPr>
              <w:t>NV SR č. 356/2006 Z.</w:t>
            </w:r>
            <w:r w:rsidR="00DF03EA" w:rsidRPr="00506D52">
              <w:rPr>
                <w:sz w:val="20"/>
                <w:szCs w:val="20"/>
              </w:rPr>
              <w:t xml:space="preserve"> </w:t>
            </w:r>
            <w:r w:rsidRPr="00506D52">
              <w:rPr>
                <w:sz w:val="20"/>
                <w:szCs w:val="20"/>
              </w:rPr>
              <w:t>z.</w:t>
            </w:r>
          </w:p>
          <w:p w:rsidR="00B7689D" w:rsidRPr="00506D52" w:rsidRDefault="00B7689D" w:rsidP="00B7689D">
            <w:pPr>
              <w:autoSpaceDE w:val="0"/>
              <w:autoSpaceDN w:val="0"/>
              <w:spacing w:before="0"/>
              <w:jc w:val="center"/>
              <w:rPr>
                <w:sz w:val="20"/>
                <w:szCs w:val="20"/>
              </w:rPr>
            </w:pPr>
          </w:p>
          <w:p w:rsidR="00DE00A4" w:rsidRPr="00506D52" w:rsidRDefault="00DE00A4" w:rsidP="00DE00A4">
            <w:pPr>
              <w:autoSpaceDE w:val="0"/>
              <w:autoSpaceDN w:val="0"/>
              <w:spacing w:before="0"/>
              <w:jc w:val="center"/>
              <w:rPr>
                <w:sz w:val="20"/>
                <w:szCs w:val="20"/>
              </w:rPr>
            </w:pPr>
            <w:r w:rsidRPr="00506D52">
              <w:rPr>
                <w:sz w:val="20"/>
                <w:szCs w:val="20"/>
              </w:rPr>
              <w:t xml:space="preserve">Návrh </w:t>
            </w:r>
          </w:p>
          <w:p w:rsidR="00B7689D" w:rsidRPr="00506D52" w:rsidRDefault="00DE00A4" w:rsidP="00DE00A4">
            <w:pPr>
              <w:autoSpaceDE w:val="0"/>
              <w:autoSpaceDN w:val="0"/>
              <w:spacing w:before="0"/>
              <w:jc w:val="center"/>
              <w:rPr>
                <w:sz w:val="20"/>
                <w:szCs w:val="20"/>
              </w:rPr>
            </w:pPr>
            <w:r w:rsidRPr="00506D52">
              <w:rPr>
                <w:sz w:val="20"/>
                <w:szCs w:val="20"/>
              </w:rPr>
              <w:t>NV SR</w:t>
            </w:r>
          </w:p>
          <w:p w:rsidR="0025274F" w:rsidRPr="00506D52" w:rsidRDefault="0025274F" w:rsidP="00B7689D">
            <w:pPr>
              <w:autoSpaceDE w:val="0"/>
              <w:autoSpaceDN w:val="0"/>
              <w:spacing w:before="0"/>
              <w:jc w:val="center"/>
              <w:rPr>
                <w:sz w:val="20"/>
                <w:szCs w:val="20"/>
              </w:rPr>
            </w:pPr>
          </w:p>
          <w:p w:rsidR="00DE00A4" w:rsidRPr="00506D52" w:rsidRDefault="00DE00A4" w:rsidP="00B7689D">
            <w:pPr>
              <w:autoSpaceDE w:val="0"/>
              <w:autoSpaceDN w:val="0"/>
              <w:spacing w:before="0"/>
              <w:jc w:val="center"/>
              <w:rPr>
                <w:sz w:val="20"/>
                <w:szCs w:val="20"/>
              </w:rPr>
            </w:pPr>
          </w:p>
          <w:p w:rsidR="00DE00A4" w:rsidRPr="00506D52" w:rsidRDefault="00DE00A4" w:rsidP="00B7689D">
            <w:pPr>
              <w:autoSpaceDE w:val="0"/>
              <w:autoSpaceDN w:val="0"/>
              <w:spacing w:before="0"/>
              <w:jc w:val="center"/>
              <w:rPr>
                <w:sz w:val="20"/>
                <w:szCs w:val="20"/>
              </w:rPr>
            </w:pPr>
          </w:p>
          <w:p w:rsidR="00DB0DE9" w:rsidRPr="00506D52" w:rsidRDefault="0025274F" w:rsidP="00B7689D">
            <w:pPr>
              <w:autoSpaceDE w:val="0"/>
              <w:autoSpaceDN w:val="0"/>
              <w:spacing w:before="0"/>
              <w:jc w:val="center"/>
              <w:rPr>
                <w:sz w:val="20"/>
                <w:szCs w:val="20"/>
              </w:rPr>
            </w:pPr>
            <w:r w:rsidRPr="00506D52">
              <w:rPr>
                <w:sz w:val="20"/>
                <w:szCs w:val="20"/>
              </w:rPr>
              <w:t>N</w:t>
            </w:r>
            <w:r w:rsidR="00B7689D" w:rsidRPr="00506D52">
              <w:rPr>
                <w:sz w:val="20"/>
                <w:szCs w:val="20"/>
              </w:rPr>
              <w:t xml:space="preserve">ávrh </w:t>
            </w:r>
          </w:p>
          <w:p w:rsidR="00B7689D" w:rsidRPr="00506D52" w:rsidRDefault="00B7689D" w:rsidP="00B7689D">
            <w:pPr>
              <w:autoSpaceDE w:val="0"/>
              <w:autoSpaceDN w:val="0"/>
              <w:spacing w:before="0"/>
              <w:jc w:val="center"/>
              <w:rPr>
                <w:sz w:val="20"/>
                <w:szCs w:val="20"/>
              </w:rPr>
            </w:pPr>
            <w:r w:rsidRPr="00506D52">
              <w:rPr>
                <w:sz w:val="20"/>
                <w:szCs w:val="20"/>
              </w:rPr>
              <w:t>NV SR</w:t>
            </w:r>
          </w:p>
          <w:p w:rsidR="00B7689D" w:rsidRPr="00506D52" w:rsidRDefault="00B7689D" w:rsidP="00B7689D">
            <w:pPr>
              <w:autoSpaceDE w:val="0"/>
              <w:autoSpaceDN w:val="0"/>
              <w:spacing w:before="0"/>
              <w:jc w:val="center"/>
              <w:rPr>
                <w:sz w:val="20"/>
                <w:szCs w:val="20"/>
              </w:rPr>
            </w:pPr>
          </w:p>
        </w:tc>
        <w:tc>
          <w:tcPr>
            <w:tcW w:w="832" w:type="dxa"/>
          </w:tcPr>
          <w:p w:rsidR="00B7689D" w:rsidRPr="00506D52" w:rsidRDefault="00B7689D" w:rsidP="00B7689D">
            <w:pPr>
              <w:pStyle w:val="Normlny0"/>
              <w:jc w:val="center"/>
            </w:pPr>
            <w:r w:rsidRPr="00506D52">
              <w:t>Č:</w:t>
            </w:r>
            <w:r w:rsidR="00A91027" w:rsidRPr="00506D52">
              <w:t xml:space="preserve"> </w:t>
            </w:r>
            <w:r w:rsidRPr="00506D52">
              <w:t>I</w:t>
            </w:r>
          </w:p>
          <w:p w:rsidR="00B7689D" w:rsidRPr="00506D52" w:rsidRDefault="00B7689D" w:rsidP="00B7689D">
            <w:pPr>
              <w:pStyle w:val="Normlny0"/>
              <w:jc w:val="center"/>
            </w:pPr>
            <w:r w:rsidRPr="00506D52">
              <w:t>§ 13</w:t>
            </w:r>
          </w:p>
          <w:p w:rsidR="00B7689D" w:rsidRPr="00506D52" w:rsidRDefault="00B7689D" w:rsidP="00B7689D">
            <w:pPr>
              <w:pStyle w:val="Normlny0"/>
              <w:jc w:val="center"/>
            </w:pPr>
            <w:r w:rsidRPr="00506D52">
              <w:t>O:1</w:t>
            </w: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25274F" w:rsidRPr="00506D52" w:rsidRDefault="0025274F" w:rsidP="00B7689D">
            <w:pPr>
              <w:pStyle w:val="Normlny0"/>
              <w:jc w:val="center"/>
            </w:pPr>
          </w:p>
          <w:p w:rsidR="00B7689D" w:rsidRPr="00506D52" w:rsidRDefault="00B7689D" w:rsidP="00B7689D">
            <w:pPr>
              <w:pStyle w:val="Normlny0"/>
              <w:jc w:val="center"/>
            </w:pPr>
            <w:r w:rsidRPr="00506D52">
              <w:t>O:11</w:t>
            </w: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B7689D" w:rsidRPr="00506D52" w:rsidRDefault="00B7689D" w:rsidP="00B7689D">
            <w:pPr>
              <w:pStyle w:val="Normlny0"/>
              <w:jc w:val="center"/>
            </w:pPr>
          </w:p>
          <w:p w:rsidR="00DE00A4" w:rsidRPr="00506D52" w:rsidRDefault="00DE00A4" w:rsidP="00B7689D">
            <w:pPr>
              <w:pStyle w:val="Normlny0"/>
              <w:jc w:val="center"/>
            </w:pPr>
          </w:p>
          <w:p w:rsidR="00DE00A4" w:rsidRPr="00506D52" w:rsidRDefault="00DE00A4" w:rsidP="00B7689D">
            <w:pPr>
              <w:pStyle w:val="Normlny0"/>
              <w:jc w:val="center"/>
            </w:pPr>
          </w:p>
          <w:p w:rsidR="00DE00A4" w:rsidRPr="00506D52" w:rsidRDefault="00DE00A4" w:rsidP="00B7689D">
            <w:pPr>
              <w:pStyle w:val="Normlny0"/>
              <w:jc w:val="center"/>
            </w:pPr>
          </w:p>
          <w:p w:rsidR="0025274F" w:rsidRPr="00506D52" w:rsidRDefault="0025274F" w:rsidP="00B7689D">
            <w:pPr>
              <w:pStyle w:val="Normlny0"/>
              <w:jc w:val="center"/>
            </w:pPr>
          </w:p>
          <w:p w:rsidR="00B7689D" w:rsidRPr="00506D52" w:rsidRDefault="00B7689D" w:rsidP="00B7689D">
            <w:pPr>
              <w:pStyle w:val="Normlny0"/>
              <w:jc w:val="center"/>
            </w:pPr>
            <w:r w:rsidRPr="00506D52">
              <w:t>O:12</w:t>
            </w:r>
          </w:p>
          <w:p w:rsidR="00B7689D" w:rsidRPr="00506D52" w:rsidRDefault="00B7689D" w:rsidP="00B7689D">
            <w:pPr>
              <w:pStyle w:val="Normlny0"/>
              <w:jc w:val="center"/>
            </w:pPr>
          </w:p>
        </w:tc>
        <w:tc>
          <w:tcPr>
            <w:tcW w:w="5103" w:type="dxa"/>
          </w:tcPr>
          <w:p w:rsidR="00B7689D" w:rsidRPr="00506D52" w:rsidRDefault="0025274F" w:rsidP="0025274F">
            <w:pPr>
              <w:suppressAutoHyphens/>
              <w:autoSpaceDE w:val="0"/>
              <w:autoSpaceDN w:val="0"/>
              <w:spacing w:before="0"/>
              <w:ind w:left="98"/>
              <w:rPr>
                <w:sz w:val="20"/>
                <w:szCs w:val="20"/>
              </w:rPr>
            </w:pPr>
            <w:r w:rsidRPr="00506D52">
              <w:rPr>
                <w:sz w:val="20"/>
                <w:szCs w:val="20"/>
              </w:rPr>
              <w:t xml:space="preserve">  „(1) </w:t>
            </w:r>
            <w:r w:rsidR="00B7689D" w:rsidRPr="00506D52">
              <w:rPr>
                <w:sz w:val="20"/>
                <w:szCs w:val="20"/>
              </w:rPr>
              <w:t>Zamestnávateľ je povinný zabezpečiť primeraný zdravotný dohľad pre zamestnancov pri práci, pri ktorej dochádza k expozícii karcinogénom a lebo mutagénnom, ak na základe posúdenia rizík podľa § 3 zistí špecifické riziko pre zdravie a bezpečnosť; súčasťou zdravotného dohľadu sú cielené lekárske preventívne prehliadky vo vzťahu k práci.</w:t>
            </w:r>
            <w:r w:rsidRPr="00506D52">
              <w:rPr>
                <w:sz w:val="20"/>
                <w:szCs w:val="20"/>
              </w:rPr>
              <w:t xml:space="preserve"> </w:t>
            </w:r>
            <w:r w:rsidR="00B7689D" w:rsidRPr="00506D52">
              <w:rPr>
                <w:sz w:val="20"/>
                <w:szCs w:val="20"/>
              </w:rPr>
              <w:t xml:space="preserve">Zdravotný dohľad zabezpečením lekárskych preventívnych prehliadok vo vzťahu k práci pokračuje aj po ukončení expozície zamestnanca karcinogénom alebo mutagénnom z dôvodu neskorých následkov na zdravie, ak to zamestnávateľovi nariadi orgán verejného zdravotníctva alebo navrhne lekár </w:t>
            </w:r>
            <w:r w:rsidR="00717AD9" w:rsidRPr="00506D52">
              <w:rPr>
                <w:sz w:val="20"/>
                <w:szCs w:val="20"/>
              </w:rPr>
              <w:t>vykonávajúci zdravotný dohľad</w:t>
            </w:r>
            <w:r w:rsidR="00B7689D" w:rsidRPr="00506D52">
              <w:rPr>
                <w:sz w:val="20"/>
                <w:szCs w:val="20"/>
              </w:rPr>
              <w:t xml:space="preserve">.“.  </w:t>
            </w:r>
          </w:p>
          <w:p w:rsidR="00B7689D" w:rsidRPr="00506D52" w:rsidRDefault="00B7689D" w:rsidP="0025274F">
            <w:pPr>
              <w:tabs>
                <w:tab w:val="num" w:pos="426"/>
              </w:tabs>
              <w:suppressAutoHyphens/>
              <w:autoSpaceDE w:val="0"/>
              <w:autoSpaceDN w:val="0"/>
              <w:spacing w:before="0"/>
              <w:ind w:left="98"/>
              <w:rPr>
                <w:sz w:val="20"/>
                <w:szCs w:val="20"/>
              </w:rPr>
            </w:pPr>
          </w:p>
          <w:p w:rsidR="0025274F" w:rsidRPr="00506D52" w:rsidRDefault="0025274F" w:rsidP="0025274F">
            <w:pPr>
              <w:tabs>
                <w:tab w:val="num" w:pos="426"/>
              </w:tabs>
              <w:suppressAutoHyphens/>
              <w:autoSpaceDE w:val="0"/>
              <w:autoSpaceDN w:val="0"/>
              <w:spacing w:before="0"/>
              <w:ind w:left="98"/>
              <w:rPr>
                <w:sz w:val="20"/>
                <w:szCs w:val="20"/>
              </w:rPr>
            </w:pPr>
          </w:p>
          <w:p w:rsidR="00B7689D" w:rsidRPr="00506D52" w:rsidRDefault="0025274F" w:rsidP="0025274F">
            <w:pPr>
              <w:tabs>
                <w:tab w:val="num" w:pos="426"/>
              </w:tabs>
              <w:suppressAutoHyphens/>
              <w:autoSpaceDE w:val="0"/>
              <w:autoSpaceDN w:val="0"/>
              <w:spacing w:before="0"/>
              <w:ind w:left="98"/>
              <w:rPr>
                <w:sz w:val="20"/>
                <w:szCs w:val="20"/>
              </w:rPr>
            </w:pPr>
            <w:r w:rsidRPr="00506D52">
              <w:rPr>
                <w:sz w:val="20"/>
                <w:szCs w:val="20"/>
              </w:rPr>
              <w:t xml:space="preserve">  </w:t>
            </w:r>
            <w:r w:rsidR="00B7689D" w:rsidRPr="00506D52">
              <w:rPr>
                <w:sz w:val="20"/>
                <w:szCs w:val="20"/>
              </w:rPr>
              <w:t>(11) Ochorenia na rakovinu u zamestnancov, ktoré sa zistili ako dôsledok expozície karcinogénom alebo mutagénnom pri práci sa oznamujú príslušnému orgánu verejného zdravotníctva.</w:t>
            </w:r>
            <w:r w:rsidRPr="00506D52">
              <w:rPr>
                <w:sz w:val="20"/>
                <w:szCs w:val="20"/>
                <w:vertAlign w:val="superscript"/>
              </w:rPr>
              <w:t>16</w:t>
            </w:r>
            <w:r w:rsidRPr="00506D52">
              <w:rPr>
                <w:sz w:val="20"/>
                <w:szCs w:val="20"/>
              </w:rPr>
              <w:t>)</w:t>
            </w:r>
          </w:p>
          <w:p w:rsidR="0025274F" w:rsidRPr="00506D52" w:rsidRDefault="0025274F" w:rsidP="0025274F">
            <w:pPr>
              <w:tabs>
                <w:tab w:val="num" w:pos="426"/>
              </w:tabs>
              <w:suppressAutoHyphens/>
              <w:autoSpaceDE w:val="0"/>
              <w:autoSpaceDN w:val="0"/>
              <w:spacing w:before="0"/>
              <w:rPr>
                <w:sz w:val="20"/>
                <w:szCs w:val="20"/>
              </w:rPr>
            </w:pPr>
            <w:r w:rsidRPr="00506D52">
              <w:t xml:space="preserve">  </w:t>
            </w:r>
            <w:r w:rsidRPr="00506D52">
              <w:rPr>
                <w:sz w:val="20"/>
                <w:szCs w:val="20"/>
              </w:rPr>
              <w:t>Poznámka pod čiarou k odkazu 16 znie:</w:t>
            </w:r>
          </w:p>
          <w:p w:rsidR="0025274F" w:rsidRPr="00506D52" w:rsidRDefault="0025274F" w:rsidP="0025274F">
            <w:pPr>
              <w:tabs>
                <w:tab w:val="num" w:pos="426"/>
              </w:tabs>
              <w:suppressAutoHyphens/>
              <w:autoSpaceDE w:val="0"/>
              <w:autoSpaceDN w:val="0"/>
              <w:spacing w:before="0"/>
              <w:ind w:left="98"/>
              <w:rPr>
                <w:sz w:val="20"/>
                <w:szCs w:val="20"/>
              </w:rPr>
            </w:pPr>
            <w:r w:rsidRPr="00506D52">
              <w:rPr>
                <w:sz w:val="20"/>
                <w:szCs w:val="20"/>
              </w:rPr>
              <w:t>„</w:t>
            </w:r>
            <w:r w:rsidRPr="00506D52">
              <w:rPr>
                <w:sz w:val="20"/>
                <w:szCs w:val="20"/>
                <w:vertAlign w:val="superscript"/>
              </w:rPr>
              <w:t>16</w:t>
            </w:r>
            <w:r w:rsidRPr="00506D52">
              <w:rPr>
                <w:sz w:val="20"/>
                <w:szCs w:val="20"/>
              </w:rPr>
              <w:t>) § 31a ods. 12 písm. c)  a § 31b ods. 1 písm. d) zákona č. 355/2007 Z. z.“.</w:t>
            </w:r>
          </w:p>
          <w:p w:rsidR="00DE00A4" w:rsidRPr="00506D52" w:rsidRDefault="00DE00A4" w:rsidP="0025274F">
            <w:pPr>
              <w:suppressAutoHyphens/>
              <w:ind w:left="98"/>
              <w:rPr>
                <w:sz w:val="20"/>
                <w:szCs w:val="20"/>
              </w:rPr>
            </w:pPr>
          </w:p>
          <w:p w:rsidR="00B7689D" w:rsidRPr="00506D52" w:rsidRDefault="00B7689D" w:rsidP="0025274F">
            <w:pPr>
              <w:suppressAutoHyphens/>
              <w:ind w:left="98"/>
              <w:rPr>
                <w:sz w:val="20"/>
                <w:szCs w:val="20"/>
              </w:rPr>
            </w:pPr>
            <w:r w:rsidRPr="00506D52">
              <w:rPr>
                <w:sz w:val="20"/>
                <w:szCs w:val="20"/>
              </w:rPr>
              <w:t xml:space="preserve"> „(12) Informácie podľa odseku 11 sú súčasťou správ pre Európsku komisiu podľa osobitných predpisov.</w:t>
            </w:r>
            <w:r w:rsidRPr="00506D52">
              <w:rPr>
                <w:sz w:val="20"/>
                <w:szCs w:val="20"/>
                <w:vertAlign w:val="superscript"/>
              </w:rPr>
              <w:t>12a</w:t>
            </w:r>
            <w:r w:rsidRPr="00506D52">
              <w:rPr>
                <w:sz w:val="20"/>
                <w:szCs w:val="20"/>
              </w:rPr>
              <w:t>)“.</w:t>
            </w:r>
          </w:p>
          <w:p w:rsidR="00B7689D" w:rsidRPr="00506D52" w:rsidRDefault="00B7689D" w:rsidP="0025274F">
            <w:pPr>
              <w:tabs>
                <w:tab w:val="num" w:pos="426"/>
              </w:tabs>
              <w:suppressAutoHyphens/>
              <w:ind w:left="98"/>
              <w:rPr>
                <w:sz w:val="20"/>
                <w:szCs w:val="20"/>
              </w:rPr>
            </w:pPr>
            <w:r w:rsidRPr="00506D52">
              <w:rPr>
                <w:sz w:val="20"/>
                <w:szCs w:val="20"/>
              </w:rPr>
              <w:t>Poznámka pod čiarou k odkazu 12a znie:</w:t>
            </w:r>
          </w:p>
          <w:p w:rsidR="00B7689D" w:rsidRPr="00506D52" w:rsidRDefault="00B7689D" w:rsidP="0025274F">
            <w:pPr>
              <w:tabs>
                <w:tab w:val="num" w:pos="426"/>
              </w:tabs>
              <w:suppressAutoHyphens/>
              <w:ind w:left="98"/>
              <w:rPr>
                <w:sz w:val="20"/>
                <w:szCs w:val="20"/>
              </w:rPr>
            </w:pPr>
            <w:r w:rsidRPr="00506D52">
              <w:rPr>
                <w:sz w:val="20"/>
                <w:szCs w:val="20"/>
              </w:rPr>
              <w:t>„</w:t>
            </w:r>
            <w:r w:rsidRPr="00506D52">
              <w:rPr>
                <w:sz w:val="20"/>
                <w:szCs w:val="20"/>
                <w:vertAlign w:val="superscript"/>
              </w:rPr>
              <w:t>12a</w:t>
            </w:r>
            <w:r w:rsidRPr="00506D52">
              <w:rPr>
                <w:sz w:val="20"/>
                <w:szCs w:val="20"/>
              </w:rPr>
              <w:t>) § 5 ods. 4 písm. ai) ôsm</w:t>
            </w:r>
            <w:r w:rsidR="0025274F" w:rsidRPr="00506D52">
              <w:rPr>
                <w:sz w:val="20"/>
                <w:szCs w:val="20"/>
              </w:rPr>
              <w:t>y</w:t>
            </w:r>
            <w:r w:rsidRPr="00506D52">
              <w:rPr>
                <w:sz w:val="20"/>
                <w:szCs w:val="20"/>
              </w:rPr>
              <w:t xml:space="preserve"> bod zákona č. 355/2007 Z. z.</w:t>
            </w:r>
          </w:p>
          <w:p w:rsidR="00B7689D" w:rsidRPr="00506D52" w:rsidRDefault="00B7689D" w:rsidP="0025274F">
            <w:pPr>
              <w:tabs>
                <w:tab w:val="num" w:pos="426"/>
              </w:tabs>
              <w:suppressAutoHyphens/>
              <w:ind w:left="98"/>
              <w:rPr>
                <w:sz w:val="20"/>
                <w:szCs w:val="20"/>
              </w:rPr>
            </w:pPr>
            <w:r w:rsidRPr="00506D52">
              <w:rPr>
                <w:sz w:val="20"/>
                <w:szCs w:val="20"/>
              </w:rPr>
              <w:t>§ 4 písm. j) zákona č. 125/2006 Z. z. o inšpekcii práce a o zmene a doplnení zákona č. 82/2005 Z. z. o nelegálnej práci a nelegálnom zamestnávaní a o zmene a doplnení niektorých zákonov v znení neskorších predpisov.“.</w:t>
            </w:r>
          </w:p>
          <w:p w:rsidR="00B7689D" w:rsidRPr="00506D52" w:rsidRDefault="00B7689D" w:rsidP="0025274F">
            <w:pPr>
              <w:tabs>
                <w:tab w:val="num" w:pos="426"/>
              </w:tabs>
              <w:suppressAutoHyphens/>
              <w:autoSpaceDE w:val="0"/>
              <w:autoSpaceDN w:val="0"/>
              <w:spacing w:before="0"/>
              <w:ind w:left="98"/>
            </w:pPr>
          </w:p>
        </w:tc>
        <w:tc>
          <w:tcPr>
            <w:tcW w:w="992" w:type="dxa"/>
          </w:tcPr>
          <w:p w:rsidR="00B7689D" w:rsidRPr="00506D52" w:rsidRDefault="000C4F12" w:rsidP="004D479F">
            <w:pPr>
              <w:autoSpaceDE w:val="0"/>
              <w:autoSpaceDN w:val="0"/>
              <w:spacing w:before="0"/>
              <w:jc w:val="center"/>
            </w:pPr>
            <w:r w:rsidRPr="00506D52">
              <w:rPr>
                <w:sz w:val="20"/>
                <w:szCs w:val="20"/>
              </w:rPr>
              <w:t>Ú</w:t>
            </w: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pPr>
              <w:autoSpaceDE w:val="0"/>
              <w:autoSpaceDN w:val="0"/>
              <w:spacing w:before="0"/>
              <w:jc w:val="center"/>
              <w:rPr>
                <w:sz w:val="20"/>
                <w:szCs w:val="20"/>
              </w:rPr>
            </w:pPr>
            <w:r w:rsidRPr="00506D52">
              <w:rPr>
                <w:sz w:val="20"/>
                <w:szCs w:val="20"/>
              </w:rPr>
              <w:t>O:3</w:t>
            </w:r>
          </w:p>
          <w:p w:rsidR="00B7689D" w:rsidRPr="00506D52" w:rsidRDefault="00B7689D">
            <w:pPr>
              <w:autoSpaceDE w:val="0"/>
              <w:autoSpaceDN w:val="0"/>
              <w:spacing w:before="0"/>
              <w:jc w:val="center"/>
              <w:rPr>
                <w:sz w:val="20"/>
                <w:szCs w:val="20"/>
              </w:rPr>
            </w:pPr>
          </w:p>
        </w:tc>
        <w:tc>
          <w:tcPr>
            <w:tcW w:w="4536" w:type="dxa"/>
          </w:tcPr>
          <w:p w:rsidR="00B7689D" w:rsidRPr="00506D52" w:rsidRDefault="00B7689D" w:rsidP="008C51F8">
            <w:pPr>
              <w:autoSpaceDE w:val="0"/>
              <w:autoSpaceDN w:val="0"/>
              <w:spacing w:before="0"/>
              <w:rPr>
                <w:sz w:val="20"/>
                <w:szCs w:val="20"/>
              </w:rPr>
            </w:pPr>
            <w:r w:rsidRPr="00506D52">
              <w:rPr>
                <w:sz w:val="20"/>
                <w:szCs w:val="20"/>
              </w:rPr>
              <w:t>Vkladá sa tento článok:</w:t>
            </w:r>
          </w:p>
          <w:p w:rsidR="00B7689D" w:rsidRPr="00506D52" w:rsidRDefault="00B7689D" w:rsidP="00777CCB">
            <w:pPr>
              <w:pStyle w:val="ti-art"/>
              <w:rPr>
                <w:sz w:val="20"/>
                <w:szCs w:val="20"/>
              </w:rPr>
            </w:pPr>
            <w:r w:rsidRPr="00506D52">
              <w:rPr>
                <w:sz w:val="20"/>
                <w:szCs w:val="20"/>
              </w:rPr>
              <w:t>„Článok 18a</w:t>
            </w:r>
          </w:p>
          <w:p w:rsidR="00B7689D" w:rsidRPr="00506D52" w:rsidRDefault="00B7689D" w:rsidP="00777CCB">
            <w:pPr>
              <w:pStyle w:val="sti-art"/>
              <w:rPr>
                <w:sz w:val="20"/>
                <w:szCs w:val="20"/>
              </w:rPr>
            </w:pPr>
            <w:r w:rsidRPr="00506D52">
              <w:rPr>
                <w:sz w:val="20"/>
                <w:szCs w:val="20"/>
              </w:rPr>
              <w:t>Hodnotenie</w:t>
            </w:r>
          </w:p>
          <w:p w:rsidR="00B7689D" w:rsidRPr="00506D52" w:rsidRDefault="00B7689D" w:rsidP="00777CCB">
            <w:pPr>
              <w:rPr>
                <w:sz w:val="20"/>
                <w:szCs w:val="20"/>
              </w:rPr>
            </w:pPr>
            <w:r w:rsidRPr="00506D52">
              <w:rPr>
                <w:sz w:val="20"/>
                <w:szCs w:val="20"/>
              </w:rPr>
              <w:t xml:space="preserve">Komisia v rámci ďalšieho hodnotenia vykonávania tejto smernice v rámci hodnotenia uvedeného v článku 17a smernice 89/391/EHS vyhodnotí aj potrebu upraviť </w:t>
            </w:r>
            <w:r w:rsidRPr="00506D52">
              <w:rPr>
                <w:sz w:val="20"/>
                <w:szCs w:val="20"/>
              </w:rPr>
              <w:lastRenderedPageBreak/>
              <w:t>limitnú hodnotu pre respirabilný prach kryštalického oxidu kremičitého. Komisia navrhne v prípade potreby potrebné zmeny a úpravy týkajúce sa uvedenej látky.</w:t>
            </w:r>
          </w:p>
          <w:p w:rsidR="00B7689D" w:rsidRPr="00506D52" w:rsidRDefault="00B7689D" w:rsidP="00777CCB">
            <w:pPr>
              <w:rPr>
                <w:sz w:val="20"/>
                <w:szCs w:val="20"/>
              </w:rPr>
            </w:pPr>
            <w:r w:rsidRPr="00506D52">
              <w:rPr>
                <w:sz w:val="20"/>
                <w:szCs w:val="20"/>
              </w:rPr>
              <w:t>Komisia po zohľadnení najnovšieho vývoja vedeckých poznatkov posúdi najneskôr v prvom štvrťroku 2019 možnosť upraviť rozsah pôsobnosti tejto smernice, aby sa do nej zahrnuli látky toxické pre reprodukciu. Na uvedenom základe Komisia v prípade potreby a po konzultácii so sociálnymi partnermi predloží legislatívny návrh.“</w:t>
            </w:r>
          </w:p>
          <w:p w:rsidR="00B7689D" w:rsidRPr="00506D52" w:rsidRDefault="00B7689D" w:rsidP="008C51F8">
            <w:pPr>
              <w:autoSpaceDE w:val="0"/>
              <w:autoSpaceDN w:val="0"/>
              <w:spacing w:before="0"/>
              <w:rPr>
                <w:sz w:val="20"/>
                <w:szCs w:val="20"/>
              </w:rPr>
            </w:pPr>
          </w:p>
        </w:tc>
        <w:tc>
          <w:tcPr>
            <w:tcW w:w="992" w:type="dxa"/>
          </w:tcPr>
          <w:p w:rsidR="00B7689D" w:rsidRPr="00506D52" w:rsidRDefault="000C4F12" w:rsidP="003645A9">
            <w:pPr>
              <w:autoSpaceDE w:val="0"/>
              <w:autoSpaceDN w:val="0"/>
              <w:spacing w:before="0"/>
              <w:jc w:val="center"/>
              <w:rPr>
                <w:sz w:val="20"/>
                <w:szCs w:val="20"/>
              </w:rPr>
            </w:pPr>
            <w:r w:rsidRPr="00506D52">
              <w:rPr>
                <w:sz w:val="20"/>
                <w:szCs w:val="20"/>
              </w:rPr>
              <w:lastRenderedPageBreak/>
              <w:t>n.a.</w:t>
            </w:r>
          </w:p>
        </w:tc>
        <w:tc>
          <w:tcPr>
            <w:tcW w:w="1011" w:type="dxa"/>
          </w:tcPr>
          <w:p w:rsidR="00B7689D" w:rsidRPr="00506D52" w:rsidRDefault="00B7689D" w:rsidP="003645A9">
            <w:pPr>
              <w:pStyle w:val="Normlny0"/>
              <w:jc w:val="center"/>
            </w:pPr>
          </w:p>
        </w:tc>
        <w:tc>
          <w:tcPr>
            <w:tcW w:w="832" w:type="dxa"/>
          </w:tcPr>
          <w:p w:rsidR="00B7689D" w:rsidRPr="00506D52" w:rsidRDefault="00B7689D" w:rsidP="003645A9">
            <w:pPr>
              <w:pStyle w:val="Normlny0"/>
              <w:jc w:val="center"/>
            </w:pPr>
          </w:p>
        </w:tc>
        <w:tc>
          <w:tcPr>
            <w:tcW w:w="5103" w:type="dxa"/>
          </w:tcPr>
          <w:p w:rsidR="00B7689D" w:rsidRPr="00506D52" w:rsidRDefault="00B7689D" w:rsidP="006305DD">
            <w:pPr>
              <w:autoSpaceDE w:val="0"/>
              <w:autoSpaceDN w:val="0"/>
              <w:spacing w:before="0"/>
              <w:ind w:firstLine="708"/>
              <w:jc w:val="left"/>
            </w:pPr>
          </w:p>
        </w:tc>
        <w:tc>
          <w:tcPr>
            <w:tcW w:w="992" w:type="dxa"/>
          </w:tcPr>
          <w:p w:rsidR="00B7689D" w:rsidRPr="00506D52" w:rsidRDefault="00B7689D" w:rsidP="004D479F">
            <w:pPr>
              <w:autoSpaceDE w:val="0"/>
              <w:autoSpaceDN w:val="0"/>
              <w:spacing w:before="0"/>
              <w:jc w:val="center"/>
            </w:pP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pPr>
              <w:autoSpaceDE w:val="0"/>
              <w:autoSpaceDN w:val="0"/>
              <w:spacing w:before="0"/>
              <w:jc w:val="center"/>
              <w:rPr>
                <w:sz w:val="20"/>
                <w:szCs w:val="20"/>
              </w:rPr>
            </w:pPr>
            <w:r w:rsidRPr="00506D52">
              <w:rPr>
                <w:sz w:val="20"/>
                <w:szCs w:val="20"/>
              </w:rPr>
              <w:t>O:4</w:t>
            </w:r>
          </w:p>
          <w:p w:rsidR="00B7689D" w:rsidRPr="00506D52" w:rsidRDefault="00B7689D" w:rsidP="00080FF9">
            <w:pPr>
              <w:autoSpaceDE w:val="0"/>
              <w:autoSpaceDN w:val="0"/>
              <w:spacing w:before="0"/>
              <w:jc w:val="center"/>
              <w:rPr>
                <w:sz w:val="20"/>
                <w:szCs w:val="20"/>
              </w:rPr>
            </w:pPr>
          </w:p>
        </w:tc>
        <w:tc>
          <w:tcPr>
            <w:tcW w:w="4536" w:type="dxa"/>
          </w:tcPr>
          <w:p w:rsidR="00B7689D" w:rsidRPr="00506D52" w:rsidRDefault="00B7689D" w:rsidP="00453C11">
            <w:pPr>
              <w:spacing w:before="0"/>
              <w:rPr>
                <w:sz w:val="20"/>
                <w:szCs w:val="20"/>
              </w:rPr>
            </w:pPr>
            <w:r w:rsidRPr="00506D52">
              <w:rPr>
                <w:sz w:val="20"/>
                <w:szCs w:val="20"/>
              </w:rPr>
              <w:t>V prílohe I sa dopĺňa tento bod:</w:t>
            </w:r>
          </w:p>
          <w:p w:rsidR="00B7689D" w:rsidRPr="00506D52" w:rsidRDefault="00B7689D" w:rsidP="00777CCB">
            <w:pPr>
              <w:rPr>
                <w:sz w:val="20"/>
                <w:szCs w:val="20"/>
              </w:rPr>
            </w:pPr>
            <w:r w:rsidRPr="00506D52">
              <w:rPr>
                <w:sz w:val="20"/>
                <w:szCs w:val="20"/>
              </w:rPr>
              <w:t>„6. Práca, pri ktorej dochádza k expozícii respirabilnému prachu kryštalického oxidu kremičitého, ktorý vznikol pracovným procesom.“</w:t>
            </w: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4304"/>
            </w:tblGrid>
            <w:tr w:rsidR="00B7689D" w:rsidRPr="00506D52">
              <w:trPr>
                <w:tblCellSpacing w:w="0" w:type="dxa"/>
              </w:trPr>
              <w:tc>
                <w:tcPr>
                  <w:tcW w:w="287" w:type="dxa"/>
                  <w:tcBorders>
                    <w:top w:val="nil"/>
                    <w:left w:val="nil"/>
                    <w:bottom w:val="nil"/>
                    <w:right w:val="nil"/>
                  </w:tcBorders>
                  <w:hideMark/>
                </w:tcPr>
                <w:p w:rsidR="00B7689D" w:rsidRPr="00506D52" w:rsidRDefault="00B7689D" w:rsidP="00777CCB"/>
              </w:tc>
              <w:tc>
                <w:tcPr>
                  <w:tcW w:w="9119" w:type="dxa"/>
                  <w:tcBorders>
                    <w:top w:val="nil"/>
                    <w:left w:val="nil"/>
                    <w:bottom w:val="nil"/>
                    <w:right w:val="nil"/>
                  </w:tcBorders>
                  <w:hideMark/>
                </w:tcPr>
                <w:p w:rsidR="00B7689D" w:rsidRPr="00506D52" w:rsidRDefault="00B7689D" w:rsidP="00777CCB"/>
              </w:tc>
            </w:tr>
          </w:tbl>
          <w:p w:rsidR="00B7689D" w:rsidRPr="00506D52" w:rsidRDefault="00B7689D" w:rsidP="008C51F8">
            <w:pPr>
              <w:autoSpaceDE w:val="0"/>
              <w:autoSpaceDN w:val="0"/>
              <w:spacing w:before="0"/>
              <w:rPr>
                <w:sz w:val="20"/>
                <w:szCs w:val="20"/>
              </w:rPr>
            </w:pPr>
          </w:p>
        </w:tc>
        <w:tc>
          <w:tcPr>
            <w:tcW w:w="992" w:type="dxa"/>
          </w:tcPr>
          <w:p w:rsidR="00B7689D" w:rsidRPr="00506D52" w:rsidRDefault="000C4F12" w:rsidP="00F3551F">
            <w:pPr>
              <w:autoSpaceDE w:val="0"/>
              <w:autoSpaceDN w:val="0"/>
              <w:spacing w:before="0"/>
              <w:jc w:val="center"/>
              <w:rPr>
                <w:sz w:val="20"/>
                <w:szCs w:val="20"/>
              </w:rPr>
            </w:pPr>
            <w:r w:rsidRPr="00506D52">
              <w:rPr>
                <w:sz w:val="20"/>
                <w:szCs w:val="20"/>
              </w:rPr>
              <w:t>N</w:t>
            </w:r>
          </w:p>
        </w:tc>
        <w:tc>
          <w:tcPr>
            <w:tcW w:w="1011" w:type="dxa"/>
          </w:tcPr>
          <w:p w:rsidR="00DB0DE9" w:rsidRPr="00506D52" w:rsidRDefault="00DB0DE9" w:rsidP="000C4F12">
            <w:pPr>
              <w:pStyle w:val="Normlny0"/>
              <w:jc w:val="center"/>
            </w:pPr>
            <w:r w:rsidRPr="00506D52">
              <w:t>N</w:t>
            </w:r>
            <w:r w:rsidR="000C4F12" w:rsidRPr="00506D52">
              <w:t>ávrh</w:t>
            </w:r>
          </w:p>
          <w:p w:rsidR="000C4F12" w:rsidRPr="00506D52" w:rsidRDefault="000C4F12" w:rsidP="000C4F12">
            <w:pPr>
              <w:pStyle w:val="Normlny0"/>
              <w:jc w:val="center"/>
            </w:pPr>
            <w:r w:rsidRPr="00506D52">
              <w:t xml:space="preserve"> NV SR </w:t>
            </w:r>
          </w:p>
          <w:p w:rsidR="00B7689D" w:rsidRPr="00506D52" w:rsidRDefault="00B7689D" w:rsidP="003645A9">
            <w:pPr>
              <w:pStyle w:val="Normlny0"/>
              <w:jc w:val="center"/>
            </w:pPr>
          </w:p>
        </w:tc>
        <w:tc>
          <w:tcPr>
            <w:tcW w:w="832" w:type="dxa"/>
          </w:tcPr>
          <w:p w:rsidR="00B7689D" w:rsidRPr="00506D52" w:rsidRDefault="000C4F12" w:rsidP="003645A9">
            <w:pPr>
              <w:pStyle w:val="Normlny0"/>
              <w:jc w:val="center"/>
            </w:pPr>
            <w:r w:rsidRPr="00506D52">
              <w:t>Príloha č. 1</w:t>
            </w:r>
          </w:p>
          <w:p w:rsidR="000C4F12" w:rsidRPr="00506D52" w:rsidRDefault="000C4F12" w:rsidP="000C4F12">
            <w:pPr>
              <w:pStyle w:val="Normlny0"/>
              <w:jc w:val="center"/>
            </w:pPr>
            <w:r w:rsidRPr="00506D52">
              <w:t>bod 7</w:t>
            </w:r>
          </w:p>
        </w:tc>
        <w:tc>
          <w:tcPr>
            <w:tcW w:w="5103" w:type="dxa"/>
          </w:tcPr>
          <w:p w:rsidR="00B7689D" w:rsidRPr="00506D52" w:rsidRDefault="000C4F12" w:rsidP="00EE6AE8">
            <w:pPr>
              <w:rPr>
                <w:sz w:val="20"/>
                <w:szCs w:val="20"/>
              </w:rPr>
            </w:pPr>
            <w:r w:rsidRPr="00506D52">
              <w:rPr>
                <w:sz w:val="20"/>
                <w:szCs w:val="20"/>
              </w:rPr>
              <w:t xml:space="preserve">„7. </w:t>
            </w:r>
            <w:r w:rsidR="00B7689D" w:rsidRPr="00506D52">
              <w:rPr>
                <w:sz w:val="20"/>
                <w:szCs w:val="20"/>
              </w:rPr>
              <w:t>Práca, pri ktorej dochádza k expozícii respirabilnému prachu kryštalického oxidu kremičitého, ktorý vznikol pracovným procesom.“</w:t>
            </w:r>
          </w:p>
          <w:p w:rsidR="00B7689D" w:rsidRPr="00506D52" w:rsidRDefault="00B7689D" w:rsidP="00B35122">
            <w:pPr>
              <w:pStyle w:val="Normlny0"/>
            </w:pPr>
          </w:p>
        </w:tc>
        <w:tc>
          <w:tcPr>
            <w:tcW w:w="992" w:type="dxa"/>
          </w:tcPr>
          <w:p w:rsidR="00B7689D" w:rsidRPr="00506D52" w:rsidRDefault="000C4F12" w:rsidP="004D479F">
            <w:pPr>
              <w:autoSpaceDE w:val="0"/>
              <w:autoSpaceDN w:val="0"/>
              <w:spacing w:before="0"/>
              <w:jc w:val="center"/>
            </w:pPr>
            <w:r w:rsidRPr="00506D52">
              <w:rPr>
                <w:sz w:val="20"/>
                <w:szCs w:val="20"/>
              </w:rPr>
              <w:t>Ú</w:t>
            </w: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pPr>
              <w:autoSpaceDE w:val="0"/>
              <w:autoSpaceDN w:val="0"/>
              <w:spacing w:before="0"/>
              <w:jc w:val="center"/>
              <w:rPr>
                <w:sz w:val="20"/>
                <w:szCs w:val="20"/>
              </w:rPr>
            </w:pPr>
            <w:r w:rsidRPr="00506D52">
              <w:rPr>
                <w:sz w:val="20"/>
                <w:szCs w:val="20"/>
              </w:rPr>
              <w:t>O:5</w:t>
            </w:r>
          </w:p>
          <w:p w:rsidR="00B7689D" w:rsidRPr="00506D52" w:rsidRDefault="00B7689D">
            <w:pPr>
              <w:autoSpaceDE w:val="0"/>
              <w:autoSpaceDN w:val="0"/>
              <w:spacing w:before="0"/>
              <w:jc w:val="center"/>
              <w:rPr>
                <w:sz w:val="20"/>
                <w:szCs w:val="20"/>
              </w:rPr>
            </w:pPr>
          </w:p>
        </w:tc>
        <w:tc>
          <w:tcPr>
            <w:tcW w:w="4536" w:type="dxa"/>
          </w:tcPr>
          <w:p w:rsidR="00B7689D" w:rsidRPr="00506D52" w:rsidRDefault="00B7689D" w:rsidP="00CD6A45">
            <w:pPr>
              <w:autoSpaceDE w:val="0"/>
              <w:autoSpaceDN w:val="0"/>
              <w:spacing w:before="0"/>
              <w:rPr>
                <w:sz w:val="20"/>
                <w:szCs w:val="20"/>
              </w:rPr>
            </w:pPr>
            <w:r w:rsidRPr="00506D52">
              <w:rPr>
                <w:sz w:val="20"/>
                <w:szCs w:val="20"/>
              </w:rPr>
              <w:t>Príloha III sa nahrádza znením, ktoré je uvedené v prílohe k tejto smernici.</w:t>
            </w:r>
          </w:p>
        </w:tc>
        <w:tc>
          <w:tcPr>
            <w:tcW w:w="992" w:type="dxa"/>
          </w:tcPr>
          <w:p w:rsidR="00B7689D" w:rsidRPr="00506D52" w:rsidRDefault="000C4F12" w:rsidP="003645A9">
            <w:pPr>
              <w:autoSpaceDE w:val="0"/>
              <w:autoSpaceDN w:val="0"/>
              <w:spacing w:before="0"/>
              <w:jc w:val="center"/>
              <w:rPr>
                <w:sz w:val="20"/>
                <w:szCs w:val="20"/>
              </w:rPr>
            </w:pPr>
            <w:r w:rsidRPr="00506D52">
              <w:rPr>
                <w:sz w:val="20"/>
                <w:szCs w:val="20"/>
              </w:rPr>
              <w:t>N</w:t>
            </w:r>
          </w:p>
        </w:tc>
        <w:tc>
          <w:tcPr>
            <w:tcW w:w="1011" w:type="dxa"/>
          </w:tcPr>
          <w:p w:rsidR="00DB0DE9" w:rsidRPr="00506D52" w:rsidRDefault="000C4F12" w:rsidP="000C4F12">
            <w:pPr>
              <w:pStyle w:val="Normlny0"/>
              <w:jc w:val="center"/>
            </w:pPr>
            <w:r w:rsidRPr="00506D52">
              <w:t xml:space="preserve">návrh </w:t>
            </w:r>
          </w:p>
          <w:p w:rsidR="000C4F12" w:rsidRPr="00506D52" w:rsidRDefault="000C4F12" w:rsidP="000C4F12">
            <w:pPr>
              <w:pStyle w:val="Normlny0"/>
              <w:jc w:val="center"/>
            </w:pPr>
            <w:r w:rsidRPr="00506D52">
              <w:t xml:space="preserve">NV SR </w:t>
            </w:r>
          </w:p>
          <w:p w:rsidR="00B7689D" w:rsidRPr="00506D52" w:rsidRDefault="00B7689D" w:rsidP="003645A9">
            <w:pPr>
              <w:pStyle w:val="Normlny0"/>
              <w:jc w:val="center"/>
            </w:pPr>
          </w:p>
        </w:tc>
        <w:tc>
          <w:tcPr>
            <w:tcW w:w="832" w:type="dxa"/>
          </w:tcPr>
          <w:p w:rsidR="000C4F12" w:rsidRPr="00506D52" w:rsidRDefault="000C4F12" w:rsidP="000C4F12">
            <w:pPr>
              <w:pStyle w:val="Normlny0"/>
              <w:jc w:val="center"/>
            </w:pPr>
            <w:r w:rsidRPr="00506D52">
              <w:t>Príloha č. 2</w:t>
            </w:r>
          </w:p>
          <w:p w:rsidR="00B7689D" w:rsidRPr="00506D52" w:rsidRDefault="00B7689D" w:rsidP="003645A9">
            <w:pPr>
              <w:pStyle w:val="Normlny0"/>
              <w:jc w:val="center"/>
            </w:pPr>
          </w:p>
        </w:tc>
        <w:tc>
          <w:tcPr>
            <w:tcW w:w="5103" w:type="dxa"/>
          </w:tcPr>
          <w:p w:rsidR="00B7689D" w:rsidRPr="00506D52" w:rsidRDefault="000C4F12" w:rsidP="004658E4">
            <w:pPr>
              <w:pStyle w:val="Normlny0"/>
            </w:pPr>
            <w:r w:rsidRPr="00506D52">
              <w:t>Viď pripojená tabuľka.</w:t>
            </w:r>
          </w:p>
        </w:tc>
        <w:tc>
          <w:tcPr>
            <w:tcW w:w="992" w:type="dxa"/>
          </w:tcPr>
          <w:p w:rsidR="00B7689D" w:rsidRPr="00506D52" w:rsidRDefault="000C4F12" w:rsidP="004D479F">
            <w:pPr>
              <w:autoSpaceDE w:val="0"/>
              <w:autoSpaceDN w:val="0"/>
              <w:spacing w:before="0"/>
              <w:jc w:val="center"/>
              <w:rPr>
                <w:sz w:val="20"/>
                <w:szCs w:val="20"/>
              </w:rPr>
            </w:pPr>
            <w:r w:rsidRPr="00506D52">
              <w:rPr>
                <w:sz w:val="20"/>
                <w:szCs w:val="20"/>
              </w:rPr>
              <w:t>Ú</w:t>
            </w: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pPr>
              <w:autoSpaceDE w:val="0"/>
              <w:autoSpaceDN w:val="0"/>
              <w:spacing w:before="0"/>
              <w:jc w:val="center"/>
              <w:rPr>
                <w:sz w:val="20"/>
                <w:szCs w:val="20"/>
              </w:rPr>
            </w:pPr>
            <w:r w:rsidRPr="00506D52">
              <w:rPr>
                <w:sz w:val="20"/>
                <w:szCs w:val="20"/>
              </w:rPr>
              <w:t>Č:2</w:t>
            </w:r>
          </w:p>
          <w:p w:rsidR="00B7689D" w:rsidRPr="00506D52" w:rsidRDefault="00B7689D" w:rsidP="00CA5412">
            <w:pPr>
              <w:autoSpaceDE w:val="0"/>
              <w:autoSpaceDN w:val="0"/>
              <w:spacing w:before="0"/>
              <w:jc w:val="center"/>
              <w:rPr>
                <w:sz w:val="20"/>
                <w:szCs w:val="20"/>
              </w:rPr>
            </w:pPr>
            <w:r w:rsidRPr="00506D52">
              <w:rPr>
                <w:sz w:val="20"/>
                <w:szCs w:val="20"/>
              </w:rPr>
              <w:t>O:1</w:t>
            </w:r>
          </w:p>
        </w:tc>
        <w:tc>
          <w:tcPr>
            <w:tcW w:w="4536" w:type="dxa"/>
          </w:tcPr>
          <w:p w:rsidR="00B7689D" w:rsidRPr="00506D52" w:rsidRDefault="00B7689D" w:rsidP="00453C11">
            <w:pPr>
              <w:spacing w:before="0"/>
              <w:rPr>
                <w:sz w:val="20"/>
                <w:szCs w:val="20"/>
              </w:rPr>
            </w:pPr>
            <w:r w:rsidRPr="00506D52">
              <w:rPr>
                <w:sz w:val="20"/>
                <w:szCs w:val="20"/>
              </w:rPr>
              <w:t xml:space="preserve">Členské štáty uvedú do účinnosti zákony, iné právne predpisy a správne opatrenia potrebné na dosiahnutie súladu s touto smernicou do 17. januára 2020. </w:t>
            </w:r>
          </w:p>
          <w:p w:rsidR="000C4F12" w:rsidRPr="00506D52" w:rsidRDefault="000C4F12" w:rsidP="00453C11">
            <w:pPr>
              <w:spacing w:before="0"/>
              <w:rPr>
                <w:sz w:val="20"/>
                <w:szCs w:val="20"/>
              </w:rPr>
            </w:pPr>
          </w:p>
          <w:p w:rsidR="00B7689D" w:rsidRPr="00506D52" w:rsidRDefault="00B7689D" w:rsidP="00453C11">
            <w:pPr>
              <w:spacing w:before="0"/>
              <w:rPr>
                <w:sz w:val="20"/>
                <w:szCs w:val="20"/>
              </w:rPr>
            </w:pPr>
            <w:r w:rsidRPr="00506D52">
              <w:rPr>
                <w:sz w:val="20"/>
                <w:szCs w:val="20"/>
              </w:rPr>
              <w:t>Komisiu bezodkladne informujú o znení uvedených opatrení.</w:t>
            </w:r>
          </w:p>
          <w:p w:rsidR="00B7689D" w:rsidRPr="00506D52" w:rsidRDefault="00B7689D" w:rsidP="00CD6A45">
            <w:pPr>
              <w:rPr>
                <w:sz w:val="20"/>
                <w:szCs w:val="20"/>
              </w:rPr>
            </w:pPr>
          </w:p>
          <w:p w:rsidR="00B7689D" w:rsidRPr="00506D52" w:rsidRDefault="00B7689D" w:rsidP="00CD6A45">
            <w:pPr>
              <w:rPr>
                <w:sz w:val="20"/>
                <w:szCs w:val="20"/>
              </w:rPr>
            </w:pPr>
          </w:p>
          <w:p w:rsidR="00B7689D" w:rsidRPr="00506D52" w:rsidRDefault="00B7689D" w:rsidP="00CD6A45">
            <w:pPr>
              <w:rPr>
                <w:sz w:val="20"/>
                <w:szCs w:val="20"/>
              </w:rPr>
            </w:pPr>
            <w:r w:rsidRPr="00506D52">
              <w:rPr>
                <w:sz w:val="20"/>
                <w:szCs w:val="20"/>
              </w:rPr>
              <w:t>Členské štáty uvedú priamo v prijatých opatreniach alebo pri ich úradnom uverejnení odkaz na túto smernicu. Podrobnosti o odkaze upravia členské štáty.</w:t>
            </w:r>
          </w:p>
          <w:p w:rsidR="00B7689D" w:rsidRPr="00506D52" w:rsidRDefault="00B7689D" w:rsidP="008C51F8">
            <w:pPr>
              <w:pStyle w:val="Zkladntext"/>
              <w:rPr>
                <w:sz w:val="20"/>
                <w:szCs w:val="20"/>
              </w:rPr>
            </w:pPr>
          </w:p>
        </w:tc>
        <w:tc>
          <w:tcPr>
            <w:tcW w:w="992" w:type="dxa"/>
          </w:tcPr>
          <w:p w:rsidR="00B7689D" w:rsidRPr="00506D52" w:rsidRDefault="00B7689D" w:rsidP="00687468">
            <w:pPr>
              <w:autoSpaceDE w:val="0"/>
              <w:autoSpaceDN w:val="0"/>
              <w:spacing w:before="0"/>
              <w:jc w:val="center"/>
              <w:rPr>
                <w:sz w:val="20"/>
                <w:szCs w:val="20"/>
              </w:rPr>
            </w:pPr>
            <w:r w:rsidRPr="00506D52">
              <w:rPr>
                <w:sz w:val="20"/>
                <w:szCs w:val="20"/>
              </w:rPr>
              <w:t>N</w:t>
            </w:r>
          </w:p>
          <w:p w:rsidR="00B7689D" w:rsidRPr="00506D52" w:rsidRDefault="00B7689D"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p>
          <w:p w:rsidR="00B7689D" w:rsidRPr="00506D52" w:rsidRDefault="000C4F12" w:rsidP="00687468">
            <w:pPr>
              <w:autoSpaceDE w:val="0"/>
              <w:autoSpaceDN w:val="0"/>
              <w:spacing w:before="0"/>
              <w:jc w:val="center"/>
              <w:rPr>
                <w:sz w:val="20"/>
                <w:szCs w:val="20"/>
              </w:rPr>
            </w:pPr>
            <w:r w:rsidRPr="00506D52">
              <w:rPr>
                <w:sz w:val="20"/>
                <w:szCs w:val="20"/>
              </w:rPr>
              <w:t>N</w:t>
            </w:r>
          </w:p>
          <w:p w:rsidR="00B7689D" w:rsidRPr="00506D52" w:rsidRDefault="00B7689D"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p>
          <w:p w:rsidR="000C4F12" w:rsidRPr="00506D52" w:rsidRDefault="000C4F12" w:rsidP="00687468">
            <w:pPr>
              <w:autoSpaceDE w:val="0"/>
              <w:autoSpaceDN w:val="0"/>
              <w:spacing w:before="0"/>
              <w:jc w:val="center"/>
              <w:rPr>
                <w:sz w:val="20"/>
                <w:szCs w:val="20"/>
              </w:rPr>
            </w:pPr>
          </w:p>
          <w:p w:rsidR="00B7689D" w:rsidRPr="00506D52" w:rsidRDefault="00B7689D" w:rsidP="00687468">
            <w:pPr>
              <w:autoSpaceDE w:val="0"/>
              <w:autoSpaceDN w:val="0"/>
              <w:spacing w:before="0"/>
              <w:jc w:val="center"/>
              <w:rPr>
                <w:sz w:val="20"/>
                <w:szCs w:val="20"/>
              </w:rPr>
            </w:pPr>
            <w:r w:rsidRPr="00506D52">
              <w:rPr>
                <w:sz w:val="20"/>
                <w:szCs w:val="20"/>
              </w:rPr>
              <w:t>N</w:t>
            </w:r>
          </w:p>
        </w:tc>
        <w:tc>
          <w:tcPr>
            <w:tcW w:w="1011" w:type="dxa"/>
          </w:tcPr>
          <w:p w:rsidR="00DB0DE9" w:rsidRPr="00506D52" w:rsidRDefault="00B7689D" w:rsidP="00394F12">
            <w:pPr>
              <w:pStyle w:val="Normlny0"/>
              <w:jc w:val="center"/>
            </w:pPr>
            <w:r w:rsidRPr="00506D52">
              <w:t xml:space="preserve">návrh </w:t>
            </w:r>
          </w:p>
          <w:p w:rsidR="00B7689D" w:rsidRPr="00506D52" w:rsidRDefault="00B7689D" w:rsidP="00394F12">
            <w:pPr>
              <w:pStyle w:val="Normlny0"/>
              <w:jc w:val="center"/>
            </w:pPr>
            <w:r w:rsidRPr="00506D52">
              <w:t xml:space="preserve">NV SR </w:t>
            </w:r>
          </w:p>
          <w:p w:rsidR="00B7689D" w:rsidRPr="00506D52" w:rsidRDefault="00B7689D" w:rsidP="00394F12">
            <w:pPr>
              <w:pStyle w:val="Normlny0"/>
              <w:jc w:val="center"/>
            </w:pPr>
          </w:p>
          <w:p w:rsidR="000C4F12" w:rsidRPr="00506D52" w:rsidRDefault="000C4F12" w:rsidP="009D653E">
            <w:pPr>
              <w:pStyle w:val="Normlny0"/>
              <w:jc w:val="center"/>
            </w:pPr>
          </w:p>
          <w:p w:rsidR="00B7689D" w:rsidRPr="00506D52" w:rsidRDefault="00B7689D" w:rsidP="009D653E">
            <w:pPr>
              <w:pStyle w:val="Normlny0"/>
              <w:jc w:val="center"/>
            </w:pPr>
            <w:r w:rsidRPr="00506D52">
              <w:t>zákon č. 575/2001 Z. z.</w:t>
            </w:r>
          </w:p>
          <w:p w:rsidR="00B7689D" w:rsidRPr="00506D52" w:rsidRDefault="00B7689D" w:rsidP="00687468">
            <w:pPr>
              <w:pStyle w:val="Normlny0"/>
              <w:jc w:val="center"/>
            </w:pPr>
          </w:p>
          <w:p w:rsidR="00B7689D" w:rsidRPr="00506D52" w:rsidRDefault="00B7689D" w:rsidP="009D653E">
            <w:pPr>
              <w:pStyle w:val="Normlny0"/>
              <w:jc w:val="center"/>
            </w:pPr>
          </w:p>
          <w:p w:rsidR="00B7689D" w:rsidRPr="00506D52" w:rsidRDefault="00B7689D" w:rsidP="009D653E">
            <w:pPr>
              <w:pStyle w:val="Normlny0"/>
              <w:jc w:val="center"/>
            </w:pPr>
          </w:p>
          <w:p w:rsidR="000C4F12" w:rsidRPr="00506D52" w:rsidRDefault="000C4F12" w:rsidP="000C4F12">
            <w:pPr>
              <w:autoSpaceDE w:val="0"/>
              <w:autoSpaceDN w:val="0"/>
              <w:spacing w:before="0"/>
              <w:jc w:val="center"/>
              <w:rPr>
                <w:sz w:val="20"/>
                <w:szCs w:val="20"/>
              </w:rPr>
            </w:pPr>
            <w:r w:rsidRPr="00506D52">
              <w:rPr>
                <w:sz w:val="20"/>
                <w:szCs w:val="20"/>
              </w:rPr>
              <w:t>NV SR č. 356/2006 Z.</w:t>
            </w:r>
            <w:r w:rsidR="00DF03EA" w:rsidRPr="00506D52">
              <w:rPr>
                <w:sz w:val="20"/>
                <w:szCs w:val="20"/>
              </w:rPr>
              <w:t xml:space="preserve"> </w:t>
            </w:r>
            <w:r w:rsidRPr="00506D52">
              <w:rPr>
                <w:sz w:val="20"/>
                <w:szCs w:val="20"/>
              </w:rPr>
              <w:t>z.</w:t>
            </w:r>
          </w:p>
          <w:p w:rsidR="000C4F12" w:rsidRPr="00506D52" w:rsidRDefault="000C4F12" w:rsidP="009D653E">
            <w:pPr>
              <w:pStyle w:val="Normlny0"/>
              <w:jc w:val="center"/>
            </w:pPr>
          </w:p>
          <w:p w:rsidR="00DB0DE9" w:rsidRPr="00506D52" w:rsidRDefault="00B7689D" w:rsidP="009D653E">
            <w:pPr>
              <w:pStyle w:val="Normlny0"/>
              <w:jc w:val="center"/>
            </w:pPr>
            <w:r w:rsidRPr="00506D52">
              <w:t xml:space="preserve">návrh </w:t>
            </w:r>
          </w:p>
          <w:p w:rsidR="00B7689D" w:rsidRPr="00506D52" w:rsidRDefault="00B7689D" w:rsidP="009D653E">
            <w:pPr>
              <w:pStyle w:val="Normlny0"/>
              <w:jc w:val="center"/>
            </w:pPr>
            <w:r w:rsidRPr="00506D52">
              <w:t xml:space="preserve">NV SR </w:t>
            </w:r>
          </w:p>
          <w:p w:rsidR="00B7689D" w:rsidRPr="00506D52" w:rsidRDefault="00B7689D" w:rsidP="00687468">
            <w:pPr>
              <w:pStyle w:val="Normlny0"/>
              <w:jc w:val="center"/>
            </w:pPr>
          </w:p>
        </w:tc>
        <w:tc>
          <w:tcPr>
            <w:tcW w:w="832" w:type="dxa"/>
          </w:tcPr>
          <w:p w:rsidR="00B7689D" w:rsidRPr="00506D52" w:rsidRDefault="00B7689D" w:rsidP="003645A9">
            <w:pPr>
              <w:pStyle w:val="Normlny0"/>
              <w:jc w:val="center"/>
            </w:pPr>
            <w:r w:rsidRPr="00506D52">
              <w:t>Č. II</w:t>
            </w:r>
          </w:p>
          <w:p w:rsidR="00B7689D" w:rsidRPr="00506D52" w:rsidRDefault="00B7689D" w:rsidP="003645A9">
            <w:pPr>
              <w:pStyle w:val="Normlny0"/>
              <w:jc w:val="center"/>
            </w:pPr>
          </w:p>
          <w:p w:rsidR="00B7689D" w:rsidRPr="00506D52" w:rsidRDefault="00B7689D" w:rsidP="003645A9">
            <w:pPr>
              <w:pStyle w:val="Normlny0"/>
              <w:jc w:val="center"/>
            </w:pPr>
          </w:p>
          <w:p w:rsidR="00B7689D" w:rsidRPr="00506D52" w:rsidRDefault="00B7689D" w:rsidP="003645A9">
            <w:pPr>
              <w:pStyle w:val="Normlny0"/>
              <w:jc w:val="center"/>
            </w:pPr>
          </w:p>
          <w:p w:rsidR="00B7689D" w:rsidRPr="00506D52" w:rsidRDefault="00B7689D" w:rsidP="003645A9">
            <w:pPr>
              <w:pStyle w:val="Normlny0"/>
              <w:jc w:val="center"/>
            </w:pPr>
            <w:r w:rsidRPr="00506D52">
              <w:t>§ 35</w:t>
            </w:r>
          </w:p>
          <w:p w:rsidR="00B7689D" w:rsidRPr="00506D52" w:rsidRDefault="00B7689D" w:rsidP="003645A9">
            <w:pPr>
              <w:pStyle w:val="Normlny0"/>
              <w:jc w:val="center"/>
            </w:pPr>
            <w:r w:rsidRPr="00506D52">
              <w:t>O:7</w:t>
            </w:r>
          </w:p>
          <w:p w:rsidR="000C4F12" w:rsidRPr="00506D52" w:rsidRDefault="000C4F12" w:rsidP="003645A9">
            <w:pPr>
              <w:pStyle w:val="Normlny0"/>
              <w:jc w:val="center"/>
            </w:pPr>
          </w:p>
          <w:p w:rsidR="000C4F12" w:rsidRPr="00506D52" w:rsidRDefault="000C4F12" w:rsidP="003645A9">
            <w:pPr>
              <w:pStyle w:val="Normlny0"/>
              <w:jc w:val="center"/>
            </w:pPr>
          </w:p>
          <w:p w:rsidR="000C4F12" w:rsidRPr="00506D52" w:rsidRDefault="000C4F12" w:rsidP="003645A9">
            <w:pPr>
              <w:pStyle w:val="Normlny0"/>
              <w:jc w:val="center"/>
            </w:pPr>
          </w:p>
          <w:p w:rsidR="000C4F12" w:rsidRPr="00506D52" w:rsidRDefault="000C4F12" w:rsidP="003645A9">
            <w:pPr>
              <w:pStyle w:val="Normlny0"/>
              <w:jc w:val="center"/>
            </w:pPr>
          </w:p>
          <w:p w:rsidR="000C4F12" w:rsidRPr="00506D52" w:rsidRDefault="000C4F12" w:rsidP="000C4F12">
            <w:pPr>
              <w:pStyle w:val="Normlny0"/>
              <w:jc w:val="center"/>
            </w:pPr>
            <w:r w:rsidRPr="00506D52">
              <w:t>§ 14</w:t>
            </w:r>
          </w:p>
          <w:p w:rsidR="000C4F12" w:rsidRPr="00506D52" w:rsidRDefault="000C4F12" w:rsidP="003645A9">
            <w:pPr>
              <w:pStyle w:val="Normlny0"/>
              <w:jc w:val="center"/>
            </w:pPr>
          </w:p>
          <w:p w:rsidR="000C4F12" w:rsidRPr="00506D52" w:rsidRDefault="000C4F12" w:rsidP="003645A9">
            <w:pPr>
              <w:pStyle w:val="Normlny0"/>
              <w:jc w:val="center"/>
            </w:pPr>
          </w:p>
          <w:p w:rsidR="000C4F12" w:rsidRPr="00506D52" w:rsidRDefault="000C4F12" w:rsidP="003645A9">
            <w:pPr>
              <w:pStyle w:val="Normlny0"/>
              <w:jc w:val="center"/>
            </w:pPr>
          </w:p>
          <w:p w:rsidR="000C4F12" w:rsidRPr="00506D52" w:rsidRDefault="000C4F12" w:rsidP="000C4F12">
            <w:pPr>
              <w:pStyle w:val="Normlny0"/>
              <w:jc w:val="center"/>
            </w:pPr>
            <w:r w:rsidRPr="00506D52">
              <w:t>Príloha č. 5</w:t>
            </w:r>
          </w:p>
          <w:p w:rsidR="000C4F12" w:rsidRPr="00506D52" w:rsidRDefault="000C4F12" w:rsidP="000C4F12">
            <w:pPr>
              <w:pStyle w:val="Normlny0"/>
              <w:jc w:val="center"/>
            </w:pPr>
            <w:r w:rsidRPr="00506D52">
              <w:t>bod 3</w:t>
            </w:r>
          </w:p>
          <w:p w:rsidR="000C4F12" w:rsidRPr="00506D52" w:rsidRDefault="000C4F12" w:rsidP="003645A9">
            <w:pPr>
              <w:pStyle w:val="Normlny0"/>
              <w:jc w:val="center"/>
            </w:pPr>
          </w:p>
        </w:tc>
        <w:tc>
          <w:tcPr>
            <w:tcW w:w="5103" w:type="dxa"/>
          </w:tcPr>
          <w:p w:rsidR="00B7689D" w:rsidRPr="00506D52" w:rsidRDefault="00B7689D" w:rsidP="009D653E">
            <w:pPr>
              <w:jc w:val="center"/>
              <w:outlineLvl w:val="0"/>
              <w:rPr>
                <w:sz w:val="20"/>
                <w:szCs w:val="20"/>
              </w:rPr>
            </w:pPr>
            <w:r w:rsidRPr="00506D52">
              <w:rPr>
                <w:sz w:val="20"/>
                <w:szCs w:val="20"/>
              </w:rPr>
              <w:t>Účinnosť</w:t>
            </w:r>
          </w:p>
          <w:p w:rsidR="00B7689D" w:rsidRPr="00506D52" w:rsidRDefault="00B7689D" w:rsidP="009D653E">
            <w:pPr>
              <w:pStyle w:val="Zkladntext"/>
              <w:rPr>
                <w:sz w:val="20"/>
                <w:szCs w:val="20"/>
              </w:rPr>
            </w:pPr>
            <w:r w:rsidRPr="00506D52">
              <w:rPr>
                <w:sz w:val="20"/>
                <w:szCs w:val="20"/>
              </w:rPr>
              <w:t xml:space="preserve">Toto nariadenie vlády nadobúda účinnosť </w:t>
            </w:r>
            <w:r w:rsidR="007E493F" w:rsidRPr="00506D52">
              <w:rPr>
                <w:sz w:val="20"/>
                <w:szCs w:val="20"/>
              </w:rPr>
              <w:t>1. mája 2019</w:t>
            </w:r>
            <w:r w:rsidRPr="00506D52">
              <w:rPr>
                <w:sz w:val="20"/>
                <w:szCs w:val="20"/>
              </w:rPr>
              <w:t>.</w:t>
            </w:r>
          </w:p>
          <w:p w:rsidR="00B7689D" w:rsidRPr="00506D52" w:rsidRDefault="00B7689D" w:rsidP="009D653E">
            <w:pPr>
              <w:pStyle w:val="Zkladntext"/>
              <w:rPr>
                <w:sz w:val="20"/>
                <w:szCs w:val="20"/>
              </w:rPr>
            </w:pPr>
          </w:p>
          <w:p w:rsidR="000C4F12" w:rsidRPr="00506D52" w:rsidRDefault="000C4F12" w:rsidP="009D653E">
            <w:pPr>
              <w:pStyle w:val="Zkladntext"/>
              <w:rPr>
                <w:sz w:val="20"/>
                <w:szCs w:val="20"/>
              </w:rPr>
            </w:pPr>
          </w:p>
          <w:p w:rsidR="00B7689D" w:rsidRPr="00506D52" w:rsidRDefault="00B7689D" w:rsidP="009D653E">
            <w:pPr>
              <w:pStyle w:val="Zkladntext"/>
              <w:rPr>
                <w:sz w:val="20"/>
                <w:szCs w:val="20"/>
              </w:rPr>
            </w:pPr>
            <w:r w:rsidRPr="00506D5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B7689D" w:rsidRPr="00506D52" w:rsidRDefault="00B7689D" w:rsidP="009D653E">
            <w:pPr>
              <w:pStyle w:val="Zkladntext"/>
              <w:rPr>
                <w:sz w:val="20"/>
                <w:szCs w:val="20"/>
              </w:rPr>
            </w:pPr>
          </w:p>
          <w:p w:rsidR="00B7689D" w:rsidRPr="00506D52" w:rsidRDefault="00B7689D" w:rsidP="00DB0DE9">
            <w:pPr>
              <w:pStyle w:val="Zkladntext"/>
              <w:jc w:val="left"/>
              <w:rPr>
                <w:sz w:val="20"/>
                <w:szCs w:val="20"/>
              </w:rPr>
            </w:pPr>
            <w:r w:rsidRPr="00506D52">
              <w:rPr>
                <w:sz w:val="20"/>
                <w:szCs w:val="20"/>
              </w:rPr>
              <w:t xml:space="preserve">Týmto nariadením vlády sa preberajú právne záväzné akty Európske únie uvedené v prílohe č. 5. </w:t>
            </w:r>
          </w:p>
          <w:p w:rsidR="000C4F12" w:rsidRPr="00506D52" w:rsidRDefault="000C4F12" w:rsidP="009D653E">
            <w:pPr>
              <w:pStyle w:val="Zkladntext"/>
              <w:ind w:left="98"/>
              <w:jc w:val="left"/>
              <w:rPr>
                <w:sz w:val="20"/>
                <w:szCs w:val="20"/>
              </w:rPr>
            </w:pPr>
          </w:p>
          <w:p w:rsidR="00DB0DE9" w:rsidRPr="00506D52" w:rsidRDefault="00DB0DE9" w:rsidP="009D653E">
            <w:pPr>
              <w:pStyle w:val="Zkladntext"/>
              <w:rPr>
                <w:sz w:val="20"/>
                <w:szCs w:val="20"/>
              </w:rPr>
            </w:pPr>
          </w:p>
          <w:p w:rsidR="00B7689D" w:rsidRPr="00506D52" w:rsidRDefault="000C4F12" w:rsidP="009D653E">
            <w:pPr>
              <w:pStyle w:val="Zkladntext"/>
              <w:rPr>
                <w:sz w:val="20"/>
                <w:szCs w:val="20"/>
              </w:rPr>
            </w:pPr>
            <w:r w:rsidRPr="00506D52">
              <w:rPr>
                <w:sz w:val="20"/>
                <w:szCs w:val="20"/>
              </w:rPr>
              <w:t>„</w:t>
            </w:r>
            <w:r w:rsidR="00B7689D" w:rsidRPr="00506D52">
              <w:rPr>
                <w:sz w:val="20"/>
                <w:szCs w:val="20"/>
              </w:rPr>
              <w:t xml:space="preserve">3. Smernica Európskeho parlamentu a Rady (EÚ) </w:t>
            </w:r>
            <w:r w:rsidR="00B7689D" w:rsidRPr="00506D52">
              <w:rPr>
                <w:caps/>
                <w:sz w:val="20"/>
                <w:szCs w:val="20"/>
              </w:rPr>
              <w:t xml:space="preserve"> 2017/2398 </w:t>
            </w:r>
            <w:r w:rsidR="00B7689D" w:rsidRPr="00506D52">
              <w:rPr>
                <w:sz w:val="20"/>
                <w:szCs w:val="20"/>
              </w:rPr>
              <w:t>z 12. decembra 2017, ktorou sa mení smernica 2004/34/ES o ochrane pracovníkov pred rizikami z vystavenia účinkom karcinogénov alebo mutagénov pri práci (Ú. v. EÚ L 345, 2</w:t>
            </w:r>
            <w:r w:rsidR="009D30E4" w:rsidRPr="00506D52">
              <w:rPr>
                <w:sz w:val="20"/>
                <w:szCs w:val="20"/>
              </w:rPr>
              <w:t>7</w:t>
            </w:r>
            <w:r w:rsidR="00B7689D" w:rsidRPr="00506D52">
              <w:rPr>
                <w:sz w:val="20"/>
                <w:szCs w:val="20"/>
              </w:rPr>
              <w:t>. 12. 2017).“.</w:t>
            </w:r>
          </w:p>
          <w:p w:rsidR="00B7689D" w:rsidRPr="00506D52" w:rsidRDefault="00B7689D" w:rsidP="009D653E">
            <w:pPr>
              <w:pStyle w:val="Zkladntext"/>
              <w:rPr>
                <w:sz w:val="20"/>
                <w:szCs w:val="20"/>
              </w:rPr>
            </w:pPr>
          </w:p>
        </w:tc>
        <w:tc>
          <w:tcPr>
            <w:tcW w:w="992" w:type="dxa"/>
          </w:tcPr>
          <w:p w:rsidR="00B7689D" w:rsidRPr="00506D52" w:rsidRDefault="000C4F12" w:rsidP="004D479F">
            <w:pPr>
              <w:autoSpaceDE w:val="0"/>
              <w:autoSpaceDN w:val="0"/>
              <w:spacing w:before="0"/>
              <w:jc w:val="center"/>
            </w:pPr>
            <w:r w:rsidRPr="00506D52">
              <w:rPr>
                <w:sz w:val="20"/>
                <w:szCs w:val="20"/>
              </w:rPr>
              <w:t>Ú</w:t>
            </w: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rsidP="00F3551F">
            <w:pPr>
              <w:autoSpaceDE w:val="0"/>
              <w:autoSpaceDN w:val="0"/>
              <w:spacing w:before="0"/>
              <w:jc w:val="center"/>
              <w:rPr>
                <w:sz w:val="20"/>
                <w:szCs w:val="20"/>
              </w:rPr>
            </w:pPr>
            <w:r w:rsidRPr="00506D52">
              <w:rPr>
                <w:sz w:val="20"/>
                <w:szCs w:val="20"/>
              </w:rPr>
              <w:t xml:space="preserve">O:2 </w:t>
            </w:r>
          </w:p>
          <w:p w:rsidR="00B7689D" w:rsidRPr="00506D52" w:rsidRDefault="00B7689D" w:rsidP="00F3551F">
            <w:pPr>
              <w:autoSpaceDE w:val="0"/>
              <w:autoSpaceDN w:val="0"/>
              <w:spacing w:before="0"/>
              <w:jc w:val="center"/>
              <w:rPr>
                <w:sz w:val="20"/>
                <w:szCs w:val="20"/>
              </w:rPr>
            </w:pPr>
          </w:p>
          <w:p w:rsidR="00B7689D" w:rsidRPr="00506D52" w:rsidRDefault="00B7689D" w:rsidP="00F3551F">
            <w:pPr>
              <w:autoSpaceDE w:val="0"/>
              <w:autoSpaceDN w:val="0"/>
              <w:spacing w:before="0"/>
              <w:jc w:val="center"/>
              <w:rPr>
                <w:sz w:val="20"/>
                <w:szCs w:val="20"/>
              </w:rPr>
            </w:pPr>
          </w:p>
          <w:p w:rsidR="00B7689D" w:rsidRPr="00506D52" w:rsidRDefault="00B7689D" w:rsidP="00F3551F">
            <w:pPr>
              <w:autoSpaceDE w:val="0"/>
              <w:autoSpaceDN w:val="0"/>
              <w:spacing w:before="0"/>
              <w:jc w:val="center"/>
              <w:rPr>
                <w:sz w:val="20"/>
                <w:szCs w:val="20"/>
              </w:rPr>
            </w:pPr>
          </w:p>
          <w:p w:rsidR="00B7689D" w:rsidRPr="00506D52" w:rsidRDefault="00B7689D" w:rsidP="00CD6A45">
            <w:pPr>
              <w:autoSpaceDE w:val="0"/>
              <w:autoSpaceDN w:val="0"/>
              <w:spacing w:before="0"/>
              <w:jc w:val="center"/>
              <w:rPr>
                <w:sz w:val="20"/>
                <w:szCs w:val="20"/>
              </w:rPr>
            </w:pPr>
          </w:p>
        </w:tc>
        <w:tc>
          <w:tcPr>
            <w:tcW w:w="4536" w:type="dxa"/>
          </w:tcPr>
          <w:p w:rsidR="00B7689D" w:rsidRPr="00506D52" w:rsidRDefault="00B7689D" w:rsidP="008C51F8">
            <w:pPr>
              <w:pStyle w:val="Zkladntext"/>
              <w:rPr>
                <w:sz w:val="20"/>
                <w:szCs w:val="20"/>
              </w:rPr>
            </w:pPr>
            <w:r w:rsidRPr="00506D52">
              <w:rPr>
                <w:sz w:val="20"/>
                <w:szCs w:val="20"/>
              </w:rPr>
              <w:lastRenderedPageBreak/>
              <w:t>Členské štáty oznámia Komisii znenie opatrení vnútroštátnych právnych predpisov, ktoré prijmú v oblasti pôsobnosti tejto smernice.</w:t>
            </w:r>
          </w:p>
        </w:tc>
        <w:tc>
          <w:tcPr>
            <w:tcW w:w="992" w:type="dxa"/>
          </w:tcPr>
          <w:p w:rsidR="00B7689D" w:rsidRPr="00506D52" w:rsidRDefault="00B7689D" w:rsidP="003645A9">
            <w:pPr>
              <w:autoSpaceDE w:val="0"/>
              <w:autoSpaceDN w:val="0"/>
              <w:spacing w:before="0"/>
              <w:jc w:val="center"/>
              <w:rPr>
                <w:sz w:val="20"/>
                <w:szCs w:val="20"/>
              </w:rPr>
            </w:pPr>
            <w:r w:rsidRPr="00506D52">
              <w:rPr>
                <w:sz w:val="20"/>
                <w:szCs w:val="20"/>
              </w:rPr>
              <w:t>N</w:t>
            </w:r>
          </w:p>
        </w:tc>
        <w:tc>
          <w:tcPr>
            <w:tcW w:w="1011" w:type="dxa"/>
          </w:tcPr>
          <w:p w:rsidR="00B7689D" w:rsidRPr="00506D52" w:rsidRDefault="00B7689D" w:rsidP="009D653E">
            <w:pPr>
              <w:pStyle w:val="Normlny0"/>
              <w:jc w:val="center"/>
            </w:pPr>
            <w:r w:rsidRPr="00506D52">
              <w:t>zákon č. 575/2001 Z. z.</w:t>
            </w:r>
          </w:p>
          <w:p w:rsidR="00B7689D" w:rsidRPr="00506D52" w:rsidRDefault="00B7689D" w:rsidP="003645A9">
            <w:pPr>
              <w:pStyle w:val="Normlny0"/>
              <w:jc w:val="center"/>
            </w:pPr>
          </w:p>
        </w:tc>
        <w:tc>
          <w:tcPr>
            <w:tcW w:w="832" w:type="dxa"/>
          </w:tcPr>
          <w:p w:rsidR="00B7689D" w:rsidRPr="00506D52" w:rsidRDefault="00B7689D" w:rsidP="009D653E">
            <w:pPr>
              <w:pStyle w:val="Normlny0"/>
              <w:jc w:val="center"/>
            </w:pPr>
            <w:r w:rsidRPr="00506D52">
              <w:lastRenderedPageBreak/>
              <w:t>§ 35</w:t>
            </w:r>
          </w:p>
          <w:p w:rsidR="00B7689D" w:rsidRPr="00506D52" w:rsidRDefault="00B7689D" w:rsidP="009D653E">
            <w:pPr>
              <w:pStyle w:val="Normlny0"/>
              <w:jc w:val="center"/>
            </w:pPr>
            <w:r w:rsidRPr="00506D52">
              <w:t>O:7</w:t>
            </w:r>
          </w:p>
        </w:tc>
        <w:tc>
          <w:tcPr>
            <w:tcW w:w="5103" w:type="dxa"/>
          </w:tcPr>
          <w:p w:rsidR="00B7689D" w:rsidRPr="00506D52" w:rsidRDefault="00B7689D" w:rsidP="00A956F6">
            <w:pPr>
              <w:autoSpaceDE w:val="0"/>
              <w:autoSpaceDN w:val="0"/>
              <w:spacing w:before="0"/>
              <w:rPr>
                <w:rFonts w:ascii="inherit" w:hAnsi="inherit"/>
                <w:sz w:val="20"/>
                <w:szCs w:val="20"/>
              </w:rPr>
            </w:pPr>
            <w:r w:rsidRPr="00506D52">
              <w:rPr>
                <w:sz w:val="20"/>
                <w:szCs w:val="20"/>
              </w:rPr>
              <w:t xml:space="preserve">Ministerstvá a ostatné ústredné orgány štátnej správy v rozsahu vymedzenej pôsobnosti plnia voči orgánom Európskej únie informačnú a oznamovaciu povinnosť, ktorá </w:t>
            </w:r>
            <w:r w:rsidRPr="00506D52">
              <w:rPr>
                <w:sz w:val="20"/>
                <w:szCs w:val="20"/>
              </w:rPr>
              <w:lastRenderedPageBreak/>
              <w:t>im vyplýva z právne záväzných aktov týchto orgánov.</w:t>
            </w:r>
          </w:p>
        </w:tc>
        <w:tc>
          <w:tcPr>
            <w:tcW w:w="992" w:type="dxa"/>
          </w:tcPr>
          <w:p w:rsidR="00B7689D" w:rsidRPr="00506D52" w:rsidRDefault="00B7689D" w:rsidP="004D479F">
            <w:pPr>
              <w:autoSpaceDE w:val="0"/>
              <w:autoSpaceDN w:val="0"/>
              <w:spacing w:before="0"/>
              <w:jc w:val="center"/>
            </w:pP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8122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rPr>
          <w:trHeight w:val="723"/>
        </w:trPr>
        <w:tc>
          <w:tcPr>
            <w:tcW w:w="1135" w:type="dxa"/>
          </w:tcPr>
          <w:p w:rsidR="00B7689D" w:rsidRPr="00506D52" w:rsidRDefault="00B7689D">
            <w:pPr>
              <w:autoSpaceDE w:val="0"/>
              <w:autoSpaceDN w:val="0"/>
              <w:spacing w:before="0"/>
              <w:jc w:val="center"/>
              <w:rPr>
                <w:sz w:val="20"/>
                <w:szCs w:val="20"/>
              </w:rPr>
            </w:pPr>
            <w:r w:rsidRPr="00506D52">
              <w:rPr>
                <w:sz w:val="20"/>
                <w:szCs w:val="20"/>
              </w:rPr>
              <w:t>Č:3</w:t>
            </w:r>
          </w:p>
          <w:p w:rsidR="00B7689D" w:rsidRPr="00506D52" w:rsidRDefault="00B7689D">
            <w:pPr>
              <w:autoSpaceDE w:val="0"/>
              <w:autoSpaceDN w:val="0"/>
              <w:spacing w:before="0"/>
              <w:jc w:val="center"/>
              <w:rPr>
                <w:sz w:val="20"/>
                <w:szCs w:val="20"/>
              </w:rPr>
            </w:pPr>
          </w:p>
          <w:p w:rsidR="00B7689D" w:rsidRPr="00506D52" w:rsidRDefault="00B7689D" w:rsidP="0069510A">
            <w:pPr>
              <w:autoSpaceDE w:val="0"/>
              <w:autoSpaceDN w:val="0"/>
              <w:spacing w:before="0"/>
              <w:rPr>
                <w:sz w:val="20"/>
                <w:szCs w:val="20"/>
              </w:rPr>
            </w:pPr>
          </w:p>
        </w:tc>
        <w:tc>
          <w:tcPr>
            <w:tcW w:w="4536" w:type="dxa"/>
          </w:tcPr>
          <w:p w:rsidR="00B7689D" w:rsidRPr="00506D52" w:rsidRDefault="00B7689D" w:rsidP="008C51F8">
            <w:pPr>
              <w:pStyle w:val="WW-Zkladntext2"/>
              <w:jc w:val="both"/>
            </w:pPr>
            <w:r w:rsidRPr="00506D52">
              <w:t>Táto smernica nadobúda účinnosť dvadsiatym dňom po jej uverejnení v </w:t>
            </w:r>
            <w:r w:rsidRPr="00506D52">
              <w:rPr>
                <w:i/>
                <w:iCs/>
              </w:rPr>
              <w:t>Úradnom vestníku Európskej únie</w:t>
            </w:r>
            <w:r w:rsidRPr="00506D52">
              <w:t>.</w:t>
            </w:r>
          </w:p>
          <w:p w:rsidR="00B7689D" w:rsidRPr="00506D52" w:rsidRDefault="00B7689D" w:rsidP="000C4F12">
            <w:pPr>
              <w:pStyle w:val="WW-Zkladntext2"/>
              <w:jc w:val="both"/>
            </w:pPr>
          </w:p>
        </w:tc>
        <w:tc>
          <w:tcPr>
            <w:tcW w:w="992" w:type="dxa"/>
          </w:tcPr>
          <w:p w:rsidR="00B7689D" w:rsidRPr="00506D52" w:rsidRDefault="00B7689D" w:rsidP="008C51F8">
            <w:pPr>
              <w:autoSpaceDE w:val="0"/>
              <w:autoSpaceDN w:val="0"/>
              <w:spacing w:before="0"/>
              <w:jc w:val="center"/>
              <w:rPr>
                <w:sz w:val="20"/>
                <w:szCs w:val="20"/>
              </w:rPr>
            </w:pPr>
            <w:r w:rsidRPr="00506D52">
              <w:rPr>
                <w:sz w:val="20"/>
                <w:szCs w:val="20"/>
              </w:rPr>
              <w:t>n.a.</w:t>
            </w:r>
          </w:p>
        </w:tc>
        <w:tc>
          <w:tcPr>
            <w:tcW w:w="1011" w:type="dxa"/>
          </w:tcPr>
          <w:p w:rsidR="00B7689D" w:rsidRPr="00506D52" w:rsidRDefault="00B7689D" w:rsidP="00687468">
            <w:pPr>
              <w:pStyle w:val="Normlny0"/>
              <w:jc w:val="center"/>
            </w:pPr>
          </w:p>
        </w:tc>
        <w:tc>
          <w:tcPr>
            <w:tcW w:w="832" w:type="dxa"/>
          </w:tcPr>
          <w:p w:rsidR="00B7689D" w:rsidRPr="00506D52" w:rsidRDefault="00B7689D" w:rsidP="00ED264B">
            <w:pPr>
              <w:pStyle w:val="Normlny0"/>
              <w:jc w:val="center"/>
            </w:pPr>
          </w:p>
        </w:tc>
        <w:tc>
          <w:tcPr>
            <w:tcW w:w="5103" w:type="dxa"/>
          </w:tcPr>
          <w:p w:rsidR="00B7689D" w:rsidRPr="00506D52" w:rsidRDefault="00B7689D" w:rsidP="008C51F8">
            <w:pPr>
              <w:pStyle w:val="Zkladntext"/>
              <w:rPr>
                <w:bCs/>
                <w:sz w:val="20"/>
                <w:szCs w:val="20"/>
              </w:rPr>
            </w:pPr>
          </w:p>
        </w:tc>
        <w:tc>
          <w:tcPr>
            <w:tcW w:w="992" w:type="dxa"/>
          </w:tcPr>
          <w:p w:rsidR="00B7689D" w:rsidRPr="00506D52" w:rsidRDefault="00B7689D" w:rsidP="004D479F">
            <w:pPr>
              <w:autoSpaceDE w:val="0"/>
              <w:autoSpaceDN w:val="0"/>
              <w:spacing w:before="0"/>
              <w:jc w:val="center"/>
            </w:pP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r w:rsidR="00B7689D" w:rsidRPr="00506D52"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B7689D" w:rsidRPr="00506D52" w:rsidRDefault="00B7689D">
            <w:pPr>
              <w:autoSpaceDE w:val="0"/>
              <w:autoSpaceDN w:val="0"/>
              <w:spacing w:before="0"/>
              <w:jc w:val="center"/>
              <w:rPr>
                <w:sz w:val="20"/>
                <w:szCs w:val="20"/>
              </w:rPr>
            </w:pPr>
            <w:r w:rsidRPr="00506D52">
              <w:rPr>
                <w:sz w:val="20"/>
                <w:szCs w:val="20"/>
              </w:rPr>
              <w:t>Č:4</w:t>
            </w:r>
          </w:p>
          <w:p w:rsidR="00B7689D" w:rsidRPr="00506D52" w:rsidRDefault="00B7689D" w:rsidP="00454F2D">
            <w:pPr>
              <w:autoSpaceDE w:val="0"/>
              <w:autoSpaceDN w:val="0"/>
              <w:spacing w:before="0"/>
              <w:rPr>
                <w:sz w:val="20"/>
                <w:szCs w:val="20"/>
              </w:rPr>
            </w:pPr>
          </w:p>
        </w:tc>
        <w:tc>
          <w:tcPr>
            <w:tcW w:w="4536" w:type="dxa"/>
          </w:tcPr>
          <w:p w:rsidR="00B7689D" w:rsidRPr="00506D52" w:rsidRDefault="00B7689D" w:rsidP="0069510A">
            <w:pPr>
              <w:pStyle w:val="WW-Zkladntext2"/>
              <w:jc w:val="both"/>
            </w:pPr>
            <w:r w:rsidRPr="00506D52">
              <w:t>Táto smernica je určená členským štátom.</w:t>
            </w:r>
          </w:p>
        </w:tc>
        <w:tc>
          <w:tcPr>
            <w:tcW w:w="992" w:type="dxa"/>
          </w:tcPr>
          <w:p w:rsidR="00B7689D" w:rsidRPr="00506D52" w:rsidRDefault="00B7689D" w:rsidP="00454F2D">
            <w:pPr>
              <w:autoSpaceDE w:val="0"/>
              <w:autoSpaceDN w:val="0"/>
              <w:spacing w:before="0"/>
              <w:jc w:val="center"/>
              <w:rPr>
                <w:sz w:val="20"/>
                <w:szCs w:val="20"/>
              </w:rPr>
            </w:pPr>
            <w:r w:rsidRPr="00506D52">
              <w:rPr>
                <w:sz w:val="20"/>
                <w:szCs w:val="20"/>
              </w:rPr>
              <w:t>n.a.</w:t>
            </w:r>
          </w:p>
        </w:tc>
        <w:tc>
          <w:tcPr>
            <w:tcW w:w="1011" w:type="dxa"/>
          </w:tcPr>
          <w:p w:rsidR="00B7689D" w:rsidRPr="00506D52" w:rsidRDefault="00B7689D" w:rsidP="00687468">
            <w:pPr>
              <w:pStyle w:val="Normlny0"/>
              <w:jc w:val="center"/>
            </w:pPr>
          </w:p>
        </w:tc>
        <w:tc>
          <w:tcPr>
            <w:tcW w:w="832" w:type="dxa"/>
          </w:tcPr>
          <w:p w:rsidR="00B7689D" w:rsidRPr="00506D52" w:rsidRDefault="00B7689D" w:rsidP="003645A9">
            <w:pPr>
              <w:pStyle w:val="Normlny0"/>
              <w:jc w:val="center"/>
            </w:pPr>
          </w:p>
        </w:tc>
        <w:tc>
          <w:tcPr>
            <w:tcW w:w="5103" w:type="dxa"/>
          </w:tcPr>
          <w:p w:rsidR="00B7689D" w:rsidRPr="00506D52" w:rsidRDefault="00B7689D" w:rsidP="00E05478">
            <w:pPr>
              <w:pStyle w:val="WW-Zkladntext2"/>
            </w:pPr>
          </w:p>
        </w:tc>
        <w:tc>
          <w:tcPr>
            <w:tcW w:w="992" w:type="dxa"/>
          </w:tcPr>
          <w:p w:rsidR="00B7689D" w:rsidRPr="00506D52" w:rsidRDefault="00B7689D" w:rsidP="00687468">
            <w:pPr>
              <w:autoSpaceDE w:val="0"/>
              <w:autoSpaceDN w:val="0"/>
              <w:spacing w:before="0"/>
              <w:jc w:val="center"/>
              <w:rPr>
                <w:sz w:val="20"/>
                <w:szCs w:val="20"/>
              </w:rPr>
            </w:pPr>
          </w:p>
        </w:tc>
        <w:tc>
          <w:tcPr>
            <w:tcW w:w="1065" w:type="dxa"/>
          </w:tcPr>
          <w:p w:rsidR="00B7689D" w:rsidRPr="00506D52" w:rsidRDefault="00B7689D">
            <w:pPr>
              <w:pStyle w:val="Nadpis1"/>
              <w:suppressAutoHyphens/>
              <w:jc w:val="both"/>
              <w:rPr>
                <w:rFonts w:ascii="Times New Roman" w:hAnsi="Times New Roman"/>
                <w:b w:val="0"/>
                <w:bCs w:val="0"/>
                <w:kern w:val="0"/>
                <w:sz w:val="20"/>
                <w:szCs w:val="20"/>
              </w:rPr>
            </w:pPr>
          </w:p>
        </w:tc>
      </w:tr>
    </w:tbl>
    <w:p w:rsidR="00FB7E9E" w:rsidRPr="00506D52" w:rsidRDefault="00FB7E9E">
      <w:pPr>
        <w:rPr>
          <w:rFonts w:ascii="inherit" w:hAnsi="inherit"/>
        </w:rPr>
      </w:pPr>
    </w:p>
    <w:p w:rsidR="004E26F1" w:rsidRPr="00506D52" w:rsidRDefault="004E26F1">
      <w:pPr>
        <w:rPr>
          <w:rFonts w:ascii="inherit" w:hAnsi="inherit"/>
        </w:rPr>
      </w:pPr>
    </w:p>
    <w:p w:rsidR="004E26F1" w:rsidRPr="00506D52" w:rsidRDefault="004E26F1">
      <w:pPr>
        <w:rPr>
          <w:rFonts w:ascii="inherit" w:hAnsi="inherit"/>
        </w:rPr>
      </w:pPr>
    </w:p>
    <w:tbl>
      <w:tblPr>
        <w:tblW w:w="15593" w:type="dxa"/>
        <w:tblInd w:w="-114" w:type="dxa"/>
        <w:tblLayout w:type="fixed"/>
        <w:tblLook w:val="04A0" w:firstRow="1" w:lastRow="0" w:firstColumn="1" w:lastColumn="0" w:noHBand="0" w:noVBand="1"/>
      </w:tblPr>
      <w:tblGrid>
        <w:gridCol w:w="1004"/>
        <w:gridCol w:w="2616"/>
        <w:gridCol w:w="658"/>
        <w:gridCol w:w="742"/>
        <w:gridCol w:w="602"/>
        <w:gridCol w:w="727"/>
        <w:gridCol w:w="1306"/>
        <w:gridCol w:w="676"/>
        <w:gridCol w:w="2716"/>
        <w:gridCol w:w="861"/>
        <w:gridCol w:w="691"/>
        <w:gridCol w:w="726"/>
        <w:gridCol w:w="789"/>
        <w:gridCol w:w="709"/>
        <w:gridCol w:w="770"/>
      </w:tblGrid>
      <w:tr w:rsidR="00FB7E9E" w:rsidRPr="00506D52" w:rsidTr="003336DF">
        <w:trPr>
          <w:trHeight w:val="210"/>
        </w:trPr>
        <w:tc>
          <w:tcPr>
            <w:tcW w:w="7655" w:type="dxa"/>
            <w:gridSpan w:val="7"/>
            <w:vMerge w:val="restart"/>
            <w:tcBorders>
              <w:top w:val="single" w:sz="12" w:space="0" w:color="auto"/>
              <w:left w:val="single" w:sz="12" w:space="0" w:color="auto"/>
              <w:bottom w:val="single" w:sz="12" w:space="0" w:color="auto"/>
              <w:right w:val="double" w:sz="4" w:space="0" w:color="auto"/>
            </w:tcBorders>
            <w:tcMar>
              <w:left w:w="28" w:type="dxa"/>
              <w:right w:w="28" w:type="dxa"/>
            </w:tcMar>
          </w:tcPr>
          <w:p w:rsidR="00FB7E9E" w:rsidRPr="00506D52" w:rsidRDefault="00CD6A45" w:rsidP="00AB48D9">
            <w:pPr>
              <w:rPr>
                <w:rFonts w:ascii="inherit" w:hAnsi="inherit"/>
                <w:sz w:val="20"/>
                <w:szCs w:val="20"/>
              </w:rPr>
            </w:pPr>
            <w:r w:rsidRPr="00506D52">
              <w:rPr>
                <w:rFonts w:ascii="inherit" w:hAnsi="inherit"/>
                <w:sz w:val="20"/>
                <w:szCs w:val="20"/>
              </w:rPr>
              <w:t>SMERNICA KOMISIE  (EÚ) 2017/2398</w:t>
            </w:r>
          </w:p>
          <w:p w:rsidR="00FB7E9E" w:rsidRPr="00506D52" w:rsidRDefault="00CD6A45" w:rsidP="00AB48D9">
            <w:pPr>
              <w:pStyle w:val="Nzov"/>
              <w:jc w:val="both"/>
              <w:rPr>
                <w:sz w:val="20"/>
                <w:szCs w:val="20"/>
                <w:lang w:val="sk-SK"/>
              </w:rPr>
            </w:pPr>
            <w:r w:rsidRPr="00506D52">
              <w:rPr>
                <w:sz w:val="20"/>
                <w:szCs w:val="20"/>
                <w:lang w:val="sk-SK"/>
              </w:rPr>
              <w:t>LIMITNÉ HODNOTY EXPOZÍCIE</w:t>
            </w:r>
            <w:r w:rsidR="00FB7E9E" w:rsidRPr="00506D52">
              <w:rPr>
                <w:sz w:val="20"/>
                <w:szCs w:val="20"/>
                <w:lang w:val="sk-SK"/>
              </w:rPr>
              <w:t xml:space="preserve"> PRI PRÁCI </w:t>
            </w:r>
          </w:p>
          <w:p w:rsidR="00FB7E9E" w:rsidRPr="00506D52" w:rsidRDefault="00FB7E9E" w:rsidP="00AB48D9">
            <w:pPr>
              <w:jc w:val="center"/>
              <w:rPr>
                <w:rFonts w:ascii="inherit" w:hAnsi="inherit"/>
                <w:sz w:val="16"/>
                <w:szCs w:val="16"/>
                <w:lang w:val="en-US" w:eastAsia="en-US"/>
              </w:rPr>
            </w:pPr>
            <w:r w:rsidRPr="00506D52">
              <w:rPr>
                <w:rFonts w:ascii="inherit" w:hAnsi="inherit"/>
                <w:sz w:val="16"/>
                <w:szCs w:val="16"/>
                <w:lang w:val="en-US" w:eastAsia="en-US"/>
              </w:rPr>
              <w:t> </w:t>
            </w:r>
          </w:p>
        </w:tc>
        <w:tc>
          <w:tcPr>
            <w:tcW w:w="7938" w:type="dxa"/>
            <w:gridSpan w:val="8"/>
            <w:vMerge w:val="restart"/>
            <w:tcBorders>
              <w:top w:val="single" w:sz="12" w:space="0" w:color="auto"/>
              <w:left w:val="double" w:sz="4" w:space="0" w:color="auto"/>
              <w:bottom w:val="single" w:sz="12" w:space="0" w:color="auto"/>
              <w:right w:val="single" w:sz="12" w:space="0" w:color="auto"/>
            </w:tcBorders>
            <w:tcMar>
              <w:left w:w="28" w:type="dxa"/>
              <w:right w:w="28" w:type="dxa"/>
            </w:tcMar>
          </w:tcPr>
          <w:p w:rsidR="00FB7E9E" w:rsidRPr="00506D52" w:rsidRDefault="00FB7E9E" w:rsidP="00E874B1">
            <w:pPr>
              <w:pStyle w:val="Nzov"/>
              <w:rPr>
                <w:b w:val="0"/>
                <w:bCs w:val="0"/>
                <w:sz w:val="20"/>
                <w:szCs w:val="20"/>
              </w:rPr>
            </w:pPr>
            <w:r w:rsidRPr="00506D52">
              <w:rPr>
                <w:b w:val="0"/>
                <w:bCs w:val="0"/>
                <w:sz w:val="20"/>
                <w:szCs w:val="20"/>
              </w:rPr>
              <w:t>Príloha č.</w:t>
            </w:r>
            <w:r w:rsidR="000C4F12" w:rsidRPr="00506D52">
              <w:rPr>
                <w:b w:val="0"/>
                <w:bCs w:val="0"/>
                <w:sz w:val="20"/>
                <w:szCs w:val="20"/>
              </w:rPr>
              <w:t xml:space="preserve"> 2</w:t>
            </w:r>
          </w:p>
          <w:p w:rsidR="00FB7E9E" w:rsidRPr="00506D52" w:rsidRDefault="00E874B1" w:rsidP="00E874B1">
            <w:pPr>
              <w:jc w:val="center"/>
              <w:rPr>
                <w:b/>
                <w:sz w:val="20"/>
                <w:szCs w:val="20"/>
              </w:rPr>
            </w:pPr>
            <w:r w:rsidRPr="00506D52">
              <w:rPr>
                <w:b/>
                <w:bCs/>
                <w:sz w:val="20"/>
                <w:szCs w:val="20"/>
              </w:rPr>
              <w:t>Technické smerné hodnoty</w:t>
            </w:r>
            <w:r w:rsidRPr="00506D52">
              <w:rPr>
                <w:b/>
                <w:sz w:val="20"/>
                <w:szCs w:val="20"/>
              </w:rPr>
              <w:t xml:space="preserve"> plynov, p</w:t>
            </w:r>
            <w:r w:rsidR="004F68B5" w:rsidRPr="00506D52">
              <w:rPr>
                <w:b/>
                <w:sz w:val="20"/>
                <w:szCs w:val="20"/>
              </w:rPr>
              <w:t>á</w:t>
            </w:r>
            <w:r w:rsidRPr="00506D52">
              <w:rPr>
                <w:b/>
                <w:sz w:val="20"/>
                <w:szCs w:val="20"/>
              </w:rPr>
              <w:t>r</w:t>
            </w:r>
            <w:r w:rsidR="004F68B5" w:rsidRPr="00506D52">
              <w:rPr>
                <w:b/>
                <w:sz w:val="20"/>
                <w:szCs w:val="20"/>
              </w:rPr>
              <w:t xml:space="preserve"> a</w:t>
            </w:r>
            <w:r w:rsidRPr="00506D52">
              <w:rPr>
                <w:b/>
                <w:sz w:val="20"/>
                <w:szCs w:val="20"/>
              </w:rPr>
              <w:t xml:space="preserve"> aerosólov s karcinogénnymi a mutagénnymi účinkami v pracovnom ovzduší</w:t>
            </w:r>
          </w:p>
          <w:p w:rsidR="0081224B" w:rsidRPr="00506D52" w:rsidRDefault="0081224B" w:rsidP="000E7D33">
            <w:pPr>
              <w:jc w:val="left"/>
              <w:rPr>
                <w:sz w:val="16"/>
                <w:szCs w:val="16"/>
                <w:lang w:eastAsia="en-US"/>
              </w:rPr>
            </w:pPr>
            <w:r w:rsidRPr="00506D52">
              <w:rPr>
                <w:sz w:val="20"/>
                <w:szCs w:val="20"/>
              </w:rPr>
              <w:t>Tabuľk</w:t>
            </w:r>
            <w:r w:rsidR="000E7D33" w:rsidRPr="00506D52">
              <w:rPr>
                <w:sz w:val="20"/>
                <w:szCs w:val="20"/>
              </w:rPr>
              <w:t>y</w:t>
            </w:r>
            <w:r w:rsidRPr="00506D52">
              <w:rPr>
                <w:sz w:val="20"/>
                <w:szCs w:val="20"/>
              </w:rPr>
              <w:t xml:space="preserve"> č. 1</w:t>
            </w:r>
            <w:r w:rsidR="000E7D33" w:rsidRPr="00506D52">
              <w:rPr>
                <w:sz w:val="20"/>
                <w:szCs w:val="20"/>
              </w:rPr>
              <w:t xml:space="preserve"> a  2</w:t>
            </w:r>
          </w:p>
        </w:tc>
      </w:tr>
      <w:tr w:rsidR="00FB7E9E" w:rsidRPr="00506D52" w:rsidTr="003336DF">
        <w:trPr>
          <w:trHeight w:val="304"/>
        </w:trPr>
        <w:tc>
          <w:tcPr>
            <w:tcW w:w="7655" w:type="dxa"/>
            <w:gridSpan w:val="7"/>
            <w:vMerge/>
            <w:tcBorders>
              <w:top w:val="double" w:sz="4" w:space="0" w:color="auto"/>
              <w:left w:val="single" w:sz="12" w:space="0" w:color="auto"/>
              <w:bottom w:val="single" w:sz="12" w:space="0" w:color="auto"/>
              <w:right w:val="double" w:sz="4" w:space="0" w:color="auto"/>
            </w:tcBorders>
            <w:tcMar>
              <w:left w:w="28" w:type="dxa"/>
              <w:right w:w="28" w:type="dxa"/>
            </w:tcMar>
            <w:vAlign w:val="center"/>
          </w:tcPr>
          <w:p w:rsidR="00FB7E9E" w:rsidRPr="00506D52" w:rsidRDefault="00FB7E9E" w:rsidP="00AB48D9">
            <w:pPr>
              <w:rPr>
                <w:rFonts w:ascii="inherit" w:hAnsi="inherit"/>
                <w:sz w:val="16"/>
                <w:szCs w:val="16"/>
                <w:lang w:eastAsia="en-US"/>
              </w:rPr>
            </w:pPr>
          </w:p>
        </w:tc>
        <w:tc>
          <w:tcPr>
            <w:tcW w:w="7938" w:type="dxa"/>
            <w:gridSpan w:val="8"/>
            <w:vMerge/>
            <w:tcBorders>
              <w:top w:val="double" w:sz="4" w:space="0" w:color="auto"/>
              <w:left w:val="double" w:sz="4" w:space="0" w:color="auto"/>
              <w:bottom w:val="single" w:sz="12" w:space="0" w:color="auto"/>
              <w:right w:val="single" w:sz="12" w:space="0" w:color="auto"/>
            </w:tcBorders>
            <w:tcMar>
              <w:left w:w="28" w:type="dxa"/>
              <w:right w:w="28" w:type="dxa"/>
            </w:tcMar>
            <w:vAlign w:val="center"/>
          </w:tcPr>
          <w:p w:rsidR="00FB7E9E" w:rsidRPr="00506D52" w:rsidRDefault="00FB7E9E" w:rsidP="00AB48D9">
            <w:pPr>
              <w:rPr>
                <w:rFonts w:ascii="inherit" w:hAnsi="inherit"/>
                <w:sz w:val="16"/>
                <w:szCs w:val="16"/>
                <w:lang w:eastAsia="en-US"/>
              </w:rPr>
            </w:pPr>
          </w:p>
        </w:tc>
      </w:tr>
      <w:tr w:rsidR="00FB7E9E" w:rsidRPr="00506D52" w:rsidTr="003336DF">
        <w:trPr>
          <w:trHeight w:val="304"/>
        </w:trPr>
        <w:tc>
          <w:tcPr>
            <w:tcW w:w="7655" w:type="dxa"/>
            <w:gridSpan w:val="7"/>
            <w:vMerge/>
            <w:tcBorders>
              <w:top w:val="double" w:sz="4" w:space="0" w:color="auto"/>
              <w:left w:val="single" w:sz="12" w:space="0" w:color="auto"/>
              <w:bottom w:val="single" w:sz="12" w:space="0" w:color="auto"/>
              <w:right w:val="double" w:sz="4" w:space="0" w:color="auto"/>
            </w:tcBorders>
            <w:tcMar>
              <w:left w:w="28" w:type="dxa"/>
              <w:right w:w="28" w:type="dxa"/>
            </w:tcMar>
            <w:vAlign w:val="center"/>
          </w:tcPr>
          <w:p w:rsidR="00FB7E9E" w:rsidRPr="00506D52" w:rsidRDefault="00FB7E9E" w:rsidP="00AB48D9">
            <w:pPr>
              <w:rPr>
                <w:rFonts w:ascii="inherit" w:hAnsi="inherit"/>
                <w:sz w:val="16"/>
                <w:szCs w:val="16"/>
                <w:lang w:eastAsia="en-US"/>
              </w:rPr>
            </w:pPr>
          </w:p>
        </w:tc>
        <w:tc>
          <w:tcPr>
            <w:tcW w:w="7938" w:type="dxa"/>
            <w:gridSpan w:val="8"/>
            <w:vMerge/>
            <w:tcBorders>
              <w:top w:val="double" w:sz="4" w:space="0" w:color="auto"/>
              <w:left w:val="double" w:sz="4" w:space="0" w:color="auto"/>
              <w:bottom w:val="single" w:sz="12" w:space="0" w:color="auto"/>
              <w:right w:val="single" w:sz="12" w:space="0" w:color="auto"/>
            </w:tcBorders>
            <w:tcMar>
              <w:left w:w="28" w:type="dxa"/>
              <w:right w:w="28" w:type="dxa"/>
            </w:tcMar>
            <w:vAlign w:val="center"/>
          </w:tcPr>
          <w:p w:rsidR="00FB7E9E" w:rsidRPr="00506D52" w:rsidRDefault="00FB7E9E" w:rsidP="00AB48D9">
            <w:pPr>
              <w:rPr>
                <w:rFonts w:ascii="inherit" w:hAnsi="inherit"/>
                <w:sz w:val="16"/>
                <w:szCs w:val="16"/>
                <w:lang w:eastAsia="en-US"/>
              </w:rPr>
            </w:pPr>
          </w:p>
        </w:tc>
      </w:tr>
      <w:tr w:rsidR="004651FD" w:rsidRPr="00506D52" w:rsidTr="003336DF">
        <w:trPr>
          <w:trHeight w:val="170"/>
        </w:trPr>
        <w:tc>
          <w:tcPr>
            <w:tcW w:w="1004" w:type="dxa"/>
            <w:vMerge w:val="restart"/>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rPr>
              <w:t xml:space="preserve">CAS č. </w:t>
            </w:r>
            <w:r w:rsidRPr="00506D52">
              <w:rPr>
                <w:rFonts w:ascii="inherit" w:hAnsi="inherit"/>
                <w:sz w:val="16"/>
                <w:szCs w:val="16"/>
                <w:vertAlign w:val="superscript"/>
              </w:rPr>
              <w:t>(2)</w:t>
            </w:r>
          </w:p>
        </w:tc>
        <w:tc>
          <w:tcPr>
            <w:tcW w:w="2616" w:type="dxa"/>
            <w:vMerge w:val="restart"/>
            <w:tcBorders>
              <w:top w:val="single" w:sz="12" w:space="0" w:color="auto"/>
              <w:left w:val="single" w:sz="8" w:space="0" w:color="auto"/>
              <w:bottom w:val="single" w:sz="8" w:space="0" w:color="auto"/>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lang w:val="en-US" w:eastAsia="en-US"/>
              </w:rPr>
              <w:t>Názov chemického faktora</w:t>
            </w:r>
          </w:p>
        </w:tc>
        <w:tc>
          <w:tcPr>
            <w:tcW w:w="2002" w:type="dxa"/>
            <w:gridSpan w:val="3"/>
            <w:tcBorders>
              <w:top w:val="single" w:sz="12" w:space="0" w:color="auto"/>
              <w:left w:val="nil"/>
              <w:bottom w:val="single" w:sz="8" w:space="0" w:color="auto"/>
              <w:right w:val="single" w:sz="4" w:space="0" w:color="auto"/>
            </w:tcBorders>
            <w:tcMar>
              <w:left w:w="28" w:type="dxa"/>
              <w:right w:w="28" w:type="dxa"/>
            </w:tcMar>
            <w:vAlign w:val="center"/>
          </w:tcPr>
          <w:p w:rsidR="004651FD" w:rsidRPr="00506D52" w:rsidRDefault="004651FD" w:rsidP="00AB48D9">
            <w:pPr>
              <w:jc w:val="center"/>
              <w:rPr>
                <w:rFonts w:ascii="inherit" w:hAnsi="inherit"/>
                <w:sz w:val="16"/>
                <w:szCs w:val="16"/>
                <w:vertAlign w:val="superscript"/>
                <w:lang w:val="en-US" w:eastAsia="en-US"/>
              </w:rPr>
            </w:pPr>
            <w:r w:rsidRPr="00506D52">
              <w:rPr>
                <w:rFonts w:ascii="inherit" w:hAnsi="inherit"/>
                <w:sz w:val="16"/>
                <w:szCs w:val="16"/>
                <w:lang w:val="en-US" w:eastAsia="en-US"/>
              </w:rPr>
              <w:t>Limitné hodnoty</w:t>
            </w:r>
            <w:r w:rsidRPr="00506D52">
              <w:rPr>
                <w:rFonts w:ascii="inherit" w:hAnsi="inherit"/>
                <w:sz w:val="16"/>
                <w:szCs w:val="16"/>
                <w:vertAlign w:val="superscript"/>
                <w:lang w:val="en-US" w:eastAsia="en-US"/>
              </w:rPr>
              <w:t>(3)</w:t>
            </w:r>
          </w:p>
        </w:tc>
        <w:tc>
          <w:tcPr>
            <w:tcW w:w="727" w:type="dxa"/>
            <w:vMerge w:val="restart"/>
            <w:tcBorders>
              <w:top w:val="single" w:sz="12" w:space="0" w:color="auto"/>
              <w:left w:val="nil"/>
              <w:right w:val="single" w:sz="4" w:space="0" w:color="auto"/>
            </w:tcBorders>
            <w:tcMar>
              <w:left w:w="28" w:type="dxa"/>
              <w:right w:w="28" w:type="dxa"/>
            </w:tcMar>
            <w:vAlign w:val="center"/>
          </w:tcPr>
          <w:p w:rsidR="004651FD" w:rsidRPr="00506D52" w:rsidRDefault="004651FD" w:rsidP="00E93173">
            <w:pPr>
              <w:rPr>
                <w:rFonts w:ascii="inherit" w:hAnsi="inherit"/>
                <w:sz w:val="16"/>
                <w:szCs w:val="16"/>
                <w:lang w:val="en-US" w:eastAsia="en-US"/>
              </w:rPr>
            </w:pPr>
            <w:r w:rsidRPr="00506D52">
              <w:rPr>
                <w:rFonts w:ascii="inherit" w:hAnsi="inherit"/>
                <w:sz w:val="16"/>
                <w:szCs w:val="16"/>
              </w:rPr>
              <w:t>Poznámka</w:t>
            </w:r>
          </w:p>
        </w:tc>
        <w:tc>
          <w:tcPr>
            <w:tcW w:w="1306" w:type="dxa"/>
            <w:vMerge w:val="restart"/>
            <w:tcBorders>
              <w:top w:val="single" w:sz="12" w:space="0" w:color="auto"/>
              <w:left w:val="single" w:sz="4" w:space="0" w:color="auto"/>
              <w:bottom w:val="single" w:sz="8" w:space="0" w:color="000000"/>
              <w:right w:val="double" w:sz="4"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rPr>
              <w:t>Prechodné ustanovenia</w:t>
            </w:r>
          </w:p>
        </w:tc>
        <w:tc>
          <w:tcPr>
            <w:tcW w:w="676" w:type="dxa"/>
            <w:vMerge w:val="restart"/>
            <w:tcBorders>
              <w:top w:val="single" w:sz="12" w:space="0" w:color="auto"/>
              <w:left w:val="double" w:sz="4" w:space="0" w:color="auto"/>
              <w:bottom w:val="single" w:sz="8" w:space="0" w:color="000000"/>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lang w:val="en-US" w:eastAsia="en-US"/>
              </w:rPr>
              <w:t>Po</w:t>
            </w:r>
            <w:r w:rsidR="007E0D84" w:rsidRPr="00506D52">
              <w:rPr>
                <w:rFonts w:ascii="inherit" w:hAnsi="inherit"/>
                <w:sz w:val="16"/>
                <w:szCs w:val="16"/>
                <w:lang w:val="en-US" w:eastAsia="en-US"/>
              </w:rPr>
              <w:t>r</w:t>
            </w:r>
            <w:r w:rsidRPr="00506D52">
              <w:rPr>
                <w:rFonts w:ascii="inherit" w:hAnsi="inherit"/>
                <w:sz w:val="16"/>
                <w:szCs w:val="16"/>
                <w:lang w:val="en-US" w:eastAsia="en-US"/>
              </w:rPr>
              <w:t>. čís.</w:t>
            </w:r>
          </w:p>
        </w:tc>
        <w:tc>
          <w:tcPr>
            <w:tcW w:w="2716" w:type="dxa"/>
            <w:vMerge w:val="restart"/>
            <w:tcBorders>
              <w:top w:val="single" w:sz="12" w:space="0" w:color="auto"/>
              <w:left w:val="single" w:sz="8" w:space="0" w:color="auto"/>
              <w:bottom w:val="single" w:sz="8" w:space="0" w:color="000000"/>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lang w:val="en-US" w:eastAsia="en-US"/>
              </w:rPr>
              <w:t>Chemická látka</w:t>
            </w:r>
          </w:p>
        </w:tc>
        <w:tc>
          <w:tcPr>
            <w:tcW w:w="861" w:type="dxa"/>
            <w:vMerge w:val="restart"/>
            <w:tcBorders>
              <w:top w:val="single" w:sz="12" w:space="0" w:color="auto"/>
              <w:left w:val="single" w:sz="8" w:space="0" w:color="auto"/>
              <w:bottom w:val="single" w:sz="8" w:space="0" w:color="000000"/>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vertAlign w:val="superscript"/>
                <w:lang w:val="en-US" w:eastAsia="en-US"/>
              </w:rPr>
            </w:pPr>
            <w:r w:rsidRPr="00506D52">
              <w:rPr>
                <w:rFonts w:ascii="inherit" w:hAnsi="inherit"/>
                <w:sz w:val="16"/>
                <w:szCs w:val="16"/>
                <w:lang w:val="en-US" w:eastAsia="en-US"/>
              </w:rPr>
              <w:t>CAS</w:t>
            </w:r>
            <w:r w:rsidR="00B27195" w:rsidRPr="00506D52">
              <w:rPr>
                <w:rFonts w:ascii="inherit" w:hAnsi="inherit"/>
                <w:sz w:val="16"/>
                <w:szCs w:val="16"/>
                <w:vertAlign w:val="superscript"/>
                <w:lang w:val="en-US" w:eastAsia="en-US"/>
              </w:rPr>
              <w:t>2)</w:t>
            </w:r>
          </w:p>
        </w:tc>
        <w:tc>
          <w:tcPr>
            <w:tcW w:w="1417" w:type="dxa"/>
            <w:gridSpan w:val="2"/>
            <w:tcBorders>
              <w:top w:val="single" w:sz="12" w:space="0" w:color="auto"/>
              <w:left w:val="nil"/>
              <w:bottom w:val="single" w:sz="8" w:space="0" w:color="auto"/>
              <w:right w:val="single" w:sz="8" w:space="0" w:color="000000"/>
            </w:tcBorders>
            <w:tcMar>
              <w:left w:w="28" w:type="dxa"/>
              <w:right w:w="28" w:type="dxa"/>
            </w:tcMar>
            <w:vAlign w:val="center"/>
          </w:tcPr>
          <w:p w:rsidR="004651FD" w:rsidRPr="00506D52" w:rsidRDefault="004651FD" w:rsidP="00AB48D9">
            <w:pPr>
              <w:jc w:val="center"/>
              <w:rPr>
                <w:rFonts w:ascii="inherit" w:hAnsi="inherit"/>
                <w:sz w:val="16"/>
                <w:szCs w:val="16"/>
                <w:vertAlign w:val="superscript"/>
                <w:lang w:val="en-US" w:eastAsia="en-US"/>
              </w:rPr>
            </w:pPr>
            <w:r w:rsidRPr="00506D52">
              <w:rPr>
                <w:rFonts w:ascii="inherit" w:hAnsi="inherit"/>
                <w:sz w:val="16"/>
                <w:szCs w:val="16"/>
                <w:lang w:val="en-US" w:eastAsia="en-US"/>
              </w:rPr>
              <w:t>TSH</w:t>
            </w:r>
            <w:r w:rsidR="00B27195" w:rsidRPr="00506D52">
              <w:rPr>
                <w:rFonts w:ascii="inherit" w:hAnsi="inherit"/>
                <w:sz w:val="16"/>
                <w:szCs w:val="16"/>
                <w:vertAlign w:val="superscript"/>
                <w:lang w:val="en-US" w:eastAsia="en-US"/>
              </w:rPr>
              <w:t>3)</w:t>
            </w:r>
          </w:p>
        </w:tc>
        <w:tc>
          <w:tcPr>
            <w:tcW w:w="789" w:type="dxa"/>
            <w:vMerge w:val="restart"/>
            <w:tcBorders>
              <w:top w:val="single" w:sz="12" w:space="0" w:color="auto"/>
              <w:left w:val="nil"/>
              <w:right w:val="single" w:sz="8" w:space="0" w:color="000000"/>
            </w:tcBorders>
            <w:tcMar>
              <w:left w:w="28" w:type="dxa"/>
              <w:right w:w="28" w:type="dxa"/>
            </w:tcMar>
            <w:vAlign w:val="center"/>
          </w:tcPr>
          <w:p w:rsidR="004651FD" w:rsidRPr="00506D52" w:rsidRDefault="009F70DE" w:rsidP="009313EE">
            <w:pPr>
              <w:jc w:val="center"/>
              <w:rPr>
                <w:rFonts w:ascii="inherit" w:hAnsi="inherit"/>
                <w:sz w:val="16"/>
                <w:szCs w:val="16"/>
                <w:vertAlign w:val="superscript"/>
                <w:lang w:val="en-US" w:eastAsia="en-US"/>
              </w:rPr>
            </w:pPr>
            <w:r w:rsidRPr="00506D52">
              <w:rPr>
                <w:rFonts w:ascii="inherit" w:hAnsi="inherit"/>
                <w:sz w:val="16"/>
                <w:szCs w:val="16"/>
                <w:lang w:eastAsia="en-US"/>
              </w:rPr>
              <w:t>Kat</w:t>
            </w:r>
            <w:r w:rsidR="00B27195" w:rsidRPr="00506D52">
              <w:rPr>
                <w:rFonts w:ascii="inherit" w:hAnsi="inherit"/>
                <w:sz w:val="16"/>
                <w:szCs w:val="16"/>
                <w:lang w:eastAsia="en-US"/>
              </w:rPr>
              <w:t>egória</w:t>
            </w:r>
            <w:r w:rsidRPr="00506D52">
              <w:rPr>
                <w:rFonts w:ascii="inherit" w:hAnsi="inherit"/>
                <w:sz w:val="16"/>
                <w:szCs w:val="16"/>
                <w:lang w:val="en-US" w:eastAsia="en-US"/>
              </w:rPr>
              <w:t xml:space="preserve"> k</w:t>
            </w:r>
            <w:r w:rsidR="004651FD" w:rsidRPr="00506D52">
              <w:rPr>
                <w:rFonts w:ascii="inherit" w:hAnsi="inherit"/>
                <w:sz w:val="16"/>
                <w:szCs w:val="16"/>
                <w:lang w:val="en-US" w:eastAsia="en-US"/>
              </w:rPr>
              <w:t>ar</w:t>
            </w:r>
            <w:r w:rsidRPr="00506D52">
              <w:rPr>
                <w:rFonts w:ascii="inherit" w:hAnsi="inherit"/>
                <w:sz w:val="16"/>
                <w:szCs w:val="16"/>
                <w:lang w:val="en-US" w:eastAsia="en-US"/>
              </w:rPr>
              <w:t>cino</w:t>
            </w:r>
            <w:r w:rsidR="009313EE" w:rsidRPr="00506D52">
              <w:rPr>
                <w:rFonts w:ascii="inherit" w:hAnsi="inherit"/>
                <w:sz w:val="16"/>
                <w:szCs w:val="16"/>
                <w:lang w:val="en-US" w:eastAsia="en-US"/>
              </w:rPr>
              <w:t>-</w:t>
            </w:r>
            <w:r w:rsidRPr="00506D52">
              <w:rPr>
                <w:rFonts w:ascii="inherit" w:hAnsi="inherit"/>
                <w:sz w:val="16"/>
                <w:szCs w:val="16"/>
                <w:lang w:val="en-US" w:eastAsia="en-US"/>
              </w:rPr>
              <w:t>gén</w:t>
            </w:r>
            <w:r w:rsidR="009313EE" w:rsidRPr="00506D52">
              <w:rPr>
                <w:rFonts w:ascii="inherit" w:hAnsi="inherit"/>
                <w:sz w:val="16"/>
                <w:szCs w:val="16"/>
                <w:lang w:val="en-US" w:eastAsia="en-US"/>
              </w:rPr>
              <w:t>ov</w:t>
            </w:r>
            <w:r w:rsidR="00B27195" w:rsidRPr="00506D52">
              <w:rPr>
                <w:rFonts w:ascii="inherit" w:hAnsi="inherit"/>
                <w:sz w:val="16"/>
                <w:szCs w:val="16"/>
                <w:vertAlign w:val="superscript"/>
                <w:lang w:val="en-US" w:eastAsia="en-US"/>
              </w:rPr>
              <w:t>6)</w:t>
            </w:r>
          </w:p>
        </w:tc>
        <w:tc>
          <w:tcPr>
            <w:tcW w:w="709" w:type="dxa"/>
            <w:vMerge w:val="restart"/>
            <w:tcBorders>
              <w:top w:val="single" w:sz="12" w:space="0" w:color="auto"/>
              <w:left w:val="nil"/>
              <w:right w:val="single" w:sz="8" w:space="0" w:color="000000"/>
            </w:tcBorders>
            <w:tcMar>
              <w:left w:w="28" w:type="dxa"/>
              <w:right w:w="28" w:type="dxa"/>
            </w:tcMar>
            <w:vAlign w:val="center"/>
          </w:tcPr>
          <w:p w:rsidR="004651FD" w:rsidRPr="00506D52" w:rsidRDefault="00B27195" w:rsidP="009313EE">
            <w:pPr>
              <w:jc w:val="center"/>
              <w:rPr>
                <w:rFonts w:ascii="inherit" w:hAnsi="inherit"/>
                <w:sz w:val="16"/>
                <w:szCs w:val="16"/>
                <w:lang w:val="en-US" w:eastAsia="en-US"/>
              </w:rPr>
            </w:pPr>
            <w:r w:rsidRPr="00506D52">
              <w:rPr>
                <w:rFonts w:ascii="inherit" w:hAnsi="inherit"/>
                <w:sz w:val="16"/>
                <w:szCs w:val="16"/>
                <w:lang w:val="en-US" w:eastAsia="en-US"/>
              </w:rPr>
              <w:t>Kategória</w:t>
            </w:r>
            <w:r w:rsidR="009F70DE" w:rsidRPr="00506D52">
              <w:rPr>
                <w:rFonts w:ascii="inherit" w:hAnsi="inherit"/>
                <w:sz w:val="16"/>
                <w:szCs w:val="16"/>
                <w:lang w:val="en-US" w:eastAsia="en-US"/>
              </w:rPr>
              <w:t xml:space="preserve"> mutagé</w:t>
            </w:r>
            <w:r w:rsidR="009313EE" w:rsidRPr="00506D52">
              <w:rPr>
                <w:rFonts w:ascii="inherit" w:hAnsi="inherit"/>
                <w:sz w:val="16"/>
                <w:szCs w:val="16"/>
                <w:lang w:val="en-US" w:eastAsia="en-US"/>
              </w:rPr>
              <w:t>-</w:t>
            </w:r>
            <w:r w:rsidR="009F70DE" w:rsidRPr="00506D52">
              <w:rPr>
                <w:rFonts w:ascii="inherit" w:hAnsi="inherit"/>
                <w:sz w:val="16"/>
                <w:szCs w:val="16"/>
                <w:lang w:val="en-US" w:eastAsia="en-US"/>
              </w:rPr>
              <w:t>n</w:t>
            </w:r>
            <w:r w:rsidR="009313EE" w:rsidRPr="00506D52">
              <w:rPr>
                <w:rFonts w:ascii="inherit" w:hAnsi="inherit"/>
                <w:sz w:val="16"/>
                <w:szCs w:val="16"/>
                <w:lang w:val="en-US" w:eastAsia="en-US"/>
              </w:rPr>
              <w:t>ov</w:t>
            </w:r>
            <w:r w:rsidRPr="00506D52">
              <w:rPr>
                <w:rFonts w:ascii="inherit" w:hAnsi="inherit"/>
                <w:sz w:val="16"/>
                <w:szCs w:val="16"/>
                <w:vertAlign w:val="superscript"/>
                <w:lang w:val="en-US" w:eastAsia="en-US"/>
              </w:rPr>
              <w:t>7)</w:t>
            </w:r>
          </w:p>
        </w:tc>
        <w:tc>
          <w:tcPr>
            <w:tcW w:w="770" w:type="dxa"/>
            <w:vMerge w:val="restart"/>
            <w:tcBorders>
              <w:top w:val="single" w:sz="12" w:space="0" w:color="auto"/>
              <w:left w:val="single" w:sz="8" w:space="0" w:color="auto"/>
              <w:bottom w:val="single" w:sz="8" w:space="0" w:color="000000"/>
              <w:right w:val="single" w:sz="12" w:space="0" w:color="auto"/>
            </w:tcBorders>
            <w:tcMar>
              <w:left w:w="28" w:type="dxa"/>
              <w:right w:w="28" w:type="dxa"/>
            </w:tcMar>
            <w:vAlign w:val="center"/>
          </w:tcPr>
          <w:p w:rsidR="004651FD" w:rsidRPr="00506D52" w:rsidRDefault="004651FD" w:rsidP="009313EE">
            <w:pPr>
              <w:jc w:val="center"/>
              <w:rPr>
                <w:rFonts w:ascii="inherit" w:hAnsi="inherit"/>
                <w:sz w:val="16"/>
                <w:szCs w:val="16"/>
                <w:lang w:val="en-US" w:eastAsia="en-US"/>
              </w:rPr>
            </w:pPr>
            <w:r w:rsidRPr="00506D52">
              <w:rPr>
                <w:rFonts w:ascii="inherit" w:hAnsi="inherit"/>
                <w:sz w:val="16"/>
                <w:szCs w:val="16"/>
                <w:lang w:val="en-US" w:eastAsia="en-US"/>
              </w:rPr>
              <w:t>Poznám</w:t>
            </w:r>
            <w:r w:rsidR="009313EE" w:rsidRPr="00506D52">
              <w:rPr>
                <w:rFonts w:ascii="inherit" w:hAnsi="inherit"/>
                <w:sz w:val="16"/>
                <w:szCs w:val="16"/>
                <w:lang w:val="en-US" w:eastAsia="en-US"/>
              </w:rPr>
              <w:t>-</w:t>
            </w:r>
            <w:r w:rsidRPr="00506D52">
              <w:rPr>
                <w:rFonts w:ascii="inherit" w:hAnsi="inherit"/>
                <w:sz w:val="16"/>
                <w:szCs w:val="16"/>
                <w:lang w:val="en-US" w:eastAsia="en-US"/>
              </w:rPr>
              <w:t>ka</w:t>
            </w:r>
          </w:p>
        </w:tc>
      </w:tr>
      <w:tr w:rsidR="004651FD" w:rsidRPr="00506D52" w:rsidTr="003336DF">
        <w:trPr>
          <w:trHeight w:val="170"/>
        </w:trPr>
        <w:tc>
          <w:tcPr>
            <w:tcW w:w="1004" w:type="dxa"/>
            <w:vMerge/>
            <w:tcBorders>
              <w:top w:val="nil"/>
              <w:left w:val="single" w:sz="12" w:space="0" w:color="auto"/>
              <w:bottom w:val="single" w:sz="8" w:space="0" w:color="auto"/>
              <w:right w:val="single" w:sz="8"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2616" w:type="dxa"/>
            <w:vMerge/>
            <w:tcBorders>
              <w:top w:val="nil"/>
              <w:left w:val="single" w:sz="8" w:space="0" w:color="auto"/>
              <w:bottom w:val="single" w:sz="8" w:space="0" w:color="auto"/>
              <w:right w:val="single" w:sz="8"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658" w:type="dxa"/>
            <w:tcBorders>
              <w:top w:val="nil"/>
              <w:left w:val="nil"/>
              <w:bottom w:val="single" w:sz="8" w:space="0" w:color="auto"/>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rPr>
              <w:t>ppm</w:t>
            </w:r>
            <w:r w:rsidRPr="00506D52">
              <w:rPr>
                <w:rFonts w:ascii="inherit" w:hAnsi="inherit"/>
                <w:sz w:val="16"/>
                <w:szCs w:val="16"/>
                <w:vertAlign w:val="superscript"/>
              </w:rPr>
              <w:t>(5)</w:t>
            </w:r>
          </w:p>
        </w:tc>
        <w:tc>
          <w:tcPr>
            <w:tcW w:w="742" w:type="dxa"/>
            <w:tcBorders>
              <w:top w:val="nil"/>
              <w:left w:val="nil"/>
              <w:bottom w:val="single" w:sz="8" w:space="0" w:color="auto"/>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lang w:val="en-US"/>
              </w:rPr>
              <w:t>mg/m</w:t>
            </w:r>
            <w:r w:rsidRPr="00506D52">
              <w:rPr>
                <w:rFonts w:ascii="inherit" w:hAnsi="inherit"/>
                <w:sz w:val="16"/>
                <w:szCs w:val="16"/>
                <w:vertAlign w:val="superscript"/>
                <w:lang w:val="en-US"/>
              </w:rPr>
              <w:t>3 (4)</w:t>
            </w:r>
          </w:p>
        </w:tc>
        <w:tc>
          <w:tcPr>
            <w:tcW w:w="602" w:type="dxa"/>
            <w:tcBorders>
              <w:top w:val="nil"/>
              <w:left w:val="nil"/>
              <w:bottom w:val="single" w:sz="8" w:space="0" w:color="auto"/>
              <w:right w:val="single" w:sz="8"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r w:rsidRPr="00506D52">
              <w:rPr>
                <w:rFonts w:ascii="inherit" w:hAnsi="inherit"/>
                <w:sz w:val="16"/>
                <w:szCs w:val="16"/>
              </w:rPr>
              <w:t>f/ml</w:t>
            </w:r>
            <w:r w:rsidRPr="00506D52">
              <w:rPr>
                <w:rFonts w:ascii="inherit" w:hAnsi="inherit"/>
                <w:sz w:val="16"/>
                <w:szCs w:val="16"/>
                <w:vertAlign w:val="superscript"/>
              </w:rPr>
              <w:t>(6)</w:t>
            </w:r>
          </w:p>
        </w:tc>
        <w:tc>
          <w:tcPr>
            <w:tcW w:w="727" w:type="dxa"/>
            <w:vMerge/>
            <w:tcBorders>
              <w:left w:val="nil"/>
              <w:bottom w:val="single" w:sz="8" w:space="0" w:color="auto"/>
              <w:right w:val="single" w:sz="4" w:space="0" w:color="auto"/>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p>
        </w:tc>
        <w:tc>
          <w:tcPr>
            <w:tcW w:w="1306" w:type="dxa"/>
            <w:vMerge/>
            <w:tcBorders>
              <w:top w:val="nil"/>
              <w:left w:val="single" w:sz="4" w:space="0" w:color="auto"/>
              <w:bottom w:val="single" w:sz="8" w:space="0" w:color="auto"/>
              <w:right w:val="double" w:sz="4"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676" w:type="dxa"/>
            <w:vMerge/>
            <w:tcBorders>
              <w:top w:val="nil"/>
              <w:left w:val="double" w:sz="4" w:space="0" w:color="auto"/>
              <w:bottom w:val="single" w:sz="8" w:space="0" w:color="000000"/>
              <w:right w:val="single" w:sz="8"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2716" w:type="dxa"/>
            <w:vMerge/>
            <w:tcBorders>
              <w:top w:val="nil"/>
              <w:left w:val="single" w:sz="8" w:space="0" w:color="auto"/>
              <w:bottom w:val="single" w:sz="8" w:space="0" w:color="000000"/>
              <w:right w:val="single" w:sz="8"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861" w:type="dxa"/>
            <w:vMerge/>
            <w:tcBorders>
              <w:top w:val="nil"/>
              <w:left w:val="single" w:sz="8" w:space="0" w:color="auto"/>
              <w:bottom w:val="single" w:sz="8" w:space="0" w:color="000000"/>
              <w:right w:val="single" w:sz="8"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c>
          <w:tcPr>
            <w:tcW w:w="691" w:type="dxa"/>
            <w:tcBorders>
              <w:top w:val="nil"/>
              <w:left w:val="nil"/>
              <w:bottom w:val="single" w:sz="8" w:space="0" w:color="auto"/>
              <w:right w:val="single" w:sz="8" w:space="0" w:color="auto"/>
            </w:tcBorders>
            <w:tcMar>
              <w:left w:w="28" w:type="dxa"/>
              <w:right w:w="28" w:type="dxa"/>
            </w:tcMar>
            <w:vAlign w:val="center"/>
          </w:tcPr>
          <w:p w:rsidR="004651FD" w:rsidRPr="00506D52" w:rsidRDefault="00B27195" w:rsidP="00B27195">
            <w:pPr>
              <w:jc w:val="center"/>
              <w:rPr>
                <w:rFonts w:ascii="inherit" w:hAnsi="inherit"/>
                <w:sz w:val="16"/>
                <w:szCs w:val="16"/>
                <w:vertAlign w:val="superscript"/>
                <w:lang w:val="en-US" w:eastAsia="en-US"/>
              </w:rPr>
            </w:pPr>
            <w:r w:rsidRPr="00506D52">
              <w:rPr>
                <w:rFonts w:ascii="inherit" w:hAnsi="inherit"/>
                <w:sz w:val="16"/>
                <w:szCs w:val="16"/>
                <w:lang w:val="en-US" w:eastAsia="en-US"/>
              </w:rPr>
              <w:t>p</w:t>
            </w:r>
            <w:r w:rsidR="004651FD" w:rsidRPr="00506D52">
              <w:rPr>
                <w:rFonts w:ascii="inherit" w:hAnsi="inherit"/>
                <w:sz w:val="16"/>
                <w:szCs w:val="16"/>
                <w:lang w:val="en-US" w:eastAsia="en-US"/>
              </w:rPr>
              <w:t>pm</w:t>
            </w:r>
            <w:r w:rsidRPr="00506D52">
              <w:rPr>
                <w:rFonts w:ascii="inherit" w:hAnsi="inherit"/>
                <w:sz w:val="16"/>
                <w:szCs w:val="16"/>
                <w:vertAlign w:val="superscript"/>
                <w:lang w:val="en-US" w:eastAsia="en-US"/>
              </w:rPr>
              <w:t>4)</w:t>
            </w:r>
          </w:p>
        </w:tc>
        <w:tc>
          <w:tcPr>
            <w:tcW w:w="726" w:type="dxa"/>
            <w:tcBorders>
              <w:top w:val="nil"/>
              <w:left w:val="nil"/>
              <w:bottom w:val="single" w:sz="8" w:space="0" w:color="auto"/>
              <w:right w:val="single" w:sz="8" w:space="0" w:color="auto"/>
            </w:tcBorders>
            <w:tcMar>
              <w:left w:w="28" w:type="dxa"/>
              <w:right w:w="28" w:type="dxa"/>
            </w:tcMar>
            <w:vAlign w:val="center"/>
          </w:tcPr>
          <w:p w:rsidR="004651FD" w:rsidRPr="00506D52" w:rsidRDefault="007E0D84" w:rsidP="00B27195">
            <w:pPr>
              <w:jc w:val="center"/>
              <w:rPr>
                <w:sz w:val="16"/>
                <w:szCs w:val="16"/>
                <w:vertAlign w:val="superscript"/>
              </w:rPr>
            </w:pPr>
            <w:r w:rsidRPr="00506D52">
              <w:rPr>
                <w:sz w:val="16"/>
                <w:szCs w:val="16"/>
              </w:rPr>
              <w:t>mg·m</w:t>
            </w:r>
            <w:r w:rsidRPr="00506D52">
              <w:rPr>
                <w:sz w:val="16"/>
                <w:szCs w:val="16"/>
                <w:vertAlign w:val="superscript"/>
              </w:rPr>
              <w:t>-3</w:t>
            </w:r>
          </w:p>
          <w:p w:rsidR="00B27195" w:rsidRPr="00506D52" w:rsidRDefault="00B27195" w:rsidP="00B27195">
            <w:pPr>
              <w:jc w:val="center"/>
              <w:rPr>
                <w:rFonts w:ascii="inherit" w:hAnsi="inherit"/>
                <w:sz w:val="16"/>
                <w:szCs w:val="16"/>
                <w:lang w:val="en-US" w:eastAsia="en-US"/>
              </w:rPr>
            </w:pPr>
            <w:r w:rsidRPr="00506D52">
              <w:rPr>
                <w:sz w:val="16"/>
                <w:szCs w:val="16"/>
                <w:vertAlign w:val="superscript"/>
              </w:rPr>
              <w:t>5)</w:t>
            </w:r>
          </w:p>
        </w:tc>
        <w:tc>
          <w:tcPr>
            <w:tcW w:w="789" w:type="dxa"/>
            <w:vMerge/>
            <w:tcBorders>
              <w:left w:val="nil"/>
              <w:bottom w:val="single" w:sz="8" w:space="0" w:color="auto"/>
              <w:right w:val="single" w:sz="8" w:space="0" w:color="000000"/>
            </w:tcBorders>
            <w:tcMar>
              <w:left w:w="28" w:type="dxa"/>
              <w:right w:w="28" w:type="dxa"/>
            </w:tcMar>
            <w:vAlign w:val="center"/>
          </w:tcPr>
          <w:p w:rsidR="004651FD" w:rsidRPr="00506D52" w:rsidRDefault="004651FD" w:rsidP="00AB48D9">
            <w:pPr>
              <w:jc w:val="center"/>
              <w:rPr>
                <w:rFonts w:ascii="inherit" w:hAnsi="inherit"/>
                <w:sz w:val="16"/>
                <w:szCs w:val="16"/>
                <w:lang w:val="en-US" w:eastAsia="en-US"/>
              </w:rPr>
            </w:pPr>
          </w:p>
        </w:tc>
        <w:tc>
          <w:tcPr>
            <w:tcW w:w="709" w:type="dxa"/>
            <w:vMerge/>
            <w:tcBorders>
              <w:left w:val="single" w:sz="8" w:space="0" w:color="000000"/>
              <w:bottom w:val="single" w:sz="8" w:space="0" w:color="auto"/>
              <w:right w:val="single" w:sz="8" w:space="0" w:color="000000"/>
            </w:tcBorders>
            <w:tcMar>
              <w:left w:w="28" w:type="dxa"/>
              <w:right w:w="28" w:type="dxa"/>
            </w:tcMar>
            <w:vAlign w:val="center"/>
          </w:tcPr>
          <w:p w:rsidR="004651FD" w:rsidRPr="00506D52" w:rsidRDefault="004651FD" w:rsidP="00E874B1">
            <w:pPr>
              <w:rPr>
                <w:rFonts w:ascii="inherit" w:hAnsi="inherit"/>
                <w:sz w:val="16"/>
                <w:szCs w:val="16"/>
                <w:lang w:val="en-US" w:eastAsia="en-US"/>
              </w:rPr>
            </w:pPr>
          </w:p>
        </w:tc>
        <w:tc>
          <w:tcPr>
            <w:tcW w:w="770" w:type="dxa"/>
            <w:vMerge/>
            <w:tcBorders>
              <w:top w:val="nil"/>
              <w:left w:val="single" w:sz="8" w:space="0" w:color="000000"/>
              <w:bottom w:val="single" w:sz="8" w:space="0" w:color="000000"/>
              <w:right w:val="single" w:sz="12" w:space="0" w:color="auto"/>
            </w:tcBorders>
            <w:tcMar>
              <w:left w:w="28" w:type="dxa"/>
              <w:right w:w="28" w:type="dxa"/>
            </w:tcMar>
            <w:vAlign w:val="center"/>
          </w:tcPr>
          <w:p w:rsidR="004651FD" w:rsidRPr="00506D52" w:rsidRDefault="004651FD" w:rsidP="00AB48D9">
            <w:pPr>
              <w:rPr>
                <w:rFonts w:ascii="inherit" w:hAnsi="inherit"/>
                <w:sz w:val="16"/>
                <w:szCs w:val="16"/>
                <w:lang w:val="en-US" w:eastAsia="en-US"/>
              </w:rPr>
            </w:pPr>
          </w:p>
        </w:tc>
      </w:tr>
      <w:tr w:rsidR="002F05C4" w:rsidRPr="00506D52" w:rsidTr="003336DF">
        <w:trPr>
          <w:trHeight w:val="758"/>
        </w:trPr>
        <w:tc>
          <w:tcPr>
            <w:tcW w:w="1004" w:type="dxa"/>
            <w:tcBorders>
              <w:top w:val="nil"/>
              <w:left w:val="single" w:sz="12" w:space="0" w:color="auto"/>
              <w:bottom w:val="single" w:sz="8" w:space="0" w:color="auto"/>
              <w:right w:val="single" w:sz="8" w:space="0" w:color="auto"/>
            </w:tcBorders>
            <w:noWrap/>
            <w:tcMar>
              <w:left w:w="28" w:type="dxa"/>
              <w:right w:w="28" w:type="dxa"/>
            </w:tcMar>
          </w:tcPr>
          <w:p w:rsidR="00FB7E9E" w:rsidRPr="00506D52" w:rsidRDefault="00FB7E9E"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2616" w:type="dxa"/>
            <w:tcBorders>
              <w:top w:val="nil"/>
              <w:left w:val="nil"/>
              <w:bottom w:val="single" w:sz="8" w:space="0" w:color="auto"/>
              <w:right w:val="single" w:sz="8" w:space="0" w:color="auto"/>
            </w:tcBorders>
            <w:noWrap/>
            <w:tcMar>
              <w:left w:w="28" w:type="dxa"/>
              <w:right w:w="28" w:type="dxa"/>
            </w:tcMar>
          </w:tcPr>
          <w:p w:rsidR="00FB7E9E" w:rsidRPr="00506D52" w:rsidRDefault="00E93173" w:rsidP="00AB48D9">
            <w:pPr>
              <w:rPr>
                <w:rFonts w:ascii="inherit" w:hAnsi="inherit"/>
                <w:sz w:val="16"/>
                <w:szCs w:val="16"/>
                <w:lang w:val="en-US" w:eastAsia="en-US"/>
              </w:rPr>
            </w:pPr>
            <w:r w:rsidRPr="00506D52">
              <w:rPr>
                <w:rFonts w:ascii="inherit" w:hAnsi="inherit"/>
                <w:sz w:val="16"/>
                <w:szCs w:val="16"/>
                <w:lang w:val="en-US" w:eastAsia="en-US"/>
              </w:rPr>
              <w:t>Prach z tvrdého dreva</w:t>
            </w:r>
          </w:p>
        </w:tc>
        <w:tc>
          <w:tcPr>
            <w:tcW w:w="658" w:type="dxa"/>
            <w:tcBorders>
              <w:top w:val="nil"/>
              <w:left w:val="nil"/>
              <w:bottom w:val="single" w:sz="8" w:space="0" w:color="auto"/>
              <w:right w:val="single" w:sz="8" w:space="0" w:color="auto"/>
            </w:tcBorders>
            <w:noWrap/>
            <w:tcMar>
              <w:left w:w="28" w:type="dxa"/>
              <w:right w:w="28" w:type="dxa"/>
            </w:tcMar>
          </w:tcPr>
          <w:p w:rsidR="00FB7E9E" w:rsidRPr="00506D52" w:rsidRDefault="00FB7E9E"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42" w:type="dxa"/>
            <w:tcBorders>
              <w:top w:val="nil"/>
              <w:left w:val="nil"/>
              <w:bottom w:val="single" w:sz="8" w:space="0" w:color="auto"/>
              <w:right w:val="single" w:sz="8" w:space="0" w:color="auto"/>
            </w:tcBorders>
            <w:noWrap/>
            <w:tcMar>
              <w:left w:w="28" w:type="dxa"/>
              <w:right w:w="28" w:type="dxa"/>
            </w:tcMar>
          </w:tcPr>
          <w:p w:rsidR="00FB7E9E" w:rsidRPr="00506D52" w:rsidRDefault="00FB7E9E" w:rsidP="004E26F1">
            <w:pPr>
              <w:jc w:val="center"/>
              <w:rPr>
                <w:rFonts w:ascii="inherit" w:hAnsi="inherit"/>
                <w:sz w:val="16"/>
                <w:szCs w:val="16"/>
              </w:rPr>
            </w:pPr>
            <w:r w:rsidRPr="00506D52">
              <w:rPr>
                <w:rFonts w:ascii="inherit" w:hAnsi="inherit"/>
                <w:sz w:val="16"/>
                <w:szCs w:val="16"/>
              </w:rPr>
              <w:t>2</w:t>
            </w:r>
            <w:r w:rsidR="00E93173" w:rsidRPr="00506D52">
              <w:rPr>
                <w:rFonts w:ascii="inherit" w:hAnsi="inherit"/>
                <w:sz w:val="16"/>
                <w:szCs w:val="16"/>
                <w:vertAlign w:val="superscript"/>
              </w:rPr>
              <w:t>(7</w:t>
            </w:r>
            <w:r w:rsidRPr="00506D52">
              <w:rPr>
                <w:rFonts w:ascii="inherit" w:hAnsi="inherit"/>
                <w:sz w:val="16"/>
                <w:szCs w:val="16"/>
                <w:vertAlign w:val="superscript"/>
              </w:rPr>
              <w:t>)</w:t>
            </w:r>
          </w:p>
        </w:tc>
        <w:tc>
          <w:tcPr>
            <w:tcW w:w="602" w:type="dxa"/>
            <w:tcBorders>
              <w:top w:val="nil"/>
              <w:left w:val="nil"/>
              <w:bottom w:val="single" w:sz="8" w:space="0" w:color="auto"/>
              <w:right w:val="single" w:sz="8" w:space="0" w:color="auto"/>
            </w:tcBorders>
            <w:noWrap/>
            <w:tcMar>
              <w:left w:w="28" w:type="dxa"/>
              <w:right w:w="28" w:type="dxa"/>
            </w:tcMar>
          </w:tcPr>
          <w:p w:rsidR="00FB7E9E" w:rsidRPr="00506D52" w:rsidRDefault="00FB7E9E"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tcPr>
          <w:p w:rsidR="00FB7E9E" w:rsidRPr="00506D52" w:rsidRDefault="00FB7E9E"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tcPr>
          <w:p w:rsidR="00FB7E9E" w:rsidRPr="00506D52" w:rsidRDefault="00E93173" w:rsidP="00AB48D9">
            <w:pPr>
              <w:jc w:val="center"/>
              <w:rPr>
                <w:rFonts w:ascii="inherit" w:hAnsi="inherit"/>
                <w:sz w:val="16"/>
                <w:szCs w:val="16"/>
                <w:lang w:val="en-US" w:eastAsia="en-US"/>
              </w:rPr>
            </w:pPr>
            <w:r w:rsidRPr="00506D52">
              <w:rPr>
                <w:rFonts w:ascii="inherit" w:hAnsi="inherit"/>
                <w:sz w:val="16"/>
                <w:szCs w:val="16"/>
              </w:rPr>
              <w:t>Limitná hodnota 3 mg/m</w:t>
            </w:r>
            <w:r w:rsidRPr="00506D52">
              <w:rPr>
                <w:rFonts w:ascii="inherit" w:hAnsi="inherit"/>
                <w:sz w:val="16"/>
                <w:szCs w:val="16"/>
                <w:vertAlign w:val="superscript"/>
              </w:rPr>
              <w:t>3</w:t>
            </w:r>
            <w:r w:rsidRPr="00506D52">
              <w:rPr>
                <w:rFonts w:ascii="inherit" w:hAnsi="inherit"/>
                <w:sz w:val="16"/>
                <w:szCs w:val="16"/>
              </w:rPr>
              <w:t xml:space="preserve"> do 17. januára 2023</w:t>
            </w:r>
          </w:p>
        </w:tc>
        <w:tc>
          <w:tcPr>
            <w:tcW w:w="676" w:type="dxa"/>
            <w:tcBorders>
              <w:top w:val="nil"/>
              <w:left w:val="double" w:sz="4" w:space="0" w:color="auto"/>
              <w:bottom w:val="single" w:sz="8" w:space="0" w:color="auto"/>
              <w:right w:val="single" w:sz="8" w:space="0" w:color="auto"/>
            </w:tcBorders>
            <w:tcMar>
              <w:left w:w="28" w:type="dxa"/>
              <w:right w:w="28" w:type="dxa"/>
            </w:tcMar>
          </w:tcPr>
          <w:p w:rsidR="00FB7E9E" w:rsidRPr="00506D52" w:rsidRDefault="004651FD" w:rsidP="004E26F1">
            <w:pPr>
              <w:jc w:val="center"/>
              <w:rPr>
                <w:rFonts w:ascii="inherit" w:hAnsi="inherit"/>
                <w:sz w:val="16"/>
                <w:szCs w:val="16"/>
                <w:lang w:val="en-US" w:eastAsia="en-US"/>
              </w:rPr>
            </w:pPr>
            <w:r w:rsidRPr="00506D52">
              <w:rPr>
                <w:rFonts w:ascii="inherit" w:hAnsi="inherit"/>
                <w:sz w:val="16"/>
                <w:szCs w:val="16"/>
                <w:lang w:val="en-US" w:eastAsia="en-US"/>
              </w:rPr>
              <w:t>34</w:t>
            </w:r>
            <w:r w:rsidR="00FB7E9E"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noWrap/>
            <w:tcMar>
              <w:left w:w="28" w:type="dxa"/>
              <w:right w:w="28" w:type="dxa"/>
            </w:tcMar>
          </w:tcPr>
          <w:p w:rsidR="00914A18" w:rsidRPr="00506D52" w:rsidRDefault="004651FD" w:rsidP="00914A18">
            <w:pPr>
              <w:jc w:val="left"/>
              <w:rPr>
                <w:rFonts w:ascii="inherit" w:hAnsi="inherit"/>
                <w:sz w:val="16"/>
                <w:szCs w:val="16"/>
                <w:lang w:val="en-US" w:eastAsia="en-US"/>
              </w:rPr>
            </w:pPr>
            <w:r w:rsidRPr="00506D52">
              <w:rPr>
                <w:rFonts w:ascii="inherit" w:hAnsi="inherit"/>
                <w:sz w:val="16"/>
                <w:szCs w:val="16"/>
                <w:lang w:val="en-US" w:eastAsia="en-US"/>
              </w:rPr>
              <w:t>prach z tvrdého dreva</w:t>
            </w:r>
            <w:r w:rsidR="00D371C8" w:rsidRPr="00506D52">
              <w:rPr>
                <w:rFonts w:ascii="inherit" w:hAnsi="inherit"/>
                <w:sz w:val="16"/>
                <w:szCs w:val="16"/>
                <w:vertAlign w:val="superscript"/>
                <w:lang w:val="en-US" w:eastAsia="en-US"/>
              </w:rPr>
              <w:t>16)</w:t>
            </w:r>
          </w:p>
          <w:p w:rsidR="00FB7E9E" w:rsidRPr="00506D52" w:rsidRDefault="004651FD" w:rsidP="00914A18">
            <w:pPr>
              <w:jc w:val="left"/>
              <w:rPr>
                <w:rFonts w:ascii="inherit" w:hAnsi="inherit"/>
                <w:sz w:val="16"/>
                <w:szCs w:val="16"/>
                <w:vertAlign w:val="superscript"/>
                <w:lang w:val="en-US" w:eastAsia="en-US"/>
              </w:rPr>
            </w:pPr>
            <w:r w:rsidRPr="00506D52">
              <w:rPr>
                <w:rFonts w:ascii="inherit" w:hAnsi="inherit"/>
                <w:sz w:val="16"/>
                <w:szCs w:val="16"/>
                <w:lang w:val="en-US" w:eastAsia="en-US"/>
              </w:rPr>
              <w:t>(dub, buk)</w:t>
            </w:r>
          </w:p>
          <w:p w:rsidR="00D371C8" w:rsidRPr="00506D52" w:rsidRDefault="00D371C8" w:rsidP="00D371C8">
            <w:pPr>
              <w:jc w:val="left"/>
              <w:rPr>
                <w:rFonts w:ascii="inherit" w:hAnsi="inherit"/>
                <w:sz w:val="16"/>
                <w:szCs w:val="16"/>
                <w:vertAlign w:val="superscript"/>
                <w:lang w:val="en-US" w:eastAsia="en-US"/>
              </w:rPr>
            </w:pPr>
            <w:r w:rsidRPr="00506D52">
              <w:rPr>
                <w:rFonts w:ascii="inherit" w:hAnsi="inherit"/>
                <w:sz w:val="16"/>
                <w:szCs w:val="16"/>
                <w:lang w:val="en-US" w:eastAsia="en-US"/>
              </w:rPr>
              <w:t>inhalovateľná frakcia</w:t>
            </w:r>
            <w:r w:rsidRPr="00506D52">
              <w:rPr>
                <w:rFonts w:ascii="inherit" w:hAnsi="inherit"/>
                <w:sz w:val="16"/>
                <w:szCs w:val="16"/>
                <w:vertAlign w:val="superscript"/>
                <w:lang w:val="en-US" w:eastAsia="en-US"/>
              </w:rPr>
              <w:t>17)</w:t>
            </w:r>
          </w:p>
        </w:tc>
        <w:tc>
          <w:tcPr>
            <w:tcW w:w="861" w:type="dxa"/>
            <w:tcBorders>
              <w:top w:val="nil"/>
              <w:left w:val="nil"/>
              <w:bottom w:val="single" w:sz="8" w:space="0" w:color="auto"/>
              <w:right w:val="single" w:sz="8" w:space="0" w:color="auto"/>
            </w:tcBorders>
            <w:tcMar>
              <w:left w:w="28" w:type="dxa"/>
              <w:right w:w="28" w:type="dxa"/>
            </w:tcMar>
          </w:tcPr>
          <w:p w:rsidR="00FB7E9E" w:rsidRPr="00506D52" w:rsidRDefault="004651FD" w:rsidP="004E26F1">
            <w:pPr>
              <w:jc w:val="center"/>
              <w:rPr>
                <w:rFonts w:ascii="inherit" w:hAnsi="inherit"/>
                <w:sz w:val="16"/>
                <w:szCs w:val="16"/>
                <w:lang w:val="en-US" w:eastAsia="en-US"/>
              </w:rPr>
            </w:pPr>
            <w:r w:rsidRPr="00506D52">
              <w:rPr>
                <w:rFonts w:ascii="inherit" w:hAnsi="inherit"/>
                <w:sz w:val="16"/>
                <w:szCs w:val="16"/>
                <w:lang w:val="en-US" w:eastAsia="en-US"/>
              </w:rPr>
              <w:t>—</w:t>
            </w:r>
          </w:p>
        </w:tc>
        <w:tc>
          <w:tcPr>
            <w:tcW w:w="691" w:type="dxa"/>
            <w:tcBorders>
              <w:top w:val="nil"/>
              <w:left w:val="nil"/>
              <w:bottom w:val="single" w:sz="8" w:space="0" w:color="auto"/>
              <w:right w:val="single" w:sz="8" w:space="0" w:color="auto"/>
            </w:tcBorders>
            <w:tcMar>
              <w:left w:w="28" w:type="dxa"/>
              <w:right w:w="28" w:type="dxa"/>
            </w:tcMar>
          </w:tcPr>
          <w:p w:rsidR="00FB7E9E" w:rsidRPr="00506D52" w:rsidRDefault="00FB7E9E" w:rsidP="004E26F1">
            <w:pPr>
              <w:jc w:val="center"/>
              <w:rPr>
                <w:rFonts w:ascii="inherit" w:hAnsi="inherit"/>
                <w:sz w:val="16"/>
                <w:szCs w:val="16"/>
                <w:lang w:val="en-US" w:eastAsia="en-US"/>
              </w:rPr>
            </w:pPr>
            <w:r w:rsidRPr="00506D52">
              <w:rPr>
                <w:rFonts w:ascii="inherit" w:hAnsi="inherit"/>
                <w:sz w:val="16"/>
                <w:szCs w:val="16"/>
                <w:lang w:val="en-US" w:eastAsia="en-US"/>
              </w:rPr>
              <w:t>—</w:t>
            </w:r>
          </w:p>
          <w:p w:rsidR="00FB7E9E" w:rsidRPr="00506D52" w:rsidRDefault="00FB7E9E" w:rsidP="004E26F1">
            <w:pPr>
              <w:jc w:val="center"/>
              <w:rPr>
                <w:rFonts w:ascii="inherit" w:hAnsi="inherit"/>
                <w:sz w:val="16"/>
                <w:szCs w:val="16"/>
                <w:lang w:val="en-US" w:eastAsia="en-US"/>
              </w:rPr>
            </w:pPr>
          </w:p>
        </w:tc>
        <w:tc>
          <w:tcPr>
            <w:tcW w:w="726" w:type="dxa"/>
            <w:tcBorders>
              <w:top w:val="nil"/>
              <w:left w:val="nil"/>
              <w:bottom w:val="single" w:sz="8" w:space="0" w:color="auto"/>
              <w:right w:val="single" w:sz="8" w:space="0" w:color="auto"/>
            </w:tcBorders>
            <w:tcMar>
              <w:left w:w="28" w:type="dxa"/>
              <w:right w:w="28" w:type="dxa"/>
            </w:tcMar>
          </w:tcPr>
          <w:p w:rsidR="00FB7E9E" w:rsidRPr="00506D52" w:rsidRDefault="004651FD" w:rsidP="004E26F1">
            <w:pPr>
              <w:jc w:val="center"/>
              <w:rPr>
                <w:rFonts w:ascii="inherit" w:hAnsi="inherit"/>
                <w:sz w:val="16"/>
                <w:szCs w:val="16"/>
              </w:rPr>
            </w:pPr>
            <w:r w:rsidRPr="00506D52">
              <w:rPr>
                <w:rFonts w:ascii="inherit" w:hAnsi="inherit"/>
                <w:sz w:val="16"/>
                <w:szCs w:val="16"/>
              </w:rPr>
              <w:t>2</w:t>
            </w:r>
          </w:p>
          <w:p w:rsidR="00B27195" w:rsidRPr="00506D52" w:rsidRDefault="00B27195" w:rsidP="004E26F1">
            <w:pPr>
              <w:jc w:val="center"/>
              <w:rPr>
                <w:rFonts w:ascii="inherit" w:hAnsi="inherit"/>
                <w:sz w:val="16"/>
                <w:szCs w:val="16"/>
              </w:rPr>
            </w:pPr>
            <w:r w:rsidRPr="00506D52">
              <w:rPr>
                <w:rFonts w:ascii="inherit" w:hAnsi="inherit"/>
                <w:sz w:val="16"/>
                <w:szCs w:val="16"/>
              </w:rPr>
              <w:t>3</w:t>
            </w:r>
          </w:p>
          <w:p w:rsidR="00FB7E9E" w:rsidRPr="00506D52" w:rsidRDefault="00FB7E9E" w:rsidP="004E26F1">
            <w:pPr>
              <w:jc w:val="center"/>
              <w:rPr>
                <w:rFonts w:ascii="inherit" w:hAnsi="inherit"/>
                <w:sz w:val="16"/>
                <w:szCs w:val="16"/>
              </w:rPr>
            </w:pPr>
          </w:p>
        </w:tc>
        <w:tc>
          <w:tcPr>
            <w:tcW w:w="789" w:type="dxa"/>
            <w:tcBorders>
              <w:top w:val="nil"/>
              <w:left w:val="nil"/>
              <w:bottom w:val="single" w:sz="8" w:space="0" w:color="auto"/>
              <w:right w:val="single" w:sz="8" w:space="0" w:color="auto"/>
            </w:tcBorders>
            <w:tcMar>
              <w:left w:w="28" w:type="dxa"/>
              <w:right w:w="28" w:type="dxa"/>
            </w:tcMar>
          </w:tcPr>
          <w:p w:rsidR="00FB7E9E" w:rsidRPr="00506D52" w:rsidRDefault="004651FD" w:rsidP="004E26F1">
            <w:pPr>
              <w:jc w:val="center"/>
              <w:rPr>
                <w:rFonts w:ascii="inherit" w:hAnsi="inherit"/>
                <w:sz w:val="16"/>
                <w:szCs w:val="16"/>
                <w:lang w:val="en-US" w:eastAsia="en-US"/>
              </w:rPr>
            </w:pPr>
            <w:r w:rsidRPr="00506D52">
              <w:rPr>
                <w:rFonts w:ascii="inherit" w:hAnsi="inherit"/>
                <w:sz w:val="16"/>
                <w:szCs w:val="16"/>
                <w:lang w:val="en-US" w:eastAsia="en-US"/>
              </w:rPr>
              <w:t>1A</w:t>
            </w:r>
          </w:p>
          <w:p w:rsidR="00FB7E9E" w:rsidRPr="00506D52" w:rsidRDefault="00FB7E9E" w:rsidP="004E26F1">
            <w:pPr>
              <w:jc w:val="center"/>
              <w:rPr>
                <w:rFonts w:ascii="inherit" w:hAnsi="inherit"/>
                <w:sz w:val="16"/>
                <w:szCs w:val="16"/>
                <w:lang w:val="en-US" w:eastAsia="en-US"/>
              </w:rPr>
            </w:pPr>
          </w:p>
        </w:tc>
        <w:tc>
          <w:tcPr>
            <w:tcW w:w="709" w:type="dxa"/>
            <w:tcBorders>
              <w:top w:val="nil"/>
              <w:left w:val="nil"/>
              <w:bottom w:val="single" w:sz="8" w:space="0" w:color="auto"/>
              <w:right w:val="single" w:sz="8" w:space="0" w:color="auto"/>
            </w:tcBorders>
            <w:tcMar>
              <w:left w:w="28" w:type="dxa"/>
              <w:right w:w="28" w:type="dxa"/>
            </w:tcMar>
          </w:tcPr>
          <w:p w:rsidR="00FB7E9E" w:rsidRPr="00506D52" w:rsidRDefault="00FB7E9E" w:rsidP="004E26F1">
            <w:pPr>
              <w:jc w:val="center"/>
              <w:rPr>
                <w:rFonts w:ascii="inherit" w:hAnsi="inherit"/>
                <w:sz w:val="16"/>
                <w:szCs w:val="16"/>
                <w:lang w:val="en-US" w:eastAsia="en-US"/>
              </w:rPr>
            </w:pPr>
            <w:r w:rsidRPr="00506D52">
              <w:rPr>
                <w:rFonts w:ascii="inherit" w:hAnsi="inherit"/>
                <w:sz w:val="16"/>
                <w:szCs w:val="16"/>
                <w:lang w:val="en-US" w:eastAsia="en-US"/>
              </w:rPr>
              <w:t>—</w:t>
            </w:r>
          </w:p>
          <w:p w:rsidR="00FB7E9E" w:rsidRPr="00506D52" w:rsidRDefault="00FB7E9E" w:rsidP="004E26F1">
            <w:pPr>
              <w:jc w:val="center"/>
              <w:rPr>
                <w:rFonts w:ascii="inherit" w:hAnsi="inherit"/>
                <w:sz w:val="16"/>
                <w:szCs w:val="16"/>
                <w:lang w:val="en-US" w:eastAsia="en-US"/>
              </w:rPr>
            </w:pPr>
          </w:p>
        </w:tc>
        <w:tc>
          <w:tcPr>
            <w:tcW w:w="770" w:type="dxa"/>
            <w:tcBorders>
              <w:top w:val="nil"/>
              <w:left w:val="nil"/>
              <w:bottom w:val="single" w:sz="8" w:space="0" w:color="auto"/>
              <w:right w:val="single" w:sz="12" w:space="0" w:color="auto"/>
            </w:tcBorders>
            <w:tcMar>
              <w:left w:w="28" w:type="dxa"/>
              <w:right w:w="28" w:type="dxa"/>
            </w:tcMar>
          </w:tcPr>
          <w:p w:rsidR="00B27195" w:rsidRPr="00506D52" w:rsidRDefault="00B27195" w:rsidP="00B27195">
            <w:pPr>
              <w:jc w:val="center"/>
              <w:rPr>
                <w:rFonts w:ascii="inherit" w:hAnsi="inherit"/>
                <w:sz w:val="16"/>
                <w:szCs w:val="16"/>
                <w:lang w:val="en-US" w:eastAsia="en-US"/>
              </w:rPr>
            </w:pPr>
            <w:r w:rsidRPr="00506D52">
              <w:rPr>
                <w:rFonts w:ascii="inherit" w:hAnsi="inherit"/>
                <w:sz w:val="16"/>
                <w:szCs w:val="16"/>
                <w:lang w:val="en-US" w:eastAsia="en-US"/>
              </w:rPr>
              <w:t>—</w:t>
            </w:r>
          </w:p>
          <w:p w:rsidR="00FB7E9E" w:rsidRPr="00506D52" w:rsidRDefault="000E7D33" w:rsidP="000E7D33">
            <w:pPr>
              <w:rPr>
                <w:rFonts w:ascii="inherit" w:hAnsi="inherit"/>
                <w:sz w:val="16"/>
                <w:szCs w:val="16"/>
                <w:lang w:val="en-US" w:eastAsia="en-US"/>
              </w:rPr>
            </w:pPr>
            <w:r w:rsidRPr="00506D52">
              <w:rPr>
                <w:rFonts w:ascii="inherit" w:hAnsi="inherit"/>
                <w:sz w:val="16"/>
                <w:szCs w:val="16"/>
                <w:lang w:val="en-US" w:eastAsia="en-US"/>
              </w:rPr>
              <w:t>TSH do 17.1.2023</w:t>
            </w:r>
          </w:p>
          <w:p w:rsidR="000E7D33" w:rsidRPr="00506D52" w:rsidRDefault="000E7D33" w:rsidP="000E7D33">
            <w:pPr>
              <w:jc w:val="center"/>
              <w:rPr>
                <w:rFonts w:ascii="inherit" w:hAnsi="inherit"/>
                <w:sz w:val="16"/>
                <w:szCs w:val="16"/>
                <w:lang w:val="en-US" w:eastAsia="en-US"/>
              </w:rPr>
            </w:pP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center"/>
          </w:tcPr>
          <w:p w:rsidR="00FB7E9E" w:rsidRPr="00506D52" w:rsidRDefault="00E93173" w:rsidP="00E93173">
            <w:pPr>
              <w:jc w:val="center"/>
              <w:rPr>
                <w:rFonts w:ascii="inherit" w:hAnsi="inherit"/>
                <w:sz w:val="16"/>
                <w:szCs w:val="16"/>
                <w:lang w:val="en-US" w:eastAsia="en-US"/>
              </w:rPr>
            </w:pPr>
            <w:r w:rsidRPr="00506D52">
              <w:rPr>
                <w:rFonts w:ascii="inherit" w:hAnsi="inherit"/>
                <w:sz w:val="16"/>
                <w:szCs w:val="16"/>
                <w:lang w:val="en-US" w:eastAsia="en-US"/>
              </w:rPr>
              <w:t>-</w:t>
            </w:r>
          </w:p>
        </w:tc>
        <w:tc>
          <w:tcPr>
            <w:tcW w:w="2616" w:type="dxa"/>
            <w:tcBorders>
              <w:top w:val="nil"/>
              <w:left w:val="nil"/>
              <w:bottom w:val="single" w:sz="8" w:space="0" w:color="auto"/>
              <w:right w:val="single" w:sz="8" w:space="0" w:color="auto"/>
            </w:tcBorders>
            <w:noWrap/>
            <w:tcMar>
              <w:left w:w="28" w:type="dxa"/>
              <w:right w:w="28" w:type="dxa"/>
            </w:tcMar>
          </w:tcPr>
          <w:p w:rsidR="00E93173" w:rsidRPr="00506D52" w:rsidRDefault="00E93173" w:rsidP="009313EE">
            <w:pPr>
              <w:spacing w:before="50" w:after="50"/>
              <w:jc w:val="left"/>
              <w:rPr>
                <w:sz w:val="16"/>
                <w:szCs w:val="16"/>
              </w:rPr>
            </w:pPr>
            <w:r w:rsidRPr="00506D52">
              <w:rPr>
                <w:sz w:val="16"/>
                <w:szCs w:val="16"/>
              </w:rPr>
              <w:t>Zlúčeniny šesťmocného chrómu, ktoré sú karcinogénmi v zmysle článku 2 písm. a) bodu i)</w:t>
            </w:r>
          </w:p>
          <w:p w:rsidR="00FB7E9E" w:rsidRPr="00506D52" w:rsidRDefault="00E93173" w:rsidP="009313EE">
            <w:pPr>
              <w:spacing w:before="50" w:after="50"/>
              <w:jc w:val="left"/>
              <w:rPr>
                <w:sz w:val="22"/>
                <w:szCs w:val="22"/>
              </w:rPr>
            </w:pPr>
            <w:r w:rsidRPr="00506D52">
              <w:rPr>
                <w:sz w:val="16"/>
                <w:szCs w:val="16"/>
              </w:rPr>
              <w:t>(ako chróm)</w:t>
            </w:r>
          </w:p>
        </w:tc>
        <w:tc>
          <w:tcPr>
            <w:tcW w:w="658" w:type="dxa"/>
            <w:tcBorders>
              <w:top w:val="nil"/>
              <w:left w:val="nil"/>
              <w:bottom w:val="single" w:sz="8" w:space="0" w:color="auto"/>
              <w:right w:val="single" w:sz="8" w:space="0" w:color="auto"/>
            </w:tcBorders>
            <w:noWrap/>
            <w:tcMar>
              <w:left w:w="28" w:type="dxa"/>
              <w:right w:w="28" w:type="dxa"/>
            </w:tcMar>
          </w:tcPr>
          <w:p w:rsidR="00FB7E9E" w:rsidRPr="00506D52" w:rsidRDefault="00E93173" w:rsidP="009313EE">
            <w:pPr>
              <w:jc w:val="center"/>
              <w:rPr>
                <w:rFonts w:ascii="inherit" w:hAnsi="inherit"/>
                <w:sz w:val="16"/>
                <w:szCs w:val="16"/>
                <w:lang w:val="en-US" w:eastAsia="en-US"/>
              </w:rPr>
            </w:pPr>
            <w:r w:rsidRPr="00506D52">
              <w:rPr>
                <w:rFonts w:ascii="inherit" w:hAnsi="inherit"/>
                <w:sz w:val="16"/>
                <w:szCs w:val="16"/>
                <w:lang w:val="en-US" w:eastAsia="en-US"/>
              </w:rPr>
              <w:t>—</w:t>
            </w:r>
          </w:p>
        </w:tc>
        <w:tc>
          <w:tcPr>
            <w:tcW w:w="742" w:type="dxa"/>
            <w:tcBorders>
              <w:top w:val="nil"/>
              <w:left w:val="nil"/>
              <w:bottom w:val="single" w:sz="8" w:space="0" w:color="auto"/>
              <w:right w:val="single" w:sz="8" w:space="0" w:color="auto"/>
            </w:tcBorders>
            <w:noWrap/>
            <w:tcMar>
              <w:left w:w="28" w:type="dxa"/>
              <w:right w:w="28" w:type="dxa"/>
            </w:tcMar>
          </w:tcPr>
          <w:p w:rsidR="00FB7E9E" w:rsidRPr="00506D52" w:rsidRDefault="00E93173" w:rsidP="009313EE">
            <w:pPr>
              <w:jc w:val="center"/>
              <w:rPr>
                <w:rFonts w:ascii="inherit" w:hAnsi="inherit"/>
                <w:sz w:val="16"/>
                <w:szCs w:val="16"/>
              </w:rPr>
            </w:pPr>
            <w:r w:rsidRPr="00506D52">
              <w:rPr>
                <w:rFonts w:ascii="inherit" w:hAnsi="inherit"/>
                <w:sz w:val="16"/>
                <w:szCs w:val="16"/>
              </w:rPr>
              <w:t>0,005</w:t>
            </w:r>
          </w:p>
        </w:tc>
        <w:tc>
          <w:tcPr>
            <w:tcW w:w="602" w:type="dxa"/>
            <w:tcBorders>
              <w:top w:val="nil"/>
              <w:left w:val="nil"/>
              <w:bottom w:val="single" w:sz="8" w:space="0" w:color="auto"/>
              <w:right w:val="single" w:sz="8" w:space="0" w:color="auto"/>
            </w:tcBorders>
            <w:noWrap/>
            <w:tcMar>
              <w:left w:w="28" w:type="dxa"/>
              <w:right w:w="28" w:type="dxa"/>
            </w:tcMar>
          </w:tcPr>
          <w:p w:rsidR="00FB7E9E" w:rsidRPr="00506D52" w:rsidRDefault="00E93173" w:rsidP="009313EE">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tcPr>
          <w:p w:rsidR="00FB7E9E" w:rsidRPr="00506D52" w:rsidRDefault="00E93173" w:rsidP="009313EE">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E93173" w:rsidP="00E93173">
            <w:pPr>
              <w:spacing w:before="50" w:after="50"/>
              <w:jc w:val="left"/>
              <w:rPr>
                <w:sz w:val="16"/>
                <w:szCs w:val="16"/>
              </w:rPr>
            </w:pPr>
            <w:r w:rsidRPr="00506D52">
              <w:rPr>
                <w:sz w:val="16"/>
                <w:szCs w:val="16"/>
              </w:rPr>
              <w:t>Limitná hodnota 0,010 mg/m</w:t>
            </w:r>
            <w:r w:rsidRPr="00506D52">
              <w:rPr>
                <w:sz w:val="16"/>
                <w:szCs w:val="16"/>
                <w:vertAlign w:val="superscript"/>
              </w:rPr>
              <w:t>3</w:t>
            </w:r>
            <w:r w:rsidRPr="00506D52">
              <w:rPr>
                <w:sz w:val="16"/>
                <w:szCs w:val="16"/>
              </w:rPr>
              <w:t xml:space="preserve"> do 17. januára 2025</w:t>
            </w:r>
          </w:p>
          <w:p w:rsidR="00FB7E9E" w:rsidRPr="00506D52" w:rsidRDefault="00E93173" w:rsidP="00E93173">
            <w:pPr>
              <w:spacing w:before="50" w:after="50"/>
              <w:jc w:val="left"/>
              <w:rPr>
                <w:sz w:val="16"/>
                <w:szCs w:val="16"/>
              </w:rPr>
            </w:pPr>
            <w:r w:rsidRPr="00506D52">
              <w:rPr>
                <w:sz w:val="16"/>
                <w:szCs w:val="16"/>
              </w:rPr>
              <w:t>Limitná hodnota: 0,025 mg/m</w:t>
            </w:r>
            <w:r w:rsidRPr="00506D52">
              <w:rPr>
                <w:sz w:val="16"/>
                <w:szCs w:val="16"/>
                <w:vertAlign w:val="superscript"/>
              </w:rPr>
              <w:t>3</w:t>
            </w:r>
            <w:r w:rsidRPr="00506D52">
              <w:rPr>
                <w:sz w:val="16"/>
                <w:szCs w:val="16"/>
              </w:rPr>
              <w:t xml:space="preserve"> pre zváranie alebo rezanie plazmou alebo obdobné pracovné procesy, pri ktorých vznikajú výpary do 17. januára 2025</w:t>
            </w:r>
          </w:p>
        </w:tc>
        <w:tc>
          <w:tcPr>
            <w:tcW w:w="676" w:type="dxa"/>
            <w:tcBorders>
              <w:top w:val="nil"/>
              <w:left w:val="double" w:sz="4" w:space="0" w:color="auto"/>
              <w:bottom w:val="single" w:sz="8" w:space="0" w:color="auto"/>
              <w:right w:val="single" w:sz="8" w:space="0" w:color="auto"/>
            </w:tcBorders>
            <w:tcMar>
              <w:left w:w="28" w:type="dxa"/>
              <w:right w:w="28" w:type="dxa"/>
            </w:tcMar>
          </w:tcPr>
          <w:p w:rsidR="00FB7E9E" w:rsidRPr="00506D52" w:rsidRDefault="004651FD" w:rsidP="00AB48D9">
            <w:pPr>
              <w:jc w:val="center"/>
              <w:rPr>
                <w:rFonts w:ascii="inherit" w:hAnsi="inherit"/>
                <w:sz w:val="16"/>
                <w:szCs w:val="16"/>
                <w:lang w:val="en-US" w:eastAsia="en-US"/>
              </w:rPr>
            </w:pPr>
            <w:r w:rsidRPr="00506D52">
              <w:rPr>
                <w:rFonts w:ascii="inherit" w:hAnsi="inherit"/>
                <w:sz w:val="16"/>
                <w:szCs w:val="16"/>
                <w:lang w:val="en-US" w:eastAsia="en-US"/>
              </w:rPr>
              <w:t>27.</w:t>
            </w:r>
          </w:p>
        </w:tc>
        <w:tc>
          <w:tcPr>
            <w:tcW w:w="2716" w:type="dxa"/>
            <w:tcBorders>
              <w:top w:val="nil"/>
              <w:left w:val="nil"/>
              <w:bottom w:val="single" w:sz="8" w:space="0" w:color="auto"/>
              <w:right w:val="single" w:sz="8" w:space="0" w:color="auto"/>
            </w:tcBorders>
            <w:noWrap/>
            <w:tcMar>
              <w:left w:w="28" w:type="dxa"/>
              <w:right w:w="28" w:type="dxa"/>
            </w:tcMar>
          </w:tcPr>
          <w:p w:rsidR="00717AD9" w:rsidRPr="00506D52" w:rsidRDefault="00717AD9" w:rsidP="009313EE">
            <w:pPr>
              <w:jc w:val="left"/>
              <w:rPr>
                <w:sz w:val="18"/>
                <w:szCs w:val="18"/>
              </w:rPr>
            </w:pPr>
            <w:r w:rsidRPr="00506D52">
              <w:rPr>
                <w:sz w:val="18"/>
                <w:szCs w:val="18"/>
              </w:rPr>
              <w:t>chróm (VI) a jeho zlúčeniny</w:t>
            </w:r>
            <w:r w:rsidRPr="00506D52">
              <w:rPr>
                <w:sz w:val="18"/>
                <w:szCs w:val="18"/>
                <w:vertAlign w:val="superscript"/>
              </w:rPr>
              <w:t>13)</w:t>
            </w:r>
          </w:p>
          <w:p w:rsidR="00717AD9" w:rsidRPr="00506D52" w:rsidRDefault="00717AD9" w:rsidP="009313EE">
            <w:pPr>
              <w:jc w:val="left"/>
              <w:rPr>
                <w:sz w:val="18"/>
                <w:szCs w:val="18"/>
              </w:rPr>
            </w:pPr>
            <w:r w:rsidRPr="00506D52">
              <w:rPr>
                <w:sz w:val="18"/>
                <w:szCs w:val="18"/>
              </w:rPr>
              <w:t>ako prach a aerosól (ako  Cr) inhalovateľná frakcia</w:t>
            </w:r>
          </w:p>
          <w:p w:rsidR="00717AD9" w:rsidRPr="00506D52" w:rsidRDefault="00717AD9" w:rsidP="009313EE">
            <w:pPr>
              <w:tabs>
                <w:tab w:val="num" w:pos="109"/>
              </w:tabs>
              <w:ind w:left="109" w:hanging="109"/>
              <w:jc w:val="left"/>
              <w:rPr>
                <w:sz w:val="18"/>
                <w:szCs w:val="18"/>
              </w:rPr>
            </w:pPr>
            <w:r w:rsidRPr="00506D52">
              <w:rPr>
                <w:sz w:val="18"/>
                <w:szCs w:val="18"/>
              </w:rPr>
              <w:t xml:space="preserve">- zváranie alebo rezanie plazmou alebo obdobné pracovné procesy, pri ktorých vznikajú výpary </w:t>
            </w:r>
            <w:r w:rsidRPr="00506D52">
              <w:rPr>
                <w:sz w:val="18"/>
                <w:szCs w:val="18"/>
                <w:vertAlign w:val="superscript"/>
              </w:rPr>
              <w:t>14)</w:t>
            </w:r>
            <w:r w:rsidRPr="00506D52">
              <w:rPr>
                <w:sz w:val="18"/>
                <w:szCs w:val="18"/>
              </w:rPr>
              <w:t xml:space="preserve"> </w:t>
            </w:r>
          </w:p>
          <w:p w:rsidR="00FB7E9E" w:rsidRPr="00506D52" w:rsidRDefault="00717AD9" w:rsidP="009313EE">
            <w:pPr>
              <w:spacing w:before="0"/>
              <w:jc w:val="left"/>
              <w:rPr>
                <w:i/>
                <w:sz w:val="20"/>
                <w:szCs w:val="20"/>
              </w:rPr>
            </w:pPr>
            <w:r w:rsidRPr="00506D52">
              <w:rPr>
                <w:i/>
                <w:sz w:val="20"/>
                <w:szCs w:val="20"/>
              </w:rPr>
              <w:t xml:space="preserve"> </w:t>
            </w:r>
          </w:p>
          <w:p w:rsidR="00831230" w:rsidRPr="00506D52" w:rsidRDefault="00831230" w:rsidP="009313EE">
            <w:pPr>
              <w:spacing w:before="0"/>
              <w:jc w:val="left"/>
              <w:rPr>
                <w:rFonts w:ascii="inherit" w:hAnsi="inherit"/>
                <w:sz w:val="16"/>
                <w:szCs w:val="16"/>
                <w:lang w:val="en-US" w:eastAsia="en-US"/>
              </w:rPr>
            </w:pPr>
          </w:p>
        </w:tc>
        <w:tc>
          <w:tcPr>
            <w:tcW w:w="861" w:type="dxa"/>
            <w:tcBorders>
              <w:top w:val="nil"/>
              <w:left w:val="nil"/>
              <w:bottom w:val="single" w:sz="8" w:space="0" w:color="auto"/>
              <w:right w:val="single" w:sz="8" w:space="0" w:color="auto"/>
            </w:tcBorders>
            <w:tcMar>
              <w:left w:w="28" w:type="dxa"/>
              <w:right w:w="28" w:type="dxa"/>
            </w:tcMar>
          </w:tcPr>
          <w:p w:rsidR="00FB7E9E" w:rsidRPr="00506D52" w:rsidRDefault="004651FD" w:rsidP="004651FD">
            <w:pPr>
              <w:jc w:val="center"/>
              <w:rPr>
                <w:rFonts w:ascii="inherit" w:hAnsi="inherit"/>
                <w:sz w:val="16"/>
                <w:szCs w:val="16"/>
                <w:lang w:val="en-US" w:eastAsia="en-US"/>
              </w:rPr>
            </w:pPr>
            <w:r w:rsidRPr="00506D52">
              <w:rPr>
                <w:rFonts w:ascii="inherit" w:hAnsi="inherit"/>
                <w:sz w:val="16"/>
                <w:szCs w:val="16"/>
                <w:lang w:val="en-US" w:eastAsia="en-US"/>
              </w:rPr>
              <w:t>1333-82-0</w:t>
            </w:r>
          </w:p>
        </w:tc>
        <w:tc>
          <w:tcPr>
            <w:tcW w:w="691" w:type="dxa"/>
            <w:tcBorders>
              <w:top w:val="nil"/>
              <w:left w:val="nil"/>
              <w:bottom w:val="single" w:sz="8" w:space="0" w:color="auto"/>
              <w:right w:val="single" w:sz="8" w:space="0" w:color="auto"/>
            </w:tcBorders>
            <w:tcMar>
              <w:left w:w="28" w:type="dxa"/>
              <w:right w:w="28" w:type="dxa"/>
            </w:tcMar>
          </w:tcPr>
          <w:p w:rsidR="00FB7E9E" w:rsidRPr="00506D52" w:rsidRDefault="00E66D35" w:rsidP="00E66D35">
            <w:pPr>
              <w:jc w:val="center"/>
              <w:rPr>
                <w:rFonts w:ascii="inherit" w:hAnsi="inherit"/>
                <w:sz w:val="16"/>
                <w:szCs w:val="16"/>
                <w:lang w:val="en-US" w:eastAsia="en-US"/>
              </w:rPr>
            </w:pPr>
            <w:r w:rsidRPr="00506D52">
              <w:rPr>
                <w:rFonts w:ascii="inherit" w:hAnsi="inherit"/>
                <w:sz w:val="16"/>
                <w:szCs w:val="16"/>
                <w:lang w:val="en-US" w:eastAsia="en-US"/>
              </w:rPr>
              <w:t>—</w:t>
            </w:r>
          </w:p>
          <w:p w:rsidR="004651FD" w:rsidRPr="00506D52" w:rsidRDefault="004651FD" w:rsidP="00E66D35">
            <w:pPr>
              <w:jc w:val="center"/>
              <w:rPr>
                <w:rFonts w:ascii="inherit" w:hAnsi="inherit"/>
                <w:sz w:val="16"/>
                <w:szCs w:val="16"/>
                <w:lang w:val="en-US" w:eastAsia="en-US"/>
              </w:rPr>
            </w:pPr>
          </w:p>
          <w:p w:rsidR="004651FD" w:rsidRPr="00506D52" w:rsidRDefault="004651FD" w:rsidP="00E66D35">
            <w:pPr>
              <w:jc w:val="center"/>
              <w:rPr>
                <w:rFonts w:ascii="inherit" w:hAnsi="inherit"/>
                <w:sz w:val="16"/>
                <w:szCs w:val="16"/>
                <w:lang w:val="en-US" w:eastAsia="en-US"/>
              </w:rPr>
            </w:pPr>
          </w:p>
          <w:p w:rsidR="004651FD" w:rsidRPr="00506D52" w:rsidRDefault="004651FD" w:rsidP="00D371C8">
            <w:pPr>
              <w:jc w:val="center"/>
              <w:rPr>
                <w:rFonts w:ascii="inherit" w:hAnsi="inherit"/>
                <w:sz w:val="16"/>
                <w:szCs w:val="16"/>
                <w:lang w:val="en-US" w:eastAsia="en-US"/>
              </w:rPr>
            </w:pPr>
          </w:p>
        </w:tc>
        <w:tc>
          <w:tcPr>
            <w:tcW w:w="726" w:type="dxa"/>
            <w:tcBorders>
              <w:top w:val="nil"/>
              <w:left w:val="nil"/>
              <w:bottom w:val="single" w:sz="8" w:space="0" w:color="auto"/>
              <w:right w:val="single" w:sz="8" w:space="0" w:color="auto"/>
            </w:tcBorders>
            <w:tcMar>
              <w:left w:w="28" w:type="dxa"/>
              <w:right w:w="28" w:type="dxa"/>
            </w:tcMar>
          </w:tcPr>
          <w:p w:rsidR="00FB7E9E" w:rsidRPr="00506D52" w:rsidRDefault="004651FD" w:rsidP="009313EE">
            <w:pPr>
              <w:jc w:val="center"/>
              <w:rPr>
                <w:rFonts w:ascii="inherit" w:hAnsi="inherit"/>
                <w:sz w:val="16"/>
                <w:szCs w:val="16"/>
              </w:rPr>
            </w:pPr>
            <w:r w:rsidRPr="00506D52">
              <w:rPr>
                <w:rFonts w:ascii="inherit" w:hAnsi="inherit"/>
                <w:sz w:val="16"/>
                <w:szCs w:val="16"/>
              </w:rPr>
              <w:t>0,005</w:t>
            </w:r>
          </w:p>
          <w:p w:rsidR="00B27195" w:rsidRPr="00506D52" w:rsidRDefault="00B27195" w:rsidP="009313EE">
            <w:pPr>
              <w:jc w:val="center"/>
              <w:rPr>
                <w:rFonts w:ascii="inherit" w:hAnsi="inherit"/>
                <w:sz w:val="16"/>
                <w:szCs w:val="16"/>
              </w:rPr>
            </w:pPr>
            <w:r w:rsidRPr="00506D52">
              <w:rPr>
                <w:rFonts w:ascii="inherit" w:hAnsi="inherit"/>
                <w:sz w:val="16"/>
                <w:szCs w:val="16"/>
              </w:rPr>
              <w:t>0,010</w:t>
            </w:r>
          </w:p>
          <w:p w:rsidR="00B27195" w:rsidRPr="00506D52" w:rsidRDefault="00B27195" w:rsidP="009313EE">
            <w:pPr>
              <w:jc w:val="center"/>
              <w:rPr>
                <w:rFonts w:ascii="inherit" w:hAnsi="inherit"/>
                <w:sz w:val="16"/>
                <w:szCs w:val="16"/>
              </w:rPr>
            </w:pPr>
          </w:p>
          <w:p w:rsidR="00B27195" w:rsidRPr="00506D52" w:rsidRDefault="00B27195" w:rsidP="009313EE">
            <w:pPr>
              <w:jc w:val="center"/>
              <w:rPr>
                <w:rFonts w:ascii="inherit" w:hAnsi="inherit"/>
                <w:sz w:val="16"/>
                <w:szCs w:val="16"/>
              </w:rPr>
            </w:pPr>
            <w:r w:rsidRPr="00506D52">
              <w:rPr>
                <w:rFonts w:ascii="inherit" w:hAnsi="inherit"/>
                <w:sz w:val="16"/>
                <w:szCs w:val="16"/>
              </w:rPr>
              <w:t>0,025</w:t>
            </w:r>
          </w:p>
          <w:p w:rsidR="004651FD" w:rsidRPr="00506D52" w:rsidRDefault="004651FD" w:rsidP="009313EE">
            <w:pPr>
              <w:jc w:val="center"/>
              <w:rPr>
                <w:rFonts w:ascii="inherit" w:hAnsi="inherit"/>
                <w:sz w:val="16"/>
                <w:szCs w:val="16"/>
                <w:highlight w:val="yellow"/>
              </w:rPr>
            </w:pPr>
          </w:p>
        </w:tc>
        <w:tc>
          <w:tcPr>
            <w:tcW w:w="789" w:type="dxa"/>
            <w:tcBorders>
              <w:top w:val="nil"/>
              <w:left w:val="nil"/>
              <w:bottom w:val="single" w:sz="8" w:space="0" w:color="auto"/>
              <w:right w:val="single" w:sz="8" w:space="0" w:color="auto"/>
            </w:tcBorders>
            <w:tcMar>
              <w:left w:w="28" w:type="dxa"/>
              <w:right w:w="28" w:type="dxa"/>
            </w:tcMar>
          </w:tcPr>
          <w:p w:rsidR="00FB7E9E" w:rsidRPr="00506D52" w:rsidRDefault="004651FD" w:rsidP="00E66D35">
            <w:pPr>
              <w:jc w:val="center"/>
              <w:rPr>
                <w:rFonts w:ascii="inherit" w:hAnsi="inherit"/>
                <w:sz w:val="16"/>
                <w:szCs w:val="16"/>
                <w:lang w:val="en-US" w:eastAsia="en-US"/>
              </w:rPr>
            </w:pPr>
            <w:r w:rsidRPr="00506D52">
              <w:rPr>
                <w:rFonts w:ascii="inherit" w:hAnsi="inherit"/>
                <w:sz w:val="16"/>
                <w:szCs w:val="16"/>
                <w:lang w:val="en-US" w:eastAsia="en-US"/>
              </w:rPr>
              <w:t>1A</w:t>
            </w:r>
          </w:p>
          <w:p w:rsidR="004651FD" w:rsidRPr="00506D52" w:rsidRDefault="004651FD" w:rsidP="00E66D35">
            <w:pPr>
              <w:jc w:val="center"/>
              <w:rPr>
                <w:rFonts w:ascii="inherit" w:hAnsi="inherit"/>
                <w:sz w:val="16"/>
                <w:szCs w:val="16"/>
                <w:highlight w:val="yellow"/>
                <w:lang w:val="en-US" w:eastAsia="en-US"/>
              </w:rPr>
            </w:pPr>
          </w:p>
          <w:p w:rsidR="004651FD" w:rsidRPr="00506D52" w:rsidRDefault="004651FD" w:rsidP="00E66D35">
            <w:pPr>
              <w:jc w:val="center"/>
              <w:rPr>
                <w:rFonts w:ascii="inherit" w:hAnsi="inherit"/>
                <w:sz w:val="16"/>
                <w:szCs w:val="16"/>
                <w:highlight w:val="yellow"/>
                <w:lang w:val="en-US" w:eastAsia="en-US"/>
              </w:rPr>
            </w:pPr>
          </w:p>
          <w:p w:rsidR="00B27195" w:rsidRPr="00506D52" w:rsidRDefault="00B27195" w:rsidP="00E66D35">
            <w:pPr>
              <w:jc w:val="center"/>
              <w:rPr>
                <w:rFonts w:ascii="inherit" w:hAnsi="inherit"/>
                <w:sz w:val="16"/>
                <w:szCs w:val="16"/>
                <w:lang w:val="en-US" w:eastAsia="en-US"/>
              </w:rPr>
            </w:pPr>
          </w:p>
          <w:p w:rsidR="00B27195" w:rsidRPr="00506D52" w:rsidRDefault="00B27195" w:rsidP="00E66D35">
            <w:pPr>
              <w:jc w:val="center"/>
              <w:rPr>
                <w:rFonts w:ascii="inherit" w:hAnsi="inherit"/>
                <w:sz w:val="16"/>
                <w:szCs w:val="16"/>
                <w:lang w:val="en-US" w:eastAsia="en-US"/>
              </w:rPr>
            </w:pPr>
          </w:p>
          <w:p w:rsidR="00B27195" w:rsidRPr="00506D52" w:rsidRDefault="00B27195" w:rsidP="00E66D35">
            <w:pPr>
              <w:jc w:val="center"/>
              <w:rPr>
                <w:rFonts w:ascii="inherit" w:hAnsi="inherit"/>
                <w:sz w:val="16"/>
                <w:szCs w:val="16"/>
                <w:lang w:val="en-US" w:eastAsia="en-US"/>
              </w:rPr>
            </w:pPr>
          </w:p>
          <w:p w:rsidR="004651FD" w:rsidRPr="00506D52" w:rsidRDefault="004651FD" w:rsidP="00E66D35">
            <w:pPr>
              <w:jc w:val="center"/>
              <w:rPr>
                <w:rFonts w:ascii="inherit" w:hAnsi="inherit"/>
                <w:b/>
                <w:sz w:val="16"/>
                <w:szCs w:val="16"/>
                <w:highlight w:val="yellow"/>
                <w:lang w:val="en-US" w:eastAsia="en-US"/>
              </w:rPr>
            </w:pPr>
          </w:p>
        </w:tc>
        <w:tc>
          <w:tcPr>
            <w:tcW w:w="709" w:type="dxa"/>
            <w:tcBorders>
              <w:top w:val="nil"/>
              <w:left w:val="nil"/>
              <w:bottom w:val="single" w:sz="8" w:space="0" w:color="auto"/>
              <w:right w:val="single" w:sz="8" w:space="0" w:color="auto"/>
            </w:tcBorders>
            <w:tcMar>
              <w:left w:w="28" w:type="dxa"/>
              <w:right w:w="28" w:type="dxa"/>
            </w:tcMar>
          </w:tcPr>
          <w:p w:rsidR="00FB7E9E" w:rsidRPr="00506D52" w:rsidRDefault="004651FD" w:rsidP="00E66D35">
            <w:pPr>
              <w:jc w:val="center"/>
              <w:rPr>
                <w:rFonts w:ascii="inherit" w:hAnsi="inherit"/>
                <w:sz w:val="16"/>
                <w:szCs w:val="16"/>
                <w:lang w:val="en-US" w:eastAsia="en-US"/>
              </w:rPr>
            </w:pPr>
            <w:r w:rsidRPr="00506D52">
              <w:rPr>
                <w:rFonts w:ascii="inherit" w:hAnsi="inherit"/>
                <w:sz w:val="16"/>
                <w:szCs w:val="16"/>
                <w:lang w:val="en-US" w:eastAsia="en-US"/>
              </w:rPr>
              <w:t>1B</w:t>
            </w:r>
          </w:p>
          <w:p w:rsidR="004651FD" w:rsidRPr="00506D52" w:rsidRDefault="004651FD" w:rsidP="00E66D35">
            <w:pPr>
              <w:jc w:val="center"/>
              <w:rPr>
                <w:rFonts w:ascii="inherit" w:hAnsi="inherit"/>
                <w:sz w:val="16"/>
                <w:szCs w:val="16"/>
                <w:highlight w:val="yellow"/>
                <w:lang w:val="en-US" w:eastAsia="en-US"/>
              </w:rPr>
            </w:pPr>
          </w:p>
          <w:p w:rsidR="004651FD" w:rsidRPr="00506D52" w:rsidRDefault="004651FD" w:rsidP="00E66D35">
            <w:pPr>
              <w:jc w:val="center"/>
              <w:rPr>
                <w:rFonts w:ascii="inherit" w:hAnsi="inherit"/>
                <w:sz w:val="16"/>
                <w:szCs w:val="16"/>
                <w:highlight w:val="yellow"/>
                <w:lang w:val="en-US" w:eastAsia="en-US"/>
              </w:rPr>
            </w:pPr>
          </w:p>
          <w:p w:rsidR="00B27195" w:rsidRPr="00506D52" w:rsidRDefault="00B27195" w:rsidP="00E66D35">
            <w:pPr>
              <w:jc w:val="center"/>
              <w:rPr>
                <w:rFonts w:ascii="inherit" w:hAnsi="inherit"/>
                <w:sz w:val="16"/>
                <w:szCs w:val="16"/>
                <w:lang w:val="en-US" w:eastAsia="en-US"/>
              </w:rPr>
            </w:pPr>
          </w:p>
          <w:p w:rsidR="00B27195" w:rsidRPr="00506D52" w:rsidRDefault="00B27195" w:rsidP="00E66D35">
            <w:pPr>
              <w:jc w:val="center"/>
              <w:rPr>
                <w:rFonts w:ascii="inherit" w:hAnsi="inherit"/>
                <w:sz w:val="16"/>
                <w:szCs w:val="16"/>
                <w:lang w:val="en-US" w:eastAsia="en-US"/>
              </w:rPr>
            </w:pPr>
          </w:p>
          <w:p w:rsidR="00B27195" w:rsidRPr="00506D52" w:rsidRDefault="00B27195" w:rsidP="00E66D35">
            <w:pPr>
              <w:jc w:val="center"/>
              <w:rPr>
                <w:rFonts w:ascii="inherit" w:hAnsi="inherit"/>
                <w:sz w:val="16"/>
                <w:szCs w:val="16"/>
                <w:lang w:val="en-US" w:eastAsia="en-US"/>
              </w:rPr>
            </w:pPr>
          </w:p>
          <w:p w:rsidR="004651FD" w:rsidRPr="00506D52" w:rsidRDefault="004651FD" w:rsidP="00E66D35">
            <w:pPr>
              <w:jc w:val="center"/>
              <w:rPr>
                <w:rFonts w:ascii="inherit" w:hAnsi="inherit"/>
                <w:sz w:val="16"/>
                <w:szCs w:val="16"/>
                <w:highlight w:val="yellow"/>
                <w:lang w:val="en-US" w:eastAsia="en-US"/>
              </w:rPr>
            </w:pPr>
          </w:p>
        </w:tc>
        <w:tc>
          <w:tcPr>
            <w:tcW w:w="770" w:type="dxa"/>
            <w:tcBorders>
              <w:top w:val="nil"/>
              <w:left w:val="nil"/>
              <w:bottom w:val="single" w:sz="8" w:space="0" w:color="auto"/>
              <w:right w:val="single" w:sz="12" w:space="0" w:color="auto"/>
            </w:tcBorders>
            <w:tcMar>
              <w:left w:w="28" w:type="dxa"/>
              <w:right w:w="28" w:type="dxa"/>
            </w:tcMar>
          </w:tcPr>
          <w:p w:rsidR="00FB7E9E" w:rsidRPr="00506D52" w:rsidRDefault="004651FD" w:rsidP="009313EE">
            <w:pPr>
              <w:jc w:val="center"/>
              <w:rPr>
                <w:rFonts w:ascii="inherit" w:hAnsi="inherit"/>
                <w:sz w:val="16"/>
                <w:szCs w:val="16"/>
                <w:vertAlign w:val="superscript"/>
                <w:lang w:val="en-US" w:eastAsia="en-US"/>
              </w:rPr>
            </w:pPr>
            <w:r w:rsidRPr="00506D52">
              <w:rPr>
                <w:rFonts w:ascii="inherit" w:hAnsi="inherit"/>
                <w:sz w:val="16"/>
                <w:szCs w:val="16"/>
                <w:lang w:val="en-US" w:eastAsia="en-US"/>
              </w:rPr>
              <w:t>S</w:t>
            </w:r>
            <w:r w:rsidR="00B27195" w:rsidRPr="00506D52">
              <w:rPr>
                <w:rFonts w:ascii="inherit" w:hAnsi="inherit"/>
                <w:sz w:val="16"/>
                <w:szCs w:val="16"/>
                <w:vertAlign w:val="superscript"/>
                <w:lang w:val="en-US" w:eastAsia="en-US"/>
              </w:rPr>
              <w:t>9)</w:t>
            </w:r>
          </w:p>
          <w:p w:rsidR="000E7D33" w:rsidRPr="00506D52" w:rsidRDefault="000E7D33" w:rsidP="009313EE">
            <w:pPr>
              <w:spacing w:after="120"/>
              <w:jc w:val="center"/>
              <w:rPr>
                <w:rFonts w:ascii="inherit" w:hAnsi="inherit"/>
                <w:sz w:val="16"/>
                <w:szCs w:val="16"/>
                <w:lang w:val="en-US" w:eastAsia="en-US"/>
              </w:rPr>
            </w:pPr>
            <w:r w:rsidRPr="00506D52">
              <w:rPr>
                <w:rFonts w:ascii="inherit" w:hAnsi="inherit"/>
                <w:sz w:val="16"/>
                <w:szCs w:val="16"/>
                <w:lang w:val="en-US" w:eastAsia="en-US"/>
              </w:rPr>
              <w:t>TSH do 17.1.2025</w:t>
            </w:r>
          </w:p>
          <w:p w:rsidR="000E7D33" w:rsidRPr="00506D52" w:rsidRDefault="000E7D33" w:rsidP="009313EE">
            <w:pPr>
              <w:jc w:val="center"/>
              <w:rPr>
                <w:rFonts w:ascii="inherit" w:hAnsi="inherit"/>
                <w:sz w:val="16"/>
                <w:szCs w:val="16"/>
                <w:lang w:val="en-US" w:eastAsia="en-US"/>
              </w:rPr>
            </w:pPr>
            <w:r w:rsidRPr="00506D52">
              <w:rPr>
                <w:rFonts w:ascii="inherit" w:hAnsi="inherit"/>
                <w:sz w:val="16"/>
                <w:szCs w:val="16"/>
                <w:lang w:val="en-US" w:eastAsia="en-US"/>
              </w:rPr>
              <w:t>TSH do 17.1.2025</w:t>
            </w:r>
          </w:p>
          <w:p w:rsidR="004651FD" w:rsidRPr="00506D52" w:rsidRDefault="004651FD" w:rsidP="009313EE">
            <w:pPr>
              <w:jc w:val="center"/>
              <w:rPr>
                <w:rFonts w:ascii="inherit" w:hAnsi="inherit"/>
                <w:sz w:val="16"/>
                <w:szCs w:val="16"/>
                <w:highlight w:val="yellow"/>
                <w:lang w:val="en-US" w:eastAsia="en-US"/>
              </w:rPr>
            </w:pPr>
          </w:p>
          <w:p w:rsidR="004651FD" w:rsidRPr="00506D52" w:rsidRDefault="004651FD" w:rsidP="009313EE">
            <w:pPr>
              <w:jc w:val="center"/>
              <w:rPr>
                <w:rFonts w:ascii="inherit" w:hAnsi="inherit"/>
                <w:sz w:val="16"/>
                <w:szCs w:val="16"/>
                <w:highlight w:val="yellow"/>
                <w:lang w:val="en-US" w:eastAsia="en-US"/>
              </w:rPr>
            </w:pPr>
          </w:p>
          <w:p w:rsidR="004651FD" w:rsidRPr="00506D52" w:rsidRDefault="004651FD" w:rsidP="009313EE">
            <w:pPr>
              <w:jc w:val="center"/>
              <w:rPr>
                <w:rFonts w:ascii="inherit" w:hAnsi="inherit"/>
                <w:sz w:val="16"/>
                <w:szCs w:val="16"/>
                <w:highlight w:val="yellow"/>
                <w:lang w:val="en-US" w:eastAsia="en-US"/>
              </w:rPr>
            </w:pP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center"/>
          </w:tcPr>
          <w:p w:rsidR="00E93173" w:rsidRPr="00506D52" w:rsidRDefault="00E93173" w:rsidP="00CD6293">
            <w:pPr>
              <w:jc w:val="center"/>
              <w:rPr>
                <w:rFonts w:ascii="inherit" w:hAnsi="inherit"/>
                <w:sz w:val="16"/>
                <w:szCs w:val="16"/>
                <w:lang w:val="en-US" w:eastAsia="en-US"/>
              </w:rPr>
            </w:pPr>
            <w:r w:rsidRPr="00506D52">
              <w:rPr>
                <w:rFonts w:ascii="inherit" w:hAnsi="inherit"/>
                <w:sz w:val="16"/>
                <w:szCs w:val="16"/>
                <w:lang w:val="en-US" w:eastAsia="en-US"/>
              </w:rPr>
              <w:t>-</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rPr>
                <w:rFonts w:ascii="inherit" w:hAnsi="inherit"/>
                <w:sz w:val="16"/>
                <w:szCs w:val="16"/>
                <w:lang w:val="en-US" w:eastAsia="en-US"/>
              </w:rPr>
            </w:pPr>
            <w:r w:rsidRPr="00506D52">
              <w:rPr>
                <w:rFonts w:ascii="inherit" w:hAnsi="inherit"/>
                <w:sz w:val="16"/>
                <w:szCs w:val="16"/>
              </w:rPr>
              <w:t>Ohňovzdorné keramické vlákna, ktoré sú karcinogénmi v zmysle článku 2 písm. a) bodu i)</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4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CD6293">
            <w:pPr>
              <w:jc w:val="center"/>
              <w:rPr>
                <w:rFonts w:ascii="inherit" w:hAnsi="inherit"/>
                <w:sz w:val="16"/>
                <w:szCs w:val="16"/>
              </w:rPr>
            </w:pPr>
            <w:r w:rsidRPr="00506D52">
              <w:rPr>
                <w:rFonts w:ascii="inherit" w:hAnsi="inherit"/>
                <w:sz w:val="16"/>
                <w:szCs w:val="16"/>
                <w:lang w:val="en-US" w:eastAsia="en-US"/>
              </w:rPr>
              <w:t>—</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0,3</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CD6293">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2F05C4" w:rsidP="002F05C4">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vAlign w:val="center"/>
          </w:tcPr>
          <w:p w:rsidR="00E93173" w:rsidRPr="00506D52" w:rsidRDefault="00E66D35" w:rsidP="004E26F1">
            <w:pPr>
              <w:spacing w:before="0"/>
              <w:jc w:val="center"/>
              <w:rPr>
                <w:rFonts w:ascii="inherit" w:hAnsi="inherit"/>
                <w:sz w:val="16"/>
                <w:szCs w:val="16"/>
                <w:lang w:val="en-US" w:eastAsia="en-US"/>
              </w:rPr>
            </w:pPr>
            <w:r w:rsidRPr="00506D52">
              <w:rPr>
                <w:rFonts w:ascii="inherit" w:hAnsi="inherit"/>
                <w:sz w:val="16"/>
                <w:szCs w:val="16"/>
                <w:lang w:val="en-US" w:eastAsia="en-US"/>
              </w:rPr>
              <w:t>32</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E66D35" w:rsidP="00D371C8">
            <w:pPr>
              <w:spacing w:before="0"/>
              <w:rPr>
                <w:rFonts w:ascii="inherit" w:hAnsi="inherit"/>
                <w:sz w:val="16"/>
                <w:szCs w:val="16"/>
                <w:lang w:val="en-US" w:eastAsia="en-US"/>
              </w:rPr>
            </w:pPr>
            <w:r w:rsidRPr="00506D52">
              <w:rPr>
                <w:rFonts w:ascii="inherit" w:hAnsi="inherit"/>
                <w:sz w:val="16"/>
                <w:szCs w:val="16"/>
              </w:rPr>
              <w:t>ohňovzdorné keramické vlákna</w:t>
            </w:r>
            <w:r w:rsidR="00914A18" w:rsidRPr="00506D52">
              <w:rPr>
                <w:rFonts w:ascii="inherit" w:hAnsi="inherit"/>
                <w:sz w:val="16"/>
                <w:szCs w:val="16"/>
              </w:rPr>
              <w:t xml:space="preserve"> </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E66D35" w:rsidP="004E26F1">
            <w:pPr>
              <w:spacing w:before="0"/>
              <w:jc w:val="center"/>
              <w:rPr>
                <w:rFonts w:ascii="inherit" w:hAnsi="inherit"/>
                <w:sz w:val="16"/>
                <w:szCs w:val="16"/>
                <w:lang w:val="en-US" w:eastAsia="en-US"/>
              </w:rPr>
            </w:pPr>
            <w:r w:rsidRPr="00506D52">
              <w:rPr>
                <w:rFonts w:ascii="inherit" w:hAnsi="inherit"/>
                <w:sz w:val="16"/>
                <w:szCs w:val="16"/>
                <w:lang w:val="en-US" w:eastAsia="en-US"/>
              </w:rPr>
              <w:t>—</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E66D35" w:rsidP="004E26F1">
            <w:pPr>
              <w:spacing w:before="0"/>
              <w:jc w:val="center"/>
              <w:rPr>
                <w:rFonts w:ascii="inherit" w:hAnsi="inherit"/>
                <w:sz w:val="16"/>
                <w:szCs w:val="16"/>
                <w:lang w:val="en-US" w:eastAsia="en-US"/>
              </w:rPr>
            </w:pPr>
            <w:r w:rsidRPr="00506D52">
              <w:rPr>
                <w:rFonts w:ascii="inherit" w:hAnsi="inherit"/>
                <w:sz w:val="16"/>
                <w:szCs w:val="16"/>
                <w:lang w:val="en-US" w:eastAsia="en-US"/>
              </w:rPr>
              <w:t>—</w:t>
            </w:r>
          </w:p>
        </w:tc>
        <w:tc>
          <w:tcPr>
            <w:tcW w:w="726" w:type="dxa"/>
            <w:tcBorders>
              <w:top w:val="nil"/>
              <w:left w:val="nil"/>
              <w:bottom w:val="single" w:sz="8" w:space="0" w:color="auto"/>
              <w:right w:val="single" w:sz="8" w:space="0" w:color="auto"/>
            </w:tcBorders>
            <w:tcMar>
              <w:left w:w="28" w:type="dxa"/>
              <w:right w:w="28" w:type="dxa"/>
            </w:tcMar>
            <w:vAlign w:val="center"/>
          </w:tcPr>
          <w:p w:rsidR="00534BA1" w:rsidRPr="00506D52" w:rsidRDefault="00E66D35" w:rsidP="00D371C8">
            <w:pPr>
              <w:spacing w:before="0"/>
              <w:jc w:val="center"/>
              <w:rPr>
                <w:rFonts w:ascii="inherit" w:hAnsi="inherit"/>
                <w:sz w:val="16"/>
                <w:szCs w:val="16"/>
              </w:rPr>
            </w:pPr>
            <w:r w:rsidRPr="00506D52">
              <w:rPr>
                <w:rFonts w:ascii="inherit" w:hAnsi="inherit"/>
                <w:sz w:val="16"/>
                <w:szCs w:val="16"/>
              </w:rPr>
              <w:t>0,3</w:t>
            </w:r>
          </w:p>
          <w:p w:rsidR="00D371C8" w:rsidRPr="00506D52" w:rsidRDefault="00E66D35" w:rsidP="00D371C8">
            <w:pPr>
              <w:spacing w:before="0"/>
              <w:jc w:val="center"/>
              <w:rPr>
                <w:rFonts w:ascii="inherit" w:hAnsi="inherit"/>
                <w:sz w:val="16"/>
                <w:szCs w:val="16"/>
                <w:vertAlign w:val="superscript"/>
              </w:rPr>
            </w:pPr>
            <w:r w:rsidRPr="00506D52">
              <w:rPr>
                <w:rFonts w:ascii="inherit" w:hAnsi="inherit"/>
                <w:sz w:val="16"/>
                <w:szCs w:val="16"/>
              </w:rPr>
              <w:t xml:space="preserve"> vl</w:t>
            </w:r>
            <w:r w:rsidR="00D371C8" w:rsidRPr="00506D52">
              <w:rPr>
                <w:rFonts w:ascii="inherit" w:hAnsi="inherit"/>
                <w:sz w:val="16"/>
                <w:szCs w:val="16"/>
              </w:rPr>
              <w:t>.cm</w:t>
            </w:r>
            <w:r w:rsidR="00D371C8" w:rsidRPr="00506D52">
              <w:rPr>
                <w:rFonts w:ascii="inherit" w:hAnsi="inherit"/>
                <w:sz w:val="16"/>
                <w:szCs w:val="16"/>
                <w:vertAlign w:val="superscript"/>
              </w:rPr>
              <w:t>-3</w:t>
            </w:r>
          </w:p>
          <w:p w:rsidR="00E93173" w:rsidRPr="00506D52" w:rsidRDefault="00D371C8" w:rsidP="00D371C8">
            <w:pPr>
              <w:spacing w:before="0"/>
              <w:jc w:val="center"/>
              <w:rPr>
                <w:rFonts w:ascii="inherit" w:hAnsi="inherit"/>
                <w:sz w:val="16"/>
                <w:szCs w:val="16"/>
                <w:vertAlign w:val="superscript"/>
              </w:rPr>
            </w:pPr>
            <w:r w:rsidRPr="00506D52">
              <w:rPr>
                <w:rFonts w:ascii="inherit" w:hAnsi="inherit"/>
                <w:sz w:val="16"/>
                <w:szCs w:val="16"/>
                <w:vertAlign w:val="superscript"/>
              </w:rPr>
              <w:t>12</w:t>
            </w:r>
            <w:r w:rsidR="00E66D35" w:rsidRPr="00506D52">
              <w:rPr>
                <w:rFonts w:ascii="inherit" w:hAnsi="inherit"/>
                <w:sz w:val="16"/>
                <w:szCs w:val="16"/>
                <w:vertAlign w:val="superscript"/>
              </w:rPr>
              <w:t>)</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D371C8" w:rsidP="00D371C8">
            <w:pPr>
              <w:spacing w:before="0"/>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0E7D33" w:rsidP="00D371C8">
            <w:pPr>
              <w:spacing w:before="0"/>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E66D35" w:rsidP="004E26F1">
            <w:pPr>
              <w:spacing w:before="0"/>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center"/>
          </w:tcPr>
          <w:p w:rsidR="00E93173" w:rsidRPr="00506D52" w:rsidRDefault="00CD6293" w:rsidP="00CD6293">
            <w:pPr>
              <w:jc w:val="center"/>
              <w:rPr>
                <w:rFonts w:ascii="inherit" w:hAnsi="inherit"/>
                <w:sz w:val="16"/>
                <w:szCs w:val="16"/>
                <w:lang w:val="en-US" w:eastAsia="en-US"/>
              </w:rPr>
            </w:pPr>
            <w:r w:rsidRPr="00506D52">
              <w:rPr>
                <w:rFonts w:ascii="inherit" w:hAnsi="inherit"/>
                <w:sz w:val="16"/>
                <w:szCs w:val="16"/>
                <w:lang w:val="en-US" w:eastAsia="en-US"/>
              </w:rPr>
              <w:t>-</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rPr>
                <w:rFonts w:ascii="inherit" w:hAnsi="inherit"/>
                <w:sz w:val="16"/>
                <w:szCs w:val="16"/>
                <w:lang w:val="en-US" w:eastAsia="en-US"/>
              </w:rPr>
            </w:pPr>
            <w:r w:rsidRPr="00506D52">
              <w:rPr>
                <w:rFonts w:ascii="inherit" w:hAnsi="inherit"/>
                <w:sz w:val="16"/>
                <w:szCs w:val="16"/>
              </w:rPr>
              <w:t>Respirabilný prach kryštalického oxidu kremičitého</w:t>
            </w:r>
          </w:p>
        </w:tc>
        <w:tc>
          <w:tcPr>
            <w:tcW w:w="658"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42"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CD6293">
            <w:pPr>
              <w:jc w:val="center"/>
              <w:rPr>
                <w:rFonts w:ascii="inherit" w:hAnsi="inherit"/>
                <w:sz w:val="16"/>
                <w:szCs w:val="16"/>
                <w:vertAlign w:val="superscript"/>
              </w:rPr>
            </w:pPr>
            <w:r w:rsidRPr="00506D52">
              <w:rPr>
                <w:rFonts w:ascii="inherit" w:hAnsi="inherit"/>
                <w:sz w:val="16"/>
                <w:szCs w:val="16"/>
              </w:rPr>
              <w:t>0,1</w:t>
            </w:r>
            <w:r w:rsidRPr="00506D52">
              <w:rPr>
                <w:rFonts w:ascii="inherit" w:hAnsi="inherit"/>
                <w:sz w:val="16"/>
                <w:szCs w:val="16"/>
                <w:vertAlign w:val="superscript"/>
              </w:rPr>
              <w:t>(8)</w:t>
            </w:r>
          </w:p>
        </w:tc>
        <w:tc>
          <w:tcPr>
            <w:tcW w:w="602"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33</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rPr>
                <w:rFonts w:ascii="inherit" w:hAnsi="inherit"/>
                <w:sz w:val="16"/>
                <w:szCs w:val="16"/>
                <w:lang w:val="en-US" w:eastAsia="en-US"/>
              </w:rPr>
            </w:pPr>
            <w:r w:rsidRPr="00506D52">
              <w:rPr>
                <w:rFonts w:ascii="inherit" w:hAnsi="inherit"/>
                <w:sz w:val="16"/>
                <w:szCs w:val="16"/>
                <w:lang w:val="en-US" w:eastAsia="en-US"/>
              </w:rPr>
              <w:t>oxid kremičitý, kryštalický</w:t>
            </w:r>
          </w:p>
          <w:p w:rsidR="00D371C8" w:rsidRPr="00506D52" w:rsidRDefault="00D371C8" w:rsidP="00D371C8">
            <w:pPr>
              <w:rPr>
                <w:rFonts w:ascii="inherit" w:hAnsi="inherit"/>
                <w:sz w:val="16"/>
                <w:szCs w:val="16"/>
                <w:lang w:val="en-US" w:eastAsia="en-US"/>
              </w:rPr>
            </w:pPr>
            <w:r w:rsidRPr="00506D52">
              <w:rPr>
                <w:rFonts w:ascii="inherit" w:hAnsi="inherit"/>
                <w:sz w:val="16"/>
                <w:szCs w:val="16"/>
                <w:lang w:val="en-US" w:eastAsia="en-US"/>
              </w:rPr>
              <w:t>respirabilná frakcia</w:t>
            </w:r>
            <w:r w:rsidRPr="00506D52">
              <w:rPr>
                <w:rFonts w:ascii="inherit" w:hAnsi="inherit"/>
                <w:sz w:val="16"/>
                <w:szCs w:val="16"/>
                <w:vertAlign w:val="superscript"/>
                <w:lang w:val="en-US" w:eastAsia="en-US"/>
              </w:rPr>
              <w:t>15)</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14808-60-7</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6" w:type="dxa"/>
            <w:tcBorders>
              <w:top w:val="nil"/>
              <w:left w:val="nil"/>
              <w:bottom w:val="single" w:sz="8" w:space="0" w:color="auto"/>
              <w:right w:val="single" w:sz="8" w:space="0" w:color="auto"/>
            </w:tcBorders>
            <w:tcMar>
              <w:left w:w="28" w:type="dxa"/>
              <w:right w:w="28" w:type="dxa"/>
            </w:tcMar>
          </w:tcPr>
          <w:p w:rsidR="009313EE" w:rsidRPr="00506D52" w:rsidRDefault="009313EE" w:rsidP="009313EE">
            <w:pPr>
              <w:spacing w:before="0"/>
              <w:rPr>
                <w:rFonts w:ascii="inherit" w:hAnsi="inherit"/>
                <w:sz w:val="16"/>
                <w:szCs w:val="16"/>
              </w:rPr>
            </w:pPr>
          </w:p>
          <w:p w:rsidR="00E93173" w:rsidRPr="00506D52" w:rsidRDefault="00B4413A" w:rsidP="009313EE">
            <w:pPr>
              <w:jc w:val="center"/>
              <w:rPr>
                <w:rFonts w:ascii="inherit" w:hAnsi="inherit"/>
                <w:sz w:val="16"/>
                <w:szCs w:val="16"/>
                <w:vertAlign w:val="superscript"/>
              </w:rPr>
            </w:pPr>
            <w:r w:rsidRPr="00506D52">
              <w:rPr>
                <w:rFonts w:ascii="inherit" w:hAnsi="inherit"/>
                <w:sz w:val="16"/>
                <w:szCs w:val="16"/>
              </w:rPr>
              <w:t>0,1</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1A</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CD6293" w:rsidP="00AB48D9">
            <w:pPr>
              <w:rPr>
                <w:rFonts w:ascii="inherit" w:hAnsi="inherit"/>
                <w:sz w:val="16"/>
                <w:szCs w:val="16"/>
                <w:lang w:val="en-US" w:eastAsia="en-US"/>
              </w:rPr>
            </w:pPr>
            <w:r w:rsidRPr="00506D52">
              <w:rPr>
                <w:rFonts w:ascii="inherit" w:hAnsi="inherit"/>
                <w:sz w:val="16"/>
                <w:szCs w:val="16"/>
                <w:lang w:val="en-US" w:eastAsia="en-US"/>
              </w:rPr>
              <w:lastRenderedPageBreak/>
              <w:t>71-43-2</w:t>
            </w:r>
          </w:p>
        </w:tc>
        <w:tc>
          <w:tcPr>
            <w:tcW w:w="26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rPr>
                <w:rFonts w:ascii="inherit" w:hAnsi="inherit"/>
                <w:sz w:val="16"/>
                <w:szCs w:val="16"/>
                <w:lang w:val="en-US" w:eastAsia="en-US"/>
              </w:rPr>
            </w:pPr>
            <w:r w:rsidRPr="00506D52">
              <w:rPr>
                <w:rFonts w:ascii="inherit" w:hAnsi="inherit"/>
                <w:sz w:val="16"/>
                <w:szCs w:val="16"/>
              </w:rPr>
              <w:t>Benzén</w:t>
            </w:r>
          </w:p>
        </w:tc>
        <w:tc>
          <w:tcPr>
            <w:tcW w:w="658"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tcMar>
              <w:left w:w="28" w:type="dxa"/>
              <w:right w:w="28" w:type="dxa"/>
            </w:tcMar>
            <w:vAlign w:val="bottom"/>
          </w:tcPr>
          <w:p w:rsidR="00E93173" w:rsidRPr="00506D52" w:rsidRDefault="00CD6293" w:rsidP="00AB48D9">
            <w:pPr>
              <w:jc w:val="center"/>
              <w:rPr>
                <w:rFonts w:ascii="inherit" w:hAnsi="inherit"/>
                <w:sz w:val="16"/>
                <w:szCs w:val="16"/>
              </w:rPr>
            </w:pPr>
            <w:r w:rsidRPr="00506D52">
              <w:rPr>
                <w:rFonts w:ascii="inherit" w:hAnsi="inherit"/>
                <w:sz w:val="16"/>
                <w:szCs w:val="16"/>
              </w:rPr>
              <w:t>3,25</w:t>
            </w:r>
          </w:p>
        </w:tc>
        <w:tc>
          <w:tcPr>
            <w:tcW w:w="602"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vertAlign w:val="superscript"/>
                <w:lang w:val="en-US" w:eastAsia="en-US"/>
              </w:rPr>
            </w:pPr>
            <w:r w:rsidRPr="00506D52">
              <w:rPr>
                <w:rFonts w:ascii="inherit" w:hAnsi="inherit"/>
                <w:sz w:val="16"/>
                <w:szCs w:val="16"/>
                <w:lang w:val="en-US" w:eastAsia="en-US"/>
              </w:rPr>
              <w:t>koža</w:t>
            </w:r>
            <w:r w:rsidRPr="00506D52">
              <w:rPr>
                <w:rFonts w:ascii="inherit" w:hAnsi="inherit"/>
                <w:sz w:val="16"/>
                <w:szCs w:val="16"/>
                <w:vertAlign w:val="superscript"/>
                <w:lang w:val="en-US" w:eastAsia="en-US"/>
              </w:rPr>
              <w:t>(9)</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6</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B4413A" w:rsidP="00AB48D9">
            <w:pPr>
              <w:rPr>
                <w:rFonts w:ascii="inherit" w:hAnsi="inherit"/>
                <w:sz w:val="16"/>
                <w:szCs w:val="16"/>
                <w:lang w:val="en-US" w:eastAsia="en-US"/>
              </w:rPr>
            </w:pPr>
            <w:r w:rsidRPr="00506D52">
              <w:rPr>
                <w:rFonts w:ascii="inherit" w:hAnsi="inherit"/>
                <w:sz w:val="16"/>
                <w:szCs w:val="16"/>
                <w:lang w:val="en-US" w:eastAsia="en-US"/>
              </w:rPr>
              <w:t>benzén</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71-43-2</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0,1</w:t>
            </w:r>
          </w:p>
        </w:tc>
        <w:tc>
          <w:tcPr>
            <w:tcW w:w="726" w:type="dxa"/>
            <w:tcBorders>
              <w:top w:val="nil"/>
              <w:left w:val="nil"/>
              <w:bottom w:val="single" w:sz="8" w:space="0" w:color="auto"/>
              <w:right w:val="single" w:sz="8" w:space="0" w:color="auto"/>
            </w:tcBorders>
            <w:tcMar>
              <w:left w:w="28" w:type="dxa"/>
              <w:right w:w="28" w:type="dxa"/>
            </w:tcMar>
            <w:vAlign w:val="bottom"/>
          </w:tcPr>
          <w:p w:rsidR="00E93173" w:rsidRPr="00506D52" w:rsidRDefault="00B4413A" w:rsidP="00AB48D9">
            <w:pPr>
              <w:jc w:val="center"/>
              <w:rPr>
                <w:rFonts w:ascii="inherit" w:hAnsi="inherit"/>
                <w:sz w:val="16"/>
                <w:szCs w:val="16"/>
              </w:rPr>
            </w:pPr>
            <w:r w:rsidRPr="00506D52">
              <w:rPr>
                <w:rFonts w:ascii="inherit" w:hAnsi="inherit"/>
                <w:sz w:val="16"/>
                <w:szCs w:val="16"/>
              </w:rPr>
              <w:t>3,25</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1A</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B4413A" w:rsidP="00AB48D9">
            <w:pPr>
              <w:jc w:val="center"/>
              <w:rPr>
                <w:rFonts w:ascii="inherit" w:hAnsi="inherit"/>
                <w:sz w:val="16"/>
                <w:szCs w:val="16"/>
                <w:vertAlign w:val="superscript"/>
                <w:lang w:val="en-US" w:eastAsia="en-US"/>
              </w:rPr>
            </w:pPr>
            <w:r w:rsidRPr="00506D52">
              <w:rPr>
                <w:rFonts w:ascii="inherit" w:hAnsi="inherit"/>
                <w:sz w:val="16"/>
                <w:szCs w:val="16"/>
                <w:lang w:val="en-US" w:eastAsia="en-US"/>
              </w:rPr>
              <w:t>K</w:t>
            </w:r>
            <w:r w:rsidR="00B27195" w:rsidRPr="00506D52">
              <w:rPr>
                <w:rFonts w:ascii="inherit" w:hAnsi="inherit"/>
                <w:sz w:val="16"/>
                <w:szCs w:val="16"/>
                <w:vertAlign w:val="superscript"/>
                <w:lang w:val="en-US" w:eastAsia="en-US"/>
              </w:rPr>
              <w:t>8)</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center"/>
          </w:tcPr>
          <w:p w:rsidR="00E93173" w:rsidRPr="00506D52" w:rsidRDefault="00CD6293" w:rsidP="00CD6293">
            <w:pPr>
              <w:jc w:val="left"/>
              <w:rPr>
                <w:rFonts w:ascii="inherit" w:hAnsi="inherit"/>
                <w:sz w:val="16"/>
                <w:szCs w:val="16"/>
                <w:lang w:val="en-US" w:eastAsia="en-US"/>
              </w:rPr>
            </w:pPr>
            <w:r w:rsidRPr="00506D52">
              <w:rPr>
                <w:rFonts w:ascii="inherit" w:hAnsi="inherit"/>
                <w:sz w:val="16"/>
                <w:szCs w:val="16"/>
                <w:lang w:val="en-US" w:eastAsia="en-US"/>
              </w:rPr>
              <w:t>75-01-4</w:t>
            </w:r>
          </w:p>
        </w:tc>
        <w:tc>
          <w:tcPr>
            <w:tcW w:w="26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CD6293">
            <w:pPr>
              <w:jc w:val="left"/>
              <w:rPr>
                <w:rFonts w:ascii="inherit" w:hAnsi="inherit"/>
                <w:sz w:val="16"/>
                <w:szCs w:val="16"/>
                <w:lang w:val="en-US" w:eastAsia="en-US"/>
              </w:rPr>
            </w:pPr>
            <w:r w:rsidRPr="00506D52">
              <w:rPr>
                <w:rFonts w:ascii="inherit" w:hAnsi="inherit"/>
                <w:sz w:val="16"/>
                <w:szCs w:val="16"/>
              </w:rPr>
              <w:t>Monomér vinylchloridu</w:t>
            </w:r>
          </w:p>
        </w:tc>
        <w:tc>
          <w:tcPr>
            <w:tcW w:w="658"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rPr>
            </w:pPr>
            <w:r w:rsidRPr="00506D52">
              <w:rPr>
                <w:rFonts w:ascii="inherit" w:hAnsi="inherit"/>
                <w:sz w:val="16"/>
                <w:szCs w:val="16"/>
              </w:rPr>
              <w:t>2,6</w:t>
            </w:r>
          </w:p>
        </w:tc>
        <w:tc>
          <w:tcPr>
            <w:tcW w:w="602"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38</w:t>
            </w:r>
          </w:p>
        </w:tc>
        <w:tc>
          <w:tcPr>
            <w:tcW w:w="27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B4413A" w:rsidP="00AB48D9">
            <w:pPr>
              <w:rPr>
                <w:rFonts w:ascii="inherit" w:hAnsi="inherit"/>
                <w:sz w:val="16"/>
                <w:szCs w:val="16"/>
                <w:lang w:val="en-US" w:eastAsia="en-US"/>
              </w:rPr>
            </w:pPr>
            <w:r w:rsidRPr="00506D52">
              <w:rPr>
                <w:rFonts w:ascii="inherit" w:hAnsi="inherit"/>
                <w:sz w:val="16"/>
                <w:szCs w:val="16"/>
              </w:rPr>
              <w:t>monomér vinylchloridu</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75-01-4</w:t>
            </w:r>
          </w:p>
        </w:tc>
        <w:tc>
          <w:tcPr>
            <w:tcW w:w="691"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26"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rPr>
            </w:pPr>
            <w:r w:rsidRPr="00506D52">
              <w:rPr>
                <w:rFonts w:ascii="inherit" w:hAnsi="inherit"/>
                <w:sz w:val="16"/>
                <w:szCs w:val="16"/>
              </w:rPr>
              <w:t>2,6</w:t>
            </w:r>
          </w:p>
        </w:tc>
        <w:tc>
          <w:tcPr>
            <w:tcW w:w="789"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1A</w:t>
            </w:r>
          </w:p>
        </w:tc>
        <w:tc>
          <w:tcPr>
            <w:tcW w:w="709"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CD6293" w:rsidP="00AB48D9">
            <w:pPr>
              <w:rPr>
                <w:rFonts w:ascii="inherit" w:hAnsi="inherit"/>
                <w:sz w:val="16"/>
                <w:szCs w:val="16"/>
                <w:lang w:val="en-US" w:eastAsia="en-US"/>
              </w:rPr>
            </w:pPr>
            <w:r w:rsidRPr="00506D52">
              <w:rPr>
                <w:rFonts w:ascii="inherit" w:hAnsi="inherit"/>
                <w:sz w:val="16"/>
                <w:szCs w:val="16"/>
                <w:lang w:val="en-US" w:eastAsia="en-US"/>
              </w:rPr>
              <w:t>75-21-8</w:t>
            </w:r>
          </w:p>
        </w:tc>
        <w:tc>
          <w:tcPr>
            <w:tcW w:w="26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rPr>
                <w:rFonts w:ascii="inherit" w:hAnsi="inherit"/>
                <w:sz w:val="16"/>
                <w:szCs w:val="16"/>
                <w:lang w:val="en-US" w:eastAsia="en-US"/>
              </w:rPr>
            </w:pPr>
            <w:r w:rsidRPr="00506D52">
              <w:rPr>
                <w:rFonts w:ascii="inherit" w:hAnsi="inherit"/>
                <w:sz w:val="16"/>
                <w:szCs w:val="16"/>
              </w:rPr>
              <w:t>Etylénoxid</w:t>
            </w:r>
          </w:p>
        </w:tc>
        <w:tc>
          <w:tcPr>
            <w:tcW w:w="658"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tcMar>
              <w:left w:w="28" w:type="dxa"/>
              <w:right w:w="28" w:type="dxa"/>
            </w:tcMar>
            <w:vAlign w:val="bottom"/>
          </w:tcPr>
          <w:p w:rsidR="00E93173" w:rsidRPr="00506D52" w:rsidRDefault="00CD6293" w:rsidP="00AB48D9">
            <w:pPr>
              <w:jc w:val="center"/>
              <w:rPr>
                <w:rFonts w:ascii="inherit" w:hAnsi="inherit"/>
                <w:sz w:val="16"/>
                <w:szCs w:val="16"/>
              </w:rPr>
            </w:pPr>
            <w:r w:rsidRPr="00506D52">
              <w:rPr>
                <w:rFonts w:ascii="inherit" w:hAnsi="inherit"/>
                <w:sz w:val="16"/>
                <w:szCs w:val="16"/>
              </w:rPr>
              <w:t>1,8</w:t>
            </w:r>
          </w:p>
        </w:tc>
        <w:tc>
          <w:tcPr>
            <w:tcW w:w="602"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koža</w:t>
            </w:r>
            <w:r w:rsidRPr="00506D52">
              <w:rPr>
                <w:rFonts w:ascii="inherit" w:hAnsi="inherit"/>
                <w:sz w:val="16"/>
                <w:szCs w:val="16"/>
                <w:vertAlign w:val="superscript"/>
                <w:lang w:val="en-US" w:eastAsia="en-US"/>
              </w:rPr>
              <w:t>(9)</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24</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B4413A" w:rsidP="00AB48D9">
            <w:pPr>
              <w:rPr>
                <w:rFonts w:ascii="inherit" w:hAnsi="inherit"/>
                <w:sz w:val="16"/>
                <w:szCs w:val="16"/>
                <w:lang w:val="en-US" w:eastAsia="en-US"/>
              </w:rPr>
            </w:pPr>
            <w:r w:rsidRPr="00506D52">
              <w:rPr>
                <w:rFonts w:ascii="inherit" w:hAnsi="inherit"/>
                <w:sz w:val="16"/>
                <w:szCs w:val="16"/>
                <w:lang w:val="en-US" w:eastAsia="en-US"/>
              </w:rPr>
              <w:t>etylénoxid (oxirán)</w:t>
            </w:r>
            <w:r w:rsidR="00E93173" w:rsidRPr="00506D52">
              <w:rPr>
                <w:rFonts w:ascii="inherit" w:hAnsi="inherit"/>
                <w:sz w:val="16"/>
                <w:szCs w:val="16"/>
                <w:lang w:val="en-US" w:eastAsia="en-US"/>
              </w:rPr>
              <w:t xml:space="preserve"> </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75-21-8</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26" w:type="dxa"/>
            <w:tcBorders>
              <w:top w:val="nil"/>
              <w:left w:val="nil"/>
              <w:bottom w:val="single" w:sz="8" w:space="0" w:color="auto"/>
              <w:right w:val="single" w:sz="8" w:space="0" w:color="auto"/>
            </w:tcBorders>
            <w:tcMar>
              <w:left w:w="28" w:type="dxa"/>
              <w:right w:w="28" w:type="dxa"/>
            </w:tcMar>
            <w:vAlign w:val="bottom"/>
          </w:tcPr>
          <w:p w:rsidR="00E93173" w:rsidRPr="00506D52" w:rsidRDefault="00B4413A" w:rsidP="00AB48D9">
            <w:pPr>
              <w:jc w:val="center"/>
              <w:rPr>
                <w:rFonts w:ascii="inherit" w:hAnsi="inherit"/>
                <w:sz w:val="16"/>
                <w:szCs w:val="16"/>
              </w:rPr>
            </w:pPr>
            <w:r w:rsidRPr="00506D52">
              <w:rPr>
                <w:rFonts w:ascii="inherit" w:hAnsi="inherit"/>
                <w:sz w:val="16"/>
                <w:szCs w:val="16"/>
              </w:rPr>
              <w:t>1,8</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K</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tcPr>
          <w:p w:rsidR="00E93173" w:rsidRPr="00506D52" w:rsidRDefault="00CD6293" w:rsidP="00AB48D9">
            <w:pPr>
              <w:rPr>
                <w:rFonts w:ascii="inherit" w:hAnsi="inherit"/>
                <w:sz w:val="16"/>
                <w:szCs w:val="16"/>
                <w:lang w:val="en-US" w:eastAsia="en-US"/>
              </w:rPr>
            </w:pPr>
            <w:r w:rsidRPr="00506D52">
              <w:rPr>
                <w:rFonts w:ascii="inherit" w:hAnsi="inherit"/>
                <w:sz w:val="16"/>
                <w:szCs w:val="16"/>
                <w:lang w:val="en-US" w:eastAsia="en-US"/>
              </w:rPr>
              <w:t>75-56-9</w:t>
            </w:r>
          </w:p>
        </w:tc>
        <w:tc>
          <w:tcPr>
            <w:tcW w:w="2616" w:type="dxa"/>
            <w:tcBorders>
              <w:top w:val="nil"/>
              <w:left w:val="nil"/>
              <w:bottom w:val="single" w:sz="8" w:space="0" w:color="auto"/>
              <w:right w:val="single" w:sz="8" w:space="0" w:color="auto"/>
            </w:tcBorders>
            <w:noWrap/>
            <w:tcMar>
              <w:left w:w="28" w:type="dxa"/>
              <w:right w:w="28" w:type="dxa"/>
            </w:tcMar>
          </w:tcPr>
          <w:p w:rsidR="00E93173" w:rsidRPr="00506D52" w:rsidRDefault="00CD6293" w:rsidP="00AB48D9">
            <w:pPr>
              <w:rPr>
                <w:rFonts w:ascii="inherit" w:hAnsi="inherit"/>
                <w:sz w:val="16"/>
                <w:szCs w:val="16"/>
                <w:lang w:val="en-US" w:eastAsia="en-US"/>
              </w:rPr>
            </w:pPr>
            <w:r w:rsidRPr="00506D52">
              <w:rPr>
                <w:rFonts w:ascii="inherit" w:hAnsi="inherit"/>
                <w:sz w:val="16"/>
                <w:szCs w:val="16"/>
              </w:rPr>
              <w:t>1,2-epoxypropán</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rPr>
            </w:pPr>
            <w:r w:rsidRPr="00506D52">
              <w:rPr>
                <w:rFonts w:ascii="inherit" w:hAnsi="inherit"/>
                <w:sz w:val="16"/>
                <w:szCs w:val="16"/>
              </w:rPr>
              <w:t>2,4</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vAlign w:val="center"/>
          </w:tcPr>
          <w:p w:rsidR="00E93173" w:rsidRPr="00506D52" w:rsidRDefault="00B4413A" w:rsidP="00B4413A">
            <w:pPr>
              <w:jc w:val="center"/>
              <w:rPr>
                <w:rFonts w:ascii="inherit" w:hAnsi="inherit"/>
                <w:sz w:val="16"/>
                <w:szCs w:val="16"/>
                <w:lang w:val="en-US" w:eastAsia="en-US"/>
              </w:rPr>
            </w:pPr>
            <w:r w:rsidRPr="00506D52">
              <w:rPr>
                <w:rFonts w:ascii="inherit" w:hAnsi="inherit"/>
                <w:sz w:val="16"/>
                <w:szCs w:val="16"/>
                <w:lang w:val="en-US" w:eastAsia="en-US"/>
              </w:rPr>
              <w:t>22</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B4413A" w:rsidP="00D371C8">
            <w:pPr>
              <w:rPr>
                <w:rFonts w:ascii="inherit" w:hAnsi="inherit"/>
                <w:sz w:val="16"/>
                <w:szCs w:val="16"/>
                <w:lang w:val="en-US" w:eastAsia="en-US"/>
              </w:rPr>
            </w:pPr>
            <w:r w:rsidRPr="00506D52">
              <w:rPr>
                <w:rFonts w:ascii="inherit" w:hAnsi="inherit"/>
                <w:sz w:val="16"/>
                <w:szCs w:val="16"/>
                <w:lang w:val="en-US" w:eastAsia="en-US"/>
              </w:rPr>
              <w:t>1,2-epoxypropán</w:t>
            </w:r>
          </w:p>
        </w:tc>
        <w:tc>
          <w:tcPr>
            <w:tcW w:w="861"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75-56-9</w:t>
            </w:r>
          </w:p>
        </w:tc>
        <w:tc>
          <w:tcPr>
            <w:tcW w:w="691"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26"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rPr>
            </w:pPr>
            <w:r w:rsidRPr="00506D52">
              <w:rPr>
                <w:rFonts w:ascii="inherit" w:hAnsi="inherit"/>
                <w:sz w:val="16"/>
                <w:szCs w:val="16"/>
              </w:rPr>
              <w:t>2,4</w:t>
            </w:r>
          </w:p>
        </w:tc>
        <w:tc>
          <w:tcPr>
            <w:tcW w:w="789" w:type="dxa"/>
            <w:tcBorders>
              <w:top w:val="nil"/>
              <w:left w:val="nil"/>
              <w:bottom w:val="single" w:sz="8" w:space="0" w:color="auto"/>
              <w:right w:val="single" w:sz="8" w:space="0" w:color="auto"/>
            </w:tcBorders>
            <w:tcMar>
              <w:left w:w="28" w:type="dxa"/>
              <w:right w:w="28" w:type="dxa"/>
            </w:tcMar>
          </w:tcPr>
          <w:p w:rsidR="00E93173" w:rsidRPr="00506D52" w:rsidRDefault="00D371C8"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tcPr>
          <w:p w:rsidR="00E93173" w:rsidRPr="00506D52" w:rsidRDefault="000E7D3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CD6293" w:rsidP="00AB48D9">
            <w:pPr>
              <w:rPr>
                <w:rFonts w:ascii="inherit" w:hAnsi="inherit"/>
                <w:sz w:val="16"/>
                <w:szCs w:val="16"/>
                <w:lang w:val="en-US" w:eastAsia="en-US"/>
              </w:rPr>
            </w:pPr>
            <w:r w:rsidRPr="00506D52">
              <w:rPr>
                <w:rFonts w:ascii="inherit" w:hAnsi="inherit"/>
                <w:sz w:val="16"/>
                <w:szCs w:val="16"/>
                <w:lang w:val="en-US" w:eastAsia="en-US"/>
              </w:rPr>
              <w:t>79-06-1</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CD6293" w:rsidP="00AB48D9">
            <w:pPr>
              <w:rPr>
                <w:rFonts w:ascii="inherit" w:hAnsi="inherit"/>
                <w:sz w:val="16"/>
                <w:szCs w:val="16"/>
                <w:lang w:val="en-US" w:eastAsia="en-US"/>
              </w:rPr>
            </w:pPr>
            <w:r w:rsidRPr="00506D52">
              <w:rPr>
                <w:rFonts w:ascii="inherit" w:hAnsi="inherit"/>
                <w:sz w:val="16"/>
                <w:szCs w:val="16"/>
                <w:lang w:val="en-US" w:eastAsia="en-US"/>
              </w:rPr>
              <w:t>Akrylamid</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42" w:type="dxa"/>
            <w:tcBorders>
              <w:top w:val="nil"/>
              <w:left w:val="nil"/>
              <w:bottom w:val="single" w:sz="8" w:space="0" w:color="auto"/>
              <w:right w:val="single" w:sz="8" w:space="0" w:color="auto"/>
            </w:tcBorders>
            <w:noWrap/>
            <w:tcMar>
              <w:left w:w="28" w:type="dxa"/>
              <w:right w:w="28" w:type="dxa"/>
            </w:tcMar>
            <w:vAlign w:val="bottom"/>
          </w:tcPr>
          <w:p w:rsidR="00E93173" w:rsidRPr="00506D52" w:rsidRDefault="00CD6293" w:rsidP="00AB48D9">
            <w:pPr>
              <w:jc w:val="center"/>
              <w:rPr>
                <w:rFonts w:ascii="inherit" w:hAnsi="inherit"/>
                <w:sz w:val="16"/>
                <w:szCs w:val="16"/>
              </w:rPr>
            </w:pPr>
            <w:r w:rsidRPr="00506D52">
              <w:rPr>
                <w:rFonts w:ascii="inherit" w:hAnsi="inherit"/>
                <w:sz w:val="16"/>
                <w:szCs w:val="16"/>
              </w:rPr>
              <w:t>0,1</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koža</w:t>
            </w:r>
            <w:r w:rsidRPr="00506D52">
              <w:rPr>
                <w:rFonts w:ascii="inherit" w:hAnsi="inherit"/>
                <w:sz w:val="16"/>
                <w:szCs w:val="16"/>
                <w:vertAlign w:val="superscript"/>
                <w:lang w:val="en-US" w:eastAsia="en-US"/>
              </w:rPr>
              <w:t>(9)</w:t>
            </w:r>
          </w:p>
        </w:tc>
        <w:tc>
          <w:tcPr>
            <w:tcW w:w="1306" w:type="dxa"/>
            <w:tcBorders>
              <w:top w:val="single" w:sz="8" w:space="0" w:color="auto"/>
              <w:left w:val="nil"/>
              <w:bottom w:val="single" w:sz="8" w:space="0" w:color="auto"/>
              <w:right w:val="double" w:sz="4" w:space="0" w:color="auto"/>
            </w:tcBorders>
            <w:noWrap/>
            <w:tcMar>
              <w:left w:w="28" w:type="dxa"/>
              <w:right w:w="28" w:type="dxa"/>
            </w:tcMar>
            <w:vAlign w:val="center"/>
          </w:tcPr>
          <w:p w:rsidR="00E93173" w:rsidRPr="00506D52" w:rsidRDefault="00CD629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rPr>
                <w:rFonts w:ascii="inherit" w:hAnsi="inherit"/>
                <w:sz w:val="16"/>
                <w:szCs w:val="16"/>
                <w:lang w:val="en-US" w:eastAsia="en-US"/>
              </w:rPr>
            </w:pPr>
            <w:r w:rsidRPr="00506D52">
              <w:rPr>
                <w:rFonts w:ascii="inherit" w:hAnsi="inherit"/>
                <w:sz w:val="16"/>
                <w:szCs w:val="16"/>
                <w:lang w:val="en-US" w:eastAsia="en-US"/>
              </w:rPr>
              <w:t>akrylamid</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79-06-1</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6" w:type="dxa"/>
            <w:tcBorders>
              <w:top w:val="nil"/>
              <w:left w:val="nil"/>
              <w:bottom w:val="single" w:sz="8" w:space="0" w:color="auto"/>
              <w:right w:val="single" w:sz="8" w:space="0" w:color="auto"/>
            </w:tcBorders>
            <w:tcMar>
              <w:left w:w="28" w:type="dxa"/>
              <w:right w:w="28" w:type="dxa"/>
            </w:tcMar>
            <w:vAlign w:val="bottom"/>
          </w:tcPr>
          <w:p w:rsidR="00E93173" w:rsidRPr="00506D52" w:rsidRDefault="00B4413A" w:rsidP="00BD6C90">
            <w:pPr>
              <w:jc w:val="center"/>
              <w:rPr>
                <w:rFonts w:ascii="inherit" w:hAnsi="inherit"/>
                <w:sz w:val="16"/>
                <w:szCs w:val="16"/>
              </w:rPr>
            </w:pPr>
            <w:r w:rsidRPr="00506D52">
              <w:rPr>
                <w:rFonts w:ascii="inherit" w:hAnsi="inherit"/>
                <w:sz w:val="16"/>
                <w:szCs w:val="16"/>
              </w:rPr>
              <w:t>0,</w:t>
            </w:r>
            <w:r w:rsidR="00BD6C90" w:rsidRPr="00506D52">
              <w:rPr>
                <w:rFonts w:ascii="inherit" w:hAnsi="inherit"/>
                <w:sz w:val="16"/>
                <w:szCs w:val="16"/>
              </w:rPr>
              <w:t>1</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K</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tcPr>
          <w:p w:rsidR="00E93173" w:rsidRPr="00506D52" w:rsidRDefault="00132637" w:rsidP="00AB48D9">
            <w:pPr>
              <w:rPr>
                <w:rFonts w:ascii="inherit" w:hAnsi="inherit"/>
                <w:sz w:val="16"/>
                <w:szCs w:val="16"/>
                <w:lang w:val="en-US" w:eastAsia="en-US"/>
              </w:rPr>
            </w:pPr>
            <w:r w:rsidRPr="00506D52">
              <w:rPr>
                <w:rFonts w:ascii="inherit" w:hAnsi="inherit"/>
                <w:sz w:val="16"/>
                <w:szCs w:val="16"/>
                <w:lang w:val="en-US" w:eastAsia="en-US"/>
              </w:rPr>
              <w:t>79-46-9</w:t>
            </w:r>
          </w:p>
        </w:tc>
        <w:tc>
          <w:tcPr>
            <w:tcW w:w="2616" w:type="dxa"/>
            <w:tcBorders>
              <w:top w:val="nil"/>
              <w:left w:val="nil"/>
              <w:bottom w:val="single" w:sz="8" w:space="0" w:color="auto"/>
              <w:right w:val="single" w:sz="8" w:space="0" w:color="auto"/>
            </w:tcBorders>
            <w:tcMar>
              <w:left w:w="28" w:type="dxa"/>
              <w:right w:w="28" w:type="dxa"/>
            </w:tcMar>
          </w:tcPr>
          <w:p w:rsidR="00E93173" w:rsidRPr="00506D52" w:rsidRDefault="00132637" w:rsidP="00AB48D9">
            <w:pPr>
              <w:rPr>
                <w:rFonts w:ascii="inherit" w:hAnsi="inherit"/>
                <w:sz w:val="16"/>
                <w:szCs w:val="16"/>
                <w:lang w:val="en-US" w:eastAsia="en-US"/>
              </w:rPr>
            </w:pPr>
            <w:r w:rsidRPr="00506D52">
              <w:rPr>
                <w:rFonts w:ascii="inherit" w:hAnsi="inherit"/>
                <w:sz w:val="16"/>
                <w:szCs w:val="16"/>
              </w:rPr>
              <w:t>2-nitropropán</w:t>
            </w:r>
          </w:p>
        </w:tc>
        <w:tc>
          <w:tcPr>
            <w:tcW w:w="658"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5</w:t>
            </w:r>
          </w:p>
        </w:tc>
        <w:tc>
          <w:tcPr>
            <w:tcW w:w="742"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rPr>
            </w:pPr>
            <w:r w:rsidRPr="00506D52">
              <w:rPr>
                <w:rFonts w:ascii="inherit" w:hAnsi="inherit"/>
                <w:sz w:val="16"/>
                <w:szCs w:val="16"/>
              </w:rPr>
              <w:t>18</w:t>
            </w:r>
          </w:p>
        </w:tc>
        <w:tc>
          <w:tcPr>
            <w:tcW w:w="602"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noWrap/>
            <w:tcMar>
              <w:left w:w="28" w:type="dxa"/>
              <w:right w:w="28" w:type="dxa"/>
            </w:tcMa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31</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rPr>
                <w:rFonts w:ascii="inherit" w:hAnsi="inherit"/>
                <w:sz w:val="16"/>
                <w:szCs w:val="16"/>
                <w:lang w:val="en-US" w:eastAsia="en-US"/>
              </w:rPr>
            </w:pPr>
            <w:r w:rsidRPr="00506D52">
              <w:rPr>
                <w:rFonts w:ascii="inherit" w:hAnsi="inherit"/>
                <w:sz w:val="16"/>
                <w:szCs w:val="16"/>
              </w:rPr>
              <w:t>2-nitropropán</w:t>
            </w:r>
          </w:p>
        </w:tc>
        <w:tc>
          <w:tcPr>
            <w:tcW w:w="861" w:type="dxa"/>
            <w:tcBorders>
              <w:top w:val="nil"/>
              <w:left w:val="nil"/>
              <w:bottom w:val="single" w:sz="8" w:space="0" w:color="auto"/>
              <w:right w:val="single" w:sz="8" w:space="0" w:color="auto"/>
            </w:tcBorders>
            <w:tcMar>
              <w:left w:w="28" w:type="dxa"/>
              <w:right w:w="28" w:type="dxa"/>
            </w:tcMar>
          </w:tcPr>
          <w:p w:rsidR="00E93173" w:rsidRPr="00506D52" w:rsidRDefault="00B4413A" w:rsidP="00AB48D9">
            <w:pPr>
              <w:jc w:val="center"/>
              <w:rPr>
                <w:rFonts w:ascii="inherit" w:hAnsi="inherit"/>
                <w:sz w:val="16"/>
                <w:szCs w:val="16"/>
                <w:lang w:val="en-US" w:eastAsia="en-US"/>
              </w:rPr>
            </w:pPr>
            <w:r w:rsidRPr="00506D52">
              <w:rPr>
                <w:rFonts w:ascii="inherit" w:hAnsi="inherit"/>
                <w:sz w:val="16"/>
                <w:szCs w:val="16"/>
                <w:lang w:val="en-US" w:eastAsia="en-US"/>
              </w:rPr>
              <w:t>79-46-9</w:t>
            </w:r>
          </w:p>
        </w:tc>
        <w:tc>
          <w:tcPr>
            <w:tcW w:w="691"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5</w:t>
            </w:r>
          </w:p>
        </w:tc>
        <w:tc>
          <w:tcPr>
            <w:tcW w:w="726"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rPr>
            </w:pPr>
            <w:r w:rsidRPr="00506D52">
              <w:rPr>
                <w:rFonts w:ascii="inherit" w:hAnsi="inherit"/>
                <w:sz w:val="16"/>
                <w:szCs w:val="16"/>
              </w:rPr>
              <w:t>18</w:t>
            </w:r>
          </w:p>
        </w:tc>
        <w:tc>
          <w:tcPr>
            <w:tcW w:w="789"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rPr>
              <w:t>1B</w:t>
            </w:r>
          </w:p>
        </w:tc>
        <w:tc>
          <w:tcPr>
            <w:tcW w:w="709" w:type="dxa"/>
            <w:tcBorders>
              <w:top w:val="nil"/>
              <w:left w:val="nil"/>
              <w:bottom w:val="single" w:sz="8" w:space="0" w:color="auto"/>
              <w:right w:val="single" w:sz="8" w:space="0" w:color="auto"/>
            </w:tcBorders>
            <w:tcMar>
              <w:left w:w="28" w:type="dxa"/>
              <w:right w:w="28" w:type="dxa"/>
            </w:tcMa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132637" w:rsidP="00AB48D9">
            <w:pPr>
              <w:rPr>
                <w:rFonts w:ascii="inherit" w:hAnsi="inherit"/>
                <w:sz w:val="16"/>
                <w:szCs w:val="16"/>
                <w:lang w:val="en-US" w:eastAsia="en-US"/>
              </w:rPr>
            </w:pPr>
            <w:r w:rsidRPr="00506D52">
              <w:rPr>
                <w:rFonts w:ascii="inherit" w:hAnsi="inherit"/>
                <w:sz w:val="16"/>
                <w:szCs w:val="16"/>
                <w:lang w:val="en-US" w:eastAsia="en-US"/>
              </w:rPr>
              <w:t>95-53-4</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132637" w:rsidP="00AB48D9">
            <w:pPr>
              <w:rPr>
                <w:rFonts w:ascii="inherit" w:hAnsi="inherit"/>
                <w:sz w:val="16"/>
                <w:szCs w:val="16"/>
                <w:lang w:val="en-US" w:eastAsia="en-US"/>
              </w:rPr>
            </w:pPr>
            <w:r w:rsidRPr="00506D52">
              <w:rPr>
                <w:rFonts w:ascii="inherit" w:hAnsi="inherit"/>
                <w:sz w:val="16"/>
                <w:szCs w:val="16"/>
              </w:rPr>
              <w:t>o-toluidín</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0,1</w:t>
            </w:r>
          </w:p>
        </w:tc>
        <w:tc>
          <w:tcPr>
            <w:tcW w:w="742" w:type="dxa"/>
            <w:tcBorders>
              <w:top w:val="nil"/>
              <w:left w:val="nil"/>
              <w:bottom w:val="single" w:sz="8" w:space="0" w:color="auto"/>
              <w:right w:val="single" w:sz="8" w:space="0" w:color="auto"/>
            </w:tcBorders>
            <w:noWrap/>
            <w:tcMar>
              <w:left w:w="28" w:type="dxa"/>
              <w:right w:w="28" w:type="dxa"/>
            </w:tcMar>
            <w:vAlign w:val="bottom"/>
          </w:tcPr>
          <w:p w:rsidR="00E93173" w:rsidRPr="00506D52" w:rsidRDefault="00132637" w:rsidP="00AB48D9">
            <w:pPr>
              <w:jc w:val="center"/>
              <w:rPr>
                <w:rFonts w:ascii="inherit" w:hAnsi="inherit"/>
                <w:sz w:val="16"/>
                <w:szCs w:val="16"/>
              </w:rPr>
            </w:pPr>
            <w:r w:rsidRPr="00506D52">
              <w:rPr>
                <w:rFonts w:ascii="inherit" w:hAnsi="inherit"/>
                <w:sz w:val="16"/>
                <w:szCs w:val="16"/>
              </w:rPr>
              <w:t>0,5</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koža</w:t>
            </w:r>
            <w:r w:rsidRPr="00506D52">
              <w:rPr>
                <w:rFonts w:ascii="inherit" w:hAnsi="inherit"/>
                <w:sz w:val="16"/>
                <w:szCs w:val="16"/>
                <w:vertAlign w:val="superscript"/>
                <w:lang w:val="en-US" w:eastAsia="en-US"/>
              </w:rPr>
              <w:t>(9)</w:t>
            </w:r>
          </w:p>
        </w:tc>
        <w:tc>
          <w:tcPr>
            <w:tcW w:w="1306" w:type="dxa"/>
            <w:tcBorders>
              <w:top w:val="single" w:sz="8" w:space="0" w:color="auto"/>
              <w:left w:val="nil"/>
              <w:bottom w:val="single" w:sz="8" w:space="0" w:color="auto"/>
              <w:right w:val="double" w:sz="4" w:space="0" w:color="auto"/>
            </w:tcBorders>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36</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AB48D9">
            <w:pPr>
              <w:rPr>
                <w:rFonts w:ascii="inherit" w:hAnsi="inherit"/>
                <w:sz w:val="16"/>
                <w:szCs w:val="16"/>
              </w:rPr>
            </w:pPr>
            <w:r w:rsidRPr="00506D52">
              <w:rPr>
                <w:rFonts w:ascii="inherit" w:hAnsi="inherit"/>
                <w:sz w:val="16"/>
                <w:szCs w:val="16"/>
              </w:rPr>
              <w:t>o-toluidín</w:t>
            </w:r>
          </w:p>
          <w:p w:rsidR="004E26F1" w:rsidRPr="00506D52" w:rsidRDefault="004E26F1" w:rsidP="004E26F1">
            <w:pPr>
              <w:spacing w:before="0"/>
              <w:rPr>
                <w:rFonts w:ascii="inherit" w:hAnsi="inherit"/>
                <w:sz w:val="16"/>
                <w:szCs w:val="16"/>
                <w:lang w:val="en-US" w:eastAsia="en-US"/>
              </w:rPr>
            </w:pPr>
            <w:r w:rsidRPr="00506D52">
              <w:rPr>
                <w:rFonts w:ascii="inherit" w:hAnsi="inherit"/>
                <w:sz w:val="16"/>
                <w:szCs w:val="16"/>
              </w:rPr>
              <w:t>(2-metylanilín)</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95-53-4</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0,1</w:t>
            </w:r>
          </w:p>
        </w:tc>
        <w:tc>
          <w:tcPr>
            <w:tcW w:w="726"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rPr>
            </w:pPr>
            <w:r w:rsidRPr="00506D52">
              <w:rPr>
                <w:rFonts w:ascii="inherit" w:hAnsi="inherit"/>
                <w:sz w:val="16"/>
                <w:szCs w:val="16"/>
              </w:rPr>
              <w:t>0,5</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E93173" w:rsidP="004E26F1">
            <w:pPr>
              <w:jc w:val="center"/>
              <w:rPr>
                <w:rFonts w:ascii="inherit" w:hAnsi="inherit"/>
                <w:sz w:val="16"/>
                <w:szCs w:val="16"/>
                <w:lang w:val="en-US" w:eastAsia="en-US"/>
              </w:rPr>
            </w:pPr>
            <w:r w:rsidRPr="00506D52">
              <w:rPr>
                <w:rFonts w:ascii="inherit" w:hAnsi="inherit"/>
                <w:sz w:val="16"/>
                <w:szCs w:val="16"/>
                <w:lang w:val="en-US" w:eastAsia="en-US"/>
              </w:rPr>
              <w:t>K</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tcPr>
          <w:p w:rsidR="00E93173" w:rsidRPr="00506D52" w:rsidRDefault="00132637" w:rsidP="00AB48D9">
            <w:pPr>
              <w:rPr>
                <w:rFonts w:ascii="inherit" w:hAnsi="inherit"/>
                <w:sz w:val="16"/>
                <w:szCs w:val="16"/>
                <w:lang w:val="en-US" w:eastAsia="en-US"/>
              </w:rPr>
            </w:pPr>
            <w:r w:rsidRPr="00506D52">
              <w:rPr>
                <w:rFonts w:ascii="inherit" w:hAnsi="inherit"/>
                <w:sz w:val="16"/>
                <w:szCs w:val="16"/>
                <w:lang w:val="en-US" w:eastAsia="en-US"/>
              </w:rPr>
              <w:t>106-99-0</w:t>
            </w:r>
          </w:p>
        </w:tc>
        <w:tc>
          <w:tcPr>
            <w:tcW w:w="2616" w:type="dxa"/>
            <w:tcBorders>
              <w:top w:val="nil"/>
              <w:left w:val="nil"/>
              <w:bottom w:val="single" w:sz="8" w:space="0" w:color="auto"/>
              <w:right w:val="single" w:sz="8" w:space="0" w:color="auto"/>
            </w:tcBorders>
            <w:tcMar>
              <w:left w:w="28" w:type="dxa"/>
              <w:right w:w="28" w:type="dxa"/>
            </w:tcMar>
          </w:tcPr>
          <w:p w:rsidR="00E93173" w:rsidRPr="00506D52" w:rsidRDefault="00132637" w:rsidP="00AB48D9">
            <w:pPr>
              <w:rPr>
                <w:rFonts w:ascii="inherit" w:hAnsi="inherit"/>
                <w:sz w:val="16"/>
                <w:szCs w:val="16"/>
                <w:vertAlign w:val="superscript"/>
                <w:lang w:val="en-US" w:eastAsia="en-US"/>
              </w:rPr>
            </w:pPr>
            <w:r w:rsidRPr="00506D52">
              <w:rPr>
                <w:rFonts w:ascii="inherit" w:hAnsi="inherit"/>
                <w:sz w:val="16"/>
                <w:szCs w:val="16"/>
              </w:rPr>
              <w:t>1,3-butadién</w:t>
            </w:r>
          </w:p>
        </w:tc>
        <w:tc>
          <w:tcPr>
            <w:tcW w:w="658"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rPr>
            </w:pPr>
            <w:r w:rsidRPr="00506D52">
              <w:rPr>
                <w:rFonts w:ascii="inherit" w:hAnsi="inherit"/>
                <w:sz w:val="16"/>
                <w:szCs w:val="16"/>
              </w:rPr>
              <w:t>2,2</w:t>
            </w:r>
          </w:p>
        </w:tc>
        <w:tc>
          <w:tcPr>
            <w:tcW w:w="602" w:type="dxa"/>
            <w:tcBorders>
              <w:top w:val="nil"/>
              <w:left w:val="nil"/>
              <w:bottom w:val="single" w:sz="8" w:space="0" w:color="auto"/>
              <w:right w:val="single" w:sz="8" w:space="0" w:color="auto"/>
            </w:tcBorders>
            <w:noWrap/>
            <w:tcMar>
              <w:left w:w="28" w:type="dxa"/>
              <w:right w:w="28" w:type="dxa"/>
            </w:tcMa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noWrap/>
            <w:tcMar>
              <w:left w:w="28" w:type="dxa"/>
              <w:right w:w="28" w:type="dxa"/>
            </w:tcMa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12</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4E26F1" w:rsidRPr="00506D52" w:rsidRDefault="00E93173" w:rsidP="00AB48D9">
            <w:pPr>
              <w:rPr>
                <w:rFonts w:ascii="inherit" w:hAnsi="inherit"/>
                <w:sz w:val="16"/>
                <w:szCs w:val="16"/>
                <w:lang w:val="en-US" w:eastAsia="en-US"/>
              </w:rPr>
            </w:pPr>
            <w:r w:rsidRPr="00506D52">
              <w:rPr>
                <w:rFonts w:ascii="inherit" w:hAnsi="inherit"/>
                <w:sz w:val="16"/>
                <w:szCs w:val="16"/>
                <w:lang w:val="en-US" w:eastAsia="en-US"/>
              </w:rPr>
              <w:t xml:space="preserve"> </w:t>
            </w:r>
            <w:r w:rsidR="004E26F1" w:rsidRPr="00506D52">
              <w:rPr>
                <w:rFonts w:ascii="inherit" w:hAnsi="inherit"/>
                <w:sz w:val="16"/>
                <w:szCs w:val="16"/>
                <w:lang w:val="en-US" w:eastAsia="en-US"/>
              </w:rPr>
              <w:t xml:space="preserve">1,3-butadién </w:t>
            </w:r>
          </w:p>
          <w:p w:rsidR="00E93173" w:rsidRPr="00506D52" w:rsidRDefault="004E26F1" w:rsidP="004E26F1">
            <w:pPr>
              <w:spacing w:before="0"/>
              <w:rPr>
                <w:rFonts w:ascii="inherit" w:hAnsi="inherit"/>
                <w:sz w:val="16"/>
                <w:szCs w:val="16"/>
                <w:lang w:val="en-US" w:eastAsia="en-US"/>
              </w:rPr>
            </w:pPr>
            <w:r w:rsidRPr="00506D52">
              <w:rPr>
                <w:rFonts w:ascii="inherit" w:hAnsi="inherit"/>
                <w:sz w:val="16"/>
                <w:szCs w:val="16"/>
                <w:lang w:val="en-US" w:eastAsia="en-US"/>
              </w:rPr>
              <w:t>(buta-1,3-dién)</w:t>
            </w:r>
          </w:p>
        </w:tc>
        <w:tc>
          <w:tcPr>
            <w:tcW w:w="861"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106-99-0</w:t>
            </w:r>
          </w:p>
        </w:tc>
        <w:tc>
          <w:tcPr>
            <w:tcW w:w="691"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26" w:type="dxa"/>
            <w:tcBorders>
              <w:top w:val="nil"/>
              <w:left w:val="nil"/>
              <w:bottom w:val="single" w:sz="8" w:space="0" w:color="auto"/>
              <w:right w:val="single" w:sz="8" w:space="0" w:color="auto"/>
            </w:tcBorders>
            <w:tcMar>
              <w:left w:w="28" w:type="dxa"/>
              <w:right w:w="28" w:type="dxa"/>
            </w:tcMar>
          </w:tcPr>
          <w:p w:rsidR="00E93173" w:rsidRPr="00506D52" w:rsidRDefault="00E93173" w:rsidP="00AB48D9">
            <w:pPr>
              <w:jc w:val="center"/>
              <w:rPr>
                <w:rFonts w:ascii="inherit" w:hAnsi="inherit"/>
                <w:sz w:val="16"/>
                <w:szCs w:val="16"/>
              </w:rPr>
            </w:pPr>
            <w:r w:rsidRPr="00506D52">
              <w:rPr>
                <w:rFonts w:ascii="inherit" w:hAnsi="inherit"/>
                <w:sz w:val="16"/>
                <w:szCs w:val="16"/>
              </w:rPr>
              <w:t>2</w:t>
            </w:r>
            <w:r w:rsidR="004E26F1" w:rsidRPr="00506D52">
              <w:rPr>
                <w:rFonts w:ascii="inherit" w:hAnsi="inherit"/>
                <w:sz w:val="16"/>
                <w:szCs w:val="16"/>
              </w:rPr>
              <w:t>,2</w:t>
            </w:r>
          </w:p>
        </w:tc>
        <w:tc>
          <w:tcPr>
            <w:tcW w:w="789"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1A</w:t>
            </w:r>
          </w:p>
        </w:tc>
        <w:tc>
          <w:tcPr>
            <w:tcW w:w="709" w:type="dxa"/>
            <w:tcBorders>
              <w:top w:val="nil"/>
              <w:left w:val="nil"/>
              <w:bottom w:val="single" w:sz="8" w:space="0" w:color="auto"/>
              <w:right w:val="single" w:sz="8" w:space="0" w:color="auto"/>
            </w:tcBorders>
            <w:tcMar>
              <w:left w:w="28" w:type="dxa"/>
              <w:right w:w="28" w:type="dxa"/>
            </w:tcMar>
          </w:tcPr>
          <w:p w:rsidR="00E93173" w:rsidRPr="00506D52" w:rsidRDefault="004E26F1" w:rsidP="00AB48D9">
            <w:pPr>
              <w:jc w:val="center"/>
              <w:rPr>
                <w:rFonts w:ascii="inherit" w:hAnsi="inherit"/>
                <w:sz w:val="16"/>
                <w:szCs w:val="16"/>
                <w:lang w:val="en-US" w:eastAsia="en-US"/>
              </w:rPr>
            </w:pPr>
            <w:r w:rsidRPr="00506D52">
              <w:rPr>
                <w:rFonts w:ascii="inherit" w:hAnsi="inherit"/>
                <w:sz w:val="16"/>
                <w:szCs w:val="16"/>
                <w:lang w:val="en-US" w:eastAsia="en-US"/>
              </w:rPr>
              <w:t>1B</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r>
      <w:tr w:rsidR="002F05C4" w:rsidRPr="00506D52" w:rsidTr="003336DF">
        <w:trPr>
          <w:trHeight w:val="170"/>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132637" w:rsidP="00AB48D9">
            <w:pPr>
              <w:rPr>
                <w:rFonts w:ascii="inherit" w:hAnsi="inherit"/>
                <w:sz w:val="16"/>
                <w:szCs w:val="16"/>
                <w:lang w:val="en-US" w:eastAsia="en-US"/>
              </w:rPr>
            </w:pPr>
            <w:r w:rsidRPr="00506D52">
              <w:rPr>
                <w:rFonts w:ascii="inherit" w:hAnsi="inherit"/>
                <w:sz w:val="16"/>
                <w:szCs w:val="16"/>
                <w:lang w:val="en-US" w:eastAsia="en-US"/>
              </w:rPr>
              <w:t>302-01-2</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132637" w:rsidP="00AB48D9">
            <w:pPr>
              <w:rPr>
                <w:rFonts w:ascii="inherit" w:hAnsi="inherit"/>
                <w:sz w:val="16"/>
                <w:szCs w:val="16"/>
                <w:lang w:val="en-US" w:eastAsia="en-US"/>
              </w:rPr>
            </w:pPr>
            <w:r w:rsidRPr="00506D52">
              <w:rPr>
                <w:rFonts w:ascii="inherit" w:hAnsi="inherit"/>
                <w:sz w:val="16"/>
                <w:szCs w:val="16"/>
              </w:rPr>
              <w:t>Hydrazín</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0,01</w:t>
            </w:r>
          </w:p>
        </w:tc>
        <w:tc>
          <w:tcPr>
            <w:tcW w:w="742" w:type="dxa"/>
            <w:tcBorders>
              <w:top w:val="nil"/>
              <w:left w:val="nil"/>
              <w:bottom w:val="single" w:sz="8" w:space="0" w:color="auto"/>
              <w:right w:val="single" w:sz="8" w:space="0" w:color="auto"/>
            </w:tcBorders>
            <w:noWrap/>
            <w:tcMar>
              <w:left w:w="28" w:type="dxa"/>
              <w:right w:w="28" w:type="dxa"/>
            </w:tcMar>
            <w:vAlign w:val="bottom"/>
          </w:tcPr>
          <w:p w:rsidR="00E93173" w:rsidRPr="00506D52" w:rsidRDefault="00132637" w:rsidP="00AB48D9">
            <w:pPr>
              <w:jc w:val="center"/>
              <w:rPr>
                <w:rFonts w:ascii="inherit" w:hAnsi="inherit"/>
                <w:sz w:val="16"/>
                <w:szCs w:val="16"/>
              </w:rPr>
            </w:pPr>
            <w:r w:rsidRPr="00506D52">
              <w:rPr>
                <w:rFonts w:ascii="inherit" w:hAnsi="inherit"/>
                <w:sz w:val="16"/>
                <w:szCs w:val="16"/>
              </w:rPr>
              <w:t>0,013</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132637" w:rsidP="00132637">
            <w:pPr>
              <w:rPr>
                <w:rFonts w:ascii="inherit" w:hAnsi="inherit"/>
                <w:sz w:val="16"/>
                <w:szCs w:val="16"/>
                <w:lang w:val="en-US" w:eastAsia="en-US"/>
              </w:rPr>
            </w:pPr>
            <w:r w:rsidRPr="00506D52">
              <w:rPr>
                <w:rFonts w:ascii="inherit" w:hAnsi="inherit"/>
                <w:sz w:val="16"/>
                <w:szCs w:val="16"/>
                <w:lang w:val="en-US" w:eastAsia="en-US"/>
              </w:rPr>
              <w:t>koža</w:t>
            </w:r>
            <w:r w:rsidRPr="00506D52">
              <w:rPr>
                <w:rFonts w:ascii="inherit" w:hAnsi="inherit"/>
                <w:sz w:val="16"/>
                <w:szCs w:val="16"/>
                <w:vertAlign w:val="superscript"/>
                <w:lang w:val="en-US" w:eastAsia="en-US"/>
              </w:rPr>
              <w:t>(9)</w:t>
            </w:r>
          </w:p>
        </w:tc>
        <w:tc>
          <w:tcPr>
            <w:tcW w:w="1306" w:type="dxa"/>
            <w:tcBorders>
              <w:top w:val="single" w:sz="8" w:space="0" w:color="auto"/>
              <w:left w:val="nil"/>
              <w:bottom w:val="single" w:sz="8" w:space="0" w:color="auto"/>
              <w:right w:val="double" w:sz="4"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25</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914A18" w:rsidP="004E26F1">
            <w:pPr>
              <w:spacing w:before="0"/>
              <w:jc w:val="left"/>
              <w:rPr>
                <w:rFonts w:ascii="inherit" w:hAnsi="inherit"/>
                <w:sz w:val="16"/>
                <w:szCs w:val="16"/>
                <w:lang w:val="en-US" w:eastAsia="en-US"/>
              </w:rPr>
            </w:pPr>
            <w:r w:rsidRPr="00506D52">
              <w:rPr>
                <w:rFonts w:ascii="inherit" w:hAnsi="inherit"/>
                <w:sz w:val="16"/>
                <w:szCs w:val="16"/>
              </w:rPr>
              <w:t>h</w:t>
            </w:r>
            <w:r w:rsidR="004E26F1" w:rsidRPr="00506D52">
              <w:rPr>
                <w:rFonts w:ascii="inherit" w:hAnsi="inherit"/>
                <w:sz w:val="16"/>
                <w:szCs w:val="16"/>
              </w:rPr>
              <w:t>ydrazín (diazán)</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302-01-2</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0,01</w:t>
            </w:r>
          </w:p>
        </w:tc>
        <w:tc>
          <w:tcPr>
            <w:tcW w:w="726"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rPr>
            </w:pPr>
            <w:r w:rsidRPr="00506D52">
              <w:rPr>
                <w:rFonts w:ascii="inherit" w:hAnsi="inherit"/>
                <w:sz w:val="16"/>
                <w:szCs w:val="16"/>
              </w:rPr>
              <w:t>0,013</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4E26F1" w:rsidP="004E26F1">
            <w:pPr>
              <w:spacing w:before="0"/>
              <w:jc w:val="center"/>
              <w:rPr>
                <w:rFonts w:ascii="inherit" w:hAnsi="inherit"/>
                <w:sz w:val="16"/>
                <w:szCs w:val="16"/>
                <w:lang w:val="en-US" w:eastAsia="en-US"/>
              </w:rPr>
            </w:pPr>
            <w:r w:rsidRPr="00506D52">
              <w:rPr>
                <w:rFonts w:ascii="inherit" w:hAnsi="inherit"/>
                <w:sz w:val="16"/>
                <w:szCs w:val="16"/>
                <w:lang w:val="en-US" w:eastAsia="en-US"/>
              </w:rPr>
              <w:t>S,</w:t>
            </w:r>
            <w:r w:rsidR="00534BA1" w:rsidRPr="00506D52">
              <w:rPr>
                <w:rFonts w:ascii="inherit" w:hAnsi="inherit"/>
                <w:sz w:val="16"/>
                <w:szCs w:val="16"/>
                <w:lang w:val="en-US" w:eastAsia="en-US"/>
              </w:rPr>
              <w:t xml:space="preserve"> </w:t>
            </w:r>
            <w:r w:rsidRPr="00506D52">
              <w:rPr>
                <w:rFonts w:ascii="inherit" w:hAnsi="inherit"/>
                <w:sz w:val="16"/>
                <w:szCs w:val="16"/>
                <w:lang w:val="en-US" w:eastAsia="en-US"/>
              </w:rPr>
              <w:t>K</w:t>
            </w:r>
          </w:p>
        </w:tc>
      </w:tr>
      <w:tr w:rsidR="002F05C4" w:rsidRPr="00506D52" w:rsidTr="003336DF">
        <w:trPr>
          <w:trHeight w:val="205"/>
        </w:trPr>
        <w:tc>
          <w:tcPr>
            <w:tcW w:w="1004" w:type="dxa"/>
            <w:tcBorders>
              <w:top w:val="nil"/>
              <w:left w:val="single" w:sz="12" w:space="0" w:color="auto"/>
              <w:bottom w:val="single" w:sz="8" w:space="0" w:color="auto"/>
              <w:right w:val="single" w:sz="8" w:space="0" w:color="auto"/>
            </w:tcBorders>
            <w:noWrap/>
            <w:tcMar>
              <w:left w:w="28" w:type="dxa"/>
              <w:right w:w="28" w:type="dxa"/>
            </w:tcMar>
            <w:vAlign w:val="bottom"/>
          </w:tcPr>
          <w:p w:rsidR="00E93173" w:rsidRPr="00506D52" w:rsidRDefault="00132637" w:rsidP="00AB48D9">
            <w:pPr>
              <w:rPr>
                <w:rFonts w:ascii="inherit" w:hAnsi="inherit"/>
                <w:sz w:val="16"/>
                <w:szCs w:val="16"/>
                <w:lang w:val="en-US" w:eastAsia="en-US"/>
              </w:rPr>
            </w:pPr>
            <w:r w:rsidRPr="00506D52">
              <w:rPr>
                <w:rFonts w:ascii="inherit" w:hAnsi="inherit"/>
                <w:sz w:val="16"/>
                <w:szCs w:val="16"/>
                <w:lang w:val="en-US" w:eastAsia="en-US"/>
              </w:rPr>
              <w:t>593-60-2</w:t>
            </w:r>
          </w:p>
        </w:tc>
        <w:tc>
          <w:tcPr>
            <w:tcW w:w="2616" w:type="dxa"/>
            <w:tcBorders>
              <w:top w:val="nil"/>
              <w:left w:val="nil"/>
              <w:bottom w:val="single" w:sz="8" w:space="0" w:color="auto"/>
              <w:right w:val="single" w:sz="8" w:space="0" w:color="auto"/>
            </w:tcBorders>
            <w:tcMar>
              <w:left w:w="28" w:type="dxa"/>
              <w:right w:w="28" w:type="dxa"/>
            </w:tcMar>
            <w:vAlign w:val="center"/>
          </w:tcPr>
          <w:p w:rsidR="00E93173" w:rsidRPr="00506D52" w:rsidRDefault="00132637" w:rsidP="00AB48D9">
            <w:pPr>
              <w:rPr>
                <w:rFonts w:ascii="inherit" w:hAnsi="inherit"/>
                <w:sz w:val="16"/>
                <w:szCs w:val="16"/>
                <w:lang w:val="en-US" w:eastAsia="en-US"/>
              </w:rPr>
            </w:pPr>
            <w:r w:rsidRPr="00506D52">
              <w:rPr>
                <w:rFonts w:ascii="inherit" w:hAnsi="inherit"/>
                <w:sz w:val="16"/>
                <w:szCs w:val="16"/>
              </w:rPr>
              <w:t>Brómetylén</w:t>
            </w:r>
          </w:p>
        </w:tc>
        <w:tc>
          <w:tcPr>
            <w:tcW w:w="658"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1</w:t>
            </w:r>
          </w:p>
        </w:tc>
        <w:tc>
          <w:tcPr>
            <w:tcW w:w="742" w:type="dxa"/>
            <w:tcBorders>
              <w:top w:val="nil"/>
              <w:left w:val="nil"/>
              <w:bottom w:val="single" w:sz="8" w:space="0" w:color="auto"/>
              <w:right w:val="single" w:sz="8" w:space="0" w:color="auto"/>
            </w:tcBorders>
            <w:noWrap/>
            <w:tcMar>
              <w:left w:w="28" w:type="dxa"/>
              <w:right w:w="28" w:type="dxa"/>
            </w:tcMar>
            <w:vAlign w:val="bottom"/>
          </w:tcPr>
          <w:p w:rsidR="00E93173" w:rsidRPr="00506D52" w:rsidRDefault="00132637" w:rsidP="00AB48D9">
            <w:pPr>
              <w:jc w:val="center"/>
              <w:rPr>
                <w:rFonts w:ascii="inherit" w:hAnsi="inherit"/>
                <w:sz w:val="16"/>
                <w:szCs w:val="16"/>
              </w:rPr>
            </w:pPr>
            <w:r w:rsidRPr="00506D52">
              <w:rPr>
                <w:rFonts w:ascii="inherit" w:hAnsi="inherit"/>
                <w:sz w:val="16"/>
                <w:szCs w:val="16"/>
              </w:rPr>
              <w:t>4,4</w:t>
            </w:r>
          </w:p>
        </w:tc>
        <w:tc>
          <w:tcPr>
            <w:tcW w:w="602"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727" w:type="dxa"/>
            <w:tcBorders>
              <w:top w:val="nil"/>
              <w:left w:val="nil"/>
              <w:bottom w:val="single" w:sz="8" w:space="0" w:color="auto"/>
              <w:right w:val="single" w:sz="8"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1306" w:type="dxa"/>
            <w:tcBorders>
              <w:top w:val="single" w:sz="8" w:space="0" w:color="auto"/>
              <w:left w:val="nil"/>
              <w:bottom w:val="single" w:sz="8" w:space="0" w:color="auto"/>
              <w:right w:val="double" w:sz="4" w:space="0" w:color="auto"/>
            </w:tcBorders>
            <w:noWrap/>
            <w:tcMar>
              <w:left w:w="28" w:type="dxa"/>
              <w:right w:w="28" w:type="dxa"/>
            </w:tcMar>
            <w:vAlign w:val="center"/>
          </w:tcPr>
          <w:p w:rsidR="00E93173" w:rsidRPr="00506D52" w:rsidRDefault="00E93173" w:rsidP="00AB48D9">
            <w:pPr>
              <w:jc w:val="center"/>
              <w:rPr>
                <w:rFonts w:ascii="inherit" w:hAnsi="inherit"/>
                <w:sz w:val="16"/>
                <w:szCs w:val="16"/>
                <w:lang w:val="en-US" w:eastAsia="en-US"/>
              </w:rPr>
            </w:pPr>
            <w:r w:rsidRPr="00506D52">
              <w:rPr>
                <w:rFonts w:ascii="inherit" w:hAnsi="inherit"/>
                <w:sz w:val="16"/>
                <w:szCs w:val="16"/>
                <w:lang w:val="en-US" w:eastAsia="en-US"/>
              </w:rPr>
              <w:t>—</w:t>
            </w:r>
          </w:p>
        </w:tc>
        <w:tc>
          <w:tcPr>
            <w:tcW w:w="676" w:type="dxa"/>
            <w:tcBorders>
              <w:top w:val="nil"/>
              <w:left w:val="double" w:sz="4" w:space="0" w:color="auto"/>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11</w:t>
            </w:r>
            <w:r w:rsidR="00E93173" w:rsidRPr="00506D52">
              <w:rPr>
                <w:rFonts w:ascii="inherit" w:hAnsi="inherit"/>
                <w:sz w:val="16"/>
                <w:szCs w:val="16"/>
                <w:lang w:val="en-US" w:eastAsia="en-US"/>
              </w:rPr>
              <w:t>.</w:t>
            </w:r>
          </w:p>
        </w:tc>
        <w:tc>
          <w:tcPr>
            <w:tcW w:w="2716" w:type="dxa"/>
            <w:tcBorders>
              <w:top w:val="nil"/>
              <w:left w:val="nil"/>
              <w:bottom w:val="single" w:sz="8" w:space="0" w:color="auto"/>
              <w:right w:val="single" w:sz="8" w:space="0" w:color="auto"/>
            </w:tcBorders>
            <w:tcMar>
              <w:left w:w="28" w:type="dxa"/>
              <w:right w:w="28" w:type="dxa"/>
            </w:tcMar>
            <w:vAlign w:val="center"/>
          </w:tcPr>
          <w:p w:rsidR="00E93173" w:rsidRPr="00506D52" w:rsidRDefault="00914A18" w:rsidP="009313EE">
            <w:pPr>
              <w:tabs>
                <w:tab w:val="left" w:pos="5"/>
                <w:tab w:val="left" w:pos="147"/>
              </w:tabs>
              <w:jc w:val="left"/>
              <w:rPr>
                <w:rFonts w:ascii="inherit" w:hAnsi="inherit"/>
                <w:sz w:val="16"/>
                <w:szCs w:val="16"/>
                <w:lang w:val="en-US" w:eastAsia="en-US"/>
              </w:rPr>
            </w:pPr>
            <w:r w:rsidRPr="00506D52">
              <w:rPr>
                <w:rFonts w:ascii="inherit" w:hAnsi="inherit"/>
                <w:sz w:val="16"/>
                <w:szCs w:val="16"/>
                <w:lang w:val="en-US" w:eastAsia="en-US"/>
              </w:rPr>
              <w:t>b</w:t>
            </w:r>
            <w:r w:rsidR="004E26F1" w:rsidRPr="00506D52">
              <w:rPr>
                <w:rFonts w:ascii="inherit" w:hAnsi="inherit"/>
                <w:sz w:val="16"/>
                <w:szCs w:val="16"/>
                <w:lang w:val="en-US" w:eastAsia="en-US"/>
              </w:rPr>
              <w:t>rómetylén</w:t>
            </w:r>
          </w:p>
        </w:tc>
        <w:tc>
          <w:tcPr>
            <w:tcW w:w="861"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lang w:val="en-US" w:eastAsia="en-US"/>
              </w:rPr>
            </w:pPr>
            <w:r w:rsidRPr="00506D52">
              <w:rPr>
                <w:rFonts w:ascii="inherit" w:hAnsi="inherit"/>
                <w:sz w:val="16"/>
                <w:szCs w:val="16"/>
                <w:lang w:val="en-US" w:eastAsia="en-US"/>
              </w:rPr>
              <w:t>593-60-2</w:t>
            </w:r>
          </w:p>
        </w:tc>
        <w:tc>
          <w:tcPr>
            <w:tcW w:w="691" w:type="dxa"/>
            <w:tcBorders>
              <w:top w:val="nil"/>
              <w:left w:val="nil"/>
              <w:bottom w:val="single" w:sz="8" w:space="0" w:color="auto"/>
              <w:right w:val="single" w:sz="8" w:space="0" w:color="auto"/>
            </w:tcBorders>
            <w:tcMar>
              <w:left w:w="28" w:type="dxa"/>
              <w:right w:w="28" w:type="dxa"/>
            </w:tcMar>
            <w:vAlign w:val="center"/>
          </w:tcPr>
          <w:p w:rsidR="00E93173" w:rsidRPr="00506D52" w:rsidRDefault="00E93173" w:rsidP="004E26F1">
            <w:pPr>
              <w:jc w:val="center"/>
              <w:rPr>
                <w:rFonts w:ascii="inherit" w:hAnsi="inherit"/>
                <w:sz w:val="16"/>
                <w:szCs w:val="16"/>
                <w:lang w:val="en-US" w:eastAsia="en-US"/>
              </w:rPr>
            </w:pPr>
            <w:r w:rsidRPr="00506D52">
              <w:rPr>
                <w:rFonts w:ascii="inherit" w:hAnsi="inherit"/>
                <w:sz w:val="16"/>
                <w:szCs w:val="16"/>
                <w:lang w:val="en-US" w:eastAsia="en-US"/>
              </w:rPr>
              <w:t>1</w:t>
            </w:r>
          </w:p>
        </w:tc>
        <w:tc>
          <w:tcPr>
            <w:tcW w:w="726" w:type="dxa"/>
            <w:tcBorders>
              <w:top w:val="nil"/>
              <w:left w:val="nil"/>
              <w:bottom w:val="single" w:sz="8" w:space="0" w:color="auto"/>
              <w:right w:val="single" w:sz="8" w:space="0" w:color="auto"/>
            </w:tcBorders>
            <w:tcMar>
              <w:left w:w="28" w:type="dxa"/>
              <w:right w:w="28" w:type="dxa"/>
            </w:tcMar>
            <w:vAlign w:val="center"/>
          </w:tcPr>
          <w:p w:rsidR="00E93173" w:rsidRPr="00506D52" w:rsidRDefault="004E26F1" w:rsidP="004E26F1">
            <w:pPr>
              <w:jc w:val="center"/>
              <w:rPr>
                <w:rFonts w:ascii="inherit" w:hAnsi="inherit"/>
                <w:sz w:val="16"/>
                <w:szCs w:val="16"/>
              </w:rPr>
            </w:pPr>
            <w:r w:rsidRPr="00506D52">
              <w:rPr>
                <w:rFonts w:ascii="inherit" w:hAnsi="inherit"/>
                <w:sz w:val="16"/>
                <w:szCs w:val="16"/>
              </w:rPr>
              <w:t>4,</w:t>
            </w:r>
            <w:r w:rsidR="00E93173" w:rsidRPr="00506D52">
              <w:rPr>
                <w:rFonts w:ascii="inherit" w:hAnsi="inherit"/>
                <w:sz w:val="16"/>
                <w:szCs w:val="16"/>
              </w:rPr>
              <w:t>4</w:t>
            </w:r>
          </w:p>
        </w:tc>
        <w:tc>
          <w:tcPr>
            <w:tcW w:w="789" w:type="dxa"/>
            <w:tcBorders>
              <w:top w:val="nil"/>
              <w:left w:val="nil"/>
              <w:bottom w:val="single" w:sz="8" w:space="0" w:color="auto"/>
              <w:right w:val="single" w:sz="8" w:space="0" w:color="auto"/>
            </w:tcBorders>
            <w:tcMar>
              <w:left w:w="28" w:type="dxa"/>
              <w:right w:w="28" w:type="dxa"/>
            </w:tcMar>
            <w:vAlign w:val="center"/>
          </w:tcPr>
          <w:p w:rsidR="00E93173" w:rsidRPr="00506D52" w:rsidRDefault="000E7D33" w:rsidP="004E26F1">
            <w:pPr>
              <w:jc w:val="center"/>
              <w:rPr>
                <w:rFonts w:ascii="inherit" w:hAnsi="inherit"/>
                <w:sz w:val="16"/>
                <w:szCs w:val="16"/>
                <w:lang w:val="en-US" w:eastAsia="en-US"/>
              </w:rPr>
            </w:pPr>
            <w:r w:rsidRPr="00506D52">
              <w:rPr>
                <w:rFonts w:ascii="inherit" w:hAnsi="inherit"/>
                <w:sz w:val="16"/>
                <w:szCs w:val="16"/>
                <w:lang w:val="en-US" w:eastAsia="en-US"/>
              </w:rPr>
              <w:t>1B</w:t>
            </w:r>
          </w:p>
        </w:tc>
        <w:tc>
          <w:tcPr>
            <w:tcW w:w="709" w:type="dxa"/>
            <w:tcBorders>
              <w:top w:val="nil"/>
              <w:left w:val="nil"/>
              <w:bottom w:val="single" w:sz="8" w:space="0" w:color="auto"/>
              <w:right w:val="single" w:sz="8" w:space="0" w:color="auto"/>
            </w:tcBorders>
            <w:tcMar>
              <w:left w:w="28" w:type="dxa"/>
              <w:right w:w="28" w:type="dxa"/>
            </w:tcMar>
            <w:vAlign w:val="center"/>
          </w:tcPr>
          <w:p w:rsidR="00E93173" w:rsidRPr="00506D52" w:rsidRDefault="000E7D33" w:rsidP="004E26F1">
            <w:pPr>
              <w:jc w:val="center"/>
              <w:rPr>
                <w:rFonts w:ascii="inherit" w:hAnsi="inherit"/>
                <w:sz w:val="16"/>
                <w:szCs w:val="16"/>
                <w:lang w:val="en-US" w:eastAsia="en-US"/>
              </w:rPr>
            </w:pPr>
            <w:r w:rsidRPr="00506D52">
              <w:rPr>
                <w:rFonts w:ascii="inherit" w:hAnsi="inherit"/>
                <w:sz w:val="16"/>
                <w:szCs w:val="16"/>
                <w:lang w:val="en-US" w:eastAsia="en-US"/>
              </w:rPr>
              <w:t>—</w:t>
            </w:r>
          </w:p>
        </w:tc>
        <w:tc>
          <w:tcPr>
            <w:tcW w:w="770" w:type="dxa"/>
            <w:tcBorders>
              <w:top w:val="nil"/>
              <w:left w:val="nil"/>
              <w:bottom w:val="single" w:sz="8" w:space="0" w:color="auto"/>
              <w:right w:val="single" w:sz="12" w:space="0" w:color="auto"/>
            </w:tcBorders>
            <w:tcMar>
              <w:left w:w="28" w:type="dxa"/>
              <w:right w:w="28" w:type="dxa"/>
            </w:tcMar>
            <w:vAlign w:val="center"/>
          </w:tcPr>
          <w:p w:rsidR="00E93173" w:rsidRPr="00506D52" w:rsidRDefault="00E93173" w:rsidP="004E26F1">
            <w:pPr>
              <w:jc w:val="center"/>
              <w:rPr>
                <w:rFonts w:ascii="inherit" w:hAnsi="inherit"/>
                <w:sz w:val="16"/>
                <w:szCs w:val="16"/>
                <w:lang w:val="en-US" w:eastAsia="en-US"/>
              </w:rPr>
            </w:pPr>
            <w:r w:rsidRPr="00506D52">
              <w:rPr>
                <w:rFonts w:ascii="inherit" w:hAnsi="inherit"/>
                <w:sz w:val="16"/>
                <w:szCs w:val="16"/>
                <w:lang w:val="en-US" w:eastAsia="en-US"/>
              </w:rPr>
              <w:t>—</w:t>
            </w:r>
          </w:p>
        </w:tc>
      </w:tr>
    </w:tbl>
    <w:p w:rsidR="00FB7E9E" w:rsidRDefault="00FB7E9E">
      <w:pPr>
        <w:rPr>
          <w:rFonts w:ascii="inherit" w:hAnsi="inherit"/>
        </w:rPr>
      </w:pPr>
    </w:p>
    <w:p w:rsidR="003336DF" w:rsidRPr="00506D52" w:rsidRDefault="003336DF">
      <w:pPr>
        <w:rPr>
          <w:rFonts w:ascii="inherit" w:hAnsi="inherit"/>
        </w:rPr>
      </w:pPr>
    </w:p>
    <w:tbl>
      <w:tblPr>
        <w:tblW w:w="15593" w:type="dxa"/>
        <w:tblInd w:w="-34"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4A0" w:firstRow="1" w:lastRow="0" w:firstColumn="1" w:lastColumn="0" w:noHBand="0" w:noVBand="1"/>
      </w:tblPr>
      <w:tblGrid>
        <w:gridCol w:w="7655"/>
        <w:gridCol w:w="7938"/>
      </w:tblGrid>
      <w:tr w:rsidR="00FB7E9E" w:rsidRPr="00506D52" w:rsidTr="003336DF">
        <w:trPr>
          <w:trHeight w:val="2241"/>
        </w:trPr>
        <w:tc>
          <w:tcPr>
            <w:tcW w:w="7655" w:type="dxa"/>
            <w:tcBorders>
              <w:top w:val="single" w:sz="12" w:space="0" w:color="000000"/>
              <w:bottom w:val="single" w:sz="12" w:space="0" w:color="000000"/>
            </w:tcBorders>
          </w:tcPr>
          <w:tbl>
            <w:tblPr>
              <w:tblW w:w="13260" w:type="dxa"/>
              <w:tblLayout w:type="fixed"/>
              <w:tblLook w:val="04A0" w:firstRow="1" w:lastRow="0" w:firstColumn="1" w:lastColumn="0" w:noHBand="0" w:noVBand="1"/>
            </w:tblPr>
            <w:tblGrid>
              <w:gridCol w:w="13260"/>
            </w:tblGrid>
            <w:tr w:rsidR="00FB7E9E" w:rsidRPr="00506D52" w:rsidTr="00AB48D9">
              <w:trPr>
                <w:trHeight w:val="315"/>
              </w:trPr>
              <w:tc>
                <w:tcPr>
                  <w:tcW w:w="13260" w:type="dxa"/>
                  <w:tcBorders>
                    <w:top w:val="nil"/>
                    <w:left w:val="nil"/>
                    <w:bottom w:val="nil"/>
                    <w:right w:val="nil"/>
                  </w:tcBorders>
                  <w:noWrap/>
                  <w:vAlign w:val="bottom"/>
                </w:tcPr>
                <w:p w:rsidR="004F68B5" w:rsidRPr="00506D52" w:rsidRDefault="004F68B5" w:rsidP="004F68B5">
                  <w:pPr>
                    <w:rPr>
                      <w:rFonts w:ascii="inherit" w:hAnsi="inherit"/>
                      <w:sz w:val="20"/>
                      <w:szCs w:val="20"/>
                      <w:lang w:val="fr-FR" w:eastAsia="en-US"/>
                    </w:rPr>
                  </w:pPr>
                  <w:r w:rsidRPr="00506D52">
                    <w:rPr>
                      <w:rFonts w:ascii="inherit" w:hAnsi="inherit"/>
                      <w:sz w:val="20"/>
                      <w:szCs w:val="20"/>
                      <w:lang w:val="fr-FR" w:eastAsia="en-US"/>
                    </w:rPr>
                    <w:t xml:space="preserve">( 1 ) Číslo EC, t. J. Einecs, ELINCS alebo NLP, je oficiálnym číslom látkypoužívaným </w:t>
                  </w:r>
                </w:p>
                <w:p w:rsidR="004F68B5" w:rsidRPr="00506D52" w:rsidRDefault="004F68B5" w:rsidP="004F68B5">
                  <w:pPr>
                    <w:rPr>
                      <w:rFonts w:ascii="inherit" w:hAnsi="inherit"/>
                      <w:sz w:val="20"/>
                      <w:szCs w:val="20"/>
                      <w:lang w:val="fr-FR" w:eastAsia="en-US"/>
                    </w:rPr>
                  </w:pPr>
                  <w:r w:rsidRPr="00506D52">
                    <w:rPr>
                      <w:rFonts w:ascii="inherit" w:hAnsi="inherit"/>
                      <w:sz w:val="20"/>
                      <w:szCs w:val="20"/>
                      <w:lang w:val="fr-FR" w:eastAsia="en-US"/>
                    </w:rPr>
                    <w:t xml:space="preserve">v Európskej únii, podľa vymedzenia v časti 1 oddiele 1.1.1.2 v prílohe VI k nariadeniu  </w:t>
                  </w:r>
                </w:p>
                <w:p w:rsidR="004F68B5" w:rsidRPr="00506D52" w:rsidRDefault="004F68B5" w:rsidP="004F68B5">
                  <w:pPr>
                    <w:rPr>
                      <w:rFonts w:ascii="inherit" w:hAnsi="inherit"/>
                      <w:sz w:val="20"/>
                      <w:szCs w:val="20"/>
                      <w:lang w:val="fr-FR" w:eastAsia="en-US"/>
                    </w:rPr>
                  </w:pPr>
                  <w:r w:rsidRPr="00506D52">
                    <w:rPr>
                      <w:rFonts w:ascii="inherit" w:hAnsi="inherit"/>
                      <w:sz w:val="20"/>
                      <w:szCs w:val="20"/>
                      <w:lang w:val="fr-FR" w:eastAsia="en-US"/>
                    </w:rPr>
                    <w:t>(ES) č. 1272/2008.</w:t>
                  </w:r>
                </w:p>
                <w:p w:rsidR="004F68B5" w:rsidRPr="00506D52" w:rsidRDefault="004F68B5" w:rsidP="004F68B5">
                  <w:pPr>
                    <w:rPr>
                      <w:rFonts w:ascii="inherit" w:hAnsi="inherit"/>
                      <w:sz w:val="20"/>
                      <w:szCs w:val="20"/>
                      <w:lang w:val="fr-FR" w:eastAsia="en-US"/>
                    </w:rPr>
                  </w:pPr>
                </w:p>
                <w:p w:rsidR="00FB7E9E" w:rsidRPr="00506D52" w:rsidRDefault="002F05C4" w:rsidP="00AB48D9">
                  <w:pPr>
                    <w:rPr>
                      <w:rFonts w:ascii="inherit" w:hAnsi="inherit"/>
                      <w:sz w:val="20"/>
                      <w:szCs w:val="20"/>
                      <w:lang w:val="fr-FR" w:eastAsia="en-US"/>
                    </w:rPr>
                  </w:pPr>
                  <w:r w:rsidRPr="00506D52">
                    <w:rPr>
                      <w:rFonts w:ascii="inherit" w:hAnsi="inherit"/>
                      <w:sz w:val="20"/>
                      <w:szCs w:val="20"/>
                      <w:lang w:val="fr-FR" w:eastAsia="en-US"/>
                    </w:rPr>
                    <w:t xml:space="preserve">( 2 </w:t>
                  </w:r>
                  <w:r w:rsidR="00FB7E9E" w:rsidRPr="00506D52">
                    <w:rPr>
                      <w:rFonts w:ascii="inherit" w:hAnsi="inherit"/>
                      <w:sz w:val="20"/>
                      <w:szCs w:val="20"/>
                      <w:lang w:val="fr-FR" w:eastAsia="en-US"/>
                    </w:rPr>
                    <w:t xml:space="preserve">) </w:t>
                  </w:r>
                  <w:r w:rsidRPr="00506D52">
                    <w:rPr>
                      <w:rFonts w:ascii="inherit" w:hAnsi="inherit"/>
                      <w:sz w:val="20"/>
                      <w:szCs w:val="20"/>
                      <w:lang w:val="fr-FR" w:eastAsia="en-US"/>
                    </w:rPr>
                    <w:t xml:space="preserve">Č. </w:t>
                  </w:r>
                  <w:r w:rsidR="00FB7E9E" w:rsidRPr="00506D52">
                    <w:rPr>
                      <w:rFonts w:ascii="inherit" w:hAnsi="inherit"/>
                      <w:sz w:val="20"/>
                      <w:szCs w:val="20"/>
                      <w:lang w:val="fr-FR" w:eastAsia="en-US"/>
                    </w:rPr>
                    <w:t xml:space="preserve">CAS: </w:t>
                  </w:r>
                  <w:r w:rsidRPr="00506D52">
                    <w:rPr>
                      <w:rFonts w:ascii="inherit" w:hAnsi="inherit"/>
                      <w:sz w:val="20"/>
                      <w:szCs w:val="20"/>
                      <w:lang w:val="fr-FR" w:eastAsia="en-US"/>
                    </w:rPr>
                    <w:t>Registračné číslo služby chemických abstraktov</w:t>
                  </w:r>
                  <w:r w:rsidR="00FB7E9E" w:rsidRPr="00506D52">
                    <w:rPr>
                      <w:rFonts w:ascii="inherit" w:hAnsi="inherit"/>
                      <w:sz w:val="20"/>
                      <w:szCs w:val="20"/>
                      <w:lang w:val="fr-FR" w:eastAsia="en-US"/>
                    </w:rPr>
                    <w:t>.</w:t>
                  </w:r>
                </w:p>
                <w:p w:rsidR="00282C74" w:rsidRPr="00506D52" w:rsidRDefault="00282C74" w:rsidP="00AB48D9">
                  <w:pPr>
                    <w:rPr>
                      <w:rFonts w:ascii="inherit" w:hAnsi="inherit"/>
                      <w:sz w:val="20"/>
                      <w:szCs w:val="20"/>
                      <w:lang w:val="fr-FR" w:eastAsia="en-US"/>
                    </w:rPr>
                  </w:pPr>
                </w:p>
              </w:tc>
            </w:tr>
            <w:tr w:rsidR="00FB7E9E" w:rsidRPr="00506D52" w:rsidTr="00AB48D9">
              <w:trPr>
                <w:trHeight w:val="300"/>
              </w:trPr>
              <w:tc>
                <w:tcPr>
                  <w:tcW w:w="13260" w:type="dxa"/>
                  <w:tcBorders>
                    <w:top w:val="nil"/>
                    <w:left w:val="nil"/>
                    <w:bottom w:val="nil"/>
                    <w:right w:val="nil"/>
                  </w:tcBorders>
                  <w:noWrap/>
                  <w:vAlign w:val="bottom"/>
                </w:tcPr>
                <w:p w:rsidR="00FB7E9E" w:rsidRPr="00506D52" w:rsidRDefault="00FB7E9E" w:rsidP="002F05C4">
                  <w:pPr>
                    <w:rPr>
                      <w:rFonts w:ascii="inherit" w:hAnsi="inherit"/>
                      <w:sz w:val="20"/>
                      <w:szCs w:val="20"/>
                    </w:rPr>
                  </w:pPr>
                  <w:r w:rsidRPr="00506D52">
                    <w:rPr>
                      <w:rFonts w:ascii="inherit" w:hAnsi="inherit"/>
                      <w:sz w:val="20"/>
                      <w:szCs w:val="20"/>
                      <w:lang w:val="en-US" w:eastAsia="en-US"/>
                    </w:rPr>
                    <w:t xml:space="preserve">( 3 ) </w:t>
                  </w:r>
                  <w:r w:rsidR="002F05C4" w:rsidRPr="00506D52">
                    <w:rPr>
                      <w:rFonts w:ascii="inherit" w:hAnsi="inherit"/>
                      <w:sz w:val="20"/>
                      <w:szCs w:val="20"/>
                    </w:rPr>
                    <w:t>Merané alebo vypočítané vo vzťahu k osemhodinovému referenčnému</w:t>
                  </w:r>
                  <w:r w:rsidR="002F05C4" w:rsidRPr="00506D52">
                    <w:rPr>
                      <w:rFonts w:ascii="inherit" w:hAnsi="inherit"/>
                    </w:rPr>
                    <w:t xml:space="preserve"> </w:t>
                  </w:r>
                  <w:r w:rsidR="002F05C4" w:rsidRPr="00506D52">
                    <w:rPr>
                      <w:rFonts w:ascii="inherit" w:hAnsi="inherit"/>
                      <w:sz w:val="20"/>
                      <w:szCs w:val="20"/>
                    </w:rPr>
                    <w:t>času.</w:t>
                  </w:r>
                </w:p>
                <w:p w:rsidR="00282C74" w:rsidRPr="00506D52" w:rsidRDefault="00282C74" w:rsidP="002F05C4">
                  <w:pPr>
                    <w:rPr>
                      <w:rFonts w:ascii="inherit" w:hAnsi="inherit"/>
                      <w:sz w:val="20"/>
                      <w:szCs w:val="20"/>
                      <w:lang w:val="en-US" w:eastAsia="en-US"/>
                    </w:rPr>
                  </w:pPr>
                </w:p>
              </w:tc>
            </w:tr>
            <w:tr w:rsidR="00FB7E9E" w:rsidRPr="00506D52" w:rsidTr="00AB48D9">
              <w:trPr>
                <w:trHeight w:val="315"/>
              </w:trPr>
              <w:tc>
                <w:tcPr>
                  <w:tcW w:w="13260" w:type="dxa"/>
                  <w:tcBorders>
                    <w:top w:val="nil"/>
                    <w:left w:val="nil"/>
                    <w:bottom w:val="nil"/>
                    <w:right w:val="nil"/>
                  </w:tcBorders>
                  <w:noWrap/>
                  <w:vAlign w:val="bottom"/>
                </w:tcPr>
                <w:p w:rsidR="00282C74" w:rsidRPr="00506D52" w:rsidRDefault="00FB7E9E" w:rsidP="00282C74">
                  <w:pPr>
                    <w:rPr>
                      <w:rFonts w:ascii="inherit" w:hAnsi="inherit"/>
                      <w:sz w:val="20"/>
                      <w:szCs w:val="20"/>
                    </w:rPr>
                  </w:pPr>
                  <w:r w:rsidRPr="00506D52">
                    <w:rPr>
                      <w:rFonts w:ascii="inherit" w:hAnsi="inherit"/>
                      <w:sz w:val="20"/>
                      <w:szCs w:val="20"/>
                      <w:lang w:val="en-US" w:eastAsia="en-US"/>
                    </w:rPr>
                    <w:t xml:space="preserve">( 4 ) </w:t>
                  </w:r>
                  <w:r w:rsidR="00282C74" w:rsidRPr="00506D52">
                    <w:rPr>
                      <w:rFonts w:ascii="inherit" w:hAnsi="inherit"/>
                      <w:sz w:val="20"/>
                      <w:szCs w:val="20"/>
                    </w:rPr>
                    <w:t>mg/m</w:t>
                  </w:r>
                  <w:r w:rsidR="00282C74" w:rsidRPr="00506D52">
                    <w:rPr>
                      <w:rFonts w:ascii="inherit" w:hAnsi="inherit"/>
                      <w:sz w:val="20"/>
                      <w:szCs w:val="20"/>
                      <w:vertAlign w:val="superscript"/>
                    </w:rPr>
                    <w:t>3</w:t>
                  </w:r>
                  <w:r w:rsidR="00282C74" w:rsidRPr="00506D52">
                    <w:rPr>
                      <w:rFonts w:ascii="inherit" w:hAnsi="inherit"/>
                      <w:sz w:val="20"/>
                      <w:szCs w:val="20"/>
                    </w:rPr>
                    <w:t xml:space="preserve"> = miligramy na meter kubický vzduchu pri teplote 20 °C a tlaku 101,3 kPa </w:t>
                  </w:r>
                </w:p>
                <w:p w:rsidR="00FB7E9E" w:rsidRPr="00506D52" w:rsidRDefault="00282C74" w:rsidP="00282C74">
                  <w:pPr>
                    <w:rPr>
                      <w:rFonts w:ascii="inherit" w:hAnsi="inherit"/>
                      <w:sz w:val="20"/>
                      <w:szCs w:val="20"/>
                      <w:lang w:val="en-US" w:eastAsia="en-US"/>
                    </w:rPr>
                  </w:pPr>
                  <w:r w:rsidRPr="00506D52">
                    <w:rPr>
                      <w:rFonts w:ascii="inherit" w:hAnsi="inherit"/>
                      <w:sz w:val="20"/>
                      <w:szCs w:val="20"/>
                    </w:rPr>
                    <w:t>(760 mm tlaku ortute).</w:t>
                  </w:r>
                </w:p>
                <w:p w:rsidR="00FB7E9E" w:rsidRPr="00506D52" w:rsidRDefault="00FB7E9E" w:rsidP="00AB48D9">
                  <w:pPr>
                    <w:rPr>
                      <w:rFonts w:ascii="inherit" w:hAnsi="inherit"/>
                      <w:sz w:val="20"/>
                      <w:szCs w:val="20"/>
                      <w:lang w:val="en-US" w:eastAsia="en-US"/>
                    </w:rPr>
                  </w:pPr>
                </w:p>
                <w:p w:rsidR="00FB7E9E" w:rsidRPr="00506D52" w:rsidRDefault="00FB7E9E" w:rsidP="00282C74">
                  <w:pPr>
                    <w:rPr>
                      <w:rFonts w:ascii="inherit" w:hAnsi="inherit"/>
                      <w:sz w:val="20"/>
                      <w:szCs w:val="20"/>
                      <w:lang w:val="en-US" w:eastAsia="en-US"/>
                    </w:rPr>
                  </w:pPr>
                  <w:r w:rsidRPr="00506D52">
                    <w:rPr>
                      <w:rFonts w:ascii="inherit" w:hAnsi="inherit"/>
                      <w:sz w:val="20"/>
                      <w:szCs w:val="20"/>
                      <w:lang w:val="en-US" w:eastAsia="en-US"/>
                    </w:rPr>
                    <w:t xml:space="preserve">( 5 ) </w:t>
                  </w:r>
                  <w:r w:rsidR="00282C74" w:rsidRPr="00506D52">
                    <w:rPr>
                      <w:rFonts w:ascii="inherit" w:hAnsi="inherit"/>
                      <w:sz w:val="20"/>
                      <w:szCs w:val="20"/>
                    </w:rPr>
                    <w:t>ppm = objem vyjadrený v milióntinách z celkového objemu vzduchu (ml/m</w:t>
                  </w:r>
                  <w:r w:rsidR="00282C74" w:rsidRPr="00506D52">
                    <w:rPr>
                      <w:rFonts w:ascii="inherit" w:hAnsi="inherit"/>
                      <w:sz w:val="20"/>
                      <w:szCs w:val="20"/>
                      <w:vertAlign w:val="superscript"/>
                    </w:rPr>
                    <w:t>3</w:t>
                  </w:r>
                  <w:r w:rsidR="00282C74" w:rsidRPr="00506D52">
                    <w:rPr>
                      <w:rFonts w:ascii="inherit" w:hAnsi="inherit"/>
                      <w:sz w:val="20"/>
                      <w:szCs w:val="20"/>
                    </w:rPr>
                    <w:t>).</w:t>
                  </w:r>
                </w:p>
              </w:tc>
            </w:tr>
            <w:tr w:rsidR="00FB7E9E" w:rsidRPr="00506D52" w:rsidTr="00AB48D9">
              <w:trPr>
                <w:trHeight w:val="315"/>
              </w:trPr>
              <w:tc>
                <w:tcPr>
                  <w:tcW w:w="13260" w:type="dxa"/>
                  <w:tcBorders>
                    <w:top w:val="nil"/>
                    <w:left w:val="nil"/>
                    <w:bottom w:val="nil"/>
                    <w:right w:val="nil"/>
                  </w:tcBorders>
                  <w:noWrap/>
                  <w:vAlign w:val="bottom"/>
                </w:tcPr>
                <w:p w:rsidR="00FB7E9E" w:rsidRPr="00506D52" w:rsidRDefault="00FB7E9E" w:rsidP="00AB48D9">
                  <w:pPr>
                    <w:rPr>
                      <w:rFonts w:ascii="inherit" w:hAnsi="inherit"/>
                      <w:sz w:val="20"/>
                      <w:szCs w:val="20"/>
                      <w:lang w:val="en-US" w:eastAsia="en-US"/>
                    </w:rPr>
                  </w:pPr>
                </w:p>
              </w:tc>
            </w:tr>
            <w:tr w:rsidR="00FB7E9E" w:rsidRPr="00506D52" w:rsidTr="00AB48D9">
              <w:trPr>
                <w:trHeight w:val="315"/>
              </w:trPr>
              <w:tc>
                <w:tcPr>
                  <w:tcW w:w="13260" w:type="dxa"/>
                  <w:tcBorders>
                    <w:top w:val="nil"/>
                    <w:left w:val="nil"/>
                    <w:bottom w:val="nil"/>
                    <w:right w:val="nil"/>
                  </w:tcBorders>
                  <w:noWrap/>
                  <w:vAlign w:val="bottom"/>
                </w:tcPr>
                <w:p w:rsidR="00FB7E9E" w:rsidRPr="00506D52" w:rsidRDefault="00FB7E9E" w:rsidP="00282C74">
                  <w:pPr>
                    <w:rPr>
                      <w:rFonts w:ascii="inherit" w:hAnsi="inherit"/>
                      <w:sz w:val="20"/>
                      <w:szCs w:val="20"/>
                    </w:rPr>
                  </w:pPr>
                  <w:r w:rsidRPr="00506D52">
                    <w:rPr>
                      <w:rFonts w:ascii="inherit" w:hAnsi="inherit"/>
                      <w:sz w:val="20"/>
                      <w:szCs w:val="20"/>
                      <w:lang w:val="en-US" w:eastAsia="en-US"/>
                    </w:rPr>
                    <w:t xml:space="preserve">( 6 ) </w:t>
                  </w:r>
                  <w:r w:rsidR="00282C74" w:rsidRPr="00506D52">
                    <w:rPr>
                      <w:rFonts w:ascii="inherit" w:hAnsi="inherit"/>
                      <w:sz w:val="20"/>
                      <w:szCs w:val="20"/>
                    </w:rPr>
                    <w:t>f/ml = vlákna na mililiter.</w:t>
                  </w:r>
                </w:p>
                <w:p w:rsidR="00282C74" w:rsidRPr="00506D52" w:rsidRDefault="00282C74" w:rsidP="00282C74">
                  <w:pPr>
                    <w:rPr>
                      <w:rFonts w:ascii="inherit" w:hAnsi="inherit"/>
                      <w:sz w:val="20"/>
                      <w:szCs w:val="20"/>
                      <w:lang w:val="en-US" w:eastAsia="en-US"/>
                    </w:rPr>
                  </w:pPr>
                </w:p>
              </w:tc>
            </w:tr>
            <w:tr w:rsidR="00FB7E9E" w:rsidRPr="00506D52" w:rsidTr="00AB48D9">
              <w:trPr>
                <w:trHeight w:val="300"/>
              </w:trPr>
              <w:tc>
                <w:tcPr>
                  <w:tcW w:w="13260" w:type="dxa"/>
                  <w:tcBorders>
                    <w:top w:val="nil"/>
                    <w:left w:val="nil"/>
                    <w:bottom w:val="nil"/>
                    <w:right w:val="nil"/>
                  </w:tcBorders>
                  <w:noWrap/>
                  <w:vAlign w:val="bottom"/>
                </w:tcPr>
                <w:p w:rsidR="00FB7E9E" w:rsidRPr="00506D52" w:rsidRDefault="00FB7E9E" w:rsidP="00282C74">
                  <w:pPr>
                    <w:rPr>
                      <w:rFonts w:ascii="inherit" w:hAnsi="inherit"/>
                      <w:sz w:val="20"/>
                      <w:szCs w:val="20"/>
                    </w:rPr>
                  </w:pPr>
                  <w:r w:rsidRPr="00506D52">
                    <w:rPr>
                      <w:rFonts w:ascii="inherit" w:hAnsi="inherit"/>
                      <w:sz w:val="20"/>
                      <w:szCs w:val="20"/>
                      <w:lang w:val="en-US" w:eastAsia="en-US"/>
                    </w:rPr>
                    <w:lastRenderedPageBreak/>
                    <w:t xml:space="preserve">( 7 ) </w:t>
                  </w:r>
                  <w:r w:rsidR="00282C74" w:rsidRPr="00506D52">
                    <w:rPr>
                      <w:rFonts w:ascii="inherit" w:hAnsi="inherit"/>
                      <w:sz w:val="20"/>
                      <w:szCs w:val="20"/>
                    </w:rPr>
                    <w:t>Inhalovateľná frakcia: ak sa prach z tvrdého dreva zmieša s prachom iného</w:t>
                  </w:r>
                  <w:r w:rsidR="00282C74" w:rsidRPr="00506D52">
                    <w:rPr>
                      <w:rFonts w:ascii="inherit" w:hAnsi="inherit"/>
                    </w:rPr>
                    <w:t xml:space="preserve"> </w:t>
                  </w:r>
                  <w:r w:rsidR="00282C74" w:rsidRPr="00506D52">
                    <w:rPr>
                      <w:rFonts w:ascii="inherit" w:hAnsi="inherit"/>
                      <w:sz w:val="20"/>
                      <w:szCs w:val="20"/>
                    </w:rPr>
                    <w:t xml:space="preserve">dreva, </w:t>
                  </w:r>
                </w:p>
                <w:p w:rsidR="00282C74" w:rsidRPr="00506D52" w:rsidRDefault="00282C74" w:rsidP="00282C74">
                  <w:pPr>
                    <w:rPr>
                      <w:rFonts w:ascii="inherit" w:hAnsi="inherit"/>
                      <w:sz w:val="20"/>
                      <w:szCs w:val="20"/>
                    </w:rPr>
                  </w:pPr>
                  <w:r w:rsidRPr="00506D52">
                    <w:rPr>
                      <w:rFonts w:ascii="inherit" w:hAnsi="inherit"/>
                      <w:sz w:val="20"/>
                      <w:szCs w:val="20"/>
                    </w:rPr>
                    <w:t>uplatní sa limitná hodnota na všetky druhy prachu z dreva, ktoré sú v zmesi</w:t>
                  </w:r>
                  <w:r w:rsidRPr="00506D52">
                    <w:rPr>
                      <w:rFonts w:ascii="inherit" w:hAnsi="inherit"/>
                    </w:rPr>
                    <w:t xml:space="preserve"> </w:t>
                  </w:r>
                  <w:r w:rsidRPr="00506D52">
                    <w:rPr>
                      <w:rFonts w:ascii="inherit" w:hAnsi="inherit"/>
                      <w:sz w:val="20"/>
                      <w:szCs w:val="20"/>
                    </w:rPr>
                    <w:t>prítomné.</w:t>
                  </w:r>
                </w:p>
                <w:p w:rsidR="00282C74" w:rsidRPr="00506D52" w:rsidRDefault="00282C74" w:rsidP="00282C74">
                  <w:pPr>
                    <w:rPr>
                      <w:rFonts w:ascii="inherit" w:hAnsi="inherit"/>
                      <w:sz w:val="20"/>
                      <w:szCs w:val="20"/>
                      <w:lang w:val="en-US" w:eastAsia="en-US"/>
                    </w:rPr>
                  </w:pPr>
                </w:p>
              </w:tc>
            </w:tr>
            <w:tr w:rsidR="00FB7E9E" w:rsidRPr="00506D52" w:rsidTr="00AB48D9">
              <w:trPr>
                <w:trHeight w:val="315"/>
              </w:trPr>
              <w:tc>
                <w:tcPr>
                  <w:tcW w:w="13260" w:type="dxa"/>
                  <w:tcBorders>
                    <w:top w:val="nil"/>
                    <w:left w:val="nil"/>
                    <w:bottom w:val="nil"/>
                    <w:right w:val="nil"/>
                  </w:tcBorders>
                  <w:noWrap/>
                  <w:vAlign w:val="bottom"/>
                </w:tcPr>
                <w:p w:rsidR="00FB7E9E" w:rsidRPr="00506D52" w:rsidRDefault="00FB7E9E" w:rsidP="00AB48D9">
                  <w:pPr>
                    <w:rPr>
                      <w:rFonts w:ascii="inherit" w:hAnsi="inherit"/>
                      <w:sz w:val="20"/>
                      <w:szCs w:val="20"/>
                      <w:lang w:val="en-US" w:eastAsia="en-US"/>
                    </w:rPr>
                  </w:pPr>
                  <w:r w:rsidRPr="00506D52">
                    <w:rPr>
                      <w:rFonts w:ascii="inherit" w:hAnsi="inherit"/>
                      <w:sz w:val="20"/>
                      <w:szCs w:val="20"/>
                      <w:lang w:val="en-US" w:eastAsia="en-US"/>
                    </w:rPr>
                    <w:t xml:space="preserve">( 8 ) </w:t>
                  </w:r>
                  <w:r w:rsidR="00282C74" w:rsidRPr="00506D52">
                    <w:rPr>
                      <w:rFonts w:ascii="inherit" w:hAnsi="inherit"/>
                      <w:sz w:val="20"/>
                      <w:szCs w:val="20"/>
                    </w:rPr>
                    <w:t>Respirabilná frakcia.</w:t>
                  </w:r>
                </w:p>
                <w:p w:rsidR="00FB7E9E" w:rsidRPr="00506D52" w:rsidRDefault="00FB7E9E" w:rsidP="00AB48D9">
                  <w:pPr>
                    <w:rPr>
                      <w:rFonts w:ascii="inherit" w:hAnsi="inherit"/>
                      <w:sz w:val="20"/>
                      <w:szCs w:val="20"/>
                      <w:lang w:val="en-US" w:eastAsia="en-US"/>
                    </w:rPr>
                  </w:pPr>
                </w:p>
              </w:tc>
            </w:tr>
            <w:tr w:rsidR="00FB7E9E" w:rsidRPr="00506D52" w:rsidTr="00AB48D9">
              <w:trPr>
                <w:trHeight w:val="300"/>
              </w:trPr>
              <w:tc>
                <w:tcPr>
                  <w:tcW w:w="13260" w:type="dxa"/>
                  <w:tcBorders>
                    <w:top w:val="nil"/>
                    <w:left w:val="nil"/>
                    <w:bottom w:val="nil"/>
                    <w:right w:val="nil"/>
                  </w:tcBorders>
                  <w:noWrap/>
                  <w:vAlign w:val="bottom"/>
                </w:tcPr>
                <w:p w:rsidR="00FB7E9E" w:rsidRPr="00506D52" w:rsidRDefault="00FB7E9E" w:rsidP="00282C74">
                  <w:pPr>
                    <w:rPr>
                      <w:rFonts w:ascii="inherit" w:hAnsi="inherit"/>
                      <w:sz w:val="20"/>
                      <w:szCs w:val="20"/>
                      <w:lang w:val="en-US" w:eastAsia="en-US"/>
                    </w:rPr>
                  </w:pPr>
                  <w:r w:rsidRPr="00506D52">
                    <w:rPr>
                      <w:rFonts w:ascii="inherit" w:hAnsi="inherit"/>
                      <w:sz w:val="20"/>
                      <w:szCs w:val="20"/>
                      <w:lang w:val="en-US" w:eastAsia="en-US"/>
                    </w:rPr>
                    <w:t xml:space="preserve">( 9 ) </w:t>
                  </w:r>
                  <w:r w:rsidR="00282C74" w:rsidRPr="00506D52">
                    <w:rPr>
                      <w:rFonts w:ascii="inherit" w:hAnsi="inherit"/>
                      <w:sz w:val="20"/>
                      <w:szCs w:val="20"/>
                    </w:rPr>
                    <w:t>K celkovému zaťaženiu organizmu môže významne prispieť expozícia</w:t>
                  </w:r>
                  <w:r w:rsidR="00282C74" w:rsidRPr="00506D52">
                    <w:rPr>
                      <w:rFonts w:ascii="inherit" w:hAnsi="inherit"/>
                    </w:rPr>
                    <w:t xml:space="preserve"> </w:t>
                  </w:r>
                  <w:r w:rsidR="00282C74" w:rsidRPr="00506D52">
                    <w:rPr>
                      <w:rFonts w:ascii="inherit" w:hAnsi="inherit"/>
                      <w:sz w:val="20"/>
                      <w:szCs w:val="20"/>
                    </w:rPr>
                    <w:t>cez kožu.</w:t>
                  </w:r>
                </w:p>
              </w:tc>
            </w:tr>
            <w:tr w:rsidR="00FB7E9E" w:rsidRPr="00506D52" w:rsidTr="00AB48D9">
              <w:trPr>
                <w:trHeight w:val="300"/>
              </w:trPr>
              <w:tc>
                <w:tcPr>
                  <w:tcW w:w="13260" w:type="dxa"/>
                  <w:tcBorders>
                    <w:top w:val="nil"/>
                    <w:left w:val="nil"/>
                    <w:bottom w:val="nil"/>
                    <w:right w:val="nil"/>
                  </w:tcBorders>
                  <w:noWrap/>
                  <w:vAlign w:val="bottom"/>
                </w:tcPr>
                <w:p w:rsidR="00FB7E9E" w:rsidRPr="00506D52" w:rsidRDefault="00FB7E9E" w:rsidP="00AB48D9">
                  <w:pPr>
                    <w:rPr>
                      <w:rFonts w:ascii="inherit" w:hAnsi="inherit"/>
                      <w:sz w:val="20"/>
                      <w:szCs w:val="20"/>
                      <w:lang w:val="en-US" w:eastAsia="en-US"/>
                    </w:rPr>
                  </w:pPr>
                  <w:r w:rsidRPr="00506D52">
                    <w:rPr>
                      <w:rFonts w:ascii="inherit" w:hAnsi="inherit"/>
                      <w:sz w:val="20"/>
                      <w:szCs w:val="20"/>
                      <w:lang w:val="en-US" w:eastAsia="en-US"/>
                    </w:rPr>
                    <w:t xml:space="preserve"> </w:t>
                  </w:r>
                </w:p>
              </w:tc>
            </w:tr>
          </w:tbl>
          <w:p w:rsidR="00FB7E9E" w:rsidRPr="00506D52" w:rsidRDefault="00FB7E9E" w:rsidP="00AB48D9">
            <w:pPr>
              <w:rPr>
                <w:rFonts w:ascii="inherit" w:hAnsi="inherit"/>
              </w:rPr>
            </w:pPr>
          </w:p>
        </w:tc>
        <w:tc>
          <w:tcPr>
            <w:tcW w:w="7938" w:type="dxa"/>
            <w:tcBorders>
              <w:top w:val="single" w:sz="12" w:space="0" w:color="000000"/>
              <w:bottom w:val="single" w:sz="12" w:space="0" w:color="000000"/>
            </w:tcBorders>
          </w:tcPr>
          <w:p w:rsidR="003A506F" w:rsidRPr="00506D52" w:rsidRDefault="003A506F" w:rsidP="003A506F">
            <w:pPr>
              <w:pStyle w:val="Zkladntext"/>
              <w:tabs>
                <w:tab w:val="left" w:pos="426"/>
              </w:tabs>
              <w:rPr>
                <w:b/>
                <w:bCs/>
                <w:sz w:val="20"/>
                <w:szCs w:val="20"/>
              </w:rPr>
            </w:pPr>
          </w:p>
          <w:p w:rsidR="003A506F" w:rsidRPr="00506D52" w:rsidRDefault="003A506F" w:rsidP="003A506F">
            <w:pPr>
              <w:pStyle w:val="Zkladntext"/>
              <w:rPr>
                <w:b/>
                <w:sz w:val="20"/>
                <w:szCs w:val="20"/>
              </w:rPr>
            </w:pPr>
            <w:r w:rsidRPr="00506D52">
              <w:rPr>
                <w:b/>
                <w:bCs/>
                <w:sz w:val="20"/>
                <w:szCs w:val="20"/>
                <w:vertAlign w:val="superscript"/>
              </w:rPr>
              <w:t>1)</w:t>
            </w:r>
            <w:r w:rsidRPr="00506D52">
              <w:rPr>
                <w:sz w:val="20"/>
                <w:szCs w:val="20"/>
              </w:rPr>
              <w:t xml:space="preserve"> </w:t>
            </w:r>
            <w:r w:rsidRPr="00506D52">
              <w:rPr>
                <w:b/>
                <w:sz w:val="20"/>
                <w:szCs w:val="20"/>
              </w:rPr>
              <w:t>EINECS číslo:</w:t>
            </w:r>
          </w:p>
          <w:p w:rsidR="003A506F" w:rsidRPr="00506D52" w:rsidRDefault="003A506F" w:rsidP="003A506F">
            <w:pPr>
              <w:pStyle w:val="Zkladntext"/>
              <w:rPr>
                <w:sz w:val="20"/>
                <w:szCs w:val="20"/>
              </w:rPr>
            </w:pPr>
            <w:r w:rsidRPr="00506D52">
              <w:rPr>
                <w:sz w:val="20"/>
                <w:szCs w:val="20"/>
              </w:rPr>
              <w:t>Číslo priradené chemickej látke, ktorá sa nachádza v Európskom zozname existujúcich komerčných chemických látok.</w:t>
            </w:r>
          </w:p>
          <w:p w:rsidR="004F68B5" w:rsidRPr="00506D52" w:rsidRDefault="004F68B5" w:rsidP="003A506F">
            <w:pPr>
              <w:pStyle w:val="Zkladntext"/>
              <w:rPr>
                <w:sz w:val="16"/>
                <w:szCs w:val="16"/>
              </w:rPr>
            </w:pPr>
          </w:p>
          <w:p w:rsidR="003A506F" w:rsidRPr="00506D52" w:rsidRDefault="003A506F" w:rsidP="003A506F">
            <w:pPr>
              <w:pStyle w:val="Zkladntext"/>
              <w:rPr>
                <w:b/>
                <w:sz w:val="20"/>
                <w:szCs w:val="20"/>
              </w:rPr>
            </w:pPr>
            <w:r w:rsidRPr="00506D52">
              <w:rPr>
                <w:b/>
                <w:bCs/>
                <w:sz w:val="20"/>
                <w:szCs w:val="20"/>
                <w:vertAlign w:val="superscript"/>
              </w:rPr>
              <w:t>2)</w:t>
            </w:r>
            <w:r w:rsidRPr="00506D52">
              <w:rPr>
                <w:sz w:val="20"/>
                <w:szCs w:val="20"/>
              </w:rPr>
              <w:t xml:space="preserve"> </w:t>
            </w:r>
            <w:r w:rsidRPr="00506D52">
              <w:rPr>
                <w:b/>
                <w:sz w:val="20"/>
                <w:szCs w:val="20"/>
              </w:rPr>
              <w:t xml:space="preserve">CAS číslo: </w:t>
            </w:r>
          </w:p>
          <w:p w:rsidR="003A506F" w:rsidRPr="00506D52" w:rsidRDefault="003A506F" w:rsidP="003A506F">
            <w:pPr>
              <w:pStyle w:val="Zkladntext"/>
              <w:rPr>
                <w:sz w:val="20"/>
                <w:szCs w:val="20"/>
              </w:rPr>
            </w:pPr>
            <w:r w:rsidRPr="00506D52">
              <w:rPr>
                <w:sz w:val="20"/>
                <w:szCs w:val="20"/>
              </w:rPr>
              <w:t>Medzinárodne stanovené číslo priradené danej chemickej látke na účely jej presnej identifikácie za predpokladu, že údaje boli publikované v odbornej literatúre.</w:t>
            </w:r>
          </w:p>
          <w:p w:rsidR="004F68B5" w:rsidRPr="00506D52" w:rsidRDefault="004F68B5" w:rsidP="003A506F">
            <w:pPr>
              <w:pStyle w:val="Zkladntext"/>
              <w:rPr>
                <w:sz w:val="16"/>
                <w:szCs w:val="16"/>
              </w:rPr>
            </w:pPr>
          </w:p>
          <w:p w:rsidR="003A506F" w:rsidRPr="00506D52" w:rsidRDefault="003A506F" w:rsidP="003A506F">
            <w:pPr>
              <w:pStyle w:val="Zkladntext"/>
              <w:tabs>
                <w:tab w:val="left" w:pos="426"/>
              </w:tabs>
              <w:rPr>
                <w:b/>
                <w:sz w:val="20"/>
                <w:szCs w:val="20"/>
              </w:rPr>
            </w:pPr>
            <w:r w:rsidRPr="00506D52">
              <w:rPr>
                <w:b/>
                <w:bCs/>
                <w:sz w:val="20"/>
                <w:szCs w:val="20"/>
                <w:vertAlign w:val="superscript"/>
              </w:rPr>
              <w:t>3)</w:t>
            </w:r>
            <w:r w:rsidRPr="00506D52">
              <w:rPr>
                <w:sz w:val="20"/>
                <w:szCs w:val="20"/>
              </w:rPr>
              <w:t xml:space="preserve"> </w:t>
            </w:r>
            <w:r w:rsidRPr="00506D52">
              <w:rPr>
                <w:b/>
                <w:sz w:val="20"/>
                <w:szCs w:val="20"/>
              </w:rPr>
              <w:t xml:space="preserve">Technické smerné hodnoty (TSH) </w:t>
            </w:r>
          </w:p>
          <w:p w:rsidR="003A506F" w:rsidRPr="00506D52" w:rsidRDefault="003A506F" w:rsidP="003A506F">
            <w:pPr>
              <w:pStyle w:val="Zkladntext"/>
              <w:tabs>
                <w:tab w:val="left" w:pos="426"/>
              </w:tabs>
              <w:rPr>
                <w:sz w:val="20"/>
                <w:szCs w:val="20"/>
              </w:rPr>
            </w:pPr>
            <w:r w:rsidRPr="00506D52">
              <w:rPr>
                <w:sz w:val="20"/>
                <w:szCs w:val="20"/>
              </w:rPr>
              <w:t>Určujú sa len pre karcinogény a mutagény zaradené do kategórie 1A a kategórie 1B, pre ktoré nemôžu byť v súčasnosti stanovené najvyššie prípustné expozičné limity</w:t>
            </w:r>
            <w:r w:rsidRPr="00506D52">
              <w:rPr>
                <w:rStyle w:val="Odkaznapoznmkupodiarou"/>
                <w:sz w:val="20"/>
                <w:szCs w:val="20"/>
              </w:rPr>
              <w:footnoteReference w:id="1"/>
            </w:r>
            <w:r w:rsidRPr="00506D52">
              <w:rPr>
                <w:sz w:val="20"/>
                <w:szCs w:val="20"/>
              </w:rPr>
              <w:t xml:space="preserve"> vzhľadom na ich predpokladané bezprahové účinky. Sú to minimálne hodnoty zistiteľné v pracovnom ovzduší dostupnými analytickými metódami a  možno ich dodržať technickými opatreniami. </w:t>
            </w:r>
            <w:r w:rsidR="006D542B" w:rsidRPr="00506D52">
              <w:rPr>
                <w:sz w:val="20"/>
                <w:szCs w:val="20"/>
              </w:rPr>
              <w:t>Vo väčšine  karcinogénov v súčasnosti nie je možné vedecky určiť úrovne, pod ktorými by expozícia neviedla k nepriaznivým následkom na zdravie. Stanovením technickej smernej hodnoty sa reziduálne riziká úplne neodstránia, ale ich stanovenie prispeje sa k výraznému zníženiu rizika vyplývajúceho z tejto expozície. Dodržiavaním technických smerných hodnôt sa znižuje pravdepodobnosť škodlivých účinkov na zdravie, ale nemožno ich úplne vylúčiť. Sú základom pre preventívne a ochranné opatrenia.</w:t>
            </w:r>
          </w:p>
          <w:p w:rsidR="003A506F" w:rsidRPr="00506D52" w:rsidRDefault="003A506F" w:rsidP="003A506F">
            <w:pPr>
              <w:pStyle w:val="Zkladntext"/>
              <w:tabs>
                <w:tab w:val="num" w:pos="0"/>
                <w:tab w:val="left" w:pos="426"/>
              </w:tabs>
              <w:rPr>
                <w:sz w:val="20"/>
                <w:szCs w:val="20"/>
              </w:rPr>
            </w:pPr>
            <w:r w:rsidRPr="00506D52">
              <w:rPr>
                <w:sz w:val="20"/>
                <w:szCs w:val="20"/>
              </w:rPr>
              <w:t>TSH znamenajú časovo vážený priemer koncentrácie plynov, pár a aerosólov, vrátane minerálnych vlákien za 8-hodinovú zmenu a 40-hodinový pracovný týždeň.</w:t>
            </w:r>
          </w:p>
          <w:p w:rsidR="003A506F" w:rsidRPr="00506D52" w:rsidRDefault="003A506F" w:rsidP="003A506F">
            <w:pPr>
              <w:pStyle w:val="Zkladntext"/>
              <w:tabs>
                <w:tab w:val="num" w:pos="0"/>
                <w:tab w:val="left" w:pos="426"/>
              </w:tabs>
              <w:rPr>
                <w:sz w:val="20"/>
                <w:szCs w:val="20"/>
              </w:rPr>
            </w:pPr>
            <w:r w:rsidRPr="00506D52">
              <w:rPr>
                <w:sz w:val="20"/>
                <w:szCs w:val="20"/>
              </w:rPr>
              <w:lastRenderedPageBreak/>
              <w:t>Na obmedzenie nadmernej expozície pri kolísaní hodnôt nad priemernú TSH  platia tieto pravidlá:</w:t>
            </w:r>
          </w:p>
          <w:p w:rsidR="003A506F" w:rsidRPr="00506D52" w:rsidRDefault="003A506F" w:rsidP="003A506F">
            <w:pPr>
              <w:pStyle w:val="Zkladntext"/>
              <w:numPr>
                <w:ilvl w:val="0"/>
                <w:numId w:val="41"/>
              </w:numPr>
              <w:tabs>
                <w:tab w:val="num" w:pos="0"/>
                <w:tab w:val="left" w:pos="426"/>
              </w:tabs>
              <w:suppressAutoHyphens w:val="0"/>
              <w:rPr>
                <w:sz w:val="20"/>
                <w:szCs w:val="20"/>
              </w:rPr>
            </w:pPr>
            <w:r w:rsidRPr="00506D52">
              <w:rPr>
                <w:sz w:val="20"/>
                <w:szCs w:val="20"/>
              </w:rPr>
              <w:t>krátkodobá hodnota expozície maximálne    5 x TSH,</w:t>
            </w:r>
          </w:p>
          <w:p w:rsidR="003A506F" w:rsidRPr="00506D52" w:rsidRDefault="003A506F" w:rsidP="003A506F">
            <w:pPr>
              <w:pStyle w:val="Zkladntext"/>
              <w:numPr>
                <w:ilvl w:val="0"/>
                <w:numId w:val="41"/>
              </w:numPr>
              <w:tabs>
                <w:tab w:val="num" w:pos="0"/>
                <w:tab w:val="left" w:pos="426"/>
              </w:tabs>
              <w:suppressAutoHyphens w:val="0"/>
              <w:rPr>
                <w:sz w:val="20"/>
                <w:szCs w:val="20"/>
              </w:rPr>
            </w:pPr>
            <w:r w:rsidRPr="00506D52">
              <w:rPr>
                <w:sz w:val="20"/>
                <w:szCs w:val="20"/>
              </w:rPr>
              <w:t>krátkodobé trvanie expozície                        15 minút,</w:t>
            </w:r>
          </w:p>
          <w:p w:rsidR="003A506F" w:rsidRPr="00506D52" w:rsidRDefault="003A506F" w:rsidP="003A506F">
            <w:pPr>
              <w:pStyle w:val="Zkladntext"/>
              <w:numPr>
                <w:ilvl w:val="0"/>
                <w:numId w:val="41"/>
              </w:numPr>
              <w:tabs>
                <w:tab w:val="num" w:pos="0"/>
                <w:tab w:val="left" w:pos="426"/>
              </w:tabs>
              <w:suppressAutoHyphens w:val="0"/>
              <w:rPr>
                <w:sz w:val="20"/>
                <w:szCs w:val="20"/>
              </w:rPr>
            </w:pPr>
            <w:r w:rsidRPr="00506D52">
              <w:rPr>
                <w:sz w:val="20"/>
                <w:szCs w:val="20"/>
              </w:rPr>
              <w:t>frekvencia za zmenu                                      5 x,</w:t>
            </w:r>
          </w:p>
          <w:p w:rsidR="003A506F" w:rsidRPr="00506D52" w:rsidRDefault="003A506F" w:rsidP="003A506F">
            <w:pPr>
              <w:pStyle w:val="Zkladntext"/>
              <w:numPr>
                <w:ilvl w:val="0"/>
                <w:numId w:val="41"/>
              </w:numPr>
              <w:tabs>
                <w:tab w:val="num" w:pos="0"/>
                <w:tab w:val="left" w:pos="426"/>
              </w:tabs>
              <w:suppressAutoHyphens w:val="0"/>
              <w:rPr>
                <w:sz w:val="20"/>
                <w:szCs w:val="20"/>
              </w:rPr>
            </w:pPr>
            <w:r w:rsidRPr="00506D52">
              <w:rPr>
                <w:sz w:val="20"/>
                <w:szCs w:val="20"/>
              </w:rPr>
              <w:t xml:space="preserve">interval medzi expozíciou                              1 hodina. </w:t>
            </w:r>
          </w:p>
          <w:p w:rsidR="003A506F" w:rsidRPr="00506D52" w:rsidRDefault="003A506F" w:rsidP="003A506F">
            <w:pPr>
              <w:pStyle w:val="Zkladntext"/>
              <w:tabs>
                <w:tab w:val="left" w:pos="426"/>
              </w:tabs>
              <w:ind w:left="360"/>
              <w:rPr>
                <w:sz w:val="20"/>
                <w:szCs w:val="20"/>
              </w:rPr>
            </w:pPr>
            <w:r w:rsidRPr="00506D52">
              <w:rPr>
                <w:sz w:val="20"/>
                <w:szCs w:val="20"/>
              </w:rPr>
              <w:t>V týchto prípadoch musí byť vždy dodržaná priemerná TSH za 8-hodinovú zmenu.</w:t>
            </w:r>
          </w:p>
          <w:p w:rsidR="003A506F" w:rsidRPr="00506D52" w:rsidRDefault="003A506F" w:rsidP="003A506F">
            <w:pPr>
              <w:pStyle w:val="Zkladntext"/>
              <w:tabs>
                <w:tab w:val="left" w:pos="426"/>
              </w:tabs>
              <w:rPr>
                <w:sz w:val="20"/>
                <w:szCs w:val="20"/>
              </w:rPr>
            </w:pPr>
            <w:r w:rsidRPr="00506D52">
              <w:rPr>
                <w:sz w:val="20"/>
                <w:szCs w:val="20"/>
              </w:rPr>
              <w:t>Vyjadrujú sa v:</w:t>
            </w:r>
          </w:p>
          <w:p w:rsidR="003A506F" w:rsidRPr="00506D52" w:rsidRDefault="003A506F" w:rsidP="003A506F">
            <w:pPr>
              <w:rPr>
                <w:rFonts w:ascii="inherit" w:hAnsi="inherit"/>
                <w:sz w:val="20"/>
                <w:szCs w:val="20"/>
              </w:rPr>
            </w:pPr>
            <w:r w:rsidRPr="00506D52">
              <w:rPr>
                <w:rFonts w:ascii="inherit" w:hAnsi="inherit"/>
                <w:b/>
                <w:bCs/>
                <w:sz w:val="20"/>
                <w:szCs w:val="20"/>
                <w:vertAlign w:val="superscript"/>
              </w:rPr>
              <w:t>4)</w:t>
            </w:r>
            <w:r w:rsidRPr="00506D52">
              <w:rPr>
                <w:rFonts w:ascii="inherit" w:hAnsi="inherit"/>
                <w:sz w:val="20"/>
                <w:szCs w:val="20"/>
              </w:rPr>
              <w:t xml:space="preserve"> </w:t>
            </w:r>
            <w:r w:rsidRPr="00506D52">
              <w:rPr>
                <w:rFonts w:ascii="inherit" w:hAnsi="inherit"/>
                <w:b/>
                <w:sz w:val="20"/>
                <w:szCs w:val="20"/>
              </w:rPr>
              <w:t>ppm</w:t>
            </w:r>
            <w:r w:rsidRPr="00506D52">
              <w:rPr>
                <w:rFonts w:ascii="inherit" w:hAnsi="inherit"/>
                <w:sz w:val="20"/>
                <w:szCs w:val="20"/>
              </w:rPr>
              <w:t xml:space="preserve">        -  počet objemových častí chemickej látky na milión objemových častí vzduchu. </w:t>
            </w:r>
          </w:p>
          <w:p w:rsidR="003A506F" w:rsidRPr="00506D52" w:rsidRDefault="003A506F" w:rsidP="003A506F">
            <w:pPr>
              <w:rPr>
                <w:rFonts w:ascii="inherit" w:hAnsi="inherit"/>
                <w:sz w:val="20"/>
                <w:szCs w:val="20"/>
              </w:rPr>
            </w:pPr>
            <w:r w:rsidRPr="00506D52">
              <w:rPr>
                <w:rFonts w:ascii="inherit" w:hAnsi="inherit"/>
                <w:sz w:val="20"/>
                <w:szCs w:val="20"/>
              </w:rPr>
              <w:t xml:space="preserve">                     (ml.m</w:t>
            </w:r>
            <w:r w:rsidRPr="00506D52">
              <w:rPr>
                <w:rFonts w:ascii="inherit" w:hAnsi="inherit"/>
                <w:sz w:val="20"/>
                <w:szCs w:val="20"/>
                <w:vertAlign w:val="superscript"/>
              </w:rPr>
              <w:t>-3</w:t>
            </w:r>
            <w:r w:rsidRPr="00506D52">
              <w:rPr>
                <w:rFonts w:ascii="inherit" w:hAnsi="inherit"/>
                <w:sz w:val="20"/>
                <w:szCs w:val="20"/>
              </w:rPr>
              <w:t>).</w:t>
            </w:r>
          </w:p>
          <w:p w:rsidR="003A506F" w:rsidRPr="00506D52" w:rsidRDefault="003A506F" w:rsidP="003A506F">
            <w:pPr>
              <w:rPr>
                <w:rFonts w:ascii="inherit" w:hAnsi="inherit"/>
                <w:sz w:val="20"/>
                <w:szCs w:val="20"/>
              </w:rPr>
            </w:pPr>
            <w:r w:rsidRPr="00506D52">
              <w:rPr>
                <w:rFonts w:ascii="inherit" w:hAnsi="inherit"/>
                <w:b/>
                <w:bCs/>
                <w:sz w:val="20"/>
                <w:szCs w:val="20"/>
                <w:vertAlign w:val="superscript"/>
              </w:rPr>
              <w:t>5)</w:t>
            </w:r>
            <w:r w:rsidRPr="00506D52">
              <w:rPr>
                <w:rFonts w:ascii="inherit" w:hAnsi="inherit"/>
                <w:sz w:val="20"/>
                <w:szCs w:val="20"/>
              </w:rPr>
              <w:t xml:space="preserve"> </w:t>
            </w:r>
            <w:r w:rsidRPr="00506D52">
              <w:rPr>
                <w:rFonts w:ascii="inherit" w:hAnsi="inherit"/>
                <w:b/>
                <w:sz w:val="20"/>
                <w:szCs w:val="20"/>
              </w:rPr>
              <w:t>mg.m</w:t>
            </w:r>
            <w:r w:rsidRPr="00506D52">
              <w:rPr>
                <w:rFonts w:ascii="inherit" w:hAnsi="inherit"/>
                <w:b/>
                <w:sz w:val="20"/>
                <w:szCs w:val="20"/>
                <w:vertAlign w:val="superscript"/>
              </w:rPr>
              <w:t>-3</w:t>
            </w:r>
            <w:r w:rsidRPr="00506D52">
              <w:rPr>
                <w:rFonts w:ascii="inherit" w:hAnsi="inherit"/>
                <w:sz w:val="20"/>
                <w:szCs w:val="20"/>
                <w:vertAlign w:val="superscript"/>
              </w:rPr>
              <w:t xml:space="preserve"> </w:t>
            </w:r>
            <w:r w:rsidRPr="00506D52">
              <w:rPr>
                <w:rFonts w:ascii="inherit" w:hAnsi="inherit"/>
                <w:sz w:val="20"/>
                <w:szCs w:val="20"/>
              </w:rPr>
              <w:t>-  miligramy na meter kubický vzduchu pri teplote 20</w:t>
            </w:r>
            <w:r w:rsidRPr="00506D52">
              <w:rPr>
                <w:rFonts w:ascii="inherit" w:hAnsi="inherit"/>
                <w:sz w:val="20"/>
                <w:szCs w:val="20"/>
                <w:vertAlign w:val="superscript"/>
              </w:rPr>
              <w:t>o</w:t>
            </w:r>
            <w:r w:rsidRPr="00506D52">
              <w:rPr>
                <w:rFonts w:ascii="inherit" w:hAnsi="inherit"/>
                <w:sz w:val="20"/>
                <w:szCs w:val="20"/>
              </w:rPr>
              <w:t>C a tlaku 101,3 kPa.</w:t>
            </w:r>
          </w:p>
          <w:p w:rsidR="003A506F" w:rsidRPr="00506D52" w:rsidRDefault="003A506F" w:rsidP="003A506F">
            <w:pPr>
              <w:pStyle w:val="Zkladntext"/>
              <w:tabs>
                <w:tab w:val="num" w:pos="0"/>
                <w:tab w:val="left" w:pos="426"/>
              </w:tabs>
              <w:rPr>
                <w:b/>
                <w:bCs/>
                <w:sz w:val="20"/>
                <w:szCs w:val="20"/>
              </w:rPr>
            </w:pPr>
          </w:p>
          <w:p w:rsidR="003A506F" w:rsidRPr="00506D52" w:rsidRDefault="000E7D33" w:rsidP="003A506F">
            <w:pPr>
              <w:pStyle w:val="Zkladntext"/>
              <w:tabs>
                <w:tab w:val="left" w:pos="426"/>
              </w:tabs>
              <w:rPr>
                <w:b/>
                <w:bCs/>
                <w:sz w:val="20"/>
                <w:szCs w:val="20"/>
              </w:rPr>
            </w:pPr>
            <w:r w:rsidRPr="00506D52">
              <w:rPr>
                <w:b/>
                <w:bCs/>
                <w:sz w:val="20"/>
                <w:szCs w:val="20"/>
                <w:vertAlign w:val="superscript"/>
              </w:rPr>
              <w:t>6</w:t>
            </w:r>
            <w:r w:rsidR="003A506F" w:rsidRPr="00506D52">
              <w:rPr>
                <w:b/>
                <w:bCs/>
                <w:sz w:val="20"/>
                <w:szCs w:val="20"/>
                <w:vertAlign w:val="superscript"/>
              </w:rPr>
              <w:t>)</w:t>
            </w:r>
            <w:r w:rsidR="003A506F" w:rsidRPr="00506D52">
              <w:rPr>
                <w:b/>
                <w:bCs/>
                <w:sz w:val="20"/>
                <w:szCs w:val="20"/>
              </w:rPr>
              <w:t xml:space="preserve"> Kategórie karcinogénov:</w:t>
            </w:r>
          </w:p>
          <w:p w:rsidR="003A506F" w:rsidRPr="00506D52" w:rsidRDefault="003A506F" w:rsidP="003A506F">
            <w:pPr>
              <w:pStyle w:val="Zkladntext"/>
              <w:tabs>
                <w:tab w:val="left" w:pos="426"/>
              </w:tabs>
              <w:rPr>
                <w:sz w:val="20"/>
                <w:szCs w:val="20"/>
              </w:rPr>
            </w:pPr>
            <w:r w:rsidRPr="00506D52">
              <w:rPr>
                <w:sz w:val="20"/>
                <w:szCs w:val="20"/>
              </w:rPr>
              <w:t>kategória 1A - Dokázaný karcinogén pre ľudí</w:t>
            </w:r>
          </w:p>
          <w:p w:rsidR="003A506F" w:rsidRPr="00506D52" w:rsidRDefault="003A506F" w:rsidP="003A506F">
            <w:pPr>
              <w:pStyle w:val="Zkladntext"/>
              <w:tabs>
                <w:tab w:val="left" w:pos="426"/>
              </w:tabs>
              <w:rPr>
                <w:sz w:val="20"/>
                <w:szCs w:val="20"/>
              </w:rPr>
            </w:pPr>
            <w:r w:rsidRPr="00506D52">
              <w:rPr>
                <w:sz w:val="20"/>
                <w:szCs w:val="20"/>
              </w:rPr>
              <w:t>kategória 1B - Pravdepodobný karcinogén</w:t>
            </w:r>
          </w:p>
          <w:p w:rsidR="003A506F" w:rsidRPr="00506D52" w:rsidRDefault="003A506F" w:rsidP="003A506F">
            <w:pPr>
              <w:pStyle w:val="Zkladntext"/>
              <w:tabs>
                <w:tab w:val="left" w:pos="426"/>
              </w:tabs>
              <w:rPr>
                <w:sz w:val="20"/>
                <w:szCs w:val="20"/>
              </w:rPr>
            </w:pPr>
            <w:r w:rsidRPr="00506D52">
              <w:rPr>
                <w:sz w:val="20"/>
                <w:szCs w:val="20"/>
              </w:rPr>
              <w:t>kategória 2   - Podozrivý karcinogén</w:t>
            </w:r>
          </w:p>
          <w:p w:rsidR="000E7D33" w:rsidRPr="00506D52" w:rsidRDefault="000E7D33" w:rsidP="003A506F">
            <w:pPr>
              <w:pStyle w:val="Zkladntext"/>
              <w:tabs>
                <w:tab w:val="left" w:pos="426"/>
              </w:tabs>
              <w:rPr>
                <w:sz w:val="16"/>
                <w:szCs w:val="16"/>
              </w:rPr>
            </w:pPr>
          </w:p>
          <w:p w:rsidR="003A506F" w:rsidRPr="00506D52" w:rsidRDefault="000E7D33" w:rsidP="003A506F">
            <w:pPr>
              <w:pStyle w:val="Zkladntext"/>
              <w:tabs>
                <w:tab w:val="num" w:pos="0"/>
                <w:tab w:val="left" w:pos="426"/>
                <w:tab w:val="left" w:pos="1134"/>
              </w:tabs>
              <w:rPr>
                <w:b/>
                <w:bCs/>
                <w:sz w:val="20"/>
                <w:szCs w:val="20"/>
              </w:rPr>
            </w:pPr>
            <w:r w:rsidRPr="00506D52">
              <w:rPr>
                <w:b/>
                <w:bCs/>
                <w:sz w:val="20"/>
                <w:szCs w:val="20"/>
                <w:vertAlign w:val="superscript"/>
              </w:rPr>
              <w:t>7</w:t>
            </w:r>
            <w:r w:rsidR="003A506F" w:rsidRPr="00506D52">
              <w:rPr>
                <w:b/>
                <w:bCs/>
                <w:sz w:val="20"/>
                <w:szCs w:val="20"/>
                <w:vertAlign w:val="superscript"/>
              </w:rPr>
              <w:t>)</w:t>
            </w:r>
            <w:r w:rsidR="003A506F" w:rsidRPr="00506D52">
              <w:rPr>
                <w:b/>
                <w:bCs/>
                <w:sz w:val="20"/>
                <w:szCs w:val="20"/>
              </w:rPr>
              <w:t xml:space="preserve"> Kategórie mutagénov:</w:t>
            </w:r>
          </w:p>
          <w:p w:rsidR="003A506F" w:rsidRPr="00506D52" w:rsidRDefault="003A506F" w:rsidP="003A506F">
            <w:pPr>
              <w:pStyle w:val="Zkladntext"/>
              <w:tabs>
                <w:tab w:val="left" w:pos="426"/>
              </w:tabs>
              <w:rPr>
                <w:sz w:val="20"/>
                <w:szCs w:val="20"/>
              </w:rPr>
            </w:pPr>
            <w:r w:rsidRPr="00506D52">
              <w:rPr>
                <w:sz w:val="20"/>
                <w:szCs w:val="20"/>
              </w:rPr>
              <w:t>kategória 1A - Mutagén ľudských zárodočných buniek</w:t>
            </w:r>
          </w:p>
          <w:p w:rsidR="003A506F" w:rsidRPr="00506D52" w:rsidRDefault="003A506F" w:rsidP="003A506F">
            <w:pPr>
              <w:pStyle w:val="Zkladntext"/>
              <w:tabs>
                <w:tab w:val="left" w:pos="426"/>
              </w:tabs>
              <w:rPr>
                <w:sz w:val="20"/>
                <w:szCs w:val="20"/>
              </w:rPr>
            </w:pPr>
            <w:r w:rsidRPr="00506D52">
              <w:rPr>
                <w:sz w:val="20"/>
                <w:szCs w:val="20"/>
              </w:rPr>
              <w:t xml:space="preserve">kategória 1B - Mutagén cicavčích zárodočných buniek </w:t>
            </w:r>
          </w:p>
          <w:p w:rsidR="003A506F" w:rsidRPr="00506D52" w:rsidRDefault="003A506F" w:rsidP="003A506F">
            <w:pPr>
              <w:pStyle w:val="Zkladntext"/>
              <w:tabs>
                <w:tab w:val="left" w:pos="426"/>
              </w:tabs>
              <w:rPr>
                <w:sz w:val="20"/>
                <w:szCs w:val="20"/>
              </w:rPr>
            </w:pPr>
            <w:r w:rsidRPr="00506D52">
              <w:rPr>
                <w:sz w:val="20"/>
                <w:szCs w:val="20"/>
              </w:rPr>
              <w:t>kategória 2    - Podozrivý mutagén</w:t>
            </w:r>
          </w:p>
          <w:p w:rsidR="000E7D33" w:rsidRPr="00506D52" w:rsidRDefault="000E7D33" w:rsidP="003A506F">
            <w:pPr>
              <w:pStyle w:val="Zkladntext"/>
              <w:tabs>
                <w:tab w:val="left" w:pos="426"/>
              </w:tabs>
              <w:rPr>
                <w:sz w:val="16"/>
                <w:szCs w:val="16"/>
              </w:rPr>
            </w:pPr>
          </w:p>
          <w:p w:rsidR="003A506F" w:rsidRPr="00506D52" w:rsidRDefault="000E7D33" w:rsidP="003A506F">
            <w:pPr>
              <w:pStyle w:val="Zkladntext"/>
              <w:tabs>
                <w:tab w:val="left" w:pos="426"/>
                <w:tab w:val="left" w:pos="1134"/>
              </w:tabs>
              <w:rPr>
                <w:sz w:val="20"/>
                <w:szCs w:val="20"/>
              </w:rPr>
            </w:pPr>
            <w:r w:rsidRPr="00506D52">
              <w:rPr>
                <w:b/>
                <w:bCs/>
                <w:sz w:val="20"/>
                <w:szCs w:val="20"/>
                <w:vertAlign w:val="superscript"/>
              </w:rPr>
              <w:t>8</w:t>
            </w:r>
            <w:r w:rsidR="003A506F" w:rsidRPr="00506D52">
              <w:rPr>
                <w:b/>
                <w:bCs/>
                <w:sz w:val="20"/>
                <w:szCs w:val="20"/>
                <w:vertAlign w:val="superscript"/>
              </w:rPr>
              <w:t>)</w:t>
            </w:r>
            <w:r w:rsidR="003A506F" w:rsidRPr="00506D52">
              <w:rPr>
                <w:b/>
                <w:bCs/>
                <w:sz w:val="20"/>
                <w:szCs w:val="20"/>
              </w:rPr>
              <w:t xml:space="preserve"> K - prienik cez kožu:</w:t>
            </w:r>
            <w:r w:rsidR="003A506F" w:rsidRPr="00506D52">
              <w:rPr>
                <w:sz w:val="20"/>
                <w:szCs w:val="20"/>
              </w:rPr>
              <w:t xml:space="preserve"> Niektoré látky môžu prenikať ľahko cez kožu a spôsobovať smrteľné otravy, často bez varovných príznakov (napr. anilín, nitrobenzén, nitroglykol, fenoly a podobne).</w:t>
            </w:r>
          </w:p>
          <w:p w:rsidR="000E7D33" w:rsidRPr="00506D52" w:rsidRDefault="000E7D33" w:rsidP="003A506F">
            <w:pPr>
              <w:pStyle w:val="Zkladntext"/>
              <w:tabs>
                <w:tab w:val="left" w:pos="426"/>
                <w:tab w:val="left" w:pos="1134"/>
              </w:tabs>
              <w:rPr>
                <w:sz w:val="16"/>
                <w:szCs w:val="16"/>
              </w:rPr>
            </w:pPr>
          </w:p>
          <w:p w:rsidR="003A506F" w:rsidRPr="00506D52" w:rsidRDefault="004F68B5" w:rsidP="003A506F">
            <w:pPr>
              <w:pStyle w:val="Zkladntext"/>
              <w:tabs>
                <w:tab w:val="left" w:pos="426"/>
                <w:tab w:val="left" w:pos="1134"/>
              </w:tabs>
              <w:rPr>
                <w:sz w:val="20"/>
                <w:szCs w:val="20"/>
              </w:rPr>
            </w:pPr>
            <w:r w:rsidRPr="00506D52">
              <w:rPr>
                <w:b/>
                <w:bCs/>
                <w:sz w:val="20"/>
                <w:szCs w:val="20"/>
                <w:vertAlign w:val="superscript"/>
              </w:rPr>
              <w:t>9</w:t>
            </w:r>
            <w:r w:rsidR="003A506F" w:rsidRPr="00506D52">
              <w:rPr>
                <w:b/>
                <w:bCs/>
                <w:sz w:val="20"/>
                <w:szCs w:val="20"/>
                <w:vertAlign w:val="superscript"/>
              </w:rPr>
              <w:t>)</w:t>
            </w:r>
            <w:r w:rsidR="003A506F" w:rsidRPr="00506D52">
              <w:rPr>
                <w:b/>
                <w:bCs/>
                <w:sz w:val="20"/>
                <w:szCs w:val="20"/>
              </w:rPr>
              <w:t xml:space="preserve"> S - senzibilizujúce účinky</w:t>
            </w:r>
            <w:r w:rsidR="003A506F" w:rsidRPr="00506D52">
              <w:rPr>
                <w:sz w:val="20"/>
                <w:szCs w:val="20"/>
              </w:rPr>
              <w:t xml:space="preserve"> majú látky, ktoré spôsobujú oveľa vyšší výskyt precitlivenosti alergického typu, ako je bežný. Pri práci s nimi je potrebná osobitná opatrnosť. Dodržiavanie technických smerných hodnôt nezaručuje, že nevzniknú u vnímavých osôb alergické reakcie.</w:t>
            </w:r>
          </w:p>
          <w:p w:rsidR="000E7D33" w:rsidRPr="00506D52" w:rsidRDefault="000E7D33" w:rsidP="003A506F">
            <w:pPr>
              <w:pStyle w:val="Zkladntext"/>
              <w:tabs>
                <w:tab w:val="left" w:pos="426"/>
                <w:tab w:val="left" w:pos="1134"/>
              </w:tabs>
              <w:rPr>
                <w:sz w:val="16"/>
                <w:szCs w:val="16"/>
              </w:rPr>
            </w:pPr>
          </w:p>
          <w:p w:rsidR="00D371C8" w:rsidRPr="00506D52" w:rsidRDefault="00D371C8" w:rsidP="00D371C8">
            <w:pPr>
              <w:pStyle w:val="Zkladntext"/>
              <w:suppressAutoHyphens w:val="0"/>
              <w:rPr>
                <w:sz w:val="20"/>
                <w:szCs w:val="20"/>
              </w:rPr>
            </w:pPr>
            <w:r w:rsidRPr="00506D52">
              <w:rPr>
                <w:b/>
                <w:bCs/>
                <w:sz w:val="20"/>
                <w:szCs w:val="20"/>
                <w:vertAlign w:val="superscript"/>
              </w:rPr>
              <w:t>10)</w:t>
            </w:r>
            <w:r w:rsidRPr="00506D52">
              <w:rPr>
                <w:b/>
                <w:bCs/>
                <w:sz w:val="20"/>
                <w:szCs w:val="20"/>
              </w:rPr>
              <w:t xml:space="preserve"> I</w:t>
            </w:r>
            <w:r w:rsidRPr="00506D52">
              <w:rPr>
                <w:b/>
                <w:sz w:val="20"/>
                <w:szCs w:val="20"/>
              </w:rPr>
              <w:t>nhalovateľná frakcia</w:t>
            </w:r>
            <w:r w:rsidRPr="00506D52">
              <w:rPr>
                <w:sz w:val="20"/>
                <w:szCs w:val="20"/>
              </w:rPr>
              <w:t xml:space="preserve"> aerosólu znamená, že expozícia je meraná ako inhalovateľná zložka aerosólu (celková koncentrácia), ktorá môže byť vdýchnutá do dýchacích ciest a pre ktorú je </w:t>
            </w:r>
            <w:r w:rsidRPr="00506D52">
              <w:rPr>
                <w:sz w:val="20"/>
                <w:szCs w:val="20"/>
                <w:lang w:eastAsia="x-none"/>
              </w:rPr>
              <w:t>u</w:t>
            </w:r>
            <w:r w:rsidRPr="00506D52">
              <w:rPr>
                <w:sz w:val="20"/>
                <w:szCs w:val="20"/>
              </w:rPr>
              <w:t>stanovená technická smerná hodnota.</w:t>
            </w:r>
          </w:p>
          <w:p w:rsidR="00D371C8" w:rsidRPr="00506D52" w:rsidRDefault="00D371C8" w:rsidP="00D371C8">
            <w:pPr>
              <w:pStyle w:val="Zkladntext"/>
              <w:suppressAutoHyphens w:val="0"/>
              <w:rPr>
                <w:sz w:val="20"/>
                <w:szCs w:val="20"/>
              </w:rPr>
            </w:pPr>
          </w:p>
          <w:p w:rsidR="00D371C8" w:rsidRPr="00506D52" w:rsidRDefault="00D371C8" w:rsidP="00D371C8">
            <w:pPr>
              <w:rPr>
                <w:bCs/>
                <w:sz w:val="20"/>
                <w:szCs w:val="20"/>
              </w:rPr>
            </w:pPr>
            <w:r w:rsidRPr="00506D52">
              <w:rPr>
                <w:b/>
                <w:sz w:val="20"/>
                <w:szCs w:val="20"/>
                <w:vertAlign w:val="superscript"/>
              </w:rPr>
              <w:t>11)</w:t>
            </w:r>
            <w:r w:rsidRPr="00506D52">
              <w:rPr>
                <w:b/>
                <w:bCs/>
                <w:sz w:val="20"/>
                <w:szCs w:val="20"/>
              </w:rPr>
              <w:t xml:space="preserve"> Auramín a jeho soli</w:t>
            </w:r>
            <w:r w:rsidRPr="00506D52">
              <w:rPr>
                <w:bCs/>
                <w:sz w:val="20"/>
                <w:szCs w:val="20"/>
              </w:rPr>
              <w:t xml:space="preserve"> sú zaradené </w:t>
            </w:r>
            <w:r w:rsidRPr="00506D52">
              <w:rPr>
                <w:b/>
                <w:bCs/>
                <w:sz w:val="20"/>
                <w:szCs w:val="20"/>
              </w:rPr>
              <w:t xml:space="preserve"> </w:t>
            </w:r>
            <w:r w:rsidRPr="00506D52">
              <w:rPr>
                <w:bCs/>
                <w:sz w:val="20"/>
                <w:szCs w:val="20"/>
              </w:rPr>
              <w:t>podľa § 2 písm. a) druhého bodu medzi látky, zmesi a pracovné procesy s rizikom chemickej karcinogenity uvedené v prílohe č. 1.</w:t>
            </w:r>
          </w:p>
          <w:p w:rsidR="00D371C8" w:rsidRPr="00506D52" w:rsidRDefault="00D371C8" w:rsidP="00D371C8">
            <w:pPr>
              <w:rPr>
                <w:sz w:val="20"/>
                <w:szCs w:val="20"/>
              </w:rPr>
            </w:pPr>
            <w:r w:rsidRPr="00506D52">
              <w:rPr>
                <w:b/>
                <w:bCs/>
                <w:sz w:val="20"/>
                <w:szCs w:val="20"/>
                <w:vertAlign w:val="superscript"/>
              </w:rPr>
              <w:t>12)</w:t>
            </w:r>
            <w:r w:rsidRPr="00506D52">
              <w:rPr>
                <w:sz w:val="20"/>
                <w:szCs w:val="20"/>
              </w:rPr>
              <w:t xml:space="preserve"> </w:t>
            </w:r>
            <w:r w:rsidRPr="00506D52">
              <w:rPr>
                <w:b/>
                <w:sz w:val="20"/>
                <w:szCs w:val="20"/>
              </w:rPr>
              <w:t>vl.cm</w:t>
            </w:r>
            <w:r w:rsidRPr="00506D52">
              <w:rPr>
                <w:b/>
                <w:sz w:val="20"/>
                <w:szCs w:val="20"/>
                <w:vertAlign w:val="superscript"/>
              </w:rPr>
              <w:t>–3</w:t>
            </w:r>
            <w:r w:rsidRPr="00506D52">
              <w:rPr>
                <w:sz w:val="20"/>
                <w:szCs w:val="20"/>
                <w:vertAlign w:val="superscript"/>
              </w:rPr>
              <w:t xml:space="preserve">   </w:t>
            </w:r>
            <w:r w:rsidRPr="00506D52">
              <w:rPr>
                <w:sz w:val="20"/>
                <w:szCs w:val="20"/>
              </w:rPr>
              <w:t>-  vlákno na centimeter kubický vzduchu.</w:t>
            </w:r>
          </w:p>
          <w:p w:rsidR="00D371C8" w:rsidRPr="00506D52" w:rsidRDefault="00D371C8" w:rsidP="00D371C8">
            <w:pPr>
              <w:pStyle w:val="Zkladntext"/>
              <w:tabs>
                <w:tab w:val="num" w:pos="0"/>
                <w:tab w:val="left" w:pos="426"/>
              </w:tabs>
              <w:rPr>
                <w:sz w:val="20"/>
                <w:szCs w:val="20"/>
                <w:vertAlign w:val="superscript"/>
              </w:rPr>
            </w:pPr>
            <w:r w:rsidRPr="00506D52">
              <w:rPr>
                <w:sz w:val="20"/>
                <w:szCs w:val="20"/>
              </w:rPr>
              <w:t xml:space="preserve">    vl.cm</w:t>
            </w:r>
            <w:r w:rsidRPr="00506D52">
              <w:rPr>
                <w:sz w:val="20"/>
                <w:szCs w:val="20"/>
                <w:vertAlign w:val="superscript"/>
              </w:rPr>
              <w:t xml:space="preserve">–3  </w:t>
            </w:r>
            <w:r w:rsidRPr="00506D52">
              <w:rPr>
                <w:sz w:val="20"/>
                <w:szCs w:val="20"/>
              </w:rPr>
              <w:t>=</w:t>
            </w:r>
            <w:r w:rsidRPr="00506D52">
              <w:rPr>
                <w:sz w:val="20"/>
                <w:szCs w:val="20"/>
                <w:vertAlign w:val="superscript"/>
              </w:rPr>
              <w:t xml:space="preserve">  </w:t>
            </w:r>
            <w:r w:rsidRPr="00506D52">
              <w:rPr>
                <w:sz w:val="20"/>
                <w:szCs w:val="20"/>
              </w:rPr>
              <w:t>vl.ml</w:t>
            </w:r>
            <w:r w:rsidRPr="00506D52">
              <w:rPr>
                <w:sz w:val="20"/>
                <w:szCs w:val="20"/>
                <w:vertAlign w:val="superscript"/>
              </w:rPr>
              <w:t xml:space="preserve">   </w:t>
            </w:r>
          </w:p>
          <w:p w:rsidR="00D371C8" w:rsidRPr="00506D52" w:rsidRDefault="00D371C8" w:rsidP="00D371C8">
            <w:pPr>
              <w:pStyle w:val="Zkladntext"/>
              <w:tabs>
                <w:tab w:val="num" w:pos="0"/>
                <w:tab w:val="left" w:pos="426"/>
              </w:tabs>
              <w:rPr>
                <w:sz w:val="20"/>
                <w:szCs w:val="20"/>
              </w:rPr>
            </w:pPr>
            <w:r w:rsidRPr="00506D52">
              <w:rPr>
                <w:b/>
                <w:sz w:val="20"/>
                <w:szCs w:val="20"/>
              </w:rPr>
              <w:t xml:space="preserve">    </w:t>
            </w:r>
            <w:r w:rsidRPr="00506D52">
              <w:rPr>
                <w:sz w:val="20"/>
                <w:szCs w:val="20"/>
              </w:rPr>
              <w:t>vl.ml</w:t>
            </w:r>
            <w:r w:rsidRPr="00506D52">
              <w:rPr>
                <w:sz w:val="20"/>
                <w:szCs w:val="20"/>
                <w:vertAlign w:val="superscript"/>
              </w:rPr>
              <w:t xml:space="preserve">   </w:t>
            </w:r>
            <w:r w:rsidRPr="00506D52">
              <w:rPr>
                <w:sz w:val="20"/>
                <w:szCs w:val="20"/>
              </w:rPr>
              <w:t>-  vlákno na mililiter.</w:t>
            </w:r>
          </w:p>
          <w:p w:rsidR="00D371C8" w:rsidRPr="00506D52" w:rsidRDefault="00D371C8" w:rsidP="000E7D33">
            <w:pPr>
              <w:tabs>
                <w:tab w:val="left" w:pos="142"/>
              </w:tabs>
              <w:rPr>
                <w:b/>
                <w:bCs/>
                <w:sz w:val="20"/>
                <w:szCs w:val="20"/>
                <w:vertAlign w:val="superscript"/>
              </w:rPr>
            </w:pPr>
            <w:r w:rsidRPr="00506D52">
              <w:rPr>
                <w:b/>
                <w:bCs/>
                <w:sz w:val="20"/>
                <w:szCs w:val="20"/>
                <w:vertAlign w:val="superscript"/>
              </w:rPr>
              <w:t>13)</w:t>
            </w:r>
            <w:r w:rsidRPr="00506D52">
              <w:rPr>
                <w:sz w:val="20"/>
                <w:szCs w:val="20"/>
              </w:rPr>
              <w:t xml:space="preserve"> </w:t>
            </w:r>
            <w:r w:rsidRPr="00506D52">
              <w:rPr>
                <w:b/>
                <w:sz w:val="20"/>
                <w:szCs w:val="20"/>
              </w:rPr>
              <w:t>TSH pre zlúčeniny šesťmocného chrómu (č. 27)</w:t>
            </w:r>
            <w:r w:rsidRPr="00506D52">
              <w:rPr>
                <w:sz w:val="20"/>
                <w:szCs w:val="20"/>
              </w:rPr>
              <w:t xml:space="preserve">  má prechodné obdobie do 17. januára 2025.</w:t>
            </w:r>
          </w:p>
          <w:p w:rsidR="00D371C8" w:rsidRPr="00506D52" w:rsidRDefault="00D371C8" w:rsidP="000E7D33">
            <w:pPr>
              <w:rPr>
                <w:sz w:val="20"/>
                <w:szCs w:val="20"/>
              </w:rPr>
            </w:pPr>
            <w:r w:rsidRPr="00506D52">
              <w:rPr>
                <w:b/>
                <w:bCs/>
                <w:sz w:val="20"/>
                <w:szCs w:val="20"/>
                <w:vertAlign w:val="superscript"/>
              </w:rPr>
              <w:lastRenderedPageBreak/>
              <w:t>14)</w:t>
            </w:r>
            <w:r w:rsidRPr="00506D52">
              <w:rPr>
                <w:sz w:val="20"/>
                <w:szCs w:val="20"/>
              </w:rPr>
              <w:t xml:space="preserve"> </w:t>
            </w:r>
            <w:r w:rsidRPr="00506D52">
              <w:rPr>
                <w:b/>
                <w:sz w:val="20"/>
                <w:szCs w:val="20"/>
              </w:rPr>
              <w:t>TSH pre zlúčeniny šesťmocného chrómu (č. 27), ktoré vznikajú pri zváraní alebo rezaní plazmou</w:t>
            </w:r>
            <w:r w:rsidRPr="00506D52">
              <w:rPr>
                <w:sz w:val="20"/>
                <w:szCs w:val="20"/>
              </w:rPr>
              <w:t xml:space="preserve"> alebo pri  obdobných pracovných procesoch, pri ktorých vznikajú výpary,  má prechodné obdobie  do 17. januára 2025.</w:t>
            </w:r>
          </w:p>
          <w:p w:rsidR="000E7D33" w:rsidRPr="00506D52" w:rsidRDefault="000E7D33" w:rsidP="000E7D33">
            <w:pPr>
              <w:rPr>
                <w:sz w:val="16"/>
                <w:szCs w:val="16"/>
              </w:rPr>
            </w:pPr>
          </w:p>
          <w:p w:rsidR="00D371C8" w:rsidRPr="00506D52" w:rsidRDefault="00D371C8" w:rsidP="00D371C8">
            <w:pPr>
              <w:pStyle w:val="Zkladntext"/>
              <w:suppressAutoHyphens w:val="0"/>
              <w:rPr>
                <w:sz w:val="20"/>
                <w:szCs w:val="20"/>
              </w:rPr>
            </w:pPr>
            <w:r w:rsidRPr="00506D52">
              <w:rPr>
                <w:b/>
                <w:bCs/>
                <w:sz w:val="20"/>
                <w:szCs w:val="20"/>
                <w:vertAlign w:val="superscript"/>
              </w:rPr>
              <w:t>15)</w:t>
            </w:r>
            <w:r w:rsidRPr="00506D52">
              <w:rPr>
                <w:sz w:val="20"/>
                <w:szCs w:val="20"/>
              </w:rPr>
              <w:t xml:space="preserve"> </w:t>
            </w:r>
            <w:r w:rsidRPr="00506D52">
              <w:rPr>
                <w:b/>
                <w:bCs/>
                <w:sz w:val="20"/>
                <w:szCs w:val="20"/>
              </w:rPr>
              <w:t>R</w:t>
            </w:r>
            <w:r w:rsidRPr="00506D52">
              <w:rPr>
                <w:b/>
                <w:sz w:val="20"/>
                <w:szCs w:val="20"/>
              </w:rPr>
              <w:t>espirabilná frakcia</w:t>
            </w:r>
            <w:r w:rsidRPr="00506D52">
              <w:rPr>
                <w:sz w:val="20"/>
                <w:szCs w:val="20"/>
              </w:rPr>
              <w:t xml:space="preserve"> aerosólu znamená, že expozícia je meraná ako respirabilná zložka aerosólu, ktorá môže preniknúť až do pľúcnych alveol a pre ktorú je </w:t>
            </w:r>
            <w:r w:rsidRPr="00506D52">
              <w:rPr>
                <w:sz w:val="20"/>
                <w:szCs w:val="20"/>
                <w:lang w:eastAsia="x-none"/>
              </w:rPr>
              <w:t>u</w:t>
            </w:r>
            <w:r w:rsidRPr="00506D52">
              <w:rPr>
                <w:sz w:val="20"/>
                <w:szCs w:val="20"/>
              </w:rPr>
              <w:t>stanovená technická smerná hodnota.</w:t>
            </w:r>
          </w:p>
          <w:p w:rsidR="00D371C8" w:rsidRPr="00506D52" w:rsidRDefault="00D371C8" w:rsidP="000E7D33">
            <w:pPr>
              <w:tabs>
                <w:tab w:val="left" w:pos="142"/>
              </w:tabs>
              <w:rPr>
                <w:b/>
                <w:bCs/>
                <w:sz w:val="20"/>
                <w:szCs w:val="20"/>
                <w:vertAlign w:val="superscript"/>
              </w:rPr>
            </w:pPr>
            <w:r w:rsidRPr="00506D52">
              <w:rPr>
                <w:b/>
                <w:bCs/>
                <w:sz w:val="20"/>
                <w:szCs w:val="20"/>
                <w:vertAlign w:val="superscript"/>
              </w:rPr>
              <w:t xml:space="preserve">16) </w:t>
            </w:r>
            <w:r w:rsidRPr="00506D52">
              <w:rPr>
                <w:b/>
                <w:sz w:val="20"/>
                <w:szCs w:val="20"/>
              </w:rPr>
              <w:t>TSH pre prach z tvrdého dreva (č. 34)</w:t>
            </w:r>
            <w:r w:rsidRPr="00506D52">
              <w:rPr>
                <w:sz w:val="20"/>
                <w:szCs w:val="20"/>
              </w:rPr>
              <w:t xml:space="preserve">  má prechodné obdobie do 17. januára 2023.</w:t>
            </w:r>
          </w:p>
          <w:p w:rsidR="000E7D33" w:rsidRPr="00506D52" w:rsidRDefault="000E7D33" w:rsidP="000E7D33">
            <w:pPr>
              <w:tabs>
                <w:tab w:val="left" w:pos="142"/>
              </w:tabs>
              <w:rPr>
                <w:b/>
                <w:bCs/>
                <w:sz w:val="16"/>
                <w:szCs w:val="16"/>
                <w:vertAlign w:val="superscript"/>
              </w:rPr>
            </w:pPr>
          </w:p>
          <w:p w:rsidR="00D371C8" w:rsidRPr="00506D52" w:rsidRDefault="00D371C8" w:rsidP="00534BA1">
            <w:pPr>
              <w:pStyle w:val="Zkladntext"/>
              <w:tabs>
                <w:tab w:val="left" w:pos="426"/>
                <w:tab w:val="left" w:pos="1134"/>
              </w:tabs>
              <w:rPr>
                <w:sz w:val="20"/>
                <w:szCs w:val="20"/>
              </w:rPr>
            </w:pPr>
            <w:r w:rsidRPr="00506D52">
              <w:rPr>
                <w:b/>
                <w:bCs/>
                <w:sz w:val="20"/>
                <w:szCs w:val="20"/>
                <w:vertAlign w:val="superscript"/>
              </w:rPr>
              <w:t>17)</w:t>
            </w:r>
            <w:r w:rsidRPr="00506D52">
              <w:rPr>
                <w:b/>
                <w:bCs/>
                <w:sz w:val="20"/>
                <w:szCs w:val="20"/>
              </w:rPr>
              <w:t xml:space="preserve"> </w:t>
            </w:r>
            <w:r w:rsidRPr="00506D52">
              <w:rPr>
                <w:b/>
                <w:sz w:val="20"/>
                <w:szCs w:val="20"/>
              </w:rPr>
              <w:t>Stanovuje sa ako inhalovateľná frakcia:</w:t>
            </w:r>
            <w:r w:rsidRPr="00506D52">
              <w:rPr>
                <w:sz w:val="20"/>
                <w:szCs w:val="20"/>
              </w:rPr>
              <w:t xml:space="preserve"> ak sa prach z tvrdého dreva zmieša s iným drevným prachom (mäkké drevo), pre všetky druhy prachu z dreva, ktoré sú prítomné v zmesi, sa uplatňuje technická smerná hodnota pre prach z tvrdého dreva.</w:t>
            </w:r>
          </w:p>
          <w:p w:rsidR="00FB7E9E" w:rsidRPr="00506D52" w:rsidRDefault="003A506F" w:rsidP="000E7D33">
            <w:pPr>
              <w:ind w:hanging="426"/>
              <w:rPr>
                <w:sz w:val="20"/>
                <w:szCs w:val="20"/>
              </w:rPr>
            </w:pPr>
            <w:r w:rsidRPr="00506D52">
              <w:rPr>
                <w:rFonts w:ascii="inherit" w:hAnsi="inherit"/>
                <w:b/>
                <w:bCs/>
                <w:sz w:val="20"/>
                <w:szCs w:val="20"/>
              </w:rPr>
              <w:t xml:space="preserve">     </w:t>
            </w:r>
          </w:p>
        </w:tc>
      </w:tr>
    </w:tbl>
    <w:p w:rsidR="00FB7E9E" w:rsidRPr="00506D52" w:rsidRDefault="00FB7E9E">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A956F6" w:rsidRPr="00506D52" w:rsidRDefault="00A956F6">
      <w:pPr>
        <w:rPr>
          <w:rFonts w:ascii="inherit" w:hAnsi="inherit"/>
        </w:rPr>
      </w:pPr>
    </w:p>
    <w:p w:rsidR="002E551C" w:rsidRPr="00506D52" w:rsidRDefault="002E551C" w:rsidP="002E551C">
      <w:pPr>
        <w:autoSpaceDE w:val="0"/>
        <w:autoSpaceDN w:val="0"/>
        <w:spacing w:before="0"/>
        <w:jc w:val="left"/>
        <w:rPr>
          <w:sz w:val="20"/>
          <w:szCs w:val="20"/>
        </w:rPr>
      </w:pPr>
    </w:p>
    <w:sectPr w:rsidR="002E551C" w:rsidRPr="00506D52" w:rsidSect="00E3203D">
      <w:footerReference w:type="default" r:id="rId9"/>
      <w:type w:val="continuous"/>
      <w:pgSz w:w="16838" w:h="11906" w:orient="landscape"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CF" w:rsidRDefault="00DB79CF">
      <w:pPr>
        <w:autoSpaceDE w:val="0"/>
        <w:autoSpaceDN w:val="0"/>
        <w:spacing w:before="0"/>
        <w:jc w:val="left"/>
        <w:rPr>
          <w:sz w:val="20"/>
          <w:szCs w:val="20"/>
        </w:rPr>
      </w:pPr>
      <w:r>
        <w:rPr>
          <w:sz w:val="20"/>
          <w:szCs w:val="20"/>
        </w:rPr>
        <w:separator/>
      </w:r>
    </w:p>
  </w:endnote>
  <w:endnote w:type="continuationSeparator" w:id="0">
    <w:p w:rsidR="00DB79CF" w:rsidRDefault="00DB79CF">
      <w:pPr>
        <w:autoSpaceDE w:val="0"/>
        <w:autoSpaceDN w:val="0"/>
        <w:spacing w:befor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tarSymbol">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3D" w:rsidRPr="00E3203D" w:rsidRDefault="003D593D">
    <w:pPr>
      <w:pStyle w:val="Pta"/>
      <w:jc w:val="center"/>
      <w:rPr>
        <w:sz w:val="20"/>
        <w:szCs w:val="20"/>
      </w:rPr>
    </w:pPr>
    <w:r w:rsidRPr="00E3203D">
      <w:rPr>
        <w:sz w:val="20"/>
        <w:szCs w:val="20"/>
      </w:rPr>
      <w:fldChar w:fldCharType="begin"/>
    </w:r>
    <w:r w:rsidRPr="00E3203D">
      <w:rPr>
        <w:sz w:val="20"/>
        <w:szCs w:val="20"/>
      </w:rPr>
      <w:instrText>PAGE   \* MERGEFORMAT</w:instrText>
    </w:r>
    <w:r w:rsidRPr="00E3203D">
      <w:rPr>
        <w:sz w:val="20"/>
        <w:szCs w:val="20"/>
      </w:rPr>
      <w:fldChar w:fldCharType="separate"/>
    </w:r>
    <w:r w:rsidR="003055FA">
      <w:rPr>
        <w:noProof/>
        <w:sz w:val="20"/>
        <w:szCs w:val="20"/>
      </w:rPr>
      <w:t>2</w:t>
    </w:r>
    <w:r w:rsidRPr="00E3203D">
      <w:rPr>
        <w:sz w:val="20"/>
        <w:szCs w:val="20"/>
      </w:rPr>
      <w:fldChar w:fldCharType="end"/>
    </w:r>
  </w:p>
  <w:p w:rsidR="003D593D" w:rsidRDefault="003D593D">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CF" w:rsidRDefault="00DB79CF">
      <w:pPr>
        <w:autoSpaceDE w:val="0"/>
        <w:autoSpaceDN w:val="0"/>
        <w:spacing w:before="0"/>
        <w:jc w:val="left"/>
        <w:rPr>
          <w:sz w:val="20"/>
          <w:szCs w:val="20"/>
        </w:rPr>
      </w:pPr>
      <w:r>
        <w:rPr>
          <w:sz w:val="20"/>
          <w:szCs w:val="20"/>
        </w:rPr>
        <w:separator/>
      </w:r>
    </w:p>
  </w:footnote>
  <w:footnote w:type="continuationSeparator" w:id="0">
    <w:p w:rsidR="00DB79CF" w:rsidRDefault="00DB79CF">
      <w:pPr>
        <w:autoSpaceDE w:val="0"/>
        <w:autoSpaceDN w:val="0"/>
        <w:spacing w:before="0"/>
        <w:jc w:val="left"/>
        <w:rPr>
          <w:sz w:val="20"/>
          <w:szCs w:val="20"/>
        </w:rPr>
      </w:pPr>
      <w:r>
        <w:rPr>
          <w:sz w:val="20"/>
          <w:szCs w:val="20"/>
        </w:rPr>
        <w:continuationSeparator/>
      </w:r>
    </w:p>
  </w:footnote>
  <w:footnote w:id="1">
    <w:p w:rsidR="00000000" w:rsidRDefault="00DB79CF" w:rsidP="003A506F">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2EE73A"/>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singleLevel"/>
    <w:tmpl w:val="00000001"/>
    <w:name w:val="WW8Num1"/>
    <w:lvl w:ilvl="0">
      <w:start w:val="5"/>
      <w:numFmt w:val="bullet"/>
      <w:suff w:val="nothing"/>
      <w:lvlText w:val="-"/>
      <w:lvlJc w:val="left"/>
      <w:pPr>
        <w:ind w:left="360" w:hanging="360"/>
      </w:pPr>
      <w:rPr>
        <w:rFonts w:ascii="Thorndale" w:hAnsi="Thorndale"/>
        <w:b/>
      </w:rPr>
    </w:lvl>
  </w:abstractNum>
  <w:abstractNum w:abstractNumId="2" w15:restartNumberingAfterBreak="0">
    <w:nsid w:val="00000002"/>
    <w:multiLevelType w:val="singleLevel"/>
    <w:tmpl w:val="00000002"/>
    <w:name w:val="WW8Num18"/>
    <w:lvl w:ilvl="0">
      <w:start w:val="3"/>
      <w:numFmt w:val="lowerLetter"/>
      <w:suff w:val="nothing"/>
      <w:lvlText w:val="%1)"/>
      <w:lvlJc w:val="left"/>
      <w:pPr>
        <w:ind w:left="360" w:hanging="360"/>
      </w:pPr>
      <w:rPr>
        <w:rFonts w:cs="Times New Roman"/>
      </w:rPr>
    </w:lvl>
  </w:abstractNum>
  <w:abstractNum w:abstractNumId="3"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4"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 w15:restartNumberingAfterBreak="0">
    <w:nsid w:val="00000005"/>
    <w:multiLevelType w:val="singleLevel"/>
    <w:tmpl w:val="00000005"/>
    <w:name w:val="WW8Num46"/>
    <w:lvl w:ilvl="0">
      <w:start w:val="1"/>
      <w:numFmt w:val="lowerLetter"/>
      <w:suff w:val="nothing"/>
      <w:lvlText w:val="(%1)"/>
      <w:lvlJc w:val="left"/>
      <w:pPr>
        <w:ind w:left="360" w:hanging="360"/>
      </w:pPr>
      <w:rPr>
        <w:rFonts w:cs="Times New Roman"/>
      </w:rPr>
    </w:lvl>
  </w:abstractNum>
  <w:abstractNum w:abstractNumId="6" w15:restartNumberingAfterBreak="0">
    <w:nsid w:val="00000006"/>
    <w:multiLevelType w:val="singleLevel"/>
    <w:tmpl w:val="00000006"/>
    <w:name w:val="WW8Num49"/>
    <w:lvl w:ilvl="0">
      <w:start w:val="1"/>
      <w:numFmt w:val="lowerLetter"/>
      <w:suff w:val="nothing"/>
      <w:lvlText w:val="(%1)"/>
      <w:lvlJc w:val="left"/>
      <w:pPr>
        <w:ind w:left="360" w:hanging="360"/>
      </w:pPr>
      <w:rPr>
        <w:rFonts w:cs="Times New Roman"/>
      </w:rPr>
    </w:lvl>
  </w:abstractNum>
  <w:abstractNum w:abstractNumId="7" w15:restartNumberingAfterBreak="0">
    <w:nsid w:val="00000007"/>
    <w:multiLevelType w:val="singleLevel"/>
    <w:tmpl w:val="00000007"/>
    <w:name w:val="WW8Num52"/>
    <w:lvl w:ilvl="0">
      <w:start w:val="1"/>
      <w:numFmt w:val="lowerLetter"/>
      <w:suff w:val="nothing"/>
      <w:lvlText w:val="%1)"/>
      <w:lvlJc w:val="left"/>
      <w:pPr>
        <w:ind w:left="360" w:hanging="360"/>
      </w:pPr>
      <w:rPr>
        <w:rFonts w:cs="Times New Roman"/>
      </w:rPr>
    </w:lvl>
  </w:abstractNum>
  <w:abstractNum w:abstractNumId="8" w15:restartNumberingAfterBreak="0">
    <w:nsid w:val="00000008"/>
    <w:multiLevelType w:val="singleLevel"/>
    <w:tmpl w:val="041B0017"/>
    <w:name w:val="WW8Num53"/>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10"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000000B"/>
    <w:multiLevelType w:val="singleLevel"/>
    <w:tmpl w:val="0000000B"/>
    <w:name w:val="WW8Num64"/>
    <w:lvl w:ilvl="0">
      <w:start w:val="1"/>
      <w:numFmt w:val="lowerLetter"/>
      <w:suff w:val="nothing"/>
      <w:lvlText w:val="(%1)"/>
      <w:lvlJc w:val="left"/>
      <w:pPr>
        <w:ind w:left="360" w:hanging="360"/>
      </w:pPr>
      <w:rPr>
        <w:rFonts w:cs="Times New Roman"/>
      </w:rPr>
    </w:lvl>
  </w:abstractNum>
  <w:abstractNum w:abstractNumId="12" w15:restartNumberingAfterBreak="0">
    <w:nsid w:val="0000000C"/>
    <w:multiLevelType w:val="singleLevel"/>
    <w:tmpl w:val="0000000C"/>
    <w:name w:val="WW8Num37"/>
    <w:lvl w:ilvl="0">
      <w:start w:val="1"/>
      <w:numFmt w:val="lowerLetter"/>
      <w:suff w:val="nothing"/>
      <w:lvlText w:val="%1)"/>
      <w:lvlJc w:val="left"/>
      <w:pPr>
        <w:ind w:left="390" w:hanging="390"/>
      </w:pPr>
      <w:rPr>
        <w:rFonts w:cs="Times New Roman"/>
      </w:rPr>
    </w:lvl>
  </w:abstractNum>
  <w:abstractNum w:abstractNumId="13" w15:restartNumberingAfterBreak="0">
    <w:nsid w:val="0000000D"/>
    <w:multiLevelType w:val="singleLevel"/>
    <w:tmpl w:val="04050017"/>
    <w:name w:val="WW8Num70"/>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0F"/>
    <w:multiLevelType w:val="singleLevel"/>
    <w:tmpl w:val="0000000F"/>
    <w:name w:val="WW8Num77"/>
    <w:lvl w:ilvl="0">
      <w:start w:val="1"/>
      <w:numFmt w:val="lowerLetter"/>
      <w:suff w:val="nothing"/>
      <w:lvlText w:val="%1)"/>
      <w:lvlJc w:val="left"/>
      <w:pPr>
        <w:ind w:left="435" w:hanging="435"/>
      </w:pPr>
      <w:rPr>
        <w:rFonts w:cs="Times New Roman"/>
      </w:rPr>
    </w:lvl>
  </w:abstractNum>
  <w:abstractNum w:abstractNumId="15" w15:restartNumberingAfterBreak="0">
    <w:nsid w:val="00000010"/>
    <w:multiLevelType w:val="singleLevel"/>
    <w:tmpl w:val="00000010"/>
    <w:name w:val="WW8Num78"/>
    <w:lvl w:ilvl="0">
      <w:start w:val="1"/>
      <w:numFmt w:val="lowerLetter"/>
      <w:suff w:val="nothing"/>
      <w:lvlText w:val="(%1)"/>
      <w:lvlJc w:val="left"/>
      <w:pPr>
        <w:ind w:left="360" w:hanging="360"/>
      </w:pPr>
      <w:rPr>
        <w:rFonts w:cs="Times New Roman"/>
      </w:rPr>
    </w:lvl>
  </w:abstractNum>
  <w:abstractNum w:abstractNumId="16" w15:restartNumberingAfterBreak="0">
    <w:nsid w:val="00000011"/>
    <w:multiLevelType w:val="singleLevel"/>
    <w:tmpl w:val="00000011"/>
    <w:name w:val="WW8Num88"/>
    <w:lvl w:ilvl="0">
      <w:start w:val="2"/>
      <w:numFmt w:val="lowerLetter"/>
      <w:suff w:val="nothing"/>
      <w:lvlText w:val="%1"/>
      <w:lvlJc w:val="left"/>
      <w:pPr>
        <w:ind w:left="360" w:hanging="360"/>
      </w:pPr>
      <w:rPr>
        <w:rFonts w:cs="Times New Roman"/>
      </w:rPr>
    </w:lvl>
  </w:abstractNum>
  <w:abstractNum w:abstractNumId="17" w15:restartNumberingAfterBreak="0">
    <w:nsid w:val="00000013"/>
    <w:multiLevelType w:val="singleLevel"/>
    <w:tmpl w:val="00000013"/>
    <w:name w:val="WW8Num110"/>
    <w:lvl w:ilvl="0">
      <w:start w:val="1"/>
      <w:numFmt w:val="lowerLetter"/>
      <w:suff w:val="nothing"/>
      <w:lvlText w:val="(%1)"/>
      <w:lvlJc w:val="left"/>
      <w:pPr>
        <w:ind w:left="360" w:hanging="360"/>
      </w:pPr>
      <w:rPr>
        <w:rFonts w:cs="Times New Roman"/>
      </w:rPr>
    </w:lvl>
  </w:abstractNum>
  <w:abstractNum w:abstractNumId="18" w15:restartNumberingAfterBreak="0">
    <w:nsid w:val="00000014"/>
    <w:multiLevelType w:val="singleLevel"/>
    <w:tmpl w:val="00000014"/>
    <w:name w:val="WW8Num114"/>
    <w:lvl w:ilvl="0">
      <w:start w:val="1"/>
      <w:numFmt w:val="lowerLetter"/>
      <w:suff w:val="nothing"/>
      <w:lvlText w:val="(%1)"/>
      <w:lvlJc w:val="left"/>
      <w:pPr>
        <w:ind w:left="360" w:hanging="360"/>
      </w:pPr>
      <w:rPr>
        <w:rFonts w:cs="Times New Roman"/>
      </w:rPr>
    </w:lvl>
  </w:abstractNum>
  <w:abstractNum w:abstractNumId="19" w15:restartNumberingAfterBreak="0">
    <w:nsid w:val="00000017"/>
    <w:multiLevelType w:val="singleLevel"/>
    <w:tmpl w:val="00000017"/>
    <w:name w:val="WW8Num142"/>
    <w:lvl w:ilvl="0">
      <w:start w:val="1"/>
      <w:numFmt w:val="lowerLetter"/>
      <w:suff w:val="nothing"/>
      <w:lvlText w:val="(%1)"/>
      <w:lvlJc w:val="left"/>
      <w:pPr>
        <w:ind w:left="360" w:hanging="360"/>
      </w:pPr>
      <w:rPr>
        <w:rFonts w:cs="Times New Roman"/>
      </w:rPr>
    </w:lvl>
  </w:abstractNum>
  <w:abstractNum w:abstractNumId="20" w15:restartNumberingAfterBreak="0">
    <w:nsid w:val="00000018"/>
    <w:multiLevelType w:val="singleLevel"/>
    <w:tmpl w:val="00000018"/>
    <w:name w:val="WW8Num144"/>
    <w:lvl w:ilvl="0">
      <w:start w:val="1"/>
      <w:numFmt w:val="lowerLetter"/>
      <w:suff w:val="nothing"/>
      <w:lvlText w:val="%1)"/>
      <w:lvlJc w:val="left"/>
      <w:pPr>
        <w:ind w:left="360" w:hanging="360"/>
      </w:pPr>
      <w:rPr>
        <w:rFonts w:cs="Times New Roman"/>
      </w:rPr>
    </w:lvl>
  </w:abstractNum>
  <w:abstractNum w:abstractNumId="21" w15:restartNumberingAfterBreak="0">
    <w:nsid w:val="00000019"/>
    <w:multiLevelType w:val="singleLevel"/>
    <w:tmpl w:val="00000019"/>
    <w:name w:val="WW8Num146"/>
    <w:lvl w:ilvl="0">
      <w:start w:val="1"/>
      <w:numFmt w:val="lowerLetter"/>
      <w:suff w:val="nothing"/>
      <w:lvlText w:val="(%1)"/>
      <w:lvlJc w:val="left"/>
      <w:pPr>
        <w:ind w:left="360" w:hanging="360"/>
      </w:pPr>
      <w:rPr>
        <w:rFonts w:cs="Times New Roman"/>
      </w:rPr>
    </w:lvl>
  </w:abstractNum>
  <w:abstractNum w:abstractNumId="22" w15:restartNumberingAfterBreak="0">
    <w:nsid w:val="0000001A"/>
    <w:multiLevelType w:val="singleLevel"/>
    <w:tmpl w:val="0000001A"/>
    <w:name w:val="WW8Num148"/>
    <w:lvl w:ilvl="0">
      <w:start w:val="3"/>
      <w:numFmt w:val="lowerLetter"/>
      <w:suff w:val="nothing"/>
      <w:lvlText w:val="(%1)"/>
      <w:lvlJc w:val="left"/>
      <w:pPr>
        <w:ind w:left="360" w:hanging="360"/>
      </w:pPr>
      <w:rPr>
        <w:rFonts w:cs="Times New Roman"/>
      </w:rPr>
    </w:lvl>
  </w:abstractNum>
  <w:abstractNum w:abstractNumId="23" w15:restartNumberingAfterBreak="0">
    <w:nsid w:val="0000001F"/>
    <w:multiLevelType w:val="singleLevel"/>
    <w:tmpl w:val="0000001F"/>
    <w:name w:val="WW8Num166"/>
    <w:lvl w:ilvl="0">
      <w:start w:val="1"/>
      <w:numFmt w:val="lowerLetter"/>
      <w:suff w:val="nothing"/>
      <w:lvlText w:val="(%1)"/>
      <w:lvlJc w:val="left"/>
      <w:pPr>
        <w:ind w:left="360" w:hanging="360"/>
      </w:pPr>
      <w:rPr>
        <w:rFonts w:cs="Times New Roman"/>
      </w:rPr>
    </w:lvl>
  </w:abstractNum>
  <w:abstractNum w:abstractNumId="24" w15:restartNumberingAfterBreak="0">
    <w:nsid w:val="00000020"/>
    <w:multiLevelType w:val="singleLevel"/>
    <w:tmpl w:val="00000020"/>
    <w:name w:val="WW8Num168"/>
    <w:lvl w:ilvl="0">
      <w:start w:val="1"/>
      <w:numFmt w:val="lowerLetter"/>
      <w:suff w:val="nothing"/>
      <w:lvlText w:val="%1)"/>
      <w:lvlJc w:val="left"/>
      <w:pPr>
        <w:ind w:left="360" w:hanging="360"/>
      </w:pPr>
      <w:rPr>
        <w:rFonts w:cs="Times New Roman"/>
      </w:rPr>
    </w:lvl>
  </w:abstractNum>
  <w:abstractNum w:abstractNumId="25" w15:restartNumberingAfterBreak="0">
    <w:nsid w:val="00000022"/>
    <w:multiLevelType w:val="singleLevel"/>
    <w:tmpl w:val="00000022"/>
    <w:name w:val="WW8Num172"/>
    <w:lvl w:ilvl="0">
      <w:start w:val="1"/>
      <w:numFmt w:val="lowerLetter"/>
      <w:suff w:val="nothing"/>
      <w:lvlText w:val="(%1)"/>
      <w:lvlJc w:val="left"/>
      <w:pPr>
        <w:ind w:left="360" w:hanging="360"/>
      </w:pPr>
      <w:rPr>
        <w:rFonts w:cs="Times New Roman"/>
      </w:rPr>
    </w:lvl>
  </w:abstractNum>
  <w:abstractNum w:abstractNumId="26" w15:restartNumberingAfterBreak="0">
    <w:nsid w:val="00000023"/>
    <w:multiLevelType w:val="singleLevel"/>
    <w:tmpl w:val="00000023"/>
    <w:name w:val="WW8Num178"/>
    <w:lvl w:ilvl="0">
      <w:start w:val="1"/>
      <w:numFmt w:val="lowerLetter"/>
      <w:suff w:val="nothing"/>
      <w:lvlText w:val="(%1)"/>
      <w:lvlJc w:val="left"/>
      <w:pPr>
        <w:ind w:left="360" w:hanging="360"/>
      </w:pPr>
      <w:rPr>
        <w:rFonts w:cs="Times New Roman"/>
      </w:rPr>
    </w:lvl>
  </w:abstractNum>
  <w:abstractNum w:abstractNumId="27" w15:restartNumberingAfterBreak="0">
    <w:nsid w:val="0C054883"/>
    <w:multiLevelType w:val="hybridMultilevel"/>
    <w:tmpl w:val="85D22B4E"/>
    <w:lvl w:ilvl="0" w:tplc="D3DAD73E">
      <w:start w:val="1"/>
      <w:numFmt w:val="decimal"/>
      <w:lvlText w:val="%1."/>
      <w:lvlJc w:val="left"/>
      <w:pPr>
        <w:tabs>
          <w:tab w:val="num" w:pos="720"/>
        </w:tabs>
        <w:ind w:left="720" w:hanging="607"/>
      </w:pPr>
      <w:rPr>
        <w:rFonts w:cs="Times New Roman" w:hint="default"/>
        <w:b w:val="0"/>
        <w:bCs w:val="0"/>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color w:val="auto"/>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0E57632B"/>
    <w:multiLevelType w:val="multilevel"/>
    <w:tmpl w:val="6A7EF6B2"/>
    <w:name w:val="WW8Num49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139853D5"/>
    <w:multiLevelType w:val="hybridMultilevel"/>
    <w:tmpl w:val="328469AE"/>
    <w:lvl w:ilvl="0" w:tplc="B582D42E">
      <w:start w:val="1"/>
      <w:numFmt w:val="decimal"/>
      <w:lvlText w:val="%1)"/>
      <w:lvlJc w:val="left"/>
      <w:pPr>
        <w:tabs>
          <w:tab w:val="num" w:pos="354"/>
        </w:tabs>
        <w:ind w:left="354" w:hanging="360"/>
      </w:pPr>
      <w:rPr>
        <w:rFonts w:cs="Times New Roman" w:hint="default"/>
        <w:vertAlign w:val="superscript"/>
      </w:rPr>
    </w:lvl>
    <w:lvl w:ilvl="1" w:tplc="041B0019">
      <w:start w:val="1"/>
      <w:numFmt w:val="lowerLetter"/>
      <w:lvlText w:val="%2."/>
      <w:lvlJc w:val="left"/>
      <w:pPr>
        <w:tabs>
          <w:tab w:val="num" w:pos="1074"/>
        </w:tabs>
        <w:ind w:left="1074" w:hanging="360"/>
      </w:pPr>
      <w:rPr>
        <w:rFonts w:cs="Times New Roman"/>
      </w:rPr>
    </w:lvl>
    <w:lvl w:ilvl="2" w:tplc="041B001B">
      <w:start w:val="1"/>
      <w:numFmt w:val="lowerRoman"/>
      <w:lvlText w:val="%3."/>
      <w:lvlJc w:val="right"/>
      <w:pPr>
        <w:tabs>
          <w:tab w:val="num" w:pos="1794"/>
        </w:tabs>
        <w:ind w:left="1794" w:hanging="180"/>
      </w:pPr>
      <w:rPr>
        <w:rFonts w:cs="Times New Roman"/>
      </w:rPr>
    </w:lvl>
    <w:lvl w:ilvl="3" w:tplc="041B000F">
      <w:start w:val="1"/>
      <w:numFmt w:val="decimal"/>
      <w:lvlText w:val="%4."/>
      <w:lvlJc w:val="left"/>
      <w:pPr>
        <w:tabs>
          <w:tab w:val="num" w:pos="2514"/>
        </w:tabs>
        <w:ind w:left="2514" w:hanging="360"/>
      </w:pPr>
      <w:rPr>
        <w:rFonts w:cs="Times New Roman"/>
      </w:rPr>
    </w:lvl>
    <w:lvl w:ilvl="4" w:tplc="041B0019">
      <w:start w:val="1"/>
      <w:numFmt w:val="lowerLetter"/>
      <w:lvlText w:val="%5."/>
      <w:lvlJc w:val="left"/>
      <w:pPr>
        <w:tabs>
          <w:tab w:val="num" w:pos="3234"/>
        </w:tabs>
        <w:ind w:left="3234" w:hanging="360"/>
      </w:pPr>
      <w:rPr>
        <w:rFonts w:cs="Times New Roman"/>
      </w:rPr>
    </w:lvl>
    <w:lvl w:ilvl="5" w:tplc="041B001B">
      <w:start w:val="1"/>
      <w:numFmt w:val="lowerRoman"/>
      <w:lvlText w:val="%6."/>
      <w:lvlJc w:val="right"/>
      <w:pPr>
        <w:tabs>
          <w:tab w:val="num" w:pos="3954"/>
        </w:tabs>
        <w:ind w:left="3954" w:hanging="180"/>
      </w:pPr>
      <w:rPr>
        <w:rFonts w:cs="Times New Roman"/>
      </w:rPr>
    </w:lvl>
    <w:lvl w:ilvl="6" w:tplc="041B000F">
      <w:start w:val="1"/>
      <w:numFmt w:val="decimal"/>
      <w:lvlText w:val="%7."/>
      <w:lvlJc w:val="left"/>
      <w:pPr>
        <w:tabs>
          <w:tab w:val="num" w:pos="4674"/>
        </w:tabs>
        <w:ind w:left="4674" w:hanging="360"/>
      </w:pPr>
      <w:rPr>
        <w:rFonts w:cs="Times New Roman"/>
      </w:rPr>
    </w:lvl>
    <w:lvl w:ilvl="7" w:tplc="041B0019">
      <w:start w:val="1"/>
      <w:numFmt w:val="lowerLetter"/>
      <w:lvlText w:val="%8."/>
      <w:lvlJc w:val="left"/>
      <w:pPr>
        <w:tabs>
          <w:tab w:val="num" w:pos="5394"/>
        </w:tabs>
        <w:ind w:left="5394" w:hanging="360"/>
      </w:pPr>
      <w:rPr>
        <w:rFonts w:cs="Times New Roman"/>
      </w:rPr>
    </w:lvl>
    <w:lvl w:ilvl="8" w:tplc="041B001B">
      <w:start w:val="1"/>
      <w:numFmt w:val="lowerRoman"/>
      <w:lvlText w:val="%9."/>
      <w:lvlJc w:val="right"/>
      <w:pPr>
        <w:tabs>
          <w:tab w:val="num" w:pos="6114"/>
        </w:tabs>
        <w:ind w:left="6114" w:hanging="180"/>
      </w:pPr>
      <w:rPr>
        <w:rFonts w:cs="Times New Roman"/>
      </w:rPr>
    </w:lvl>
  </w:abstractNum>
  <w:abstractNum w:abstractNumId="30" w15:restartNumberingAfterBreak="0">
    <w:nsid w:val="1DFA2DCD"/>
    <w:multiLevelType w:val="hybridMultilevel"/>
    <w:tmpl w:val="B3E286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B7F6D31"/>
    <w:multiLevelType w:val="multilevel"/>
    <w:tmpl w:val="7E726388"/>
    <w:name w:val="WW8Num65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AB0AAA"/>
    <w:multiLevelType w:val="singleLevel"/>
    <w:tmpl w:val="8B12AA2E"/>
    <w:lvl w:ilvl="0">
      <w:start w:val="2"/>
      <w:numFmt w:val="bullet"/>
      <w:lvlText w:val="-"/>
      <w:lvlJc w:val="left"/>
      <w:pPr>
        <w:tabs>
          <w:tab w:val="num" w:pos="720"/>
        </w:tabs>
        <w:ind w:left="720" w:hanging="360"/>
      </w:pPr>
    </w:lvl>
  </w:abstractNum>
  <w:abstractNum w:abstractNumId="33" w15:restartNumberingAfterBreak="0">
    <w:nsid w:val="3F52640A"/>
    <w:multiLevelType w:val="hybridMultilevel"/>
    <w:tmpl w:val="FF644196"/>
    <w:lvl w:ilvl="0" w:tplc="B90C76C4">
      <w:start w:val="1"/>
      <w:numFmt w:val="decimal"/>
      <w:lvlText w:val="%1."/>
      <w:lvlJc w:val="left"/>
      <w:pPr>
        <w:tabs>
          <w:tab w:val="num" w:pos="720"/>
        </w:tabs>
        <w:ind w:left="720" w:hanging="42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4" w15:restartNumberingAfterBreak="0">
    <w:nsid w:val="422B3566"/>
    <w:multiLevelType w:val="hybridMultilevel"/>
    <w:tmpl w:val="60A286E4"/>
    <w:lvl w:ilvl="0" w:tplc="E07ED0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92134A"/>
    <w:multiLevelType w:val="hybridMultilevel"/>
    <w:tmpl w:val="88B64EB4"/>
    <w:lvl w:ilvl="0" w:tplc="155488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7166948"/>
    <w:multiLevelType w:val="multilevel"/>
    <w:tmpl w:val="91DAF71A"/>
    <w:name w:val="WW8Num65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ED3326"/>
    <w:multiLevelType w:val="hybridMultilevel"/>
    <w:tmpl w:val="97B80A02"/>
    <w:lvl w:ilvl="0" w:tplc="041B000F">
      <w:start w:val="1"/>
      <w:numFmt w:val="decimal"/>
      <w:lvlText w:val="%1."/>
      <w:lvlJc w:val="left"/>
      <w:pPr>
        <w:tabs>
          <w:tab w:val="num" w:pos="0"/>
        </w:tabs>
        <w:ind w:firstLine="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624424"/>
    <w:multiLevelType w:val="multilevel"/>
    <w:tmpl w:val="B7F6CEC6"/>
    <w:name w:val="WW8Num6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09E2883"/>
    <w:multiLevelType w:val="multilevel"/>
    <w:tmpl w:val="B07CFB30"/>
    <w:name w:val="WW8Num6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A4159C7"/>
    <w:multiLevelType w:val="hybridMultilevel"/>
    <w:tmpl w:val="572ED4F8"/>
    <w:lvl w:ilvl="0" w:tplc="032C2680">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F6062CC"/>
    <w:multiLevelType w:val="singleLevel"/>
    <w:tmpl w:val="ED36EBD0"/>
    <w:lvl w:ilvl="0">
      <w:start w:val="50"/>
      <w:numFmt w:val="bullet"/>
      <w:lvlText w:val="-"/>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7"/>
  </w:num>
  <w:num w:numId="38">
    <w:abstractNumId w:val="27"/>
  </w:num>
  <w:num w:numId="39">
    <w:abstractNumId w:val="40"/>
  </w:num>
  <w:num w:numId="40">
    <w:abstractNumId w:val="41"/>
    <w:lvlOverride w:ilvl="0"/>
  </w:num>
  <w:num w:numId="41">
    <w:abstractNumId w:val="32"/>
    <w:lvlOverride w:ilvl="0"/>
  </w:num>
  <w:num w:numId="42">
    <w:abstractNumId w:val="33"/>
  </w:num>
  <w:num w:numId="43">
    <w:abstractNumId w:val="30"/>
  </w:num>
  <w:num w:numId="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7"/>
    <w:rsid w:val="000003AA"/>
    <w:rsid w:val="00000E02"/>
    <w:rsid w:val="00001980"/>
    <w:rsid w:val="00004F05"/>
    <w:rsid w:val="00010EC8"/>
    <w:rsid w:val="000125ED"/>
    <w:rsid w:val="00024FAD"/>
    <w:rsid w:val="00025D08"/>
    <w:rsid w:val="000370BD"/>
    <w:rsid w:val="00046FD8"/>
    <w:rsid w:val="00051C15"/>
    <w:rsid w:val="00057AC4"/>
    <w:rsid w:val="00057AC7"/>
    <w:rsid w:val="00060F83"/>
    <w:rsid w:val="000638EA"/>
    <w:rsid w:val="00070430"/>
    <w:rsid w:val="00070ADE"/>
    <w:rsid w:val="00076507"/>
    <w:rsid w:val="000778FA"/>
    <w:rsid w:val="00080FF9"/>
    <w:rsid w:val="00086BCC"/>
    <w:rsid w:val="00087D85"/>
    <w:rsid w:val="000A3DF0"/>
    <w:rsid w:val="000B091F"/>
    <w:rsid w:val="000B6F99"/>
    <w:rsid w:val="000C2515"/>
    <w:rsid w:val="000C4227"/>
    <w:rsid w:val="000C4F12"/>
    <w:rsid w:val="000C7D99"/>
    <w:rsid w:val="000E5EB2"/>
    <w:rsid w:val="000E7D33"/>
    <w:rsid w:val="000F15A0"/>
    <w:rsid w:val="000F6D90"/>
    <w:rsid w:val="0010402E"/>
    <w:rsid w:val="0010525B"/>
    <w:rsid w:val="001056C4"/>
    <w:rsid w:val="00110345"/>
    <w:rsid w:val="0011060C"/>
    <w:rsid w:val="0013104C"/>
    <w:rsid w:val="00132637"/>
    <w:rsid w:val="00132C84"/>
    <w:rsid w:val="00134B13"/>
    <w:rsid w:val="00136AA3"/>
    <w:rsid w:val="00137868"/>
    <w:rsid w:val="0014484F"/>
    <w:rsid w:val="001449F4"/>
    <w:rsid w:val="0015238C"/>
    <w:rsid w:val="00160DEE"/>
    <w:rsid w:val="001622B2"/>
    <w:rsid w:val="00165E85"/>
    <w:rsid w:val="00182EE3"/>
    <w:rsid w:val="00191F30"/>
    <w:rsid w:val="00195D7C"/>
    <w:rsid w:val="001977E6"/>
    <w:rsid w:val="001A33B9"/>
    <w:rsid w:val="001A6D0A"/>
    <w:rsid w:val="001B3D17"/>
    <w:rsid w:val="001B7FBB"/>
    <w:rsid w:val="001C3268"/>
    <w:rsid w:val="001C4509"/>
    <w:rsid w:val="001E5515"/>
    <w:rsid w:val="001E7EE0"/>
    <w:rsid w:val="001F4E2C"/>
    <w:rsid w:val="001F5557"/>
    <w:rsid w:val="00207216"/>
    <w:rsid w:val="002139C5"/>
    <w:rsid w:val="00215166"/>
    <w:rsid w:val="0022478B"/>
    <w:rsid w:val="00224B13"/>
    <w:rsid w:val="00235465"/>
    <w:rsid w:val="002407F9"/>
    <w:rsid w:val="002417E7"/>
    <w:rsid w:val="00244B43"/>
    <w:rsid w:val="00251258"/>
    <w:rsid w:val="0025274F"/>
    <w:rsid w:val="00254CCC"/>
    <w:rsid w:val="00255932"/>
    <w:rsid w:val="002655D2"/>
    <w:rsid w:val="00265AC9"/>
    <w:rsid w:val="0026602C"/>
    <w:rsid w:val="00267861"/>
    <w:rsid w:val="00271A9D"/>
    <w:rsid w:val="00275F6C"/>
    <w:rsid w:val="00282C74"/>
    <w:rsid w:val="00286EAC"/>
    <w:rsid w:val="00294589"/>
    <w:rsid w:val="002A0753"/>
    <w:rsid w:val="002A4125"/>
    <w:rsid w:val="002B0C77"/>
    <w:rsid w:val="002B2D23"/>
    <w:rsid w:val="002B5DFE"/>
    <w:rsid w:val="002B7F24"/>
    <w:rsid w:val="002C2321"/>
    <w:rsid w:val="002D2D4D"/>
    <w:rsid w:val="002E1954"/>
    <w:rsid w:val="002E551C"/>
    <w:rsid w:val="002F05C4"/>
    <w:rsid w:val="002F15FC"/>
    <w:rsid w:val="002F3159"/>
    <w:rsid w:val="0030022E"/>
    <w:rsid w:val="00303C53"/>
    <w:rsid w:val="0030421D"/>
    <w:rsid w:val="003055FA"/>
    <w:rsid w:val="00305906"/>
    <w:rsid w:val="00310ACB"/>
    <w:rsid w:val="003144D4"/>
    <w:rsid w:val="003247FF"/>
    <w:rsid w:val="00324E2B"/>
    <w:rsid w:val="0033140E"/>
    <w:rsid w:val="003336DF"/>
    <w:rsid w:val="00334B53"/>
    <w:rsid w:val="00337A90"/>
    <w:rsid w:val="00341005"/>
    <w:rsid w:val="003435A8"/>
    <w:rsid w:val="00350939"/>
    <w:rsid w:val="00356CFF"/>
    <w:rsid w:val="003645A9"/>
    <w:rsid w:val="00365434"/>
    <w:rsid w:val="003675B7"/>
    <w:rsid w:val="00372AA4"/>
    <w:rsid w:val="003754BF"/>
    <w:rsid w:val="00381F8E"/>
    <w:rsid w:val="0039048C"/>
    <w:rsid w:val="00394F12"/>
    <w:rsid w:val="003A2868"/>
    <w:rsid w:val="003A506F"/>
    <w:rsid w:val="003B1736"/>
    <w:rsid w:val="003C1325"/>
    <w:rsid w:val="003D1FCA"/>
    <w:rsid w:val="003D3C57"/>
    <w:rsid w:val="003D582D"/>
    <w:rsid w:val="003D593D"/>
    <w:rsid w:val="003F19A0"/>
    <w:rsid w:val="003F5DEC"/>
    <w:rsid w:val="00401459"/>
    <w:rsid w:val="004027AA"/>
    <w:rsid w:val="00404583"/>
    <w:rsid w:val="004050D7"/>
    <w:rsid w:val="0041071E"/>
    <w:rsid w:val="00412ACE"/>
    <w:rsid w:val="00414AA9"/>
    <w:rsid w:val="00434B45"/>
    <w:rsid w:val="004363F4"/>
    <w:rsid w:val="00444CDB"/>
    <w:rsid w:val="00446046"/>
    <w:rsid w:val="0044666D"/>
    <w:rsid w:val="00453C11"/>
    <w:rsid w:val="004546DA"/>
    <w:rsid w:val="00454F2D"/>
    <w:rsid w:val="00457A77"/>
    <w:rsid w:val="004640D2"/>
    <w:rsid w:val="00464BFA"/>
    <w:rsid w:val="004651FD"/>
    <w:rsid w:val="004658E4"/>
    <w:rsid w:val="004722A4"/>
    <w:rsid w:val="0048412A"/>
    <w:rsid w:val="00497818"/>
    <w:rsid w:val="004A69FF"/>
    <w:rsid w:val="004B21B7"/>
    <w:rsid w:val="004B37B7"/>
    <w:rsid w:val="004B5F3D"/>
    <w:rsid w:val="004B7847"/>
    <w:rsid w:val="004C0E6D"/>
    <w:rsid w:val="004D479F"/>
    <w:rsid w:val="004E0D26"/>
    <w:rsid w:val="004E26F1"/>
    <w:rsid w:val="004E69E1"/>
    <w:rsid w:val="004F2BA7"/>
    <w:rsid w:val="004F4933"/>
    <w:rsid w:val="004F68B5"/>
    <w:rsid w:val="00500CC5"/>
    <w:rsid w:val="0050577D"/>
    <w:rsid w:val="00506D52"/>
    <w:rsid w:val="00511EBC"/>
    <w:rsid w:val="00512991"/>
    <w:rsid w:val="00527079"/>
    <w:rsid w:val="005332B9"/>
    <w:rsid w:val="00534BA1"/>
    <w:rsid w:val="005354F9"/>
    <w:rsid w:val="0053656B"/>
    <w:rsid w:val="00540EE2"/>
    <w:rsid w:val="0054112E"/>
    <w:rsid w:val="00543418"/>
    <w:rsid w:val="0055311F"/>
    <w:rsid w:val="00566866"/>
    <w:rsid w:val="00567225"/>
    <w:rsid w:val="00571600"/>
    <w:rsid w:val="00574925"/>
    <w:rsid w:val="00585360"/>
    <w:rsid w:val="0059562C"/>
    <w:rsid w:val="0059596A"/>
    <w:rsid w:val="0059687F"/>
    <w:rsid w:val="00597BF7"/>
    <w:rsid w:val="005A4197"/>
    <w:rsid w:val="005A5A39"/>
    <w:rsid w:val="005B0306"/>
    <w:rsid w:val="005B1961"/>
    <w:rsid w:val="005B31EA"/>
    <w:rsid w:val="005B4551"/>
    <w:rsid w:val="005B4C2A"/>
    <w:rsid w:val="005B6A3A"/>
    <w:rsid w:val="005B716B"/>
    <w:rsid w:val="005B7D56"/>
    <w:rsid w:val="005C56CD"/>
    <w:rsid w:val="005C56EC"/>
    <w:rsid w:val="005C6DFC"/>
    <w:rsid w:val="005D38E9"/>
    <w:rsid w:val="005D3AF2"/>
    <w:rsid w:val="005D5352"/>
    <w:rsid w:val="005E4858"/>
    <w:rsid w:val="005E4A03"/>
    <w:rsid w:val="005E5C42"/>
    <w:rsid w:val="005F0B44"/>
    <w:rsid w:val="005F3BDE"/>
    <w:rsid w:val="006056A8"/>
    <w:rsid w:val="00610C8F"/>
    <w:rsid w:val="0061273B"/>
    <w:rsid w:val="00612FF8"/>
    <w:rsid w:val="00613C64"/>
    <w:rsid w:val="006240BE"/>
    <w:rsid w:val="006305DD"/>
    <w:rsid w:val="006358C7"/>
    <w:rsid w:val="00644D3C"/>
    <w:rsid w:val="0064503B"/>
    <w:rsid w:val="00660AE2"/>
    <w:rsid w:val="0066401C"/>
    <w:rsid w:val="006720A8"/>
    <w:rsid w:val="00674C41"/>
    <w:rsid w:val="00687468"/>
    <w:rsid w:val="00691159"/>
    <w:rsid w:val="00693768"/>
    <w:rsid w:val="0069510A"/>
    <w:rsid w:val="006A4281"/>
    <w:rsid w:val="006B02A2"/>
    <w:rsid w:val="006B2446"/>
    <w:rsid w:val="006B47E9"/>
    <w:rsid w:val="006B6D23"/>
    <w:rsid w:val="006C18F7"/>
    <w:rsid w:val="006D39DB"/>
    <w:rsid w:val="006D463E"/>
    <w:rsid w:val="006D542B"/>
    <w:rsid w:val="006D5A4E"/>
    <w:rsid w:val="006E3197"/>
    <w:rsid w:val="006F0EDE"/>
    <w:rsid w:val="006F24E0"/>
    <w:rsid w:val="006F2B09"/>
    <w:rsid w:val="006F4566"/>
    <w:rsid w:val="006F7B3B"/>
    <w:rsid w:val="007034F6"/>
    <w:rsid w:val="00703782"/>
    <w:rsid w:val="00703D44"/>
    <w:rsid w:val="0070763B"/>
    <w:rsid w:val="00717AD9"/>
    <w:rsid w:val="00721E72"/>
    <w:rsid w:val="0072207E"/>
    <w:rsid w:val="00723233"/>
    <w:rsid w:val="00723554"/>
    <w:rsid w:val="00723A17"/>
    <w:rsid w:val="00726756"/>
    <w:rsid w:val="00727EC9"/>
    <w:rsid w:val="0073402D"/>
    <w:rsid w:val="007371EB"/>
    <w:rsid w:val="007404F8"/>
    <w:rsid w:val="007406A0"/>
    <w:rsid w:val="00742631"/>
    <w:rsid w:val="00742CDC"/>
    <w:rsid w:val="0074584E"/>
    <w:rsid w:val="00747AB8"/>
    <w:rsid w:val="007513AF"/>
    <w:rsid w:val="0076113D"/>
    <w:rsid w:val="00762697"/>
    <w:rsid w:val="007663C3"/>
    <w:rsid w:val="007726FE"/>
    <w:rsid w:val="0077315C"/>
    <w:rsid w:val="00774F08"/>
    <w:rsid w:val="00777500"/>
    <w:rsid w:val="00777CCB"/>
    <w:rsid w:val="00780941"/>
    <w:rsid w:val="0078095D"/>
    <w:rsid w:val="007821D5"/>
    <w:rsid w:val="007A17F1"/>
    <w:rsid w:val="007A5D29"/>
    <w:rsid w:val="007A6086"/>
    <w:rsid w:val="007B0D90"/>
    <w:rsid w:val="007B2C53"/>
    <w:rsid w:val="007B3D54"/>
    <w:rsid w:val="007B5E6A"/>
    <w:rsid w:val="007C1CBC"/>
    <w:rsid w:val="007C2C90"/>
    <w:rsid w:val="007C50FD"/>
    <w:rsid w:val="007C76F8"/>
    <w:rsid w:val="007D099D"/>
    <w:rsid w:val="007E0D84"/>
    <w:rsid w:val="007E3514"/>
    <w:rsid w:val="007E493F"/>
    <w:rsid w:val="007E550B"/>
    <w:rsid w:val="007F32FE"/>
    <w:rsid w:val="007F4A3A"/>
    <w:rsid w:val="007F687C"/>
    <w:rsid w:val="008054EE"/>
    <w:rsid w:val="00812210"/>
    <w:rsid w:val="0081224B"/>
    <w:rsid w:val="008203E4"/>
    <w:rsid w:val="00831230"/>
    <w:rsid w:val="00835CC7"/>
    <w:rsid w:val="00841654"/>
    <w:rsid w:val="00843657"/>
    <w:rsid w:val="00845987"/>
    <w:rsid w:val="008547BD"/>
    <w:rsid w:val="008628CE"/>
    <w:rsid w:val="00865B68"/>
    <w:rsid w:val="00867003"/>
    <w:rsid w:val="008724F5"/>
    <w:rsid w:val="00874892"/>
    <w:rsid w:val="00877493"/>
    <w:rsid w:val="00884E82"/>
    <w:rsid w:val="00885A8C"/>
    <w:rsid w:val="00892B36"/>
    <w:rsid w:val="0089535D"/>
    <w:rsid w:val="008A0385"/>
    <w:rsid w:val="008B08C2"/>
    <w:rsid w:val="008B33E0"/>
    <w:rsid w:val="008B4630"/>
    <w:rsid w:val="008C1E20"/>
    <w:rsid w:val="008C51F8"/>
    <w:rsid w:val="008C5D07"/>
    <w:rsid w:val="008D0290"/>
    <w:rsid w:val="008D1452"/>
    <w:rsid w:val="008D2000"/>
    <w:rsid w:val="008E1F09"/>
    <w:rsid w:val="008F1B6E"/>
    <w:rsid w:val="00901D70"/>
    <w:rsid w:val="00910578"/>
    <w:rsid w:val="00914A18"/>
    <w:rsid w:val="0092303F"/>
    <w:rsid w:val="0092336E"/>
    <w:rsid w:val="0092648B"/>
    <w:rsid w:val="00926A11"/>
    <w:rsid w:val="00930E3E"/>
    <w:rsid w:val="009313EE"/>
    <w:rsid w:val="0093266C"/>
    <w:rsid w:val="00933FDA"/>
    <w:rsid w:val="009474E7"/>
    <w:rsid w:val="00947AF0"/>
    <w:rsid w:val="00947C50"/>
    <w:rsid w:val="00951F39"/>
    <w:rsid w:val="009546C7"/>
    <w:rsid w:val="00957659"/>
    <w:rsid w:val="00964A92"/>
    <w:rsid w:val="00966938"/>
    <w:rsid w:val="00967AED"/>
    <w:rsid w:val="00973402"/>
    <w:rsid w:val="00980DCC"/>
    <w:rsid w:val="0098274B"/>
    <w:rsid w:val="0098579C"/>
    <w:rsid w:val="009905A5"/>
    <w:rsid w:val="009906F1"/>
    <w:rsid w:val="00994BCE"/>
    <w:rsid w:val="00996843"/>
    <w:rsid w:val="009A37FE"/>
    <w:rsid w:val="009A3B49"/>
    <w:rsid w:val="009A53EF"/>
    <w:rsid w:val="009A6F85"/>
    <w:rsid w:val="009B42CA"/>
    <w:rsid w:val="009C6388"/>
    <w:rsid w:val="009C6983"/>
    <w:rsid w:val="009C6C14"/>
    <w:rsid w:val="009D30E4"/>
    <w:rsid w:val="009D653E"/>
    <w:rsid w:val="009D7332"/>
    <w:rsid w:val="009E14AA"/>
    <w:rsid w:val="009E40B0"/>
    <w:rsid w:val="009F3C4B"/>
    <w:rsid w:val="009F70DE"/>
    <w:rsid w:val="009F749C"/>
    <w:rsid w:val="00A007E4"/>
    <w:rsid w:val="00A02E50"/>
    <w:rsid w:val="00A10F26"/>
    <w:rsid w:val="00A11A3F"/>
    <w:rsid w:val="00A1227F"/>
    <w:rsid w:val="00A20AB2"/>
    <w:rsid w:val="00A22ED4"/>
    <w:rsid w:val="00A27017"/>
    <w:rsid w:val="00A47D54"/>
    <w:rsid w:val="00A51175"/>
    <w:rsid w:val="00A54C0A"/>
    <w:rsid w:val="00A57D95"/>
    <w:rsid w:val="00A64200"/>
    <w:rsid w:val="00A66272"/>
    <w:rsid w:val="00A6717C"/>
    <w:rsid w:val="00A70D03"/>
    <w:rsid w:val="00A70F14"/>
    <w:rsid w:val="00A732C3"/>
    <w:rsid w:val="00A806AC"/>
    <w:rsid w:val="00A81FD4"/>
    <w:rsid w:val="00A91027"/>
    <w:rsid w:val="00A956F6"/>
    <w:rsid w:val="00AA7740"/>
    <w:rsid w:val="00AB48D9"/>
    <w:rsid w:val="00AC02EA"/>
    <w:rsid w:val="00AC1AB6"/>
    <w:rsid w:val="00AC29EF"/>
    <w:rsid w:val="00AD1831"/>
    <w:rsid w:val="00AD2C6C"/>
    <w:rsid w:val="00AD433F"/>
    <w:rsid w:val="00AE1638"/>
    <w:rsid w:val="00AE3392"/>
    <w:rsid w:val="00AE413B"/>
    <w:rsid w:val="00AF005F"/>
    <w:rsid w:val="00AF0D82"/>
    <w:rsid w:val="00AF24A7"/>
    <w:rsid w:val="00AF619D"/>
    <w:rsid w:val="00B02E75"/>
    <w:rsid w:val="00B04712"/>
    <w:rsid w:val="00B04EA7"/>
    <w:rsid w:val="00B14F3C"/>
    <w:rsid w:val="00B16B7C"/>
    <w:rsid w:val="00B2335C"/>
    <w:rsid w:val="00B24797"/>
    <w:rsid w:val="00B24CFA"/>
    <w:rsid w:val="00B25789"/>
    <w:rsid w:val="00B27195"/>
    <w:rsid w:val="00B31352"/>
    <w:rsid w:val="00B33606"/>
    <w:rsid w:val="00B35122"/>
    <w:rsid w:val="00B36D9A"/>
    <w:rsid w:val="00B40A99"/>
    <w:rsid w:val="00B4413A"/>
    <w:rsid w:val="00B4511C"/>
    <w:rsid w:val="00B46A18"/>
    <w:rsid w:val="00B52DB1"/>
    <w:rsid w:val="00B55508"/>
    <w:rsid w:val="00B56E99"/>
    <w:rsid w:val="00B65B4B"/>
    <w:rsid w:val="00B708E8"/>
    <w:rsid w:val="00B70EC1"/>
    <w:rsid w:val="00B731EF"/>
    <w:rsid w:val="00B73811"/>
    <w:rsid w:val="00B751BD"/>
    <w:rsid w:val="00B756F0"/>
    <w:rsid w:val="00B76034"/>
    <w:rsid w:val="00B7689D"/>
    <w:rsid w:val="00B773E5"/>
    <w:rsid w:val="00B818D7"/>
    <w:rsid w:val="00B87659"/>
    <w:rsid w:val="00BA102B"/>
    <w:rsid w:val="00BA63A0"/>
    <w:rsid w:val="00BA7218"/>
    <w:rsid w:val="00BB1881"/>
    <w:rsid w:val="00BB4A8D"/>
    <w:rsid w:val="00BB79CC"/>
    <w:rsid w:val="00BC310F"/>
    <w:rsid w:val="00BC5CFA"/>
    <w:rsid w:val="00BD0D07"/>
    <w:rsid w:val="00BD6C90"/>
    <w:rsid w:val="00BE08A4"/>
    <w:rsid w:val="00BE57FD"/>
    <w:rsid w:val="00BF579A"/>
    <w:rsid w:val="00BF6903"/>
    <w:rsid w:val="00BF7298"/>
    <w:rsid w:val="00C04D09"/>
    <w:rsid w:val="00C05889"/>
    <w:rsid w:val="00C11742"/>
    <w:rsid w:val="00C13EA1"/>
    <w:rsid w:val="00C1418D"/>
    <w:rsid w:val="00C14489"/>
    <w:rsid w:val="00C14F51"/>
    <w:rsid w:val="00C16D87"/>
    <w:rsid w:val="00C17F76"/>
    <w:rsid w:val="00C2350F"/>
    <w:rsid w:val="00C23AFA"/>
    <w:rsid w:val="00C241E9"/>
    <w:rsid w:val="00C24F83"/>
    <w:rsid w:val="00C25643"/>
    <w:rsid w:val="00C263F2"/>
    <w:rsid w:val="00C266D7"/>
    <w:rsid w:val="00C3320F"/>
    <w:rsid w:val="00C37D65"/>
    <w:rsid w:val="00C464FC"/>
    <w:rsid w:val="00C55E60"/>
    <w:rsid w:val="00C56198"/>
    <w:rsid w:val="00C56F74"/>
    <w:rsid w:val="00C60B85"/>
    <w:rsid w:val="00C6210B"/>
    <w:rsid w:val="00C63D4C"/>
    <w:rsid w:val="00C63EAF"/>
    <w:rsid w:val="00C659F5"/>
    <w:rsid w:val="00C72C2C"/>
    <w:rsid w:val="00C734C0"/>
    <w:rsid w:val="00C73E7B"/>
    <w:rsid w:val="00C76137"/>
    <w:rsid w:val="00C77942"/>
    <w:rsid w:val="00C80F77"/>
    <w:rsid w:val="00C82470"/>
    <w:rsid w:val="00C82CB8"/>
    <w:rsid w:val="00C831D9"/>
    <w:rsid w:val="00C83F51"/>
    <w:rsid w:val="00C86537"/>
    <w:rsid w:val="00C92362"/>
    <w:rsid w:val="00C947A1"/>
    <w:rsid w:val="00C96C26"/>
    <w:rsid w:val="00CA154F"/>
    <w:rsid w:val="00CA2245"/>
    <w:rsid w:val="00CA4FC4"/>
    <w:rsid w:val="00CA5412"/>
    <w:rsid w:val="00CA5811"/>
    <w:rsid w:val="00CA63BA"/>
    <w:rsid w:val="00CB7930"/>
    <w:rsid w:val="00CC22DB"/>
    <w:rsid w:val="00CC34F5"/>
    <w:rsid w:val="00CD1DB6"/>
    <w:rsid w:val="00CD45AA"/>
    <w:rsid w:val="00CD6293"/>
    <w:rsid w:val="00CD6A45"/>
    <w:rsid w:val="00CD71DD"/>
    <w:rsid w:val="00CE2B92"/>
    <w:rsid w:val="00CE2D2F"/>
    <w:rsid w:val="00CE361F"/>
    <w:rsid w:val="00CE41AF"/>
    <w:rsid w:val="00D022CE"/>
    <w:rsid w:val="00D03D49"/>
    <w:rsid w:val="00D05AEE"/>
    <w:rsid w:val="00D10C06"/>
    <w:rsid w:val="00D12833"/>
    <w:rsid w:val="00D16EE8"/>
    <w:rsid w:val="00D208F2"/>
    <w:rsid w:val="00D2412C"/>
    <w:rsid w:val="00D25FE1"/>
    <w:rsid w:val="00D2745C"/>
    <w:rsid w:val="00D278CD"/>
    <w:rsid w:val="00D33524"/>
    <w:rsid w:val="00D371C8"/>
    <w:rsid w:val="00D372D1"/>
    <w:rsid w:val="00D37813"/>
    <w:rsid w:val="00D41E00"/>
    <w:rsid w:val="00D4337B"/>
    <w:rsid w:val="00D43FA3"/>
    <w:rsid w:val="00D47B4F"/>
    <w:rsid w:val="00D526C7"/>
    <w:rsid w:val="00D53327"/>
    <w:rsid w:val="00D557F2"/>
    <w:rsid w:val="00D55C95"/>
    <w:rsid w:val="00D7551C"/>
    <w:rsid w:val="00D9006C"/>
    <w:rsid w:val="00D91B5C"/>
    <w:rsid w:val="00DA2E9F"/>
    <w:rsid w:val="00DA5A4E"/>
    <w:rsid w:val="00DB0DE9"/>
    <w:rsid w:val="00DB4458"/>
    <w:rsid w:val="00DB79CF"/>
    <w:rsid w:val="00DB7C0E"/>
    <w:rsid w:val="00DC032A"/>
    <w:rsid w:val="00DC070F"/>
    <w:rsid w:val="00DC6018"/>
    <w:rsid w:val="00DD4487"/>
    <w:rsid w:val="00DD5135"/>
    <w:rsid w:val="00DD5591"/>
    <w:rsid w:val="00DD5B72"/>
    <w:rsid w:val="00DE00A4"/>
    <w:rsid w:val="00DE3D08"/>
    <w:rsid w:val="00DE6409"/>
    <w:rsid w:val="00DE6C3B"/>
    <w:rsid w:val="00DF03EA"/>
    <w:rsid w:val="00DF30A3"/>
    <w:rsid w:val="00DF57CE"/>
    <w:rsid w:val="00DF5D2B"/>
    <w:rsid w:val="00DF6CEB"/>
    <w:rsid w:val="00DF77B8"/>
    <w:rsid w:val="00E00DA8"/>
    <w:rsid w:val="00E0365E"/>
    <w:rsid w:val="00E05478"/>
    <w:rsid w:val="00E1035C"/>
    <w:rsid w:val="00E12E0D"/>
    <w:rsid w:val="00E1374D"/>
    <w:rsid w:val="00E1576E"/>
    <w:rsid w:val="00E174D4"/>
    <w:rsid w:val="00E205BA"/>
    <w:rsid w:val="00E21C3C"/>
    <w:rsid w:val="00E22D37"/>
    <w:rsid w:val="00E230DA"/>
    <w:rsid w:val="00E2501E"/>
    <w:rsid w:val="00E25FA3"/>
    <w:rsid w:val="00E3203D"/>
    <w:rsid w:val="00E46A5C"/>
    <w:rsid w:val="00E46C9E"/>
    <w:rsid w:val="00E65934"/>
    <w:rsid w:val="00E66D35"/>
    <w:rsid w:val="00E73CCC"/>
    <w:rsid w:val="00E764DC"/>
    <w:rsid w:val="00E7741B"/>
    <w:rsid w:val="00E8093E"/>
    <w:rsid w:val="00E80FB9"/>
    <w:rsid w:val="00E82FB6"/>
    <w:rsid w:val="00E83AD5"/>
    <w:rsid w:val="00E83B4A"/>
    <w:rsid w:val="00E85177"/>
    <w:rsid w:val="00E87090"/>
    <w:rsid w:val="00E874B1"/>
    <w:rsid w:val="00E92074"/>
    <w:rsid w:val="00E93173"/>
    <w:rsid w:val="00E96B27"/>
    <w:rsid w:val="00EA5565"/>
    <w:rsid w:val="00EA592D"/>
    <w:rsid w:val="00EC0324"/>
    <w:rsid w:val="00ED0E97"/>
    <w:rsid w:val="00ED11E5"/>
    <w:rsid w:val="00ED194C"/>
    <w:rsid w:val="00ED1E1E"/>
    <w:rsid w:val="00ED264B"/>
    <w:rsid w:val="00ED499B"/>
    <w:rsid w:val="00EE1FD0"/>
    <w:rsid w:val="00EE2DB5"/>
    <w:rsid w:val="00EE2E72"/>
    <w:rsid w:val="00EE49AC"/>
    <w:rsid w:val="00EE6188"/>
    <w:rsid w:val="00EE6694"/>
    <w:rsid w:val="00EE6AE8"/>
    <w:rsid w:val="00EF14E6"/>
    <w:rsid w:val="00EF27AD"/>
    <w:rsid w:val="00EF6637"/>
    <w:rsid w:val="00EF781F"/>
    <w:rsid w:val="00F03299"/>
    <w:rsid w:val="00F03F25"/>
    <w:rsid w:val="00F146A3"/>
    <w:rsid w:val="00F158DA"/>
    <w:rsid w:val="00F3551F"/>
    <w:rsid w:val="00F35A08"/>
    <w:rsid w:val="00F37E0D"/>
    <w:rsid w:val="00F421FE"/>
    <w:rsid w:val="00F449C7"/>
    <w:rsid w:val="00F46339"/>
    <w:rsid w:val="00F46942"/>
    <w:rsid w:val="00F47C1E"/>
    <w:rsid w:val="00F52C04"/>
    <w:rsid w:val="00F56C4C"/>
    <w:rsid w:val="00F83E2B"/>
    <w:rsid w:val="00F952CB"/>
    <w:rsid w:val="00FA0C2F"/>
    <w:rsid w:val="00FA12DE"/>
    <w:rsid w:val="00FA74D1"/>
    <w:rsid w:val="00FB0F5E"/>
    <w:rsid w:val="00FB7E9E"/>
    <w:rsid w:val="00FC24E9"/>
    <w:rsid w:val="00FC459C"/>
    <w:rsid w:val="00FD27AE"/>
    <w:rsid w:val="00FD4332"/>
    <w:rsid w:val="00FE05C8"/>
    <w:rsid w:val="00FE1828"/>
    <w:rsid w:val="00FE5E96"/>
    <w:rsid w:val="00FE607F"/>
    <w:rsid w:val="00FE6B73"/>
    <w:rsid w:val="00FF07F6"/>
    <w:rsid w:val="00FF1A14"/>
    <w:rsid w:val="00FF2628"/>
    <w:rsid w:val="00FF2F0D"/>
    <w:rsid w:val="00FF4A0E"/>
    <w:rsid w:val="00FF60EB"/>
    <w:rsid w:val="00FF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B3B0A5-84E3-4E24-B590-45550886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F3BDE"/>
    <w:pPr>
      <w:spacing w:before="120"/>
      <w:jc w:val="both"/>
    </w:pPr>
    <w:rPr>
      <w:sz w:val="24"/>
      <w:szCs w:val="24"/>
    </w:rPr>
  </w:style>
  <w:style w:type="paragraph" w:styleId="Nadpis1">
    <w:name w:val="heading 1"/>
    <w:basedOn w:val="Normlny"/>
    <w:next w:val="Normlny"/>
    <w:link w:val="Nadpis1Char"/>
    <w:uiPriority w:val="9"/>
    <w:qFormat/>
    <w:pPr>
      <w:keepNext/>
      <w:autoSpaceDE w:val="0"/>
      <w:autoSpaceDN w:val="0"/>
      <w:spacing w:before="0"/>
      <w:jc w:val="center"/>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autoSpaceDE w:val="0"/>
      <w:autoSpaceDN w:val="0"/>
      <w:jc w:val="center"/>
      <w:outlineLvl w:val="1"/>
    </w:pPr>
    <w:rPr>
      <w:rFonts w:ascii="Cambria" w:hAnsi="Cambria"/>
      <w:b/>
      <w:bCs/>
      <w:i/>
      <w:iCs/>
      <w:sz w:val="28"/>
      <w:szCs w:val="28"/>
    </w:rPr>
  </w:style>
  <w:style w:type="paragraph" w:styleId="Nadpis3">
    <w:name w:val="heading 3"/>
    <w:basedOn w:val="Normlny"/>
    <w:next w:val="Normlny"/>
    <w:link w:val="Nadpis3Char"/>
    <w:uiPriority w:val="9"/>
    <w:qFormat/>
    <w:pPr>
      <w:keepNext/>
      <w:numPr>
        <w:ilvl w:val="2"/>
        <w:numId w:val="1"/>
      </w:numPr>
      <w:tabs>
        <w:tab w:val="clear" w:pos="360"/>
        <w:tab w:val="num" w:pos="2160"/>
      </w:tabs>
      <w:suppressAutoHyphens/>
      <w:autoSpaceDE w:val="0"/>
      <w:autoSpaceDN w:val="0"/>
      <w:spacing w:before="0"/>
      <w:ind w:left="2160" w:hanging="180"/>
      <w:jc w:val="left"/>
      <w:outlineLvl w:val="2"/>
    </w:pPr>
    <w:rPr>
      <w:rFonts w:ascii="Cambria" w:hAnsi="Cambria"/>
      <w:b/>
      <w:bCs/>
      <w:sz w:val="26"/>
      <w:szCs w:val="26"/>
    </w:rPr>
  </w:style>
  <w:style w:type="paragraph" w:styleId="Nadpis4">
    <w:name w:val="heading 4"/>
    <w:basedOn w:val="Normlny"/>
    <w:next w:val="Normlny"/>
    <w:link w:val="Nadpis4Char"/>
    <w:uiPriority w:val="9"/>
    <w:qFormat/>
    <w:pPr>
      <w:keepNext/>
      <w:autoSpaceDE w:val="0"/>
      <w:autoSpaceDN w:val="0"/>
      <w:spacing w:before="0"/>
      <w:jc w:val="center"/>
      <w:outlineLvl w:val="3"/>
    </w:pPr>
    <w:rPr>
      <w:rFonts w:ascii="Calibri" w:hAnsi="Calibri"/>
      <w:b/>
      <w:bCs/>
      <w:sz w:val="28"/>
      <w:szCs w:val="28"/>
    </w:rPr>
  </w:style>
  <w:style w:type="paragraph" w:styleId="Nadpis5">
    <w:name w:val="heading 5"/>
    <w:basedOn w:val="Normlny"/>
    <w:next w:val="Normlny"/>
    <w:link w:val="Nadpis5Char"/>
    <w:uiPriority w:val="9"/>
    <w:qFormat/>
    <w:pPr>
      <w:keepNext/>
      <w:autoSpaceDE w:val="0"/>
      <w:autoSpaceDN w:val="0"/>
      <w:spacing w:before="0"/>
      <w:outlineLvl w:val="4"/>
    </w:pPr>
    <w:rPr>
      <w:rFonts w:ascii="Calibri" w:hAnsi="Calibri"/>
      <w:b/>
      <w:bCs/>
      <w:i/>
      <w:iCs/>
      <w:sz w:val="26"/>
      <w:szCs w:val="26"/>
    </w:rPr>
  </w:style>
  <w:style w:type="paragraph" w:styleId="Nadpis6">
    <w:name w:val="heading 6"/>
    <w:basedOn w:val="Normlny"/>
    <w:next w:val="Normlny"/>
    <w:link w:val="Nadpis6Char"/>
    <w:uiPriority w:val="9"/>
    <w:qFormat/>
    <w:pPr>
      <w:keepNext/>
      <w:autoSpaceDE w:val="0"/>
      <w:autoSpaceDN w:val="0"/>
      <w:spacing w:before="0"/>
      <w:jc w:val="left"/>
      <w:outlineLvl w:val="5"/>
    </w:pPr>
    <w:rPr>
      <w:rFonts w:ascii="Calibri" w:hAnsi="Calibri"/>
      <w:b/>
      <w:bCs/>
      <w:sz w:val="20"/>
      <w:szCs w:val="20"/>
    </w:rPr>
  </w:style>
  <w:style w:type="paragraph" w:styleId="Nadpis7">
    <w:name w:val="heading 7"/>
    <w:basedOn w:val="Normlny"/>
    <w:next w:val="Normlny"/>
    <w:link w:val="Nadpis7Char"/>
    <w:uiPriority w:val="9"/>
    <w:qFormat/>
    <w:pPr>
      <w:keepNext/>
      <w:autoSpaceDE w:val="0"/>
      <w:autoSpaceDN w:val="0"/>
      <w:spacing w:before="20"/>
      <w:jc w:val="left"/>
      <w:outlineLvl w:val="6"/>
    </w:pPr>
    <w:rPr>
      <w:rFonts w:ascii="Calibri" w:hAnsi="Calibri"/>
    </w:rPr>
  </w:style>
  <w:style w:type="paragraph" w:styleId="Nadpis8">
    <w:name w:val="heading 8"/>
    <w:basedOn w:val="Normlny"/>
    <w:next w:val="Normlny"/>
    <w:link w:val="Nadpis8Char"/>
    <w:uiPriority w:val="9"/>
    <w:qFormat/>
    <w:pPr>
      <w:keepNext/>
      <w:autoSpaceDE w:val="0"/>
      <w:autoSpaceDN w:val="0"/>
      <w:spacing w:before="0"/>
      <w:jc w:val="left"/>
      <w:outlineLvl w:val="7"/>
    </w:pPr>
    <w:rPr>
      <w:rFonts w:ascii="Calibri" w:hAnsi="Calibri"/>
      <w:i/>
      <w:iCs/>
    </w:rPr>
  </w:style>
  <w:style w:type="paragraph" w:styleId="Nadpis9">
    <w:name w:val="heading 9"/>
    <w:basedOn w:val="Normlny"/>
    <w:next w:val="Normlny"/>
    <w:link w:val="Nadpis9Char"/>
    <w:uiPriority w:val="9"/>
    <w:qFormat/>
    <w:pPr>
      <w:keepNext/>
      <w:autoSpaceDE w:val="0"/>
      <w:autoSpaceDN w:val="0"/>
      <w:spacing w:before="0"/>
      <w:jc w:val="center"/>
      <w:outlineLvl w:val="8"/>
    </w:pPr>
    <w:rPr>
      <w:rFonts w:ascii="Cambria" w:hAnsi="Cambria"/>
      <w:sz w:val="20"/>
      <w:szCs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locked/>
    <w:rPr>
      <w:rFonts w:ascii="Cambria" w:hAnsi="Cambria" w:cs="Times New Roman"/>
      <w:b/>
      <w:bCs/>
      <w:sz w:val="26"/>
      <w:szCs w:val="26"/>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character" w:customStyle="1" w:styleId="Nadpis5Char">
    <w:name w:val="Nadpis 5 Char"/>
    <w:basedOn w:val="Predvolenpsmoodseku"/>
    <w:link w:val="Nadpis5"/>
    <w:uiPriority w:val="9"/>
    <w:semiHidden/>
    <w:locked/>
    <w:rPr>
      <w:rFonts w:ascii="Calibri" w:hAnsi="Calibri" w:cs="Times New Roman"/>
      <w:b/>
      <w:i/>
      <w:sz w:val="26"/>
    </w:rPr>
  </w:style>
  <w:style w:type="character" w:customStyle="1" w:styleId="Nadpis6Char">
    <w:name w:val="Nadpis 6 Char"/>
    <w:basedOn w:val="Predvolenpsmoodseku"/>
    <w:link w:val="Nadpis6"/>
    <w:uiPriority w:val="9"/>
    <w:semiHidden/>
    <w:locked/>
    <w:rPr>
      <w:rFonts w:ascii="Calibri" w:hAnsi="Calibri" w:cs="Times New Roman"/>
      <w:b/>
    </w:rPr>
  </w:style>
  <w:style w:type="character" w:customStyle="1" w:styleId="Nadpis7Char">
    <w:name w:val="Nadpis 7 Char"/>
    <w:basedOn w:val="Predvolenpsmoodseku"/>
    <w:link w:val="Nadpis7"/>
    <w:uiPriority w:val="9"/>
    <w:semiHidden/>
    <w:locked/>
    <w:rPr>
      <w:rFonts w:ascii="Calibri" w:hAnsi="Calibri" w:cs="Times New Roman"/>
      <w:sz w:val="24"/>
    </w:rPr>
  </w:style>
  <w:style w:type="character" w:customStyle="1" w:styleId="Nadpis8Char">
    <w:name w:val="Nadpis 8 Char"/>
    <w:basedOn w:val="Predvolenpsmoodseku"/>
    <w:link w:val="Nadpis8"/>
    <w:uiPriority w:val="9"/>
    <w:semiHidden/>
    <w:locked/>
    <w:rPr>
      <w:rFonts w:ascii="Calibri" w:hAnsi="Calibri" w:cs="Times New Roman"/>
      <w:i/>
      <w:sz w:val="24"/>
    </w:rPr>
  </w:style>
  <w:style w:type="character" w:customStyle="1" w:styleId="Nadpis9Char">
    <w:name w:val="Nadpis 9 Char"/>
    <w:basedOn w:val="Predvolenpsmoodseku"/>
    <w:link w:val="Nadpis9"/>
    <w:uiPriority w:val="9"/>
    <w:semiHidden/>
    <w:locked/>
    <w:rPr>
      <w:rFonts w:ascii="Cambria" w:hAnsi="Cambria" w:cs="Times New Roman"/>
    </w:rPr>
  </w:style>
  <w:style w:type="paragraph" w:styleId="Zkladntext3">
    <w:name w:val="Body Text 3"/>
    <w:basedOn w:val="Normlny"/>
    <w:link w:val="Zkladntext3Char"/>
    <w:uiPriority w:val="99"/>
    <w:pPr>
      <w:autoSpaceDE w:val="0"/>
      <w:autoSpaceDN w:val="0"/>
      <w:spacing w:before="0" w:line="240" w:lineRule="atLeast"/>
    </w:pPr>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autoSpaceDE w:val="0"/>
      <w:autoSpaceDN w:val="0"/>
      <w:spacing w:before="0"/>
      <w:jc w:val="left"/>
    </w:pPr>
  </w:style>
  <w:style w:type="character" w:customStyle="1" w:styleId="HlavikaChar">
    <w:name w:val="Hlavička Char"/>
    <w:basedOn w:val="Predvolenpsmoodseku"/>
    <w:link w:val="Hlavika"/>
    <w:uiPriority w:val="99"/>
    <w:semiHidden/>
    <w:locked/>
    <w:rPr>
      <w:rFonts w:cs="Times New Roman"/>
      <w:sz w:val="24"/>
    </w:rPr>
  </w:style>
  <w:style w:type="paragraph" w:styleId="Zkladntext2">
    <w:name w:val="Body Text 2"/>
    <w:basedOn w:val="Normlny"/>
    <w:link w:val="Zkladntext2Char"/>
    <w:uiPriority w:val="99"/>
    <w:pPr>
      <w:autoSpaceDE w:val="0"/>
      <w:autoSpaceDN w:val="0"/>
      <w:spacing w:before="0"/>
    </w:pPr>
  </w:style>
  <w:style w:type="character" w:customStyle="1" w:styleId="Zkladntext2Char">
    <w:name w:val="Základný text 2 Char"/>
    <w:basedOn w:val="Predvolenpsmoodseku"/>
    <w:link w:val="Zkladntext2"/>
    <w:uiPriority w:val="99"/>
    <w:semiHidden/>
    <w:locked/>
    <w:rPr>
      <w:rFonts w:cs="Times New Roman"/>
      <w:sz w:val="24"/>
    </w:rPr>
  </w:style>
  <w:style w:type="paragraph" w:customStyle="1" w:styleId="Normlny0">
    <w:name w:val="_Normálny"/>
    <w:basedOn w:val="Normlny"/>
    <w:uiPriority w:val="99"/>
    <w:pPr>
      <w:autoSpaceDE w:val="0"/>
      <w:autoSpaceDN w:val="0"/>
      <w:spacing w:before="0"/>
      <w:jc w:val="left"/>
    </w:pPr>
    <w:rPr>
      <w:sz w:val="20"/>
      <w:szCs w:val="20"/>
    </w:rPr>
  </w:style>
  <w:style w:type="paragraph" w:styleId="Textpoznmkypodiarou">
    <w:name w:val="footnote text"/>
    <w:basedOn w:val="Normlny"/>
    <w:link w:val="TextpoznmkypodiarouChar"/>
    <w:uiPriority w:val="99"/>
    <w:semiHidden/>
    <w:pPr>
      <w:autoSpaceDE w:val="0"/>
      <w:autoSpaceDN w:val="0"/>
      <w:spacing w:before="0"/>
      <w:jc w:val="left"/>
    </w:pPr>
    <w:rPr>
      <w:sz w:val="20"/>
      <w:szCs w:val="20"/>
    </w:rPr>
  </w:style>
  <w:style w:type="character" w:customStyle="1" w:styleId="TextpoznmkypodiarouChar">
    <w:name w:val="Text poznámky pod čiarou Char"/>
    <w:basedOn w:val="Predvolenpsmoodseku"/>
    <w:link w:val="Textpoznmkypodiarou"/>
    <w:uiPriority w:val="99"/>
    <w:locked/>
    <w:rsid w:val="00C63EAF"/>
    <w:rPr>
      <w:rFonts w:cs="Times New Roman"/>
      <w:lang w:val="sk-SK" w:eastAsia="sk-SK"/>
    </w:rPr>
  </w:style>
  <w:style w:type="paragraph" w:styleId="Odsekzoznamu">
    <w:name w:val="List Paragraph"/>
    <w:basedOn w:val="Normlny"/>
    <w:uiPriority w:val="34"/>
    <w:qFormat/>
    <w:rsid w:val="00762697"/>
    <w:pPr>
      <w:suppressAutoHyphens/>
      <w:autoSpaceDE w:val="0"/>
      <w:autoSpaceDN w:val="0"/>
      <w:spacing w:before="0"/>
      <w:ind w:left="708"/>
      <w:jc w:val="left"/>
    </w:pPr>
  </w:style>
  <w:style w:type="paragraph" w:customStyle="1" w:styleId="PARA">
    <w:name w:val="PARA"/>
    <w:basedOn w:val="Normlny"/>
    <w:next w:val="Normlny"/>
    <w:uiPriority w:val="99"/>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pPr>
    <w:rPr>
      <w:sz w:val="20"/>
      <w:szCs w:val="20"/>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Pr>
      <w:rFonts w:cs="Times New Roman"/>
    </w:rPr>
  </w:style>
  <w:style w:type="character" w:customStyle="1" w:styleId="WW-Znakyprepoznmkupodiarou">
    <w:name w:val="WW-Znaky pre poznámku pod čiarou"/>
    <w:uiPriority w:val="99"/>
    <w:rPr>
      <w:vertAlign w:val="superscript"/>
    </w:rPr>
  </w:style>
  <w:style w:type="character" w:customStyle="1" w:styleId="Znakyprepoznmkupodiarou">
    <w:name w:val="Znaky pre poznámku pod čiarou"/>
    <w:uiPriority w:val="99"/>
    <w:rPr>
      <w:vertAlign w:val="superscript"/>
    </w:rPr>
  </w:style>
  <w:style w:type="character" w:customStyle="1" w:styleId="WW8Num7z0">
    <w:name w:val="WW8Num7z0"/>
    <w:uiPriority w:val="99"/>
    <w:rPr>
      <w:rFonts w:ascii="Symbol" w:hAnsi="Symbol"/>
    </w:rPr>
  </w:style>
  <w:style w:type="character" w:customStyle="1" w:styleId="WW-Standardnpsmoodstavce">
    <w:name w:val="WW-Standardní písmo odstavce"/>
    <w:uiPriority w:val="99"/>
  </w:style>
  <w:style w:type="character" w:customStyle="1" w:styleId="WW8Num3z0">
    <w:name w:val="WW8Num3z0"/>
    <w:uiPriority w:val="99"/>
    <w:rPr>
      <w:rFonts w:ascii="Symbol" w:hAnsi="Symbol"/>
    </w:rPr>
  </w:style>
  <w:style w:type="paragraph" w:styleId="Zkladntext">
    <w:name w:val="Body Text"/>
    <w:basedOn w:val="Normlny"/>
    <w:link w:val="ZkladntextChar"/>
    <w:uiPriority w:val="99"/>
    <w:pPr>
      <w:suppressAutoHyphens/>
      <w:autoSpaceDE w:val="0"/>
      <w:autoSpaceDN w:val="0"/>
      <w:spacing w:before="0"/>
    </w:pPr>
  </w:style>
  <w:style w:type="character" w:customStyle="1" w:styleId="ZkladntextChar">
    <w:name w:val="Základný text Char"/>
    <w:basedOn w:val="Predvolenpsmoodseku"/>
    <w:link w:val="Zkladntext"/>
    <w:uiPriority w:val="99"/>
    <w:locked/>
    <w:rPr>
      <w:rFonts w:cs="Times New Roman"/>
      <w:sz w:val="24"/>
    </w:rPr>
  </w:style>
  <w:style w:type="paragraph" w:customStyle="1" w:styleId="WW-Zkladntext2">
    <w:name w:val="WW-Základný text 2"/>
    <w:basedOn w:val="Normlny"/>
    <w:uiPriority w:val="99"/>
    <w:pPr>
      <w:suppressAutoHyphens/>
      <w:autoSpaceDE w:val="0"/>
      <w:autoSpaceDN w:val="0"/>
      <w:spacing w:before="0"/>
      <w:jc w:val="left"/>
    </w:pPr>
    <w:rPr>
      <w:sz w:val="20"/>
      <w:szCs w:val="20"/>
    </w:rPr>
  </w:style>
  <w:style w:type="paragraph" w:customStyle="1" w:styleId="WW-Obyajntext">
    <w:name w:val="WW-Obyčajný text"/>
    <w:basedOn w:val="Normlny"/>
    <w:uiPriority w:val="99"/>
    <w:pPr>
      <w:suppressAutoHyphens/>
      <w:autoSpaceDE w:val="0"/>
      <w:autoSpaceDN w:val="0"/>
      <w:spacing w:before="0"/>
    </w:pPr>
    <w:rPr>
      <w:rFonts w:ascii="Courier New" w:hAnsi="Courier New" w:cs="Courier New"/>
      <w:sz w:val="20"/>
      <w:szCs w:val="20"/>
    </w:rPr>
  </w:style>
  <w:style w:type="paragraph" w:customStyle="1" w:styleId="WW-Zkladntext3">
    <w:name w:val="WW-Základný text 3"/>
    <w:basedOn w:val="Normlny"/>
    <w:uiPriority w:val="99"/>
    <w:pPr>
      <w:suppressAutoHyphens/>
      <w:autoSpaceDE w:val="0"/>
      <w:autoSpaceDN w:val="0"/>
      <w:spacing w:before="0"/>
    </w:pPr>
  </w:style>
  <w:style w:type="character" w:customStyle="1" w:styleId="WW8Num25z0">
    <w:name w:val="WW8Num25z0"/>
    <w:uiPriority w:val="99"/>
  </w:style>
  <w:style w:type="character" w:customStyle="1" w:styleId="WW8Num27z0">
    <w:name w:val="WW8Num27z0"/>
    <w:uiPriority w:val="99"/>
    <w:rPr>
      <w:rFonts w:ascii="Symbol" w:hAnsi="Symbol"/>
    </w:rPr>
  </w:style>
  <w:style w:type="character" w:customStyle="1" w:styleId="WW8Num29z0">
    <w:name w:val="WW8Num29z0"/>
    <w:uiPriority w:val="99"/>
    <w:rPr>
      <w:rFonts w:ascii="Symbol" w:hAnsi="Symbol"/>
    </w:rPr>
  </w:style>
  <w:style w:type="character" w:customStyle="1" w:styleId="WW8Num35z0">
    <w:name w:val="WW8Num35z0"/>
    <w:uiPriority w:val="99"/>
    <w:rPr>
      <w:rFonts w:ascii="Symbol" w:hAnsi="Symbol"/>
    </w:rPr>
  </w:style>
  <w:style w:type="paragraph" w:styleId="Zarkazkladnhotextu2">
    <w:name w:val="Body Text Indent 2"/>
    <w:basedOn w:val="Normlny"/>
    <w:link w:val="Zarkazkladnhotextu2Char"/>
    <w:uiPriority w:val="99"/>
    <w:pPr>
      <w:autoSpaceDE w:val="0"/>
      <w:autoSpaceDN w:val="0"/>
      <w:spacing w:before="0"/>
      <w:ind w:firstLine="360"/>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Obyajntext">
    <w:name w:val="Plain Text"/>
    <w:basedOn w:val="Normlny"/>
    <w:link w:val="ObyajntextChar"/>
    <w:uiPriority w:val="99"/>
    <w:pPr>
      <w:autoSpaceDE w:val="0"/>
      <w:autoSpaceDN w:val="0"/>
      <w:spacing w:before="0"/>
    </w:pPr>
    <w:rPr>
      <w:rFonts w:ascii="Courier New" w:hAnsi="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Times New Roman"/>
      <w:sz w:val="20"/>
    </w:rPr>
  </w:style>
  <w:style w:type="paragraph" w:customStyle="1" w:styleId="FR1">
    <w:name w:val="FR1"/>
    <w:uiPriority w:val="99"/>
    <w:pPr>
      <w:widowControl w:val="0"/>
      <w:autoSpaceDE w:val="0"/>
      <w:autoSpaceDN w:val="0"/>
      <w:spacing w:before="60"/>
    </w:pPr>
    <w:rPr>
      <w:rFonts w:ascii="Arial" w:hAnsi="Arial" w:cs="Arial"/>
      <w:i/>
      <w:iCs/>
      <w:sz w:val="16"/>
      <w:szCs w:val="16"/>
    </w:rPr>
  </w:style>
  <w:style w:type="paragraph" w:styleId="Zarkazkladnhotextu3">
    <w:name w:val="Body Text Indent 3"/>
    <w:basedOn w:val="Normlny"/>
    <w:link w:val="Zarkazkladnhotextu3Char"/>
    <w:uiPriority w:val="99"/>
    <w:pPr>
      <w:autoSpaceDE w:val="0"/>
      <w:autoSpaceDN w:val="0"/>
      <w:spacing w:before="0" w:after="120"/>
      <w:ind w:left="283"/>
      <w:jc w:val="left"/>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Oznaitext">
    <w:name w:val="Block Text"/>
    <w:basedOn w:val="Normlny"/>
    <w:uiPriority w:val="99"/>
    <w:pPr>
      <w:autoSpaceDE w:val="0"/>
      <w:autoSpaceDN w:val="0"/>
      <w:spacing w:before="0"/>
      <w:ind w:left="113" w:right="113"/>
      <w:jc w:val="center"/>
    </w:pPr>
    <w:rPr>
      <w:b/>
      <w:bCs/>
      <w:sz w:val="20"/>
      <w:szCs w:val="20"/>
    </w:rPr>
  </w:style>
  <w:style w:type="character" w:customStyle="1" w:styleId="WW8Num25z3">
    <w:name w:val="WW8Num25z3"/>
    <w:uiPriority w:val="99"/>
    <w:rPr>
      <w:rFonts w:ascii="Symbol" w:hAnsi="Symbol"/>
    </w:rPr>
  </w:style>
  <w:style w:type="paragraph" w:styleId="Spiatonadresanaoblke">
    <w:name w:val="envelope return"/>
    <w:basedOn w:val="Normlny"/>
    <w:uiPriority w:val="99"/>
    <w:pPr>
      <w:suppressAutoHyphens/>
      <w:autoSpaceDE w:val="0"/>
      <w:autoSpaceDN w:val="0"/>
      <w:spacing w:after="120"/>
    </w:pPr>
  </w:style>
  <w:style w:type="paragraph" w:styleId="slovanzoznam">
    <w:name w:val="List Number"/>
    <w:basedOn w:val="Normlny"/>
    <w:uiPriority w:val="99"/>
    <w:rsid w:val="00B04EA7"/>
    <w:pPr>
      <w:suppressAutoHyphens/>
      <w:autoSpaceDE w:val="0"/>
      <w:autoSpaceDN w:val="0"/>
      <w:spacing w:before="0"/>
      <w:jc w:val="left"/>
    </w:pPr>
  </w:style>
  <w:style w:type="paragraph" w:customStyle="1" w:styleId="Paragraf">
    <w:name w:val="Paragraf"/>
    <w:basedOn w:val="slovanzoznam"/>
    <w:next w:val="slovanzoznam"/>
    <w:uiPriority w:val="99"/>
    <w:rsid w:val="00E1374D"/>
    <w:pPr>
      <w:jc w:val="center"/>
    </w:pPr>
  </w:style>
  <w:style w:type="paragraph" w:styleId="Textbubliny">
    <w:name w:val="Balloon Text"/>
    <w:basedOn w:val="Normlny"/>
    <w:link w:val="TextbublinyChar"/>
    <w:uiPriority w:val="99"/>
    <w:semiHidden/>
    <w:unhideWhenUsed/>
    <w:rsid w:val="00132C84"/>
    <w:pPr>
      <w:autoSpaceDE w:val="0"/>
      <w:autoSpaceDN w:val="0"/>
      <w:spacing w:before="0"/>
      <w:jc w:val="left"/>
    </w:pPr>
    <w:rPr>
      <w:rFonts w:ascii="Tahoma" w:hAnsi="Tahoma"/>
      <w:sz w:val="16"/>
      <w:szCs w:val="16"/>
    </w:rPr>
  </w:style>
  <w:style w:type="character" w:customStyle="1" w:styleId="TextbublinyChar">
    <w:name w:val="Text bubliny Char"/>
    <w:basedOn w:val="Predvolenpsmoodseku"/>
    <w:link w:val="Textbubliny"/>
    <w:uiPriority w:val="99"/>
    <w:semiHidden/>
    <w:locked/>
    <w:rsid w:val="00132C84"/>
    <w:rPr>
      <w:rFonts w:ascii="Tahoma" w:hAnsi="Tahoma" w:cs="Times New Roman"/>
      <w:sz w:val="16"/>
    </w:rPr>
  </w:style>
  <w:style w:type="character" w:styleId="Hypertextovprepojenie">
    <w:name w:val="Hyperlink"/>
    <w:basedOn w:val="Predvolenpsmoodseku"/>
    <w:uiPriority w:val="99"/>
    <w:unhideWhenUsed/>
    <w:rsid w:val="00FF60EB"/>
    <w:rPr>
      <w:rFonts w:cs="Times New Roman"/>
      <w:color w:val="0000FF"/>
      <w:u w:val="single"/>
    </w:rPr>
  </w:style>
  <w:style w:type="character" w:customStyle="1" w:styleId="super">
    <w:name w:val="super"/>
    <w:rsid w:val="00C14489"/>
    <w:rPr>
      <w:rFonts w:ascii="inherit" w:hAnsi="inherit"/>
      <w:sz w:val="17"/>
      <w:vertAlign w:val="superscript"/>
    </w:rPr>
  </w:style>
  <w:style w:type="paragraph" w:customStyle="1" w:styleId="tbl-hdr">
    <w:name w:val="tbl-hdr"/>
    <w:basedOn w:val="Normlny"/>
    <w:rsid w:val="00412ACE"/>
    <w:pPr>
      <w:spacing w:before="60" w:after="60"/>
      <w:ind w:right="195"/>
      <w:jc w:val="center"/>
    </w:pPr>
    <w:rPr>
      <w:rFonts w:ascii="inherit" w:hAnsi="inherit"/>
      <w:b/>
      <w:bCs/>
      <w:sz w:val="22"/>
      <w:szCs w:val="22"/>
    </w:rPr>
  </w:style>
  <w:style w:type="paragraph" w:customStyle="1" w:styleId="tbl-txt">
    <w:name w:val="tbl-txt"/>
    <w:basedOn w:val="Normlny"/>
    <w:rsid w:val="00412ACE"/>
    <w:pPr>
      <w:spacing w:before="60" w:after="60"/>
      <w:jc w:val="left"/>
    </w:pPr>
    <w:rPr>
      <w:rFonts w:ascii="inherit" w:hAnsi="inherit"/>
      <w:sz w:val="22"/>
      <w:szCs w:val="22"/>
    </w:rPr>
  </w:style>
  <w:style w:type="paragraph" w:customStyle="1" w:styleId="ti-tbl">
    <w:name w:val="ti-tbl"/>
    <w:basedOn w:val="Normlny"/>
    <w:rsid w:val="00412ACE"/>
    <w:pPr>
      <w:spacing w:after="120"/>
      <w:jc w:val="center"/>
    </w:pPr>
    <w:rPr>
      <w:rFonts w:ascii="inherit" w:hAnsi="inherit"/>
    </w:rPr>
  </w:style>
  <w:style w:type="character" w:customStyle="1" w:styleId="bold">
    <w:name w:val="bold"/>
    <w:rsid w:val="00412ACE"/>
    <w:rPr>
      <w:rFonts w:ascii="inherit" w:hAnsi="inherit"/>
      <w:b/>
    </w:rPr>
  </w:style>
  <w:style w:type="character" w:customStyle="1" w:styleId="italic">
    <w:name w:val="italic"/>
    <w:rsid w:val="00412ACE"/>
    <w:rPr>
      <w:rFonts w:ascii="inherit" w:hAnsi="inherit"/>
      <w:i/>
    </w:rPr>
  </w:style>
  <w:style w:type="paragraph" w:customStyle="1" w:styleId="tbl-num">
    <w:name w:val="tbl-num"/>
    <w:basedOn w:val="Normlny"/>
    <w:rsid w:val="0050577D"/>
    <w:pPr>
      <w:spacing w:before="60" w:after="60"/>
      <w:ind w:right="195"/>
      <w:jc w:val="right"/>
    </w:pPr>
    <w:rPr>
      <w:rFonts w:ascii="inherit" w:hAnsi="inherit"/>
      <w:sz w:val="22"/>
      <w:szCs w:val="22"/>
    </w:rPr>
  </w:style>
  <w:style w:type="character" w:customStyle="1" w:styleId="sub">
    <w:name w:val="sub"/>
    <w:rsid w:val="0050577D"/>
    <w:rPr>
      <w:rFonts w:ascii="inherit" w:hAnsi="inherit"/>
      <w:sz w:val="17"/>
      <w:vertAlign w:val="subscript"/>
    </w:rPr>
  </w:style>
  <w:style w:type="paragraph" w:styleId="Zarkazkladnhotextu">
    <w:name w:val="Body Text Indent"/>
    <w:basedOn w:val="Normlny"/>
    <w:link w:val="ZarkazkladnhotextuChar"/>
    <w:uiPriority w:val="99"/>
    <w:semiHidden/>
    <w:unhideWhenUsed/>
    <w:rsid w:val="00964A92"/>
    <w:pPr>
      <w:autoSpaceDE w:val="0"/>
      <w:autoSpaceDN w:val="0"/>
      <w:spacing w:before="0" w:after="120"/>
      <w:ind w:left="283"/>
      <w:jc w:val="left"/>
    </w:pPr>
  </w:style>
  <w:style w:type="character" w:customStyle="1" w:styleId="ZarkazkladnhotextuChar">
    <w:name w:val="Zarážka základného textu Char"/>
    <w:basedOn w:val="Predvolenpsmoodseku"/>
    <w:link w:val="Zarkazkladnhotextu"/>
    <w:uiPriority w:val="99"/>
    <w:semiHidden/>
    <w:locked/>
    <w:rsid w:val="00964A92"/>
    <w:rPr>
      <w:rFonts w:cs="Times New Roman"/>
      <w:sz w:val="24"/>
    </w:rPr>
  </w:style>
  <w:style w:type="paragraph" w:styleId="Nzov">
    <w:name w:val="Title"/>
    <w:basedOn w:val="Normlny"/>
    <w:next w:val="Podtitul"/>
    <w:link w:val="NzovChar"/>
    <w:uiPriority w:val="99"/>
    <w:qFormat/>
    <w:rsid w:val="00FB7E9E"/>
    <w:pPr>
      <w:widowControl w:val="0"/>
      <w:suppressAutoHyphens/>
      <w:autoSpaceDE w:val="0"/>
      <w:autoSpaceDN w:val="0"/>
      <w:spacing w:before="0"/>
      <w:jc w:val="center"/>
    </w:pPr>
    <w:rPr>
      <w:b/>
      <w:bCs/>
      <w:lang w:val="cs-CZ"/>
    </w:rPr>
  </w:style>
  <w:style w:type="character" w:customStyle="1" w:styleId="NzovChar">
    <w:name w:val="Názov Char"/>
    <w:basedOn w:val="Predvolenpsmoodseku"/>
    <w:link w:val="Nzov"/>
    <w:uiPriority w:val="99"/>
    <w:locked/>
    <w:rsid w:val="00FB7E9E"/>
    <w:rPr>
      <w:rFonts w:cs="Times New Roman"/>
      <w:b/>
      <w:bCs/>
      <w:sz w:val="24"/>
      <w:szCs w:val="24"/>
      <w:lang w:val="cs-CZ" w:eastAsia="x-none"/>
    </w:rPr>
  </w:style>
  <w:style w:type="paragraph" w:styleId="Podtitul">
    <w:name w:val="Subtitle"/>
    <w:basedOn w:val="Normlny"/>
    <w:next w:val="Normlny"/>
    <w:link w:val="PodtitulChar"/>
    <w:uiPriority w:val="11"/>
    <w:qFormat/>
    <w:rsid w:val="00FB7E9E"/>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FB7E9E"/>
    <w:rPr>
      <w:rFonts w:asciiTheme="majorHAnsi" w:eastAsiaTheme="majorEastAsia" w:hAnsiTheme="majorHAnsi" w:cs="Times New Roman"/>
      <w:sz w:val="24"/>
      <w:szCs w:val="24"/>
    </w:rPr>
  </w:style>
  <w:style w:type="paragraph" w:styleId="Textvysvetlivky">
    <w:name w:val="endnote text"/>
    <w:basedOn w:val="Normlny"/>
    <w:link w:val="TextvysvetlivkyChar"/>
    <w:uiPriority w:val="99"/>
    <w:rsid w:val="00FB7E9E"/>
    <w:pPr>
      <w:suppressAutoHyphens/>
      <w:autoSpaceDE w:val="0"/>
      <w:autoSpaceDN w:val="0"/>
      <w:spacing w:before="0"/>
      <w:jc w:val="left"/>
    </w:pPr>
    <w:rPr>
      <w:sz w:val="20"/>
      <w:szCs w:val="20"/>
    </w:rPr>
  </w:style>
  <w:style w:type="character" w:customStyle="1" w:styleId="TextvysvetlivkyChar">
    <w:name w:val="Text vysvetlivky Char"/>
    <w:basedOn w:val="Predvolenpsmoodseku"/>
    <w:link w:val="Textvysvetlivky"/>
    <w:uiPriority w:val="99"/>
    <w:locked/>
    <w:rsid w:val="00FB7E9E"/>
    <w:rPr>
      <w:rFonts w:cs="Times New Roman"/>
    </w:rPr>
  </w:style>
  <w:style w:type="paragraph" w:customStyle="1" w:styleId="ti-art">
    <w:name w:val="ti-art"/>
    <w:basedOn w:val="Normlny"/>
    <w:rsid w:val="00777CCB"/>
    <w:pPr>
      <w:spacing w:before="360" w:after="120"/>
      <w:jc w:val="center"/>
    </w:pPr>
    <w:rPr>
      <w:i/>
      <w:iCs/>
    </w:rPr>
  </w:style>
  <w:style w:type="paragraph" w:customStyle="1" w:styleId="sti-art">
    <w:name w:val="sti-art"/>
    <w:basedOn w:val="Normlny"/>
    <w:rsid w:val="00777CCB"/>
    <w:pPr>
      <w:spacing w:before="6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169641">
      <w:marLeft w:val="0"/>
      <w:marRight w:val="0"/>
      <w:marTop w:val="0"/>
      <w:marBottom w:val="0"/>
      <w:divBdr>
        <w:top w:val="none" w:sz="0" w:space="0" w:color="auto"/>
        <w:left w:val="none" w:sz="0" w:space="0" w:color="auto"/>
        <w:bottom w:val="none" w:sz="0" w:space="0" w:color="auto"/>
        <w:right w:val="none" w:sz="0" w:space="0" w:color="auto"/>
      </w:divBdr>
    </w:div>
    <w:div w:id="2082169643">
      <w:marLeft w:val="390"/>
      <w:marRight w:val="390"/>
      <w:marTop w:val="0"/>
      <w:marBottom w:val="0"/>
      <w:divBdr>
        <w:top w:val="none" w:sz="0" w:space="0" w:color="auto"/>
        <w:left w:val="none" w:sz="0" w:space="0" w:color="auto"/>
        <w:bottom w:val="none" w:sz="0" w:space="0" w:color="auto"/>
        <w:right w:val="none" w:sz="0" w:space="0" w:color="auto"/>
      </w:divBdr>
      <w:divsChild>
        <w:div w:id="2082169672">
          <w:marLeft w:val="0"/>
          <w:marRight w:val="0"/>
          <w:marTop w:val="0"/>
          <w:marBottom w:val="0"/>
          <w:divBdr>
            <w:top w:val="none" w:sz="0" w:space="0" w:color="auto"/>
            <w:left w:val="none" w:sz="0" w:space="0" w:color="auto"/>
            <w:bottom w:val="none" w:sz="0" w:space="0" w:color="auto"/>
            <w:right w:val="none" w:sz="0" w:space="0" w:color="auto"/>
          </w:divBdr>
        </w:div>
      </w:divsChild>
    </w:div>
    <w:div w:id="2082169645">
      <w:marLeft w:val="390"/>
      <w:marRight w:val="390"/>
      <w:marTop w:val="0"/>
      <w:marBottom w:val="0"/>
      <w:divBdr>
        <w:top w:val="none" w:sz="0" w:space="0" w:color="auto"/>
        <w:left w:val="none" w:sz="0" w:space="0" w:color="auto"/>
        <w:bottom w:val="none" w:sz="0" w:space="0" w:color="auto"/>
        <w:right w:val="none" w:sz="0" w:space="0" w:color="auto"/>
      </w:divBdr>
      <w:divsChild>
        <w:div w:id="2082169750">
          <w:marLeft w:val="0"/>
          <w:marRight w:val="0"/>
          <w:marTop w:val="0"/>
          <w:marBottom w:val="0"/>
          <w:divBdr>
            <w:top w:val="none" w:sz="0" w:space="0" w:color="auto"/>
            <w:left w:val="none" w:sz="0" w:space="0" w:color="auto"/>
            <w:bottom w:val="none" w:sz="0" w:space="0" w:color="auto"/>
            <w:right w:val="none" w:sz="0" w:space="0" w:color="auto"/>
          </w:divBdr>
        </w:div>
      </w:divsChild>
    </w:div>
    <w:div w:id="2082169647">
      <w:marLeft w:val="390"/>
      <w:marRight w:val="390"/>
      <w:marTop w:val="0"/>
      <w:marBottom w:val="0"/>
      <w:divBdr>
        <w:top w:val="none" w:sz="0" w:space="0" w:color="auto"/>
        <w:left w:val="none" w:sz="0" w:space="0" w:color="auto"/>
        <w:bottom w:val="none" w:sz="0" w:space="0" w:color="auto"/>
        <w:right w:val="none" w:sz="0" w:space="0" w:color="auto"/>
      </w:divBdr>
      <w:divsChild>
        <w:div w:id="2082169729">
          <w:marLeft w:val="0"/>
          <w:marRight w:val="0"/>
          <w:marTop w:val="0"/>
          <w:marBottom w:val="0"/>
          <w:divBdr>
            <w:top w:val="none" w:sz="0" w:space="0" w:color="auto"/>
            <w:left w:val="none" w:sz="0" w:space="0" w:color="auto"/>
            <w:bottom w:val="none" w:sz="0" w:space="0" w:color="auto"/>
            <w:right w:val="none" w:sz="0" w:space="0" w:color="auto"/>
          </w:divBdr>
        </w:div>
      </w:divsChild>
    </w:div>
    <w:div w:id="2082169648">
      <w:marLeft w:val="390"/>
      <w:marRight w:val="390"/>
      <w:marTop w:val="0"/>
      <w:marBottom w:val="0"/>
      <w:divBdr>
        <w:top w:val="none" w:sz="0" w:space="0" w:color="auto"/>
        <w:left w:val="none" w:sz="0" w:space="0" w:color="auto"/>
        <w:bottom w:val="none" w:sz="0" w:space="0" w:color="auto"/>
        <w:right w:val="none" w:sz="0" w:space="0" w:color="auto"/>
      </w:divBdr>
      <w:divsChild>
        <w:div w:id="2082169733">
          <w:marLeft w:val="0"/>
          <w:marRight w:val="0"/>
          <w:marTop w:val="0"/>
          <w:marBottom w:val="0"/>
          <w:divBdr>
            <w:top w:val="none" w:sz="0" w:space="0" w:color="auto"/>
            <w:left w:val="none" w:sz="0" w:space="0" w:color="auto"/>
            <w:bottom w:val="none" w:sz="0" w:space="0" w:color="auto"/>
            <w:right w:val="none" w:sz="0" w:space="0" w:color="auto"/>
          </w:divBdr>
        </w:div>
      </w:divsChild>
    </w:div>
    <w:div w:id="2082169649">
      <w:marLeft w:val="390"/>
      <w:marRight w:val="390"/>
      <w:marTop w:val="0"/>
      <w:marBottom w:val="0"/>
      <w:divBdr>
        <w:top w:val="none" w:sz="0" w:space="0" w:color="auto"/>
        <w:left w:val="none" w:sz="0" w:space="0" w:color="auto"/>
        <w:bottom w:val="none" w:sz="0" w:space="0" w:color="auto"/>
        <w:right w:val="none" w:sz="0" w:space="0" w:color="auto"/>
      </w:divBdr>
      <w:divsChild>
        <w:div w:id="2082169686">
          <w:marLeft w:val="0"/>
          <w:marRight w:val="0"/>
          <w:marTop w:val="0"/>
          <w:marBottom w:val="0"/>
          <w:divBdr>
            <w:top w:val="none" w:sz="0" w:space="0" w:color="auto"/>
            <w:left w:val="none" w:sz="0" w:space="0" w:color="auto"/>
            <w:bottom w:val="none" w:sz="0" w:space="0" w:color="auto"/>
            <w:right w:val="none" w:sz="0" w:space="0" w:color="auto"/>
          </w:divBdr>
        </w:div>
      </w:divsChild>
    </w:div>
    <w:div w:id="2082169650">
      <w:marLeft w:val="390"/>
      <w:marRight w:val="390"/>
      <w:marTop w:val="0"/>
      <w:marBottom w:val="0"/>
      <w:divBdr>
        <w:top w:val="none" w:sz="0" w:space="0" w:color="auto"/>
        <w:left w:val="none" w:sz="0" w:space="0" w:color="auto"/>
        <w:bottom w:val="none" w:sz="0" w:space="0" w:color="auto"/>
        <w:right w:val="none" w:sz="0" w:space="0" w:color="auto"/>
      </w:divBdr>
    </w:div>
    <w:div w:id="2082169654">
      <w:marLeft w:val="390"/>
      <w:marRight w:val="390"/>
      <w:marTop w:val="0"/>
      <w:marBottom w:val="0"/>
      <w:divBdr>
        <w:top w:val="none" w:sz="0" w:space="0" w:color="auto"/>
        <w:left w:val="none" w:sz="0" w:space="0" w:color="auto"/>
        <w:bottom w:val="none" w:sz="0" w:space="0" w:color="auto"/>
        <w:right w:val="none" w:sz="0" w:space="0" w:color="auto"/>
      </w:divBdr>
    </w:div>
    <w:div w:id="2082169655">
      <w:marLeft w:val="390"/>
      <w:marRight w:val="390"/>
      <w:marTop w:val="0"/>
      <w:marBottom w:val="0"/>
      <w:divBdr>
        <w:top w:val="none" w:sz="0" w:space="0" w:color="auto"/>
        <w:left w:val="none" w:sz="0" w:space="0" w:color="auto"/>
        <w:bottom w:val="none" w:sz="0" w:space="0" w:color="auto"/>
        <w:right w:val="none" w:sz="0" w:space="0" w:color="auto"/>
      </w:divBdr>
      <w:divsChild>
        <w:div w:id="2082169692">
          <w:marLeft w:val="0"/>
          <w:marRight w:val="0"/>
          <w:marTop w:val="0"/>
          <w:marBottom w:val="0"/>
          <w:divBdr>
            <w:top w:val="none" w:sz="0" w:space="0" w:color="auto"/>
            <w:left w:val="none" w:sz="0" w:space="0" w:color="auto"/>
            <w:bottom w:val="none" w:sz="0" w:space="0" w:color="auto"/>
            <w:right w:val="none" w:sz="0" w:space="0" w:color="auto"/>
          </w:divBdr>
        </w:div>
      </w:divsChild>
    </w:div>
    <w:div w:id="2082169656">
      <w:marLeft w:val="390"/>
      <w:marRight w:val="390"/>
      <w:marTop w:val="0"/>
      <w:marBottom w:val="0"/>
      <w:divBdr>
        <w:top w:val="none" w:sz="0" w:space="0" w:color="auto"/>
        <w:left w:val="none" w:sz="0" w:space="0" w:color="auto"/>
        <w:bottom w:val="none" w:sz="0" w:space="0" w:color="auto"/>
        <w:right w:val="none" w:sz="0" w:space="0" w:color="auto"/>
      </w:divBdr>
      <w:divsChild>
        <w:div w:id="2082169746">
          <w:marLeft w:val="0"/>
          <w:marRight w:val="0"/>
          <w:marTop w:val="0"/>
          <w:marBottom w:val="0"/>
          <w:divBdr>
            <w:top w:val="none" w:sz="0" w:space="0" w:color="auto"/>
            <w:left w:val="none" w:sz="0" w:space="0" w:color="auto"/>
            <w:bottom w:val="none" w:sz="0" w:space="0" w:color="auto"/>
            <w:right w:val="none" w:sz="0" w:space="0" w:color="auto"/>
          </w:divBdr>
        </w:div>
      </w:divsChild>
    </w:div>
    <w:div w:id="2082169657">
      <w:marLeft w:val="390"/>
      <w:marRight w:val="390"/>
      <w:marTop w:val="0"/>
      <w:marBottom w:val="0"/>
      <w:divBdr>
        <w:top w:val="none" w:sz="0" w:space="0" w:color="auto"/>
        <w:left w:val="none" w:sz="0" w:space="0" w:color="auto"/>
        <w:bottom w:val="none" w:sz="0" w:space="0" w:color="auto"/>
        <w:right w:val="none" w:sz="0" w:space="0" w:color="auto"/>
      </w:divBdr>
      <w:divsChild>
        <w:div w:id="2082169688">
          <w:marLeft w:val="0"/>
          <w:marRight w:val="0"/>
          <w:marTop w:val="0"/>
          <w:marBottom w:val="0"/>
          <w:divBdr>
            <w:top w:val="none" w:sz="0" w:space="0" w:color="auto"/>
            <w:left w:val="none" w:sz="0" w:space="0" w:color="auto"/>
            <w:bottom w:val="none" w:sz="0" w:space="0" w:color="auto"/>
            <w:right w:val="none" w:sz="0" w:space="0" w:color="auto"/>
          </w:divBdr>
        </w:div>
      </w:divsChild>
    </w:div>
    <w:div w:id="2082169658">
      <w:marLeft w:val="390"/>
      <w:marRight w:val="390"/>
      <w:marTop w:val="0"/>
      <w:marBottom w:val="0"/>
      <w:divBdr>
        <w:top w:val="none" w:sz="0" w:space="0" w:color="auto"/>
        <w:left w:val="none" w:sz="0" w:space="0" w:color="auto"/>
        <w:bottom w:val="none" w:sz="0" w:space="0" w:color="auto"/>
        <w:right w:val="none" w:sz="0" w:space="0" w:color="auto"/>
      </w:divBdr>
      <w:divsChild>
        <w:div w:id="2082169652">
          <w:marLeft w:val="0"/>
          <w:marRight w:val="0"/>
          <w:marTop w:val="0"/>
          <w:marBottom w:val="0"/>
          <w:divBdr>
            <w:top w:val="none" w:sz="0" w:space="0" w:color="auto"/>
            <w:left w:val="none" w:sz="0" w:space="0" w:color="auto"/>
            <w:bottom w:val="none" w:sz="0" w:space="0" w:color="auto"/>
            <w:right w:val="none" w:sz="0" w:space="0" w:color="auto"/>
          </w:divBdr>
        </w:div>
      </w:divsChild>
    </w:div>
    <w:div w:id="2082169661">
      <w:marLeft w:val="390"/>
      <w:marRight w:val="390"/>
      <w:marTop w:val="0"/>
      <w:marBottom w:val="0"/>
      <w:divBdr>
        <w:top w:val="none" w:sz="0" w:space="0" w:color="auto"/>
        <w:left w:val="none" w:sz="0" w:space="0" w:color="auto"/>
        <w:bottom w:val="none" w:sz="0" w:space="0" w:color="auto"/>
        <w:right w:val="none" w:sz="0" w:space="0" w:color="auto"/>
      </w:divBdr>
      <w:divsChild>
        <w:div w:id="2082169680">
          <w:marLeft w:val="0"/>
          <w:marRight w:val="0"/>
          <w:marTop w:val="0"/>
          <w:marBottom w:val="0"/>
          <w:divBdr>
            <w:top w:val="none" w:sz="0" w:space="0" w:color="auto"/>
            <w:left w:val="none" w:sz="0" w:space="0" w:color="auto"/>
            <w:bottom w:val="none" w:sz="0" w:space="0" w:color="auto"/>
            <w:right w:val="none" w:sz="0" w:space="0" w:color="auto"/>
          </w:divBdr>
        </w:div>
      </w:divsChild>
    </w:div>
    <w:div w:id="2082169662">
      <w:marLeft w:val="390"/>
      <w:marRight w:val="390"/>
      <w:marTop w:val="0"/>
      <w:marBottom w:val="0"/>
      <w:divBdr>
        <w:top w:val="none" w:sz="0" w:space="0" w:color="auto"/>
        <w:left w:val="none" w:sz="0" w:space="0" w:color="auto"/>
        <w:bottom w:val="none" w:sz="0" w:space="0" w:color="auto"/>
        <w:right w:val="none" w:sz="0" w:space="0" w:color="auto"/>
      </w:divBdr>
      <w:divsChild>
        <w:div w:id="2082169725">
          <w:marLeft w:val="0"/>
          <w:marRight w:val="0"/>
          <w:marTop w:val="0"/>
          <w:marBottom w:val="0"/>
          <w:divBdr>
            <w:top w:val="none" w:sz="0" w:space="0" w:color="auto"/>
            <w:left w:val="none" w:sz="0" w:space="0" w:color="auto"/>
            <w:bottom w:val="none" w:sz="0" w:space="0" w:color="auto"/>
            <w:right w:val="none" w:sz="0" w:space="0" w:color="auto"/>
          </w:divBdr>
        </w:div>
      </w:divsChild>
    </w:div>
    <w:div w:id="2082169663">
      <w:marLeft w:val="390"/>
      <w:marRight w:val="390"/>
      <w:marTop w:val="0"/>
      <w:marBottom w:val="0"/>
      <w:divBdr>
        <w:top w:val="none" w:sz="0" w:space="0" w:color="auto"/>
        <w:left w:val="none" w:sz="0" w:space="0" w:color="auto"/>
        <w:bottom w:val="none" w:sz="0" w:space="0" w:color="auto"/>
        <w:right w:val="none" w:sz="0" w:space="0" w:color="auto"/>
      </w:divBdr>
    </w:div>
    <w:div w:id="2082169664">
      <w:marLeft w:val="390"/>
      <w:marRight w:val="390"/>
      <w:marTop w:val="0"/>
      <w:marBottom w:val="0"/>
      <w:divBdr>
        <w:top w:val="none" w:sz="0" w:space="0" w:color="auto"/>
        <w:left w:val="none" w:sz="0" w:space="0" w:color="auto"/>
        <w:bottom w:val="none" w:sz="0" w:space="0" w:color="auto"/>
        <w:right w:val="none" w:sz="0" w:space="0" w:color="auto"/>
      </w:divBdr>
      <w:divsChild>
        <w:div w:id="2082169677">
          <w:marLeft w:val="0"/>
          <w:marRight w:val="0"/>
          <w:marTop w:val="0"/>
          <w:marBottom w:val="0"/>
          <w:divBdr>
            <w:top w:val="none" w:sz="0" w:space="0" w:color="auto"/>
            <w:left w:val="none" w:sz="0" w:space="0" w:color="auto"/>
            <w:bottom w:val="none" w:sz="0" w:space="0" w:color="auto"/>
            <w:right w:val="none" w:sz="0" w:space="0" w:color="auto"/>
          </w:divBdr>
        </w:div>
      </w:divsChild>
    </w:div>
    <w:div w:id="2082169666">
      <w:marLeft w:val="390"/>
      <w:marRight w:val="390"/>
      <w:marTop w:val="0"/>
      <w:marBottom w:val="0"/>
      <w:divBdr>
        <w:top w:val="none" w:sz="0" w:space="0" w:color="auto"/>
        <w:left w:val="none" w:sz="0" w:space="0" w:color="auto"/>
        <w:bottom w:val="none" w:sz="0" w:space="0" w:color="auto"/>
        <w:right w:val="none" w:sz="0" w:space="0" w:color="auto"/>
      </w:divBdr>
      <w:divsChild>
        <w:div w:id="2082169687">
          <w:marLeft w:val="0"/>
          <w:marRight w:val="0"/>
          <w:marTop w:val="0"/>
          <w:marBottom w:val="0"/>
          <w:divBdr>
            <w:top w:val="none" w:sz="0" w:space="0" w:color="auto"/>
            <w:left w:val="none" w:sz="0" w:space="0" w:color="auto"/>
            <w:bottom w:val="none" w:sz="0" w:space="0" w:color="auto"/>
            <w:right w:val="none" w:sz="0" w:space="0" w:color="auto"/>
          </w:divBdr>
        </w:div>
      </w:divsChild>
    </w:div>
    <w:div w:id="2082169667">
      <w:marLeft w:val="390"/>
      <w:marRight w:val="390"/>
      <w:marTop w:val="0"/>
      <w:marBottom w:val="0"/>
      <w:divBdr>
        <w:top w:val="none" w:sz="0" w:space="0" w:color="auto"/>
        <w:left w:val="none" w:sz="0" w:space="0" w:color="auto"/>
        <w:bottom w:val="none" w:sz="0" w:space="0" w:color="auto"/>
        <w:right w:val="none" w:sz="0" w:space="0" w:color="auto"/>
      </w:divBdr>
      <w:divsChild>
        <w:div w:id="2082169668">
          <w:marLeft w:val="0"/>
          <w:marRight w:val="0"/>
          <w:marTop w:val="0"/>
          <w:marBottom w:val="0"/>
          <w:divBdr>
            <w:top w:val="none" w:sz="0" w:space="0" w:color="auto"/>
            <w:left w:val="none" w:sz="0" w:space="0" w:color="auto"/>
            <w:bottom w:val="none" w:sz="0" w:space="0" w:color="auto"/>
            <w:right w:val="none" w:sz="0" w:space="0" w:color="auto"/>
          </w:divBdr>
        </w:div>
      </w:divsChild>
    </w:div>
    <w:div w:id="2082169669">
      <w:marLeft w:val="266"/>
      <w:marRight w:val="266"/>
      <w:marTop w:val="0"/>
      <w:marBottom w:val="0"/>
      <w:divBdr>
        <w:top w:val="none" w:sz="0" w:space="0" w:color="auto"/>
        <w:left w:val="none" w:sz="0" w:space="0" w:color="auto"/>
        <w:bottom w:val="none" w:sz="0" w:space="0" w:color="auto"/>
        <w:right w:val="none" w:sz="0" w:space="0" w:color="auto"/>
      </w:divBdr>
    </w:div>
    <w:div w:id="2082169670">
      <w:marLeft w:val="390"/>
      <w:marRight w:val="390"/>
      <w:marTop w:val="0"/>
      <w:marBottom w:val="0"/>
      <w:divBdr>
        <w:top w:val="none" w:sz="0" w:space="0" w:color="auto"/>
        <w:left w:val="none" w:sz="0" w:space="0" w:color="auto"/>
        <w:bottom w:val="none" w:sz="0" w:space="0" w:color="auto"/>
        <w:right w:val="none" w:sz="0" w:space="0" w:color="auto"/>
      </w:divBdr>
      <w:divsChild>
        <w:div w:id="2082169644">
          <w:marLeft w:val="0"/>
          <w:marRight w:val="0"/>
          <w:marTop w:val="0"/>
          <w:marBottom w:val="0"/>
          <w:divBdr>
            <w:top w:val="none" w:sz="0" w:space="0" w:color="auto"/>
            <w:left w:val="none" w:sz="0" w:space="0" w:color="auto"/>
            <w:bottom w:val="none" w:sz="0" w:space="0" w:color="auto"/>
            <w:right w:val="none" w:sz="0" w:space="0" w:color="auto"/>
          </w:divBdr>
        </w:div>
      </w:divsChild>
    </w:div>
    <w:div w:id="2082169671">
      <w:marLeft w:val="390"/>
      <w:marRight w:val="390"/>
      <w:marTop w:val="0"/>
      <w:marBottom w:val="0"/>
      <w:divBdr>
        <w:top w:val="none" w:sz="0" w:space="0" w:color="auto"/>
        <w:left w:val="none" w:sz="0" w:space="0" w:color="auto"/>
        <w:bottom w:val="none" w:sz="0" w:space="0" w:color="auto"/>
        <w:right w:val="none" w:sz="0" w:space="0" w:color="auto"/>
      </w:divBdr>
      <w:divsChild>
        <w:div w:id="2082169681">
          <w:marLeft w:val="0"/>
          <w:marRight w:val="0"/>
          <w:marTop w:val="0"/>
          <w:marBottom w:val="0"/>
          <w:divBdr>
            <w:top w:val="none" w:sz="0" w:space="0" w:color="auto"/>
            <w:left w:val="none" w:sz="0" w:space="0" w:color="auto"/>
            <w:bottom w:val="none" w:sz="0" w:space="0" w:color="auto"/>
            <w:right w:val="none" w:sz="0" w:space="0" w:color="auto"/>
          </w:divBdr>
        </w:div>
      </w:divsChild>
    </w:div>
    <w:div w:id="2082169673">
      <w:marLeft w:val="390"/>
      <w:marRight w:val="390"/>
      <w:marTop w:val="0"/>
      <w:marBottom w:val="0"/>
      <w:divBdr>
        <w:top w:val="none" w:sz="0" w:space="0" w:color="auto"/>
        <w:left w:val="none" w:sz="0" w:space="0" w:color="auto"/>
        <w:bottom w:val="none" w:sz="0" w:space="0" w:color="auto"/>
        <w:right w:val="none" w:sz="0" w:space="0" w:color="auto"/>
      </w:divBdr>
      <w:divsChild>
        <w:div w:id="2082169676">
          <w:marLeft w:val="0"/>
          <w:marRight w:val="0"/>
          <w:marTop w:val="0"/>
          <w:marBottom w:val="0"/>
          <w:divBdr>
            <w:top w:val="none" w:sz="0" w:space="0" w:color="auto"/>
            <w:left w:val="none" w:sz="0" w:space="0" w:color="auto"/>
            <w:bottom w:val="none" w:sz="0" w:space="0" w:color="auto"/>
            <w:right w:val="none" w:sz="0" w:space="0" w:color="auto"/>
          </w:divBdr>
        </w:div>
      </w:divsChild>
    </w:div>
    <w:div w:id="2082169675">
      <w:marLeft w:val="390"/>
      <w:marRight w:val="390"/>
      <w:marTop w:val="0"/>
      <w:marBottom w:val="0"/>
      <w:divBdr>
        <w:top w:val="none" w:sz="0" w:space="0" w:color="auto"/>
        <w:left w:val="none" w:sz="0" w:space="0" w:color="auto"/>
        <w:bottom w:val="none" w:sz="0" w:space="0" w:color="auto"/>
        <w:right w:val="none" w:sz="0" w:space="0" w:color="auto"/>
      </w:divBdr>
      <w:divsChild>
        <w:div w:id="2082169651">
          <w:marLeft w:val="0"/>
          <w:marRight w:val="0"/>
          <w:marTop w:val="0"/>
          <w:marBottom w:val="0"/>
          <w:divBdr>
            <w:top w:val="none" w:sz="0" w:space="0" w:color="auto"/>
            <w:left w:val="none" w:sz="0" w:space="0" w:color="auto"/>
            <w:bottom w:val="none" w:sz="0" w:space="0" w:color="auto"/>
            <w:right w:val="none" w:sz="0" w:space="0" w:color="auto"/>
          </w:divBdr>
        </w:div>
      </w:divsChild>
    </w:div>
    <w:div w:id="2082169678">
      <w:marLeft w:val="390"/>
      <w:marRight w:val="390"/>
      <w:marTop w:val="0"/>
      <w:marBottom w:val="0"/>
      <w:divBdr>
        <w:top w:val="none" w:sz="0" w:space="0" w:color="auto"/>
        <w:left w:val="none" w:sz="0" w:space="0" w:color="auto"/>
        <w:bottom w:val="none" w:sz="0" w:space="0" w:color="auto"/>
        <w:right w:val="none" w:sz="0" w:space="0" w:color="auto"/>
      </w:divBdr>
      <w:divsChild>
        <w:div w:id="2082169696">
          <w:marLeft w:val="0"/>
          <w:marRight w:val="0"/>
          <w:marTop w:val="0"/>
          <w:marBottom w:val="0"/>
          <w:divBdr>
            <w:top w:val="none" w:sz="0" w:space="0" w:color="auto"/>
            <w:left w:val="none" w:sz="0" w:space="0" w:color="auto"/>
            <w:bottom w:val="none" w:sz="0" w:space="0" w:color="auto"/>
            <w:right w:val="none" w:sz="0" w:space="0" w:color="auto"/>
          </w:divBdr>
        </w:div>
      </w:divsChild>
    </w:div>
    <w:div w:id="2082169679">
      <w:marLeft w:val="390"/>
      <w:marRight w:val="390"/>
      <w:marTop w:val="0"/>
      <w:marBottom w:val="0"/>
      <w:divBdr>
        <w:top w:val="none" w:sz="0" w:space="0" w:color="auto"/>
        <w:left w:val="none" w:sz="0" w:space="0" w:color="auto"/>
        <w:bottom w:val="none" w:sz="0" w:space="0" w:color="auto"/>
        <w:right w:val="none" w:sz="0" w:space="0" w:color="auto"/>
      </w:divBdr>
      <w:divsChild>
        <w:div w:id="2082169653">
          <w:marLeft w:val="0"/>
          <w:marRight w:val="0"/>
          <w:marTop w:val="0"/>
          <w:marBottom w:val="0"/>
          <w:divBdr>
            <w:top w:val="none" w:sz="0" w:space="0" w:color="auto"/>
            <w:left w:val="none" w:sz="0" w:space="0" w:color="auto"/>
            <w:bottom w:val="none" w:sz="0" w:space="0" w:color="auto"/>
            <w:right w:val="none" w:sz="0" w:space="0" w:color="auto"/>
          </w:divBdr>
        </w:div>
      </w:divsChild>
    </w:div>
    <w:div w:id="2082169682">
      <w:marLeft w:val="266"/>
      <w:marRight w:val="266"/>
      <w:marTop w:val="0"/>
      <w:marBottom w:val="0"/>
      <w:divBdr>
        <w:top w:val="none" w:sz="0" w:space="0" w:color="auto"/>
        <w:left w:val="none" w:sz="0" w:space="0" w:color="auto"/>
        <w:bottom w:val="none" w:sz="0" w:space="0" w:color="auto"/>
        <w:right w:val="none" w:sz="0" w:space="0" w:color="auto"/>
      </w:divBdr>
    </w:div>
    <w:div w:id="2082169684">
      <w:marLeft w:val="390"/>
      <w:marRight w:val="390"/>
      <w:marTop w:val="0"/>
      <w:marBottom w:val="0"/>
      <w:divBdr>
        <w:top w:val="none" w:sz="0" w:space="0" w:color="auto"/>
        <w:left w:val="none" w:sz="0" w:space="0" w:color="auto"/>
        <w:bottom w:val="none" w:sz="0" w:space="0" w:color="auto"/>
        <w:right w:val="none" w:sz="0" w:space="0" w:color="auto"/>
      </w:divBdr>
      <w:divsChild>
        <w:div w:id="2082169738">
          <w:marLeft w:val="0"/>
          <w:marRight w:val="0"/>
          <w:marTop w:val="0"/>
          <w:marBottom w:val="0"/>
          <w:divBdr>
            <w:top w:val="none" w:sz="0" w:space="0" w:color="auto"/>
            <w:left w:val="none" w:sz="0" w:space="0" w:color="auto"/>
            <w:bottom w:val="none" w:sz="0" w:space="0" w:color="auto"/>
            <w:right w:val="none" w:sz="0" w:space="0" w:color="auto"/>
          </w:divBdr>
        </w:div>
      </w:divsChild>
    </w:div>
    <w:div w:id="2082169685">
      <w:marLeft w:val="390"/>
      <w:marRight w:val="390"/>
      <w:marTop w:val="0"/>
      <w:marBottom w:val="0"/>
      <w:divBdr>
        <w:top w:val="none" w:sz="0" w:space="0" w:color="auto"/>
        <w:left w:val="none" w:sz="0" w:space="0" w:color="auto"/>
        <w:bottom w:val="none" w:sz="0" w:space="0" w:color="auto"/>
        <w:right w:val="none" w:sz="0" w:space="0" w:color="auto"/>
      </w:divBdr>
      <w:divsChild>
        <w:div w:id="2082169683">
          <w:marLeft w:val="0"/>
          <w:marRight w:val="0"/>
          <w:marTop w:val="0"/>
          <w:marBottom w:val="0"/>
          <w:divBdr>
            <w:top w:val="none" w:sz="0" w:space="0" w:color="auto"/>
            <w:left w:val="none" w:sz="0" w:space="0" w:color="auto"/>
            <w:bottom w:val="none" w:sz="0" w:space="0" w:color="auto"/>
            <w:right w:val="none" w:sz="0" w:space="0" w:color="auto"/>
          </w:divBdr>
        </w:div>
      </w:divsChild>
    </w:div>
    <w:div w:id="2082169689">
      <w:marLeft w:val="390"/>
      <w:marRight w:val="390"/>
      <w:marTop w:val="0"/>
      <w:marBottom w:val="0"/>
      <w:divBdr>
        <w:top w:val="none" w:sz="0" w:space="0" w:color="auto"/>
        <w:left w:val="none" w:sz="0" w:space="0" w:color="auto"/>
        <w:bottom w:val="none" w:sz="0" w:space="0" w:color="auto"/>
        <w:right w:val="none" w:sz="0" w:space="0" w:color="auto"/>
      </w:divBdr>
      <w:divsChild>
        <w:div w:id="2082169674">
          <w:marLeft w:val="0"/>
          <w:marRight w:val="0"/>
          <w:marTop w:val="0"/>
          <w:marBottom w:val="0"/>
          <w:divBdr>
            <w:top w:val="none" w:sz="0" w:space="0" w:color="auto"/>
            <w:left w:val="none" w:sz="0" w:space="0" w:color="auto"/>
            <w:bottom w:val="none" w:sz="0" w:space="0" w:color="auto"/>
            <w:right w:val="none" w:sz="0" w:space="0" w:color="auto"/>
          </w:divBdr>
        </w:div>
      </w:divsChild>
    </w:div>
    <w:div w:id="2082169691">
      <w:marLeft w:val="390"/>
      <w:marRight w:val="390"/>
      <w:marTop w:val="0"/>
      <w:marBottom w:val="0"/>
      <w:divBdr>
        <w:top w:val="none" w:sz="0" w:space="0" w:color="auto"/>
        <w:left w:val="none" w:sz="0" w:space="0" w:color="auto"/>
        <w:bottom w:val="none" w:sz="0" w:space="0" w:color="auto"/>
        <w:right w:val="none" w:sz="0" w:space="0" w:color="auto"/>
      </w:divBdr>
      <w:divsChild>
        <w:div w:id="2082169728">
          <w:marLeft w:val="0"/>
          <w:marRight w:val="0"/>
          <w:marTop w:val="0"/>
          <w:marBottom w:val="0"/>
          <w:divBdr>
            <w:top w:val="none" w:sz="0" w:space="0" w:color="auto"/>
            <w:left w:val="none" w:sz="0" w:space="0" w:color="auto"/>
            <w:bottom w:val="none" w:sz="0" w:space="0" w:color="auto"/>
            <w:right w:val="none" w:sz="0" w:space="0" w:color="auto"/>
          </w:divBdr>
        </w:div>
      </w:divsChild>
    </w:div>
    <w:div w:id="2082169693">
      <w:marLeft w:val="390"/>
      <w:marRight w:val="390"/>
      <w:marTop w:val="0"/>
      <w:marBottom w:val="0"/>
      <w:divBdr>
        <w:top w:val="none" w:sz="0" w:space="0" w:color="auto"/>
        <w:left w:val="none" w:sz="0" w:space="0" w:color="auto"/>
        <w:bottom w:val="none" w:sz="0" w:space="0" w:color="auto"/>
        <w:right w:val="none" w:sz="0" w:space="0" w:color="auto"/>
      </w:divBdr>
      <w:divsChild>
        <w:div w:id="2082169695">
          <w:marLeft w:val="0"/>
          <w:marRight w:val="0"/>
          <w:marTop w:val="0"/>
          <w:marBottom w:val="0"/>
          <w:divBdr>
            <w:top w:val="none" w:sz="0" w:space="0" w:color="auto"/>
            <w:left w:val="none" w:sz="0" w:space="0" w:color="auto"/>
            <w:bottom w:val="none" w:sz="0" w:space="0" w:color="auto"/>
            <w:right w:val="none" w:sz="0" w:space="0" w:color="auto"/>
          </w:divBdr>
        </w:div>
      </w:divsChild>
    </w:div>
    <w:div w:id="2082169694">
      <w:marLeft w:val="390"/>
      <w:marRight w:val="390"/>
      <w:marTop w:val="0"/>
      <w:marBottom w:val="0"/>
      <w:divBdr>
        <w:top w:val="none" w:sz="0" w:space="0" w:color="auto"/>
        <w:left w:val="none" w:sz="0" w:space="0" w:color="auto"/>
        <w:bottom w:val="none" w:sz="0" w:space="0" w:color="auto"/>
        <w:right w:val="none" w:sz="0" w:space="0" w:color="auto"/>
      </w:divBdr>
      <w:divsChild>
        <w:div w:id="2082169748">
          <w:marLeft w:val="0"/>
          <w:marRight w:val="0"/>
          <w:marTop w:val="0"/>
          <w:marBottom w:val="0"/>
          <w:divBdr>
            <w:top w:val="none" w:sz="0" w:space="0" w:color="auto"/>
            <w:left w:val="none" w:sz="0" w:space="0" w:color="auto"/>
            <w:bottom w:val="none" w:sz="0" w:space="0" w:color="auto"/>
            <w:right w:val="none" w:sz="0" w:space="0" w:color="auto"/>
          </w:divBdr>
        </w:div>
      </w:divsChild>
    </w:div>
    <w:div w:id="2082169697">
      <w:marLeft w:val="390"/>
      <w:marRight w:val="390"/>
      <w:marTop w:val="0"/>
      <w:marBottom w:val="0"/>
      <w:divBdr>
        <w:top w:val="none" w:sz="0" w:space="0" w:color="auto"/>
        <w:left w:val="none" w:sz="0" w:space="0" w:color="auto"/>
        <w:bottom w:val="none" w:sz="0" w:space="0" w:color="auto"/>
        <w:right w:val="none" w:sz="0" w:space="0" w:color="auto"/>
      </w:divBdr>
      <w:divsChild>
        <w:div w:id="2082169646">
          <w:marLeft w:val="0"/>
          <w:marRight w:val="0"/>
          <w:marTop w:val="0"/>
          <w:marBottom w:val="0"/>
          <w:divBdr>
            <w:top w:val="none" w:sz="0" w:space="0" w:color="auto"/>
            <w:left w:val="none" w:sz="0" w:space="0" w:color="auto"/>
            <w:bottom w:val="none" w:sz="0" w:space="0" w:color="auto"/>
            <w:right w:val="none" w:sz="0" w:space="0" w:color="auto"/>
          </w:divBdr>
        </w:div>
      </w:divsChild>
    </w:div>
    <w:div w:id="2082169698">
      <w:marLeft w:val="0"/>
      <w:marRight w:val="0"/>
      <w:marTop w:val="0"/>
      <w:marBottom w:val="0"/>
      <w:divBdr>
        <w:top w:val="none" w:sz="0" w:space="0" w:color="auto"/>
        <w:left w:val="none" w:sz="0" w:space="0" w:color="auto"/>
        <w:bottom w:val="none" w:sz="0" w:space="0" w:color="auto"/>
        <w:right w:val="none" w:sz="0" w:space="0" w:color="auto"/>
      </w:divBdr>
    </w:div>
    <w:div w:id="2082169699">
      <w:marLeft w:val="0"/>
      <w:marRight w:val="0"/>
      <w:marTop w:val="0"/>
      <w:marBottom w:val="0"/>
      <w:divBdr>
        <w:top w:val="none" w:sz="0" w:space="0" w:color="auto"/>
        <w:left w:val="none" w:sz="0" w:space="0" w:color="auto"/>
        <w:bottom w:val="none" w:sz="0" w:space="0" w:color="auto"/>
        <w:right w:val="none" w:sz="0" w:space="0" w:color="auto"/>
      </w:divBdr>
    </w:div>
    <w:div w:id="2082169700">
      <w:marLeft w:val="0"/>
      <w:marRight w:val="0"/>
      <w:marTop w:val="0"/>
      <w:marBottom w:val="0"/>
      <w:divBdr>
        <w:top w:val="none" w:sz="0" w:space="0" w:color="auto"/>
        <w:left w:val="none" w:sz="0" w:space="0" w:color="auto"/>
        <w:bottom w:val="none" w:sz="0" w:space="0" w:color="auto"/>
        <w:right w:val="none" w:sz="0" w:space="0" w:color="auto"/>
      </w:divBdr>
    </w:div>
    <w:div w:id="2082169701">
      <w:marLeft w:val="0"/>
      <w:marRight w:val="0"/>
      <w:marTop w:val="0"/>
      <w:marBottom w:val="0"/>
      <w:divBdr>
        <w:top w:val="none" w:sz="0" w:space="0" w:color="auto"/>
        <w:left w:val="none" w:sz="0" w:space="0" w:color="auto"/>
        <w:bottom w:val="none" w:sz="0" w:space="0" w:color="auto"/>
        <w:right w:val="none" w:sz="0" w:space="0" w:color="auto"/>
      </w:divBdr>
    </w:div>
    <w:div w:id="2082169702">
      <w:marLeft w:val="0"/>
      <w:marRight w:val="0"/>
      <w:marTop w:val="0"/>
      <w:marBottom w:val="0"/>
      <w:divBdr>
        <w:top w:val="none" w:sz="0" w:space="0" w:color="auto"/>
        <w:left w:val="none" w:sz="0" w:space="0" w:color="auto"/>
        <w:bottom w:val="none" w:sz="0" w:space="0" w:color="auto"/>
        <w:right w:val="none" w:sz="0" w:space="0" w:color="auto"/>
      </w:divBdr>
    </w:div>
    <w:div w:id="2082169703">
      <w:marLeft w:val="0"/>
      <w:marRight w:val="0"/>
      <w:marTop w:val="0"/>
      <w:marBottom w:val="0"/>
      <w:divBdr>
        <w:top w:val="none" w:sz="0" w:space="0" w:color="auto"/>
        <w:left w:val="none" w:sz="0" w:space="0" w:color="auto"/>
        <w:bottom w:val="none" w:sz="0" w:space="0" w:color="auto"/>
        <w:right w:val="none" w:sz="0" w:space="0" w:color="auto"/>
      </w:divBdr>
    </w:div>
    <w:div w:id="2082169704">
      <w:marLeft w:val="0"/>
      <w:marRight w:val="0"/>
      <w:marTop w:val="0"/>
      <w:marBottom w:val="0"/>
      <w:divBdr>
        <w:top w:val="none" w:sz="0" w:space="0" w:color="auto"/>
        <w:left w:val="none" w:sz="0" w:space="0" w:color="auto"/>
        <w:bottom w:val="none" w:sz="0" w:space="0" w:color="auto"/>
        <w:right w:val="none" w:sz="0" w:space="0" w:color="auto"/>
      </w:divBdr>
    </w:div>
    <w:div w:id="2082169705">
      <w:marLeft w:val="0"/>
      <w:marRight w:val="0"/>
      <w:marTop w:val="0"/>
      <w:marBottom w:val="0"/>
      <w:divBdr>
        <w:top w:val="none" w:sz="0" w:space="0" w:color="auto"/>
        <w:left w:val="none" w:sz="0" w:space="0" w:color="auto"/>
        <w:bottom w:val="none" w:sz="0" w:space="0" w:color="auto"/>
        <w:right w:val="none" w:sz="0" w:space="0" w:color="auto"/>
      </w:divBdr>
    </w:div>
    <w:div w:id="2082169706">
      <w:marLeft w:val="0"/>
      <w:marRight w:val="0"/>
      <w:marTop w:val="0"/>
      <w:marBottom w:val="0"/>
      <w:divBdr>
        <w:top w:val="none" w:sz="0" w:space="0" w:color="auto"/>
        <w:left w:val="none" w:sz="0" w:space="0" w:color="auto"/>
        <w:bottom w:val="none" w:sz="0" w:space="0" w:color="auto"/>
        <w:right w:val="none" w:sz="0" w:space="0" w:color="auto"/>
      </w:divBdr>
    </w:div>
    <w:div w:id="2082169707">
      <w:marLeft w:val="0"/>
      <w:marRight w:val="0"/>
      <w:marTop w:val="0"/>
      <w:marBottom w:val="0"/>
      <w:divBdr>
        <w:top w:val="none" w:sz="0" w:space="0" w:color="auto"/>
        <w:left w:val="none" w:sz="0" w:space="0" w:color="auto"/>
        <w:bottom w:val="none" w:sz="0" w:space="0" w:color="auto"/>
        <w:right w:val="none" w:sz="0" w:space="0" w:color="auto"/>
      </w:divBdr>
    </w:div>
    <w:div w:id="2082169708">
      <w:marLeft w:val="0"/>
      <w:marRight w:val="0"/>
      <w:marTop w:val="0"/>
      <w:marBottom w:val="0"/>
      <w:divBdr>
        <w:top w:val="none" w:sz="0" w:space="0" w:color="auto"/>
        <w:left w:val="none" w:sz="0" w:space="0" w:color="auto"/>
        <w:bottom w:val="none" w:sz="0" w:space="0" w:color="auto"/>
        <w:right w:val="none" w:sz="0" w:space="0" w:color="auto"/>
      </w:divBdr>
    </w:div>
    <w:div w:id="2082169709">
      <w:marLeft w:val="0"/>
      <w:marRight w:val="0"/>
      <w:marTop w:val="0"/>
      <w:marBottom w:val="0"/>
      <w:divBdr>
        <w:top w:val="none" w:sz="0" w:space="0" w:color="auto"/>
        <w:left w:val="none" w:sz="0" w:space="0" w:color="auto"/>
        <w:bottom w:val="none" w:sz="0" w:space="0" w:color="auto"/>
        <w:right w:val="none" w:sz="0" w:space="0" w:color="auto"/>
      </w:divBdr>
    </w:div>
    <w:div w:id="2082169710">
      <w:marLeft w:val="0"/>
      <w:marRight w:val="0"/>
      <w:marTop w:val="0"/>
      <w:marBottom w:val="0"/>
      <w:divBdr>
        <w:top w:val="none" w:sz="0" w:space="0" w:color="auto"/>
        <w:left w:val="none" w:sz="0" w:space="0" w:color="auto"/>
        <w:bottom w:val="none" w:sz="0" w:space="0" w:color="auto"/>
        <w:right w:val="none" w:sz="0" w:space="0" w:color="auto"/>
      </w:divBdr>
    </w:div>
    <w:div w:id="2082169711">
      <w:marLeft w:val="0"/>
      <w:marRight w:val="0"/>
      <w:marTop w:val="0"/>
      <w:marBottom w:val="0"/>
      <w:divBdr>
        <w:top w:val="none" w:sz="0" w:space="0" w:color="auto"/>
        <w:left w:val="none" w:sz="0" w:space="0" w:color="auto"/>
        <w:bottom w:val="none" w:sz="0" w:space="0" w:color="auto"/>
        <w:right w:val="none" w:sz="0" w:space="0" w:color="auto"/>
      </w:divBdr>
    </w:div>
    <w:div w:id="2082169712">
      <w:marLeft w:val="0"/>
      <w:marRight w:val="0"/>
      <w:marTop w:val="0"/>
      <w:marBottom w:val="0"/>
      <w:divBdr>
        <w:top w:val="none" w:sz="0" w:space="0" w:color="auto"/>
        <w:left w:val="none" w:sz="0" w:space="0" w:color="auto"/>
        <w:bottom w:val="none" w:sz="0" w:space="0" w:color="auto"/>
        <w:right w:val="none" w:sz="0" w:space="0" w:color="auto"/>
      </w:divBdr>
    </w:div>
    <w:div w:id="2082169713">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2082169715">
      <w:marLeft w:val="0"/>
      <w:marRight w:val="0"/>
      <w:marTop w:val="0"/>
      <w:marBottom w:val="0"/>
      <w:divBdr>
        <w:top w:val="none" w:sz="0" w:space="0" w:color="auto"/>
        <w:left w:val="none" w:sz="0" w:space="0" w:color="auto"/>
        <w:bottom w:val="none" w:sz="0" w:space="0" w:color="auto"/>
        <w:right w:val="none" w:sz="0" w:space="0" w:color="auto"/>
      </w:divBdr>
    </w:div>
    <w:div w:id="2082169716">
      <w:marLeft w:val="0"/>
      <w:marRight w:val="0"/>
      <w:marTop w:val="0"/>
      <w:marBottom w:val="0"/>
      <w:divBdr>
        <w:top w:val="none" w:sz="0" w:space="0" w:color="auto"/>
        <w:left w:val="none" w:sz="0" w:space="0" w:color="auto"/>
        <w:bottom w:val="none" w:sz="0" w:space="0" w:color="auto"/>
        <w:right w:val="none" w:sz="0" w:space="0" w:color="auto"/>
      </w:divBdr>
    </w:div>
    <w:div w:id="2082169717">
      <w:marLeft w:val="0"/>
      <w:marRight w:val="0"/>
      <w:marTop w:val="0"/>
      <w:marBottom w:val="0"/>
      <w:divBdr>
        <w:top w:val="none" w:sz="0" w:space="0" w:color="auto"/>
        <w:left w:val="none" w:sz="0" w:space="0" w:color="auto"/>
        <w:bottom w:val="none" w:sz="0" w:space="0" w:color="auto"/>
        <w:right w:val="none" w:sz="0" w:space="0" w:color="auto"/>
      </w:divBdr>
    </w:div>
    <w:div w:id="2082169718">
      <w:marLeft w:val="0"/>
      <w:marRight w:val="0"/>
      <w:marTop w:val="0"/>
      <w:marBottom w:val="0"/>
      <w:divBdr>
        <w:top w:val="none" w:sz="0" w:space="0" w:color="auto"/>
        <w:left w:val="none" w:sz="0" w:space="0" w:color="auto"/>
        <w:bottom w:val="none" w:sz="0" w:space="0" w:color="auto"/>
        <w:right w:val="none" w:sz="0" w:space="0" w:color="auto"/>
      </w:divBdr>
    </w:div>
    <w:div w:id="2082169719">
      <w:marLeft w:val="0"/>
      <w:marRight w:val="0"/>
      <w:marTop w:val="0"/>
      <w:marBottom w:val="0"/>
      <w:divBdr>
        <w:top w:val="none" w:sz="0" w:space="0" w:color="auto"/>
        <w:left w:val="none" w:sz="0" w:space="0" w:color="auto"/>
        <w:bottom w:val="none" w:sz="0" w:space="0" w:color="auto"/>
        <w:right w:val="none" w:sz="0" w:space="0" w:color="auto"/>
      </w:divBdr>
    </w:div>
    <w:div w:id="2082169720">
      <w:marLeft w:val="0"/>
      <w:marRight w:val="0"/>
      <w:marTop w:val="0"/>
      <w:marBottom w:val="0"/>
      <w:divBdr>
        <w:top w:val="none" w:sz="0" w:space="0" w:color="auto"/>
        <w:left w:val="none" w:sz="0" w:space="0" w:color="auto"/>
        <w:bottom w:val="none" w:sz="0" w:space="0" w:color="auto"/>
        <w:right w:val="none" w:sz="0" w:space="0" w:color="auto"/>
      </w:divBdr>
    </w:div>
    <w:div w:id="2082169721">
      <w:marLeft w:val="0"/>
      <w:marRight w:val="0"/>
      <w:marTop w:val="0"/>
      <w:marBottom w:val="0"/>
      <w:divBdr>
        <w:top w:val="none" w:sz="0" w:space="0" w:color="auto"/>
        <w:left w:val="none" w:sz="0" w:space="0" w:color="auto"/>
        <w:bottom w:val="none" w:sz="0" w:space="0" w:color="auto"/>
        <w:right w:val="none" w:sz="0" w:space="0" w:color="auto"/>
      </w:divBdr>
    </w:div>
    <w:div w:id="2082169722">
      <w:marLeft w:val="0"/>
      <w:marRight w:val="0"/>
      <w:marTop w:val="0"/>
      <w:marBottom w:val="0"/>
      <w:divBdr>
        <w:top w:val="none" w:sz="0" w:space="0" w:color="auto"/>
        <w:left w:val="none" w:sz="0" w:space="0" w:color="auto"/>
        <w:bottom w:val="none" w:sz="0" w:space="0" w:color="auto"/>
        <w:right w:val="none" w:sz="0" w:space="0" w:color="auto"/>
      </w:divBdr>
    </w:div>
    <w:div w:id="2082169723">
      <w:marLeft w:val="0"/>
      <w:marRight w:val="0"/>
      <w:marTop w:val="0"/>
      <w:marBottom w:val="0"/>
      <w:divBdr>
        <w:top w:val="none" w:sz="0" w:space="0" w:color="auto"/>
        <w:left w:val="none" w:sz="0" w:space="0" w:color="auto"/>
        <w:bottom w:val="none" w:sz="0" w:space="0" w:color="auto"/>
        <w:right w:val="none" w:sz="0" w:space="0" w:color="auto"/>
      </w:divBdr>
    </w:div>
    <w:div w:id="2082169727">
      <w:marLeft w:val="390"/>
      <w:marRight w:val="390"/>
      <w:marTop w:val="0"/>
      <w:marBottom w:val="0"/>
      <w:divBdr>
        <w:top w:val="none" w:sz="0" w:space="0" w:color="auto"/>
        <w:left w:val="none" w:sz="0" w:space="0" w:color="auto"/>
        <w:bottom w:val="none" w:sz="0" w:space="0" w:color="auto"/>
        <w:right w:val="none" w:sz="0" w:space="0" w:color="auto"/>
      </w:divBdr>
      <w:divsChild>
        <w:div w:id="2082169659">
          <w:marLeft w:val="0"/>
          <w:marRight w:val="0"/>
          <w:marTop w:val="0"/>
          <w:marBottom w:val="0"/>
          <w:divBdr>
            <w:top w:val="none" w:sz="0" w:space="0" w:color="auto"/>
            <w:left w:val="none" w:sz="0" w:space="0" w:color="auto"/>
            <w:bottom w:val="none" w:sz="0" w:space="0" w:color="auto"/>
            <w:right w:val="none" w:sz="0" w:space="0" w:color="auto"/>
          </w:divBdr>
        </w:div>
      </w:divsChild>
    </w:div>
    <w:div w:id="2082169731">
      <w:marLeft w:val="390"/>
      <w:marRight w:val="390"/>
      <w:marTop w:val="0"/>
      <w:marBottom w:val="0"/>
      <w:divBdr>
        <w:top w:val="none" w:sz="0" w:space="0" w:color="auto"/>
        <w:left w:val="none" w:sz="0" w:space="0" w:color="auto"/>
        <w:bottom w:val="none" w:sz="0" w:space="0" w:color="auto"/>
        <w:right w:val="none" w:sz="0" w:space="0" w:color="auto"/>
      </w:divBdr>
      <w:divsChild>
        <w:div w:id="2082169724">
          <w:marLeft w:val="0"/>
          <w:marRight w:val="0"/>
          <w:marTop w:val="0"/>
          <w:marBottom w:val="0"/>
          <w:divBdr>
            <w:top w:val="none" w:sz="0" w:space="0" w:color="auto"/>
            <w:left w:val="none" w:sz="0" w:space="0" w:color="auto"/>
            <w:bottom w:val="none" w:sz="0" w:space="0" w:color="auto"/>
            <w:right w:val="none" w:sz="0" w:space="0" w:color="auto"/>
          </w:divBdr>
        </w:div>
      </w:divsChild>
    </w:div>
    <w:div w:id="2082169732">
      <w:marLeft w:val="390"/>
      <w:marRight w:val="390"/>
      <w:marTop w:val="0"/>
      <w:marBottom w:val="0"/>
      <w:divBdr>
        <w:top w:val="none" w:sz="0" w:space="0" w:color="auto"/>
        <w:left w:val="none" w:sz="0" w:space="0" w:color="auto"/>
        <w:bottom w:val="none" w:sz="0" w:space="0" w:color="auto"/>
        <w:right w:val="none" w:sz="0" w:space="0" w:color="auto"/>
      </w:divBdr>
      <w:divsChild>
        <w:div w:id="2082169665">
          <w:marLeft w:val="0"/>
          <w:marRight w:val="0"/>
          <w:marTop w:val="0"/>
          <w:marBottom w:val="0"/>
          <w:divBdr>
            <w:top w:val="none" w:sz="0" w:space="0" w:color="auto"/>
            <w:left w:val="none" w:sz="0" w:space="0" w:color="auto"/>
            <w:bottom w:val="none" w:sz="0" w:space="0" w:color="auto"/>
            <w:right w:val="none" w:sz="0" w:space="0" w:color="auto"/>
          </w:divBdr>
        </w:div>
      </w:divsChild>
    </w:div>
    <w:div w:id="2082169734">
      <w:marLeft w:val="390"/>
      <w:marRight w:val="390"/>
      <w:marTop w:val="0"/>
      <w:marBottom w:val="0"/>
      <w:divBdr>
        <w:top w:val="none" w:sz="0" w:space="0" w:color="auto"/>
        <w:left w:val="none" w:sz="0" w:space="0" w:color="auto"/>
        <w:bottom w:val="none" w:sz="0" w:space="0" w:color="auto"/>
        <w:right w:val="none" w:sz="0" w:space="0" w:color="auto"/>
      </w:divBdr>
      <w:divsChild>
        <w:div w:id="2082169749">
          <w:marLeft w:val="0"/>
          <w:marRight w:val="0"/>
          <w:marTop w:val="0"/>
          <w:marBottom w:val="0"/>
          <w:divBdr>
            <w:top w:val="none" w:sz="0" w:space="0" w:color="auto"/>
            <w:left w:val="none" w:sz="0" w:space="0" w:color="auto"/>
            <w:bottom w:val="none" w:sz="0" w:space="0" w:color="auto"/>
            <w:right w:val="none" w:sz="0" w:space="0" w:color="auto"/>
          </w:divBdr>
        </w:div>
      </w:divsChild>
    </w:div>
    <w:div w:id="2082169735">
      <w:marLeft w:val="390"/>
      <w:marRight w:val="390"/>
      <w:marTop w:val="0"/>
      <w:marBottom w:val="0"/>
      <w:divBdr>
        <w:top w:val="none" w:sz="0" w:space="0" w:color="auto"/>
        <w:left w:val="none" w:sz="0" w:space="0" w:color="auto"/>
        <w:bottom w:val="none" w:sz="0" w:space="0" w:color="auto"/>
        <w:right w:val="none" w:sz="0" w:space="0" w:color="auto"/>
      </w:divBdr>
    </w:div>
    <w:div w:id="2082169736">
      <w:marLeft w:val="390"/>
      <w:marRight w:val="390"/>
      <w:marTop w:val="0"/>
      <w:marBottom w:val="0"/>
      <w:divBdr>
        <w:top w:val="none" w:sz="0" w:space="0" w:color="auto"/>
        <w:left w:val="none" w:sz="0" w:space="0" w:color="auto"/>
        <w:bottom w:val="none" w:sz="0" w:space="0" w:color="auto"/>
        <w:right w:val="none" w:sz="0" w:space="0" w:color="auto"/>
      </w:divBdr>
      <w:divsChild>
        <w:div w:id="2082169690">
          <w:marLeft w:val="0"/>
          <w:marRight w:val="0"/>
          <w:marTop w:val="0"/>
          <w:marBottom w:val="0"/>
          <w:divBdr>
            <w:top w:val="none" w:sz="0" w:space="0" w:color="auto"/>
            <w:left w:val="none" w:sz="0" w:space="0" w:color="auto"/>
            <w:bottom w:val="none" w:sz="0" w:space="0" w:color="auto"/>
            <w:right w:val="none" w:sz="0" w:space="0" w:color="auto"/>
          </w:divBdr>
        </w:div>
      </w:divsChild>
    </w:div>
    <w:div w:id="2082169737">
      <w:marLeft w:val="390"/>
      <w:marRight w:val="390"/>
      <w:marTop w:val="0"/>
      <w:marBottom w:val="0"/>
      <w:divBdr>
        <w:top w:val="none" w:sz="0" w:space="0" w:color="auto"/>
        <w:left w:val="none" w:sz="0" w:space="0" w:color="auto"/>
        <w:bottom w:val="none" w:sz="0" w:space="0" w:color="auto"/>
        <w:right w:val="none" w:sz="0" w:space="0" w:color="auto"/>
      </w:divBdr>
    </w:div>
    <w:div w:id="2082169739">
      <w:marLeft w:val="390"/>
      <w:marRight w:val="390"/>
      <w:marTop w:val="0"/>
      <w:marBottom w:val="0"/>
      <w:divBdr>
        <w:top w:val="none" w:sz="0" w:space="0" w:color="auto"/>
        <w:left w:val="none" w:sz="0" w:space="0" w:color="auto"/>
        <w:bottom w:val="none" w:sz="0" w:space="0" w:color="auto"/>
        <w:right w:val="none" w:sz="0" w:space="0" w:color="auto"/>
      </w:divBdr>
      <w:divsChild>
        <w:div w:id="2082169726">
          <w:marLeft w:val="0"/>
          <w:marRight w:val="0"/>
          <w:marTop w:val="0"/>
          <w:marBottom w:val="0"/>
          <w:divBdr>
            <w:top w:val="none" w:sz="0" w:space="0" w:color="auto"/>
            <w:left w:val="none" w:sz="0" w:space="0" w:color="auto"/>
            <w:bottom w:val="none" w:sz="0" w:space="0" w:color="auto"/>
            <w:right w:val="none" w:sz="0" w:space="0" w:color="auto"/>
          </w:divBdr>
        </w:div>
      </w:divsChild>
    </w:div>
    <w:div w:id="2082169740">
      <w:marLeft w:val="390"/>
      <w:marRight w:val="390"/>
      <w:marTop w:val="0"/>
      <w:marBottom w:val="0"/>
      <w:divBdr>
        <w:top w:val="none" w:sz="0" w:space="0" w:color="auto"/>
        <w:left w:val="none" w:sz="0" w:space="0" w:color="auto"/>
        <w:bottom w:val="none" w:sz="0" w:space="0" w:color="auto"/>
        <w:right w:val="none" w:sz="0" w:space="0" w:color="auto"/>
      </w:divBdr>
      <w:divsChild>
        <w:div w:id="2082169747">
          <w:marLeft w:val="0"/>
          <w:marRight w:val="0"/>
          <w:marTop w:val="0"/>
          <w:marBottom w:val="0"/>
          <w:divBdr>
            <w:top w:val="none" w:sz="0" w:space="0" w:color="auto"/>
            <w:left w:val="none" w:sz="0" w:space="0" w:color="auto"/>
            <w:bottom w:val="none" w:sz="0" w:space="0" w:color="auto"/>
            <w:right w:val="none" w:sz="0" w:space="0" w:color="auto"/>
          </w:divBdr>
        </w:div>
      </w:divsChild>
    </w:div>
    <w:div w:id="2082169741">
      <w:marLeft w:val="390"/>
      <w:marRight w:val="390"/>
      <w:marTop w:val="0"/>
      <w:marBottom w:val="0"/>
      <w:divBdr>
        <w:top w:val="none" w:sz="0" w:space="0" w:color="auto"/>
        <w:left w:val="none" w:sz="0" w:space="0" w:color="auto"/>
        <w:bottom w:val="none" w:sz="0" w:space="0" w:color="auto"/>
        <w:right w:val="none" w:sz="0" w:space="0" w:color="auto"/>
      </w:divBdr>
      <w:divsChild>
        <w:div w:id="2082169730">
          <w:marLeft w:val="0"/>
          <w:marRight w:val="0"/>
          <w:marTop w:val="0"/>
          <w:marBottom w:val="0"/>
          <w:divBdr>
            <w:top w:val="none" w:sz="0" w:space="0" w:color="auto"/>
            <w:left w:val="none" w:sz="0" w:space="0" w:color="auto"/>
            <w:bottom w:val="none" w:sz="0" w:space="0" w:color="auto"/>
            <w:right w:val="none" w:sz="0" w:space="0" w:color="auto"/>
          </w:divBdr>
        </w:div>
      </w:divsChild>
    </w:div>
    <w:div w:id="2082169743">
      <w:marLeft w:val="390"/>
      <w:marRight w:val="390"/>
      <w:marTop w:val="0"/>
      <w:marBottom w:val="0"/>
      <w:divBdr>
        <w:top w:val="none" w:sz="0" w:space="0" w:color="auto"/>
        <w:left w:val="none" w:sz="0" w:space="0" w:color="auto"/>
        <w:bottom w:val="none" w:sz="0" w:space="0" w:color="auto"/>
        <w:right w:val="none" w:sz="0" w:space="0" w:color="auto"/>
      </w:divBdr>
      <w:divsChild>
        <w:div w:id="2082169660">
          <w:marLeft w:val="0"/>
          <w:marRight w:val="0"/>
          <w:marTop w:val="0"/>
          <w:marBottom w:val="0"/>
          <w:divBdr>
            <w:top w:val="none" w:sz="0" w:space="0" w:color="auto"/>
            <w:left w:val="none" w:sz="0" w:space="0" w:color="auto"/>
            <w:bottom w:val="none" w:sz="0" w:space="0" w:color="auto"/>
            <w:right w:val="none" w:sz="0" w:space="0" w:color="auto"/>
          </w:divBdr>
        </w:div>
      </w:divsChild>
    </w:div>
    <w:div w:id="2082169744">
      <w:marLeft w:val="390"/>
      <w:marRight w:val="390"/>
      <w:marTop w:val="0"/>
      <w:marBottom w:val="0"/>
      <w:divBdr>
        <w:top w:val="none" w:sz="0" w:space="0" w:color="auto"/>
        <w:left w:val="none" w:sz="0" w:space="0" w:color="auto"/>
        <w:bottom w:val="none" w:sz="0" w:space="0" w:color="auto"/>
        <w:right w:val="none" w:sz="0" w:space="0" w:color="auto"/>
      </w:divBdr>
      <w:divsChild>
        <w:div w:id="2082169642">
          <w:marLeft w:val="0"/>
          <w:marRight w:val="0"/>
          <w:marTop w:val="0"/>
          <w:marBottom w:val="0"/>
          <w:divBdr>
            <w:top w:val="none" w:sz="0" w:space="0" w:color="auto"/>
            <w:left w:val="none" w:sz="0" w:space="0" w:color="auto"/>
            <w:bottom w:val="none" w:sz="0" w:space="0" w:color="auto"/>
            <w:right w:val="none" w:sz="0" w:space="0" w:color="auto"/>
          </w:divBdr>
        </w:div>
      </w:divsChild>
    </w:div>
    <w:div w:id="2082169745">
      <w:marLeft w:val="390"/>
      <w:marRight w:val="390"/>
      <w:marTop w:val="0"/>
      <w:marBottom w:val="0"/>
      <w:divBdr>
        <w:top w:val="none" w:sz="0" w:space="0" w:color="auto"/>
        <w:left w:val="none" w:sz="0" w:space="0" w:color="auto"/>
        <w:bottom w:val="none" w:sz="0" w:space="0" w:color="auto"/>
        <w:right w:val="none" w:sz="0" w:space="0" w:color="auto"/>
      </w:divBdr>
      <w:divsChild>
        <w:div w:id="2082169742">
          <w:marLeft w:val="0"/>
          <w:marRight w:val="0"/>
          <w:marTop w:val="0"/>
          <w:marBottom w:val="0"/>
          <w:divBdr>
            <w:top w:val="none" w:sz="0" w:space="0" w:color="auto"/>
            <w:left w:val="none" w:sz="0" w:space="0" w:color="auto"/>
            <w:bottom w:val="none" w:sz="0" w:space="0" w:color="auto"/>
            <w:right w:val="none" w:sz="0" w:space="0" w:color="auto"/>
          </w:divBdr>
        </w:div>
      </w:divsChild>
    </w:div>
    <w:div w:id="2082169751">
      <w:marLeft w:val="390"/>
      <w:marRight w:val="390"/>
      <w:marTop w:val="0"/>
      <w:marBottom w:val="0"/>
      <w:divBdr>
        <w:top w:val="none" w:sz="0" w:space="0" w:color="auto"/>
        <w:left w:val="none" w:sz="0" w:space="0" w:color="auto"/>
        <w:bottom w:val="none" w:sz="0" w:space="0" w:color="auto"/>
        <w:right w:val="none" w:sz="0" w:space="0" w:color="auto"/>
      </w:divBdr>
    </w:div>
    <w:div w:id="2082169752">
      <w:marLeft w:val="390"/>
      <w:marRight w:val="390"/>
      <w:marTop w:val="0"/>
      <w:marBottom w:val="0"/>
      <w:divBdr>
        <w:top w:val="none" w:sz="0" w:space="0" w:color="auto"/>
        <w:left w:val="none" w:sz="0" w:space="0" w:color="auto"/>
        <w:bottom w:val="none" w:sz="0" w:space="0" w:color="auto"/>
        <w:right w:val="none" w:sz="0" w:space="0" w:color="auto"/>
      </w:divBdr>
    </w:div>
    <w:div w:id="2082169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3" Type="http://schemas.openxmlformats.org/officeDocument/2006/relationships/numbering" Target="numbering.xml"></Relationship><Relationship Id="rId7" Type="http://schemas.openxmlformats.org/officeDocument/2006/relationships/footnotes" Target="footnotes.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theme" Target="theme/theme1.xml"></Relationship><Relationship Id="rId5" Type="http://schemas.openxmlformats.org/officeDocument/2006/relationships/settings" Target="settings.xml"></Relationship><Relationship Id="rId10" Type="http://schemas.openxmlformats.org/officeDocument/2006/relationships/fontTable" Target="fontTable.xml"></Relationship><Relationship Id="rId4" Type="http://schemas.openxmlformats.org/officeDocument/2006/relationships/styles" Target="styles.xml"></Relationship><Relationship Id="rId9" Type="http://schemas.openxmlformats.org/officeDocument/2006/relationships/footer" Target="footer1.xml"></Relationship><Relationship Id="rId12" Type="http://schemas.openxmlformats.org/officeDocument/2006/relationships/customXml" Target="../customXml/item3.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f:fields xmlns:f="http://schemas.fabasoft.com/folio/2007/fields">
  <f:record ref="">
    <f:field ref="objname" par="" edit="true" text="tabulka_zhody"/>
    <f:field ref="objsubject" par="" edit="true" text=""/>
    <f:field ref="objcreatedby" par="" text="Lacová, Magdaléna, JUDr."/>
    <f:field ref="objcreatedat" par="" text="5.2.2019 13:59:36"/>
    <f:field ref="objchangedby" par="" text="Administrator, System"/>
    <f:field ref="objmodifiedat" par="" text="5.2.2019 13:59: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4159ED2-823F-44B9-9A94-44777F7A8D83}">
  <ds:schemaRefs>
    <ds:schemaRef ds:uri="http://schemas.openxmlformats.org/officeDocument/2006/bibliography"/>
  </ds:schemaRefs>
</ds:datastoreItem>
</file>

<file path=customXml/itemProps2.xml><?xml version="1.0" encoding="utf-8"?>
<ds:datastoreItem xmlns:ds="http://schemas.openxmlformats.org/officeDocument/2006/customXml" ds:itemID="{1ED330BB-2AD1-473B-9CDB-B2DAEF10460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12439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Lacová Magdaléna</cp:lastModifiedBy>
  <cp:revision>2</cp:revision>
  <cp:lastPrinted>2019-01-30T08:55:00Z</cp:lastPrinted>
  <dcterms:created xsi:type="dcterms:W3CDTF">2019-01-30T08:55:00Z</dcterms:created>
  <dcterms:modified xsi:type="dcterms:W3CDTF">2019-01-30T08:55:00Z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align="center"&gt;Verejnosť bola o&amp;nbsp;príprave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informovaná prostredníctvom predbežnej informácie č. PI/2018/190 zverejnenej na portáli právnych predpisov Slov-Lex. Pripomienkové konanie prebiehalo od 11.9.2018 do 24.9.2018.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6.9.2018 do 25.9.2018. Jeden subjekt si vyžiadal podrobnejšie informácie o&amp;nbsp;návrhu nariadenia vlády. Ani jeden subjekt nevzniesol pripomienku alebo otázku k&amp;nbsp;návrhu nariadenia vlády. &amp;nbsp;&amp;nbsp;&amp;nbsp;&lt;/p&gt;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Magdaléna Lacová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,ktorým sa mení a dopĺňa nariadenie vlády Slovenskej republiky č. 356/2006 Z. z. o ochrane zdravia zamestnancov pred rizikami súvisiacimi s expozíciou karcinogénnym a mutagénnym faktorom pri práci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name="FSC#SKEDITIONSLOVLEX@103.510:plnynazovpredpis1" pid="24" fmtid="{D5CDD505-2E9C-101B-9397-08002B2CF9AE}">
    <vt:lpwstr>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S04985-2019-OL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LP/2019/93</vt:lpwstr>
  </property>
  <property name="FSC#SKEDITIONSLOVLEX@103.510:typsprievdok" pid="37" fmtid="{D5CDD505-2E9C-101B-9397-08002B2CF9AE}">
    <vt:lpwstr>Tabuľka zhody</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168 Zmluvy o fungovaní Európskej únie v platnom znení</vt:lpwstr>
  </property>
  <property name="FSC#SKEDITIONSLOVLEX@103.510:AttrStrListDocPropSekundarneLegPravoPO" pid="47" fmtid="{D5CDD505-2E9C-101B-9397-08002B2CF9AE}">
    <vt:lpwstr>-_x0009_smernica  Európskeho parlamentu a Rady 2004/37/ES z 29. apríla 2004 o ochrane pracovníkov pred rizikami z vystavenia účinkom karcinogénov alebo mutagénov pri práci (Mimoriadne vydanie Ú. v. EÚ, kap. 5/zv.5),_x000d__x000a_-_x0009_smernica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5.3.2014),_x000d__x000a_-_x0009_smernica  Európskeho parlamentu a Rady (EÚ) 2017/2398 z 12. decembra 2017, ktorou sa mení smernica 2004/37/ES o ochrane pracovníkov pred rizikami z vystavenia účinkom karcinogénov alebo mutagénov pri práci (Ú. v. EÚ L 345, 27.12.2017)_x000d__x000a_-_x0009_nariadenie Európskeho parlamentu a Rady (ES) č. 1272/2008 z 16. decembra 2008 o klasifikácii, označovaní a balení látok a zmesí, o zmene, doplnení a zrušení smerníc 67/548/EHS a 1999/45/ES a o zmene a doplnení nariadenia (ES) č. 1907/2006 (Ú. v. EÚ L 353, 31.12.2008) v platnom znení._x000d__x000a_-_x0009_smernica  Európskeho parlamentu a Rady 2004/37/ES z 29. apríla 2004 o ochrane pracovníkov pred rizikami z vystavenia účinkom karcinogénov alebo mutagénov pri práci (šiesta samostatná smernica podľa článku 16 ods. 1 smernice 89/391/EHS)(kodifikované znenie) (Mimoriadne vydanie Ú. v. EÚ, kap. 5/zv.5),</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vt:lpwstr>
  </property>
  <property name="FSC#SKEDITIONSLOVLEX@103.510:AttrStrListDocPropLehotaPrebratieSmernice" pid="52" fmtid="{D5CDD505-2E9C-101B-9397-08002B2CF9AE}">
    <vt:lpwstr>17. január 2020,</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nebolo</vt:lpwstr>
  </property>
  <property name="FSC#SKEDITIONSLOVLEX@103.510:AttrStrListDocPropInfoUzPreberanePP" pid="55" fmtid="{D5CDD505-2E9C-101B-9397-08002B2CF9AE}">
    <vt:lpwstr>Smernica Európskeho parlamentu a Rady (EÚ) 2017/2398 ešte nebola prebratá v žiadnych slovenských právnych predpisoch.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6. 9. 2018</vt:lpwstr>
  </property>
  <property name="FSC#SKEDITIONSLOVLEX@103.510:AttrDateDocPropUkonceniePKK" pid="59" fmtid="{D5CDD505-2E9C-101B-9397-08002B2CF9AE}">
    <vt:lpwstr>25. 9. 2018</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&lt;table border="1" cellpadding="0" cellspacing="0" width="0"&gt;_x0009_&lt;tbody&gt;_x0009__x0009_&lt;tr&gt;_x0009__x0009__x0009_&lt;td style="width: 631px; height: 48px;"&gt;_x0009__x0009__x0009_&lt;p&gt;Využitie 14 karcinogénov a mutagénov, ktorým sa smernicou dopĺňa alebo reviduje technická smerná hodnota (v&amp;nbsp;tabuľke č. 1 na konci doložky).&lt;/p&gt;_x0009__x0009__x0009_&lt;p&gt;Porovnanie zmien pri expozícii 11 karcinogénom a mutagénom, ktoré už sú zavedené v legislatíve SR (v&amp;nbsp;tabuľke č. 2 na konci doložky).&lt;/p&gt;_x0009__x0009__x0009_&lt;p&gt;&amp;nbsp;&lt;/p&gt;_x0009__x0009__x0009_&lt;p&gt;Pozitívny vplyv na podnikateľské prostredie:&lt;/p&gt;_x0009__x0009__x0009_&lt;p&gt;- zlepšenie ochrany zdravia zamestnancov pri práci zavedením nových TSH a revidovaných TSH v zmysle nižších hodnôt oproti súčasným hodnotám TSH; predpokladá sa nižší výskyt chorôb z povolania a ochorení súvisiacich s prácou&lt;/p&gt;_x0009__x0009__x0009_&lt;p&gt;-&amp;nbsp; zavedenie nových TSH pomáha zamestnávateľom pri určovaní a posudzovaní zdravotného rizika&amp;nbsp; pri práci s expozíciou konkrétnym karcinogénom a mutagénom v súvislosti s vykonávaním preventívnych a ochranných opatrení na ochranu zdravia zamestnancov pred zdravotnými rizikami z expozície týmto faktorom&lt;/p&gt;_x0009__x0009__x0009_&lt;p&gt;-&amp;nbsp; pomoc zamestnávateľom pri zabezpečovaní účinnej ochrany pri práci s&amp;nbsp;karcinogénmi a mutagénmi prenikajúcimi cez kožu; ich označením v prílohe č. 2.&lt;/p&gt;_x0009__x0009__x0009_&lt;p&gt;&amp;nbsp;&lt;/p&gt;_x0009__x0009__x0009_&lt;p&gt;Negatívny vplyv na podnikateľské prostredie:&lt;/p&gt;_x0009__x0009__x0009_&lt;p&gt;- finančné náklady na meranie karcinogénov a mutagénov v pracovnom ovzduší a na úpravu existujúcich, najmä technických opatrení, alebo na zavedenie nových opatrení v pracovnom prostredí, kde sa vyskytujú karcinogény alebo mutagény, ktorých TSH sú novo zavedené alebo TSH sú revidované v zmysle nižších hodnôt oproti súčasným hodnotám TSH&lt;/p&gt;_x0009__x0009__x0009_&lt;p&gt;- je možné predpokladať nárast počtu rizikových prác vzhľadom na sprísnenie TSH 6 karcinogénov a&amp;nbsp;mutagénov, ktoré už sú zavedené v legislatíve SR a&amp;nbsp;na 3 novozavedené TSH.&lt;/p&gt;_x0009__x0009__x0009_&lt;p&gt;&amp;nbsp;&lt;/p&gt;_x0009__x0009__x0009_&lt;/td&gt;_x0009__x0009_&lt;/tr&gt;_x0009__x0009_&lt;tr&gt;_x0009__x0009__x0009_&lt;td style="width: 631px; height: 48px;"&gt;_x0009__x0009__x0009_&lt;p&gt;&lt;strong&gt;&lt;em&gt;Priame finančné náklady&lt;/em&gt;&lt;/strong&gt;&lt;/p&gt;_x0009__x0009__x0009_&lt;/td&gt;_x0009__x0009_&lt;/tr&gt;_x0009__x0009_&lt;tr&gt;_x0009__x0009__x0009_&lt;td style="width: 631px;"&gt;_x0009__x0009__x0009_&lt;p&gt;&lt;u&gt;Pozitívny vplyv na podnikateľské prostredie:&lt;/u&gt;&lt;/p&gt;_x0009__x0009__x0009_&lt;ul&gt;_x0009__x0009__x0009__x0009_&lt;li&gt;Podniky by mali profitovať z jasnejších a homogénnejších podmienok. V prípade 11 faktorov zahrnutých v tomto návrhu už TSH existujú na vnútroštátnej úrovni, z&amp;nbsp;toho u 4 sa nemení TSH a&amp;nbsp;v&amp;nbsp;jednom prípade sa TSH uvoľňuje (akrylamid).&lt;/li&gt;_x0009__x0009__x0009_&lt;/ul&gt;_x0009__x0009__x0009_&lt;p&gt;&lt;u&gt;Negatívny vplyv na podnikateľské prostredie:&lt;/u&gt;&lt;/p&gt;_x0009__x0009__x0009_&lt;ul&gt;_x0009__x0009__x0009__x0009_&lt;li&gt;Je možné predpokladať nárast počtu rizikových prác vzhľadom na sprísnenie TSH 6 karcinogénov a mutagénov, pričom vplyv zmien na zmeny počtu osôb vykonávajúcich rizikové práce nie je možné presne určiť. &lt;strong&gt;Nepredpokladá sa, že bude potrebné vyhlasovať rizikové práce u&amp;nbsp;všetkých dotknutých subjektov, iba u&amp;nbsp;tých, ktorí nebudú mať dostatočné technické alebo technologické opatrenia&lt;/strong&gt; na zníženie expozície zamestnancov uvedeným karcinogénom a mutagénom.&lt;/li&gt;_x0009__x0009__x0009_&lt;/ul&gt;_x0009__x0009__x0009_&lt;p style="margin-left: 21.3pt;"&gt;Vyčíslenie:&lt;/p&gt;_x0009__x0009__x0009_&lt;p style="margin-left: 21.3pt;"&gt;V&amp;nbsp;súčasnosti nie je možné negatívny vplyv (pravdepodobné zvýšenie nákladov zamestnávateľov) kvantifikovať konkrétne, iba opisne:&lt;/p&gt;_x0009__x0009__x0009_&lt;p style="margin-left: 21.3pt;"&gt;V&amp;nbsp;prípade vyhlásenia rizikovej práce u&amp;nbsp;1 zamestnanca sa zvýšenie nákladov zamestnávateľa bude týkať dvoch položiek: mzdovej kompenzácie za sťažený výkon práce a&amp;nbsp;príspevku zamestnávateľa na doplnkové dôchodkové sporenie zamestnanca, ktorý vykonáva prácu zaradenú do kategórie 3 a&amp;nbsp;4.&lt;/p&gt;_x0009__x0009__x0009_&lt;p style="margin-left: 21.3pt;"&gt;Mzdová kompenzácia za sťažený výkon práce predstavuje &amp;nbsp;najmenej 20 % minimálnej mzdy v eurách za hodinu (§ 124 Zákonníka práce).&lt;/p&gt;_x0009__x0009__x0009_&lt;p style="margin-left: 21.3pt;"&gt;Podľa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poistený.&lt;/p&gt;_x0009__x0009__x0009_&lt;p style="margin-left: 21.3pt;"&gt;Predkladateľ však nepozná vymeriavacie základy jednotlivých dotknutých zamestnancov ani ich počet.&lt;/p&gt;_x0009__x0009__x0009_&lt;p style="margin-left: 21.3pt;"&gt;&amp;nbsp;&lt;/p&gt;_x0009__x0009__x0009_&lt;p style="margin-left: 21.3pt;"&gt;V Slovenskej republike bolo k&amp;nbsp;30. 6. 2018 evidovaných 5&amp;nbsp;818 zamestnancov (z&amp;nbsp;toho 2 090 žien), vykonávajúcich rizikové práce s&amp;nbsp;expozíciou chemickým karcinogénom a&amp;nbsp;mutagénom u&amp;nbsp;približne 320 zamestnávateľov. Tieto údaje sa vzťahujú k&amp;nbsp;vyhláseným rizikovým prácam v&amp;nbsp;vzťahu ku karcinogénom a&amp;nbsp;mutagénom v&amp;nbsp;aktuálne platnom znení nariadenia vlády.&lt;/p&gt;_x0009__x0009__x0009_&lt;p style="margin-left: 21.3pt;"&gt;Vplyv zmien v&amp;nbsp;TSH karcinogénov a&amp;nbsp;mutagénov v&amp;nbsp;návrhu nariadenia vlády (6 sprísnených TSH, 3 novozavedené TSH)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karcinogénom a mutagénom.&lt;/p&gt;_x0009__x0009__x0009_&lt;p&gt;&amp;nbsp;&lt;/p&gt;_x0009__x0009__x0009_&lt;ul&gt;_x0009__x0009__x0009__x0009_&lt;li&gt;Malé a stredné podniky nie sú vyňaté spod pôsobnosti smernice a&amp;nbsp;teda ani návrhu nariadenia vlády,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chrómu.&lt;/li&gt;_x0009__x0009__x0009_&lt;/ul&gt;_x0009__x0009__x0009_&lt;p&gt;&amp;nbsp;&lt;/p&gt;_x0009__x0009__x0009_&lt;/td&gt;_x0009__x0009_&lt;/tr&gt;_x0009__x0009_&lt;tr&gt;_x0009__x0009__x0009_&lt;td style="width: 631px; height: 39px;"&gt;_x0009__x0009__x0009_&lt;p&gt;&lt;strong&gt;&lt;em&gt;3.3.2 Nepriame finančné náklady&lt;/em&gt;&lt;/strong&gt;&lt;/p&gt;_x0009__x0009__x0009_&lt;p&gt;&amp;nbsp;&lt;/p&gt;_x0009__x0009__x0009_&lt;/td&gt;_x0009__x0009_&lt;/tr&gt;_x0009__x0009_&lt;tr&gt;_x0009__x0009__x0009_&lt;td style="width: 631px;"&gt;_x0009__x0009__x0009_&lt;p&gt;&lt;u&gt;Pozitívny vplyv na podnikateľské prostredie:&lt;/u&gt;&lt;/p&gt;_x0009__x0009__x0009_&lt;ul&gt;_x0009__x0009__x0009__x0009_&lt;li&gt;Zlepšenie ochrany zdravia zamestnancov pri práci zavedením nových TSH a revidovaných TSH v zmysle nižších hodnôt oproti súčasným hodnotám TSH; predpokladá sa nižší výskyt chorôb z povolania a ochorení súvisiacich s&amp;nbsp;prácou.&lt;/li&gt;_x0009__x0009__x0009__x0009_&lt;li&gt;Zamestnávatelia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v&amp;nbsp;Európskom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EUR).&lt;/li&gt;_x0009__x0009__x0009__x0009_&lt;li&gt;Zavedenie nových TSH pomáha zamestnávateľom pri určovaní a posudzovaní zdravotného rizika&amp;nbsp; pri práci s&amp;nbsp; expozíciou konkrétnym&amp;nbsp; karcinogénom a mutagénom v súvislosti s vykonávaním preventívnych a ochranných opatrení na ochranu zdravia zamestnancov pred zdravotnými rizikami z expozície týmto karcinogénom a mutagénom&lt;/li&gt;_x0009__x0009__x0009__x0009_&lt;li&gt;Pomoc zamestnávateľom pri zabezpečovaní účinnej ochrany pri práci s&amp;nbsp;karcinogénmi a mutagénmi prenikajúcimi cez pokožku; ich označením v prílohe č. 2&lt;/li&gt;_x0009__x0009__x0009__x0009_&lt;li&gt;Vplyv na základné práva je pozitívny, najmä pokiaľ ide o právo na život a právo na spravodlivé a primerané pracovné podmienky, ktoré zohľadňujú zdravie, bezpečnosť a dôstojnosť pracovníkov.&lt;/li&gt;_x0009__x0009__x0009_&lt;/ul&gt;_x0009__x0009__x0009_&lt;p&gt;&lt;u&gt;Negatívny vplyv na podnikateľské prostredie:&lt;/u&gt;&lt;/p&gt;_x0009__x0009__x0009_&lt;ul&gt;_x0009__x0009__x0009__x0009_&lt;li&gt;Finančné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úpravy.&lt;/li&gt;_x0009__x0009__x0009_&lt;/ul&gt;_x0009__x0009__x0009_&lt;p style="margin-left: 21.3pt;"&gt;Vyčíslenie:&lt;/p&gt;_x0009__x0009__x0009_&lt;p style="margin-left: 21.3pt;"&gt;Nie je možné kvantifikovať konkrétne, nakoľko technické a&amp;nbsp;technologické opatrenia, ktoré si návrh nariadenia vlády vyžiada, sú individuálne a&amp;nbsp;závisia od aktuálneho stavu vybavenosti jednotlivých dotknutých podnikov.&lt;/p&gt;_x0009__x0009__x0009_&lt;p style="margin-left: 21.3pt;"&gt;Nepriamo je možné uviesť približné ceny za meranie faktorov v&amp;nbsp;pracovnom ovzduší (cenotvorba nie je regulovaná):&lt;/p&gt;_x0009__x0009__x0009_&lt;p style="margin-left: 21.3pt;"&gt;- odber vzoriek podľa platných noriem a štandardných pracovných postupov&amp;nbsp;&amp;nbsp;&amp;nbsp;&amp;nbsp; 15,00/1 hod. VŠ&lt;/p&gt;_x0009__x0009__x0009_&lt;p style="margin-left: 21.3pt;"&gt;&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8,00/1 hod. SŠ&lt;/p&gt;_x0009__x0009__x0009_&lt;p style="margin-left: 21.3pt;"&gt;- sadzba za dopravu pri použití dopravného prostriedku&amp;nbsp;&amp;nbsp; &amp;nbsp;&amp;nbsp;&amp;nbsp;&amp;nbsp;&amp;nbsp;&amp;nbsp;&amp;nbsp;&amp;nbsp;&amp;nbsp;&amp;nbsp;&amp;nbsp;&amp;nbsp;&amp;nbsp;&amp;nbsp;&amp;nbsp;&amp;nbsp;&amp;nbsp;&amp;nbsp;&amp;nbsp;&amp;nbsp;&amp;nbsp;&amp;nbsp;&amp;nbsp;&amp;nbsp;&amp;nbsp;&amp;nbsp;&amp;nbsp;&amp;nbsp;&amp;nbsp;&amp;nbsp;&amp;nbsp;&amp;nbsp;&amp;nbsp;&amp;nbsp;&amp;nbsp;&amp;nbsp;0,50/1 km&lt;/p&gt;_x0009__x0009__x0009_&lt;p style="margin-left: 21.3pt;"&gt;- spracovanie výsledkov a vyhotovenie protokolu o&amp;nbsp;skúškach&amp;nbsp;&amp;nbsp;&amp;nbsp;&amp;nbsp;&amp;nbsp;&amp;nbsp;&amp;nbsp;&amp;nbsp;&amp;nbsp;&amp;nbsp;&amp;nbsp;&amp;nbsp;&amp;nbsp;&amp;nbsp;&amp;nbsp;&amp;nbsp;&amp;nbsp;&amp;nbsp;&amp;nbsp;&amp;nbsp;&amp;nbsp;&amp;nbsp;&amp;nbsp;&amp;nbsp;&amp;nbsp;&amp;nbsp;&amp;nbsp;&amp;nbsp;&amp;nbsp; 15,00/1 hod.&lt;/p&gt;_x0009__x0009__x0009_&lt;p style="margin-left: 21.3pt;"&gt;- určenie karcinogénu podľa akreditovanej/štandardizovanej metódy&amp;nbsp;&amp;nbsp;&amp;nbsp;&amp;nbsp;&amp;nbsp;&amp;nbsp;&amp;nbsp;&amp;nbsp;&amp;nbsp;&amp;nbsp;&amp;nbsp;&amp;nbsp;&amp;nbsp;&amp;nbsp;&amp;nbsp;&amp;nbsp;&amp;nbsp; 10 - 50 Eur/látku&lt;/p&gt;_x0009__x0009__x0009_&lt;/td&gt;_x0009__x0009_&lt;/tr&gt;_x0009_&lt;/tbody&gt;&lt;/table&gt;</vt:lpwstr>
  </property>
  <property name="FSC#SKEDITIONSLOVLEX@103.510:AttrStrListDocPropAltRiesenia" pid="66"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17. januára 2020.Počas konzultácií s dotknutými subjektami nebola predložená ani jedna pripomienka k návrhu nariadenia vlády. </vt:lpwstr>
  </property>
  <property name="FSC#SKEDITIONSLOVLEX@103.510:AttrStrListDocPropStanoviskoGest" pid="67" fmtid="{D5CDD505-2E9C-101B-9397-08002B2CF9AE}">
    <vt:lpwstr>&lt;table border="1" cellpadding="0" cellspacing="0" width="0"&gt;_x0009_&lt;tbody&gt;_x0009__x0009_&lt;tr&gt;_x0009__x0009__x0009_&lt;td style="width: 631px;"&gt;_x0009__x0009__x0009_&lt;p&gt;Stála pracovná komisia Legislatívnej rady vlády SR na posudzovanie vybraných vplyvov (Komisia) vyjadrila nesúhlasné stanovisko č. 009/2019 zo dňa 21.1.2019 s&amp;nbsp;materiálom predloženým na predbežné pripomienkové konanie s&amp;nbsp;odporúčaním na dopracovanie doložky vybraných vplyvov a&amp;nbsp;analýzy vplyvov na podnikateľské prostredie podľa pripomienok. Všetky pripomienky boli akceptované a&amp;nbsp;zapracované, predkladateľ požiadal Komisiu o&amp;nbsp;opätovné schválenie.&lt;/p&gt;_x0009__x0009__x0009_&lt;p&gt;Nesúhlasné stanovisko Komisie neznamená zastavenie ďalšieho schvaľovacieho procesu.&amp;nbsp;&lt;/p&gt;_x0009__x0009__x0009_&lt;p&gt;&lt;strong&gt;Stála pracovná komisia Legislatívnej rady vlády SR na posudzovanie vybraných vplyvov (Komisia) vyjadrila v&amp;nbsp;opätovnom predbežnom pripomienkovom konaní súhlasné stanovisko č. 009_x005f_2/2019 zo dňa 30.1.2019&lt;/strong&gt; s&amp;nbsp;materiálom predloženým na opätovné predbežné pripomienkové konanie s&amp;nbsp;odporúčaním na dopracovanie doložky vybraných vplyvov a&amp;nbsp;analýzy vplyvov na podnikateľské prostredie podľa pripomienok a&amp;nbsp;odporúčaní.&lt;/p&gt;_x0009__x0009__x0009_&lt;p&gt;Predkladateľ akceptoval a zapracoval všetky pripomienky.&lt;/p&gt;_x0009__x0009__x0009_&lt;p&gt;Predkladateľ nezapracoval odporúčanie Komisie: znázorniť v analýze vplyvov modelový príklad pre jeden subjekt (resp. zamestnávateľa), ktorý by tieto alebo podobné opatrenia nespĺňal a na jeho príklade náklady vyčísliť resp. opisne priblížiť náklady súvisiace s návrhom materiálu. Predkladateľ nepozná technické a&amp;nbsp;technologické vybavenie dotknutých zamestnávateľov ani cenotvorbu súvisiacu s&amp;nbsp;realizáciou potrebných opatrení, vie iba predpokladať vplyv, čo uviedol v&amp;nbsp;doložke a&amp;nbsp;analýze. Modelácia príkladu z&amp;nbsp;praxe je možná iba zo strany dotknutých zamestnávateľov, túto informáciu teda mohli poskytnúť Komisii v&amp;nbsp;PPK iba dotknutí zamestnávatelia.&lt;/p&gt;_x0009__x0009__x0009_&lt;/td&gt;_x0009__x0009_&lt;/tr&gt;_x0009_&lt;/tbody&gt;&lt;/table&gt;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justify;"&gt;&amp;nbsp;&lt;/p&gt;&lt;p style="text-align: justify;"&gt;Návrhom nariadenia vlády Slovenskej republiky, ktorým sa mení a&amp;nbsp;dopĺňa nariadenie vlády Slovenskej republiky č. 356/2006 Z. z. o&amp;nbsp;ochrane zdravia zamestnancov pred rizikami súvisiacimi s&amp;nbsp;expozíciou karcinogénnym a&amp;nbsp;mutagénnym faktorom pri práci v&amp;nbsp;znení neskorších predpisov (ďalej „návrh nariadenia vlády“) sa do právneho poriadku Slovenskej republiky preberá smernica&amp;nbsp;&lt;strong&gt; Európskeho parlamentu a&amp;nbsp;Rady (EÚ) 2017/2398 z&amp;nbsp;12.&amp;nbsp;decembra&amp;nbsp;2017, &lt;/strong&gt;ktorou sa mení smernica 2004/37/ES&lt;strong&gt; o&amp;nbsp;ochrane pracovníkov pred rizikami z&amp;nbsp;vystavenia účinkom karcinogénov alebo mutagénov pri práci (ďalej „smernica&lt;/strong&gt;“)&lt;strong&gt;. Cieľom sm&lt;/strong&gt;ernice je zlepšiť ochranu zdravia zamestnancov pri práci tým, že sprísňuje maximálne hodnoty expozície karcinogénnym a&amp;nbsp;mutagénnym faktorom (ďalej „&lt;strong&gt;karcinogény a mutagény“)&lt;/strong&gt; pri práci a&amp;nbsp;rozširuje zoznam karcinogénov a mutagénov, u ktorých sú tieto hodnoty stanovené.&lt;/p&gt;&lt;p style="text-align: justify;"&gt;Do návrhu nariadenia vlády sa zo smernice transponujú maximálne hodnoty expozície pri práci pre 14 &lt;strong&gt;karcinogénov a mutagénov&lt;/strong&gt;, ktoré boli revidované a&amp;nbsp;odvodené z&amp;nbsp;najnovších dostupných vedeckých údajov s&amp;nbsp;ohľadom na ochranu zdravia pri práci a&amp;nbsp;odporúčaných kritérií a&amp;nbsp;metód Vedeckého výboru pre expozičné limity (SCOEL) zriadeného rozhodnutím Európskej komisie, pričom berú do úvahy dostupnosť meracích techník. Stanovujú sa ako technické smerné hodnoty &lt;strong&gt;karcinogénov a mutagénov&lt;/strong&gt; &amp;nbsp;kategórie 1A a&amp;nbsp;kategórie 1B v&amp;nbsp;pracovnom ovzduší, pre ktoré nemôžu byť stanovené najvyššie prípustné expozičné limity ako je to u&amp;nbsp;iných chemických faktorov z&amp;nbsp;dôvodu, že v prípade väčšiny karcinogénov &lt;strong&gt;a mutagénov&lt;/strong&gt; nie je v&amp;nbsp;súčasnosti vedecky možné určiť úroveň, pod ktorou by expozícia neviedla k&amp;nbsp;nepriaznivým následkom na zdravie. Stanovením technickej smernej hodnoty sa reziduálne riziká neodstránia úplne, ale prispeje sa k&amp;nbsp;výraznému zníženiu rizika vyplývajúceho z&amp;nbsp;expozície &lt;strong&gt;karcinogénom a mutagénom&lt;/strong&gt;.&lt;/p&gt;&lt;p style="text-align: justify;"&gt;Do návrhu nariadenia vlády sa dopĺňajú technické smerné hodnoty pre tri karcinogény &lt;strong&gt;a mutagény&lt;/strong&gt; v pracovnom ovzduší, ktoré doteraz neboli súčasťou legislatívy Slovenskej republiky&amp;nbsp;(brómetylén, 1,2-epoxypropán, ohňovzdorné keramické vlákna). Zavedenie nových technických smerných hodnôt pre konkrétne karcinogény a &lt;strong&gt;mutagény&lt;/strong&gt; znamená lepšiu ochranu zdravia zamestnancov zabezpečenú dodržiavaním určených technických smerných hodnôt v pracovnom ovzduší. Z&amp;nbsp;ďalších jedenástich karcinogénov a&amp;nbsp;mutagénov, ktorých maximálne hodnoty expozície sú súčasťou smernice a ktoré sú už v&amp;nbsp;súčasnosti uvedené ako technické smerné hodnoty v &amp;nbsp;prílohe č. 2 nariadenia vlády Slovenskej republiky č. 356/2006 Z. z.,&amp;nbsp; sa&amp;nbsp;revidujú technické smerné hodnoty pre sedem karci&lt;strong&gt;nogénov a mutagénov&lt;/strong&gt; v pracovnom ovzduší. Väčšina z&amp;nbsp; revidovaných technických smerných hodnôt má klesajúcu tendenciu, čím je v&amp;nbsp;súlade s&amp;nbsp;európskym cieľom zabezpečená lepšia ochrana zdravia zamestnancov pri práci s karcinogénmi &lt;strong&gt;a mutagénmi&lt;/strong&gt;.&lt;/p&gt;&lt;p style="text-align: justify;"&gt;Návrh nariadenia vlády je v súlade s Ústavou Slovenskej republiky, zákonmi a ďalšími všeobecne záväznými právnymi predpismi ako aj s medzinárodnými zmluvami a medzinárodnými dokumentmi, ktorými je Slovenská republika viazaná a s právom Európskej únie.&lt;/p&gt;&lt;p style="text-align: justify;"&gt;Predložený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 style="text-align: justify;"&gt;Navrhovaná účinnosť nariadenia vlády je od 1. mája 2019.&lt;/p&gt;&lt;p style="text-align: justify;"&gt;Nie je dôvod nesprístupňovania návrhu nariadenia vlády.&lt;/p&gt;&lt;p style="text-align: justify;"&gt;Návrh nariadenia vlády nie je predmetom vnútrokomunitárneho pripomienkového konania.&lt;/p&gt;&lt;p style="text-align: justify;"&gt;Návrh nariadenia vlády sa predkladá do medzirezortného pripomienkového konania.&lt;/p&gt;</vt:lpwstr>
  </property>
  <property name="FSC#SKEDITIONSLOVLEX@103.510:vytvorenedna" pid="150" fmtid="{D5CDD505-2E9C-101B-9397-08002B2CF9AE}">
    <vt:lpwstr>5. 2. 2019</vt:lpwstr>
  </property>
  <property name="FSC#COOSYSTEM@1.1:Container" pid="151" fmtid="{D5CDD505-2E9C-101B-9397-08002B2CF9AE}">
    <vt:lpwstr>COO.2145.1000.3.3193010</vt:lpwstr>
  </property>
  <property name="FSC#FSCFOLIO@1.1001:docpropproject" pid="152" fmtid="{D5CDD505-2E9C-101B-9397-08002B2CF9AE}">
    <vt:lpwstr/>
  </property>
</Properties>
</file>