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D1" w:rsidRPr="008D26FA" w:rsidRDefault="00A23FD1" w:rsidP="008D26FA">
      <w:pPr>
        <w:jc w:val="right"/>
        <w:rPr>
          <w:sz w:val="24"/>
          <w:szCs w:val="24"/>
        </w:rPr>
      </w:pPr>
      <w:bookmarkStart w:id="0" w:name="_GoBack"/>
      <w:bookmarkEnd w:id="0"/>
    </w:p>
    <w:tbl>
      <w:tblPr>
        <w:tblStyle w:val="Mriekatabuky"/>
        <w:tblW w:w="0" w:type="auto"/>
        <w:tblLook w:val="04A0" w:firstRow="1" w:lastRow="0" w:firstColumn="1" w:lastColumn="0" w:noHBand="0" w:noVBand="1"/>
      </w:tblPr>
      <w:tblGrid>
        <w:gridCol w:w="9060"/>
      </w:tblGrid>
      <w:tr w:rsidR="008D26FA" w:rsidRPr="00F04CCD" w:rsidTr="008D26FA">
        <w:trPr>
          <w:trHeight w:val="567"/>
        </w:trPr>
        <w:tc>
          <w:tcPr>
            <w:tcW w:w="9212" w:type="dxa"/>
            <w:shd w:val="clear" w:color="auto" w:fill="D9D9D9" w:themeFill="background1" w:themeFillShade="D9"/>
          </w:tcPr>
          <w:p w:rsidR="008D26FA" w:rsidRPr="003275BB" w:rsidRDefault="008D26FA" w:rsidP="008D26FA">
            <w:pPr>
              <w:jc w:val="center"/>
              <w:rPr>
                <w:b/>
                <w:sz w:val="24"/>
              </w:rPr>
            </w:pPr>
            <w:r w:rsidRPr="003275BB">
              <w:rPr>
                <w:b/>
                <w:sz w:val="28"/>
              </w:rPr>
              <w:t xml:space="preserve">Analýza vplyvov na podnikateľské prostredie </w:t>
            </w:r>
          </w:p>
          <w:p w:rsidR="008D26FA" w:rsidRPr="003275BB" w:rsidRDefault="008D26FA" w:rsidP="008D26FA">
            <w:pPr>
              <w:jc w:val="center"/>
              <w:rPr>
                <w:b/>
              </w:rPr>
            </w:pPr>
            <w:r w:rsidRPr="003275BB">
              <w:rPr>
                <w:b/>
                <w:sz w:val="24"/>
              </w:rPr>
              <w:t>(vrátane testu MSP)</w:t>
            </w:r>
          </w:p>
        </w:tc>
      </w:tr>
      <w:tr w:rsidR="008D26FA" w:rsidRPr="00F04CCD" w:rsidTr="008D26FA">
        <w:trPr>
          <w:trHeight w:val="567"/>
        </w:trPr>
        <w:tc>
          <w:tcPr>
            <w:tcW w:w="9212" w:type="dxa"/>
            <w:shd w:val="clear" w:color="auto" w:fill="D9D9D9" w:themeFill="background1" w:themeFillShade="D9"/>
          </w:tcPr>
          <w:p w:rsidR="008D26FA" w:rsidRPr="003275BB" w:rsidRDefault="008D26FA" w:rsidP="008D26FA">
            <w:pPr>
              <w:rPr>
                <w:b/>
                <w:sz w:val="24"/>
              </w:rPr>
            </w:pPr>
            <w:r w:rsidRPr="003275BB">
              <w:rPr>
                <w:b/>
                <w:sz w:val="24"/>
              </w:rPr>
              <w:t>Materiál bude mať vplyv s ohľadom na veľkostnú kategóriu podnikov:</w:t>
            </w:r>
          </w:p>
        </w:tc>
      </w:tr>
      <w:tr w:rsidR="008D26FA" w:rsidRPr="00F04CCD" w:rsidTr="008D26FA">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3275BB" w:rsidRPr="003275BB" w:rsidTr="008D26FA">
              <w:tc>
                <w:tcPr>
                  <w:tcW w:w="436" w:type="dxa"/>
                  <w:tcBorders>
                    <w:top w:val="nil"/>
                    <w:left w:val="nil"/>
                    <w:bottom w:val="nil"/>
                    <w:right w:val="nil"/>
                  </w:tcBorders>
                </w:tcPr>
                <w:p w:rsidR="008D26FA" w:rsidRPr="003275BB" w:rsidRDefault="008D26FA" w:rsidP="008D26FA">
                  <w:pPr>
                    <w:jc w:val="center"/>
                  </w:pPr>
                  <w:r w:rsidRPr="003275BB">
                    <w:rPr>
                      <w:rFonts w:ascii="MS Gothic" w:eastAsia="MS Gothic" w:hAnsi="MS Gothic" w:hint="eastAsia"/>
                    </w:rPr>
                    <w:t>☐</w:t>
                  </w:r>
                </w:p>
              </w:tc>
              <w:tc>
                <w:tcPr>
                  <w:tcW w:w="8545" w:type="dxa"/>
                  <w:tcBorders>
                    <w:top w:val="nil"/>
                    <w:left w:val="nil"/>
                    <w:bottom w:val="nil"/>
                    <w:right w:val="nil"/>
                  </w:tcBorders>
                </w:tcPr>
                <w:p w:rsidR="008D26FA" w:rsidRPr="003275BB" w:rsidRDefault="008D26FA" w:rsidP="008D26FA">
                  <w:pPr>
                    <w:rPr>
                      <w:b/>
                    </w:rPr>
                  </w:pPr>
                  <w:r w:rsidRPr="003275BB">
                    <w:rPr>
                      <w:b/>
                    </w:rPr>
                    <w:t xml:space="preserve">iba na MSP (0 - 249 zamestnancov) </w:t>
                  </w:r>
                </w:p>
              </w:tc>
            </w:tr>
            <w:tr w:rsidR="003275BB" w:rsidRPr="003275BB" w:rsidTr="008D26FA">
              <w:tc>
                <w:tcPr>
                  <w:tcW w:w="436" w:type="dxa"/>
                  <w:tcBorders>
                    <w:top w:val="nil"/>
                    <w:left w:val="nil"/>
                    <w:bottom w:val="nil"/>
                    <w:right w:val="nil"/>
                  </w:tcBorders>
                </w:tcPr>
                <w:p w:rsidR="008D26FA" w:rsidRPr="003275BB" w:rsidRDefault="008D26FA" w:rsidP="008D26FA">
                  <w:pPr>
                    <w:jc w:val="center"/>
                  </w:pPr>
                  <w:r w:rsidRPr="003275BB">
                    <w:rPr>
                      <w:rFonts w:ascii="Segoe UI Symbol" w:eastAsia="MS Mincho" w:hAnsi="Segoe UI Symbol" w:cs="Segoe UI Symbol"/>
                    </w:rPr>
                    <w:t>☐</w:t>
                  </w:r>
                </w:p>
              </w:tc>
              <w:tc>
                <w:tcPr>
                  <w:tcW w:w="8545" w:type="dxa"/>
                  <w:tcBorders>
                    <w:top w:val="nil"/>
                    <w:left w:val="nil"/>
                    <w:bottom w:val="nil"/>
                    <w:right w:val="nil"/>
                  </w:tcBorders>
                </w:tcPr>
                <w:p w:rsidR="008D26FA" w:rsidRPr="003275BB" w:rsidRDefault="008D26FA" w:rsidP="008D26FA">
                  <w:pPr>
                    <w:rPr>
                      <w:b/>
                    </w:rPr>
                  </w:pPr>
                  <w:r w:rsidRPr="003275BB">
                    <w:rPr>
                      <w:b/>
                    </w:rPr>
                    <w:t>iba na veľké podniky (250 a viac zamestnancov)</w:t>
                  </w:r>
                </w:p>
              </w:tc>
            </w:tr>
            <w:tr w:rsidR="003275BB" w:rsidRPr="003275BB" w:rsidTr="008D26FA">
              <w:tc>
                <w:tcPr>
                  <w:tcW w:w="436" w:type="dxa"/>
                  <w:tcBorders>
                    <w:top w:val="nil"/>
                    <w:left w:val="nil"/>
                    <w:bottom w:val="nil"/>
                    <w:right w:val="nil"/>
                  </w:tcBorders>
                </w:tcPr>
                <w:p w:rsidR="008D26FA" w:rsidRPr="003275BB" w:rsidRDefault="008D26FA" w:rsidP="008D26FA">
                  <w:pPr>
                    <w:jc w:val="center"/>
                  </w:pPr>
                  <w:r w:rsidRPr="003275BB">
                    <w:rPr>
                      <w:rFonts w:ascii="MS Gothic" w:eastAsia="MS Gothic" w:hAnsi="MS Gothic" w:hint="eastAsia"/>
                    </w:rPr>
                    <w:t>☒</w:t>
                  </w:r>
                </w:p>
              </w:tc>
              <w:tc>
                <w:tcPr>
                  <w:tcW w:w="8545" w:type="dxa"/>
                  <w:tcBorders>
                    <w:top w:val="nil"/>
                    <w:left w:val="nil"/>
                    <w:bottom w:val="nil"/>
                    <w:right w:val="nil"/>
                  </w:tcBorders>
                </w:tcPr>
                <w:p w:rsidR="008D26FA" w:rsidRPr="003275BB" w:rsidRDefault="008D26FA" w:rsidP="008D26FA">
                  <w:r w:rsidRPr="003275BB">
                    <w:rPr>
                      <w:b/>
                    </w:rPr>
                    <w:t>na všetky kategórie podnikov</w:t>
                  </w:r>
                </w:p>
              </w:tc>
            </w:tr>
          </w:tbl>
          <w:p w:rsidR="008D26FA" w:rsidRPr="003275BB" w:rsidRDefault="008D26FA" w:rsidP="008D26FA">
            <w:pPr>
              <w:rPr>
                <w:b/>
              </w:rPr>
            </w:pP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3.1 Dotknuté podnikateľské subjekty</w:t>
            </w:r>
          </w:p>
          <w:p w:rsidR="008D26FA" w:rsidRPr="003275BB" w:rsidRDefault="008D26FA" w:rsidP="008D26FA">
            <w:pPr>
              <w:ind w:left="284"/>
              <w:rPr>
                <w:b/>
              </w:rPr>
            </w:pPr>
            <w:r w:rsidRPr="003275BB">
              <w:rPr>
                <w:sz w:val="24"/>
              </w:rPr>
              <w:t xml:space="preserve"> - </w:t>
            </w:r>
            <w:r w:rsidRPr="003275BB">
              <w:rPr>
                <w:b/>
                <w:sz w:val="24"/>
              </w:rPr>
              <w:t>z toho MSP</w:t>
            </w:r>
          </w:p>
        </w:tc>
      </w:tr>
      <w:tr w:rsidR="008D26FA" w:rsidRPr="00F04CCD" w:rsidTr="008D26FA">
        <w:tc>
          <w:tcPr>
            <w:tcW w:w="9212" w:type="dxa"/>
          </w:tcPr>
          <w:p w:rsidR="008D26FA" w:rsidRPr="003275BB" w:rsidRDefault="008D26FA" w:rsidP="008D26FA">
            <w:pPr>
              <w:rPr>
                <w:i/>
              </w:rPr>
            </w:pPr>
          </w:p>
        </w:tc>
      </w:tr>
      <w:tr w:rsidR="008D26FA" w:rsidRPr="00F04CCD" w:rsidTr="008D26FA">
        <w:trPr>
          <w:trHeight w:val="1440"/>
        </w:trPr>
        <w:tc>
          <w:tcPr>
            <w:tcW w:w="9212" w:type="dxa"/>
          </w:tcPr>
          <w:p w:rsidR="008D26FA" w:rsidRPr="003275BB" w:rsidRDefault="002E77F6" w:rsidP="002E77F6">
            <w:pPr>
              <w:jc w:val="both"/>
              <w:rPr>
                <w:highlight w:val="magenta"/>
              </w:rPr>
            </w:pPr>
            <w:r w:rsidRPr="003275BB">
              <w:rPr>
                <w:sz w:val="22"/>
                <w:szCs w:val="22"/>
              </w:rPr>
              <w:t>Prevažne chemický priemysel, zamestnávatelia, ktorých zamestnanci na pracovisku manipulujú (vrátane skladovania) so 14 karcinogénmi a mutagénmi, ktorých TSH sú predmetom novely nariadenia vlády. V doložke vplyvov uvádzame aj najčastejšie využitie uvedených látok podľa dostupných internetových zdrojov.</w:t>
            </w:r>
          </w:p>
        </w:tc>
      </w:tr>
      <w:tr w:rsidR="008D26FA" w:rsidRPr="00F04CCD" w:rsidTr="008D26FA">
        <w:trPr>
          <w:trHeight w:val="339"/>
        </w:trPr>
        <w:tc>
          <w:tcPr>
            <w:tcW w:w="9212" w:type="dxa"/>
            <w:shd w:val="clear" w:color="auto" w:fill="D9D9D9" w:themeFill="background1" w:themeFillShade="D9"/>
          </w:tcPr>
          <w:p w:rsidR="008D26FA" w:rsidRPr="003275BB" w:rsidRDefault="008D26FA" w:rsidP="008D26FA">
            <w:pPr>
              <w:rPr>
                <w:b/>
                <w:sz w:val="24"/>
              </w:rPr>
            </w:pPr>
            <w:r w:rsidRPr="003275BB">
              <w:rPr>
                <w:b/>
                <w:sz w:val="24"/>
              </w:rPr>
              <w:t>3.2 Vyhodnotenie konzultácií</w:t>
            </w:r>
          </w:p>
          <w:p w:rsidR="008D26FA" w:rsidRPr="003275BB" w:rsidRDefault="008D26FA" w:rsidP="008D26FA">
            <w:pPr>
              <w:rPr>
                <w:b/>
              </w:rPr>
            </w:pPr>
            <w:r w:rsidRPr="003275BB">
              <w:rPr>
                <w:sz w:val="24"/>
              </w:rPr>
              <w:t xml:space="preserve">       - </w:t>
            </w:r>
            <w:r w:rsidRPr="003275BB">
              <w:rPr>
                <w:b/>
                <w:sz w:val="24"/>
              </w:rPr>
              <w:t>z toho MSP</w:t>
            </w:r>
          </w:p>
        </w:tc>
      </w:tr>
      <w:tr w:rsidR="008D26FA" w:rsidRPr="00F04CCD" w:rsidTr="00D30BC1">
        <w:trPr>
          <w:trHeight w:val="301"/>
        </w:trPr>
        <w:tc>
          <w:tcPr>
            <w:tcW w:w="9212" w:type="dxa"/>
          </w:tcPr>
          <w:p w:rsidR="008D26FA" w:rsidRPr="003275BB" w:rsidRDefault="008D26FA" w:rsidP="008D26FA">
            <w:pPr>
              <w:rPr>
                <w:i/>
              </w:rPr>
            </w:pPr>
            <w:r w:rsidRPr="003275BB">
              <w:rPr>
                <w:i/>
              </w:rPr>
              <w:t xml:space="preserve"> </w:t>
            </w:r>
          </w:p>
        </w:tc>
      </w:tr>
      <w:tr w:rsidR="008D26FA" w:rsidRPr="00F04CCD" w:rsidTr="008D26FA">
        <w:trPr>
          <w:trHeight w:val="1440"/>
        </w:trPr>
        <w:tc>
          <w:tcPr>
            <w:tcW w:w="9212" w:type="dxa"/>
          </w:tcPr>
          <w:p w:rsidR="00977934" w:rsidRPr="003275BB" w:rsidRDefault="00977934" w:rsidP="00977934">
            <w:pPr>
              <w:jc w:val="both"/>
              <w:rPr>
                <w:sz w:val="22"/>
                <w:szCs w:val="22"/>
              </w:rPr>
            </w:pPr>
            <w:r w:rsidRPr="003275BB">
              <w:rPr>
                <w:sz w:val="22"/>
                <w:szCs w:val="22"/>
              </w:rPr>
              <w:t xml:space="preserve">Ministerstvo zdravotníctva SR uverejnilo na portáli Slov-Lex predbežnú informáciu k návrhu nariadenia vlády Slovenskej republiky, ktorým sa mení a dopĺňa nariadenie vlády Slovenskej republiky č. 356/2006 Z. z. o ochrane zdravia zamestnancov pred rizikami súvisiacimi s expozíciou karcinogénnym a mutagénnym faktorom pri práci v znení neskorších predpisov, číslo legislatívneho procesu: PI/2018/190, dátum začiatku PK: 11.09.2018, dátum konca PK: 24.09.2018. </w:t>
            </w:r>
          </w:p>
          <w:p w:rsidR="00977934" w:rsidRPr="003275BB" w:rsidRDefault="00977934" w:rsidP="00977934">
            <w:pPr>
              <w:jc w:val="both"/>
              <w:rPr>
                <w:sz w:val="22"/>
                <w:szCs w:val="22"/>
              </w:rPr>
            </w:pPr>
            <w:r w:rsidRPr="003275BB">
              <w:rPr>
                <w:sz w:val="22"/>
                <w:szCs w:val="22"/>
              </w:rPr>
              <w:t xml:space="preserve">Predbežná informácia bola súbežne </w:t>
            </w:r>
            <w:r w:rsidR="00F85082" w:rsidRPr="003275BB">
              <w:rPr>
                <w:sz w:val="22"/>
                <w:szCs w:val="22"/>
              </w:rPr>
              <w:t xml:space="preserve">elektronicky </w:t>
            </w:r>
            <w:r w:rsidRPr="003275BB">
              <w:rPr>
                <w:sz w:val="22"/>
                <w:szCs w:val="22"/>
              </w:rPr>
              <w:t xml:space="preserve">zaslaná dňa 06.09.2018 na Ministerstvo hospodárstva SR s požiadavkou na zabezpečenie konzultácií v zmysle Jednotnej metodiky na posudzovanie vybraných vplyvov. Ministerstvo hospodárstva SR oslovilo dňa 06.09.2018 dotknuté subjekty s požiadavkou vo veci konzultácií v termíne do 13.09.2018. </w:t>
            </w:r>
          </w:p>
          <w:p w:rsidR="00977934" w:rsidRPr="003275BB" w:rsidRDefault="00977934" w:rsidP="00977934">
            <w:pPr>
              <w:jc w:val="both"/>
              <w:rPr>
                <w:sz w:val="22"/>
                <w:szCs w:val="22"/>
              </w:rPr>
            </w:pPr>
            <w:r w:rsidRPr="003275BB">
              <w:rPr>
                <w:sz w:val="22"/>
                <w:szCs w:val="22"/>
              </w:rPr>
              <w:t xml:space="preserve">Jeden subjekt si vyžiadal podrobnejšie informácie o pripravovanom návrhu nariadenia vlády. </w:t>
            </w:r>
          </w:p>
          <w:p w:rsidR="007C7563" w:rsidRPr="003275BB" w:rsidRDefault="007C7563" w:rsidP="00977934">
            <w:pPr>
              <w:jc w:val="both"/>
              <w:rPr>
                <w:sz w:val="22"/>
                <w:szCs w:val="22"/>
              </w:rPr>
            </w:pPr>
            <w:r w:rsidRPr="003275BB">
              <w:rPr>
                <w:sz w:val="22"/>
                <w:szCs w:val="22"/>
              </w:rPr>
              <w:t>Ani jeden oslovený subjekt nepredložil ani jednu pripomienku k návrhu nariadenia vlády.</w:t>
            </w: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3.3 Náklady regulácie</w:t>
            </w:r>
          </w:p>
          <w:p w:rsidR="008D26FA" w:rsidRPr="003275BB" w:rsidRDefault="008D26FA" w:rsidP="008D26FA">
            <w:pPr>
              <w:rPr>
                <w:b/>
              </w:rPr>
            </w:pPr>
            <w:r w:rsidRPr="003275BB">
              <w:rPr>
                <w:sz w:val="24"/>
              </w:rPr>
              <w:t xml:space="preserve">      - </w:t>
            </w:r>
            <w:r w:rsidRPr="003275BB">
              <w:rPr>
                <w:b/>
                <w:sz w:val="24"/>
              </w:rPr>
              <w:t>z toho MSP</w:t>
            </w:r>
          </w:p>
        </w:tc>
      </w:tr>
      <w:tr w:rsidR="008D26FA" w:rsidRPr="00F04CCD" w:rsidTr="008D26FA">
        <w:tc>
          <w:tcPr>
            <w:tcW w:w="9212" w:type="dxa"/>
          </w:tcPr>
          <w:p w:rsidR="008D26FA" w:rsidRPr="003275BB" w:rsidRDefault="008D26FA" w:rsidP="008D26FA">
            <w:pPr>
              <w:rPr>
                <w:b/>
                <w:i/>
              </w:rPr>
            </w:pPr>
            <w:r w:rsidRPr="003275BB">
              <w:rPr>
                <w:b/>
                <w:i/>
              </w:rPr>
              <w:t>3.3.1 Priame finančné náklady</w:t>
            </w:r>
          </w:p>
          <w:p w:rsidR="008D26FA" w:rsidRPr="003275BB" w:rsidRDefault="008D26FA" w:rsidP="008D26FA">
            <w:pPr>
              <w:rPr>
                <w:i/>
              </w:rPr>
            </w:pPr>
          </w:p>
        </w:tc>
      </w:tr>
      <w:tr w:rsidR="008D26FA" w:rsidRPr="00F04CCD" w:rsidTr="008D26FA">
        <w:tc>
          <w:tcPr>
            <w:tcW w:w="9212" w:type="dxa"/>
          </w:tcPr>
          <w:p w:rsidR="00D30BC1" w:rsidRPr="003275BB" w:rsidRDefault="00D30BC1" w:rsidP="00D30BC1">
            <w:pPr>
              <w:jc w:val="both"/>
              <w:rPr>
                <w:sz w:val="22"/>
                <w:szCs w:val="22"/>
              </w:rPr>
            </w:pPr>
            <w:r w:rsidRPr="003275BB">
              <w:rPr>
                <w:sz w:val="22"/>
                <w:szCs w:val="22"/>
              </w:rPr>
              <w:t>Pozitívny vplyv na podnikateľské prostredie:</w:t>
            </w:r>
          </w:p>
          <w:p w:rsidR="008E04A0" w:rsidRPr="003275BB" w:rsidRDefault="009B6AF0" w:rsidP="008A5F2C">
            <w:pPr>
              <w:pStyle w:val="Odsekzoznamu"/>
              <w:numPr>
                <w:ilvl w:val="0"/>
                <w:numId w:val="9"/>
              </w:numPr>
              <w:spacing w:line="240" w:lineRule="auto"/>
              <w:ind w:left="426"/>
              <w:jc w:val="both"/>
              <w:rPr>
                <w:rFonts w:ascii="Times New Roman" w:hAnsi="Times New Roman"/>
              </w:rPr>
            </w:pPr>
            <w:r w:rsidRPr="003275BB">
              <w:rPr>
                <w:rFonts w:ascii="Times New Roman" w:hAnsi="Times New Roman"/>
              </w:rPr>
              <w:t xml:space="preserve">Podniky by mali profitovať z jasnejších a homogénnejších podmienok. V prípade 11 faktorov zahrnutých v tomto návrhu už TSH existujú na vnútroštátnej úrovni, </w:t>
            </w:r>
            <w:r w:rsidR="00793D9D" w:rsidRPr="003275BB">
              <w:rPr>
                <w:rFonts w:ascii="Times New Roman" w:hAnsi="Times New Roman"/>
              </w:rPr>
              <w:t>z toho u</w:t>
            </w:r>
            <w:r w:rsidRPr="003275BB">
              <w:rPr>
                <w:rFonts w:ascii="Times New Roman" w:hAnsi="Times New Roman"/>
              </w:rPr>
              <w:t xml:space="preserve"> 4 sa nemení TSH a v jednom prípade sa TSH </w:t>
            </w:r>
            <w:r w:rsidR="000D0F6D" w:rsidRPr="003275BB">
              <w:rPr>
                <w:rFonts w:ascii="Times New Roman" w:hAnsi="Times New Roman"/>
              </w:rPr>
              <w:t>uvoľňuje</w:t>
            </w:r>
            <w:r w:rsidR="008A5F2C" w:rsidRPr="003275BB">
              <w:rPr>
                <w:rFonts w:ascii="Times New Roman" w:hAnsi="Times New Roman"/>
              </w:rPr>
              <w:t xml:space="preserve"> (akrylamid)</w:t>
            </w:r>
            <w:r w:rsidRPr="003275BB">
              <w:rPr>
                <w:rFonts w:ascii="Times New Roman" w:hAnsi="Times New Roman"/>
              </w:rPr>
              <w:t xml:space="preserve">. </w:t>
            </w:r>
          </w:p>
          <w:p w:rsidR="00D30BC1" w:rsidRPr="003275BB" w:rsidRDefault="00D30BC1" w:rsidP="00D30BC1">
            <w:pPr>
              <w:jc w:val="both"/>
              <w:rPr>
                <w:sz w:val="22"/>
                <w:szCs w:val="22"/>
                <w:u w:val="single"/>
              </w:rPr>
            </w:pPr>
            <w:r w:rsidRPr="003275BB">
              <w:rPr>
                <w:sz w:val="22"/>
                <w:szCs w:val="22"/>
                <w:u w:val="single"/>
              </w:rPr>
              <w:t>Negatívny vplyv na podnikateľské prostredie:</w:t>
            </w:r>
          </w:p>
          <w:p w:rsidR="00FB6C6D" w:rsidRPr="003275BB" w:rsidRDefault="00FB6C6D" w:rsidP="00D30BC1">
            <w:pPr>
              <w:jc w:val="both"/>
              <w:rPr>
                <w:sz w:val="22"/>
                <w:szCs w:val="22"/>
              </w:rPr>
            </w:pPr>
          </w:p>
          <w:p w:rsidR="00D30BC1" w:rsidRPr="003275BB" w:rsidRDefault="00793D9D" w:rsidP="00FB6C6D">
            <w:pPr>
              <w:pStyle w:val="Odsekzoznamu"/>
              <w:numPr>
                <w:ilvl w:val="0"/>
                <w:numId w:val="4"/>
              </w:numPr>
              <w:spacing w:after="0" w:line="240" w:lineRule="auto"/>
              <w:jc w:val="both"/>
              <w:rPr>
                <w:rFonts w:ascii="Times New Roman" w:hAnsi="Times New Roman"/>
              </w:rPr>
            </w:pPr>
            <w:r w:rsidRPr="003275BB">
              <w:rPr>
                <w:rFonts w:ascii="Times New Roman" w:hAnsi="Times New Roman"/>
              </w:rPr>
              <w:t>J</w:t>
            </w:r>
            <w:r w:rsidR="00D30BC1" w:rsidRPr="003275BB">
              <w:rPr>
                <w:rFonts w:ascii="Times New Roman" w:hAnsi="Times New Roman"/>
              </w:rPr>
              <w:t xml:space="preserve">e možné predpokladať nárast počtu rizikových prác vzhľadom na sprísnenie </w:t>
            </w:r>
            <w:r w:rsidR="005C4F0C" w:rsidRPr="003275BB">
              <w:rPr>
                <w:rFonts w:ascii="Times New Roman" w:hAnsi="Times New Roman"/>
              </w:rPr>
              <w:t>TSH</w:t>
            </w:r>
            <w:r w:rsidR="00FB3D81" w:rsidRPr="003275BB">
              <w:rPr>
                <w:rFonts w:ascii="Times New Roman" w:hAnsi="Times New Roman"/>
              </w:rPr>
              <w:t xml:space="preserve"> </w:t>
            </w:r>
            <w:r w:rsidR="005C4F0C" w:rsidRPr="003275BB">
              <w:rPr>
                <w:rFonts w:ascii="Times New Roman" w:hAnsi="Times New Roman"/>
              </w:rPr>
              <w:t>6 karcinogénov a mutagénov</w:t>
            </w:r>
            <w:r w:rsidR="00D30BC1" w:rsidRPr="003275BB">
              <w:rPr>
                <w:rFonts w:ascii="Times New Roman" w:hAnsi="Times New Roman"/>
              </w:rPr>
              <w:t xml:space="preserve">, pričom vplyv </w:t>
            </w:r>
            <w:r w:rsidR="00FB3D81" w:rsidRPr="003275BB">
              <w:rPr>
                <w:rFonts w:ascii="Times New Roman" w:hAnsi="Times New Roman"/>
              </w:rPr>
              <w:t>zmien</w:t>
            </w:r>
            <w:r w:rsidR="00D30BC1" w:rsidRPr="003275BB">
              <w:rPr>
                <w:rFonts w:ascii="Times New Roman" w:hAnsi="Times New Roman"/>
              </w:rPr>
              <w:t xml:space="preserve"> na zmeny počtu osôb vykonávajúcich rizikové práce nie je možné presne určiť.</w:t>
            </w:r>
            <w:r w:rsidR="008C0DBA" w:rsidRPr="003275BB">
              <w:rPr>
                <w:rFonts w:ascii="Times New Roman" w:hAnsi="Times New Roman"/>
              </w:rPr>
              <w:t xml:space="preserve"> </w:t>
            </w:r>
            <w:r w:rsidR="008C0DBA" w:rsidRPr="003275BB">
              <w:rPr>
                <w:rFonts w:ascii="Times New Roman" w:hAnsi="Times New Roman"/>
                <w:b/>
              </w:rPr>
              <w:t>Nepredpokladá sa, že bude potrebné vyhlasovať rizikové práce u všetkých dotknutých subjektov, iba u tých, ktorí nebudú mať dostatočné technické alebo technologické opatrenia</w:t>
            </w:r>
            <w:r w:rsidR="008C0DBA" w:rsidRPr="003275BB">
              <w:rPr>
                <w:rFonts w:ascii="Times New Roman" w:hAnsi="Times New Roman"/>
              </w:rPr>
              <w:t xml:space="preserve"> na </w:t>
            </w:r>
            <w:r w:rsidR="00FB3D81" w:rsidRPr="003275BB">
              <w:rPr>
                <w:rFonts w:ascii="Times New Roman" w:hAnsi="Times New Roman"/>
              </w:rPr>
              <w:t xml:space="preserve">zníženie </w:t>
            </w:r>
            <w:r w:rsidR="008C0DBA" w:rsidRPr="003275BB">
              <w:rPr>
                <w:rFonts w:ascii="Times New Roman" w:hAnsi="Times New Roman"/>
              </w:rPr>
              <w:t>e</w:t>
            </w:r>
            <w:r w:rsidR="00FB3D81" w:rsidRPr="003275BB">
              <w:rPr>
                <w:rFonts w:ascii="Times New Roman" w:hAnsi="Times New Roman"/>
              </w:rPr>
              <w:t xml:space="preserve">xpozície zamestnancov uvedeným </w:t>
            </w:r>
            <w:r w:rsidR="00FF72E2" w:rsidRPr="003275BB">
              <w:rPr>
                <w:rFonts w:ascii="Times New Roman" w:hAnsi="Times New Roman"/>
              </w:rPr>
              <w:t>karcinogénom a mutagénom</w:t>
            </w:r>
            <w:r w:rsidR="008C0DBA" w:rsidRPr="003275BB">
              <w:rPr>
                <w:rFonts w:ascii="Times New Roman" w:hAnsi="Times New Roman"/>
              </w:rPr>
              <w:t>.</w:t>
            </w:r>
          </w:p>
          <w:p w:rsidR="00D30BC1" w:rsidRPr="003275BB" w:rsidRDefault="00FB6C6D" w:rsidP="00793D9D">
            <w:pPr>
              <w:ind w:left="426"/>
              <w:jc w:val="both"/>
              <w:rPr>
                <w:sz w:val="22"/>
                <w:szCs w:val="22"/>
              </w:rPr>
            </w:pPr>
            <w:r w:rsidRPr="003275BB">
              <w:rPr>
                <w:sz w:val="22"/>
                <w:szCs w:val="22"/>
              </w:rPr>
              <w:t>Vyčíslenie:</w:t>
            </w:r>
          </w:p>
          <w:p w:rsidR="00273926" w:rsidRPr="003275BB" w:rsidRDefault="00273926" w:rsidP="00793D9D">
            <w:pPr>
              <w:ind w:left="426"/>
              <w:jc w:val="both"/>
              <w:rPr>
                <w:sz w:val="22"/>
                <w:szCs w:val="22"/>
              </w:rPr>
            </w:pPr>
            <w:r w:rsidRPr="003275BB">
              <w:rPr>
                <w:sz w:val="22"/>
                <w:szCs w:val="22"/>
              </w:rPr>
              <w:t xml:space="preserve">V súčasnosti nie je možné </w:t>
            </w:r>
            <w:r w:rsidR="008C0DBA" w:rsidRPr="003275BB">
              <w:rPr>
                <w:sz w:val="22"/>
                <w:szCs w:val="22"/>
              </w:rPr>
              <w:t>negatívny</w:t>
            </w:r>
            <w:r w:rsidRPr="003275BB">
              <w:rPr>
                <w:sz w:val="22"/>
                <w:szCs w:val="22"/>
              </w:rPr>
              <w:t xml:space="preserve"> vplyv (pravdepodobné z</w:t>
            </w:r>
            <w:r w:rsidR="008C0DBA" w:rsidRPr="003275BB">
              <w:rPr>
                <w:sz w:val="22"/>
                <w:szCs w:val="22"/>
              </w:rPr>
              <w:t>výšenie</w:t>
            </w:r>
            <w:r w:rsidRPr="003275BB">
              <w:rPr>
                <w:sz w:val="22"/>
                <w:szCs w:val="22"/>
              </w:rPr>
              <w:t xml:space="preserve"> nákladov zamestnávateľov) kvantifikovať konkrétne, iba opisne:</w:t>
            </w:r>
          </w:p>
          <w:p w:rsidR="00273926" w:rsidRPr="003275BB" w:rsidRDefault="008C0DBA" w:rsidP="00793D9D">
            <w:pPr>
              <w:ind w:left="426"/>
              <w:jc w:val="both"/>
              <w:rPr>
                <w:rFonts w:cs="Calibri"/>
                <w:sz w:val="22"/>
                <w:szCs w:val="22"/>
              </w:rPr>
            </w:pPr>
            <w:r w:rsidRPr="003275BB">
              <w:rPr>
                <w:rFonts w:cs="Calibri"/>
                <w:sz w:val="22"/>
                <w:szCs w:val="22"/>
              </w:rPr>
              <w:t xml:space="preserve">V prípade vyhlásenia rizikovej práce u 1 zamestnanca sa zvýšenie </w:t>
            </w:r>
            <w:r w:rsidR="00273926" w:rsidRPr="003275BB">
              <w:rPr>
                <w:rFonts w:cs="Calibri"/>
                <w:sz w:val="22"/>
                <w:szCs w:val="22"/>
              </w:rPr>
              <w:t>nákladov zamestnávateľ</w:t>
            </w:r>
            <w:r w:rsidRPr="003275BB">
              <w:rPr>
                <w:rFonts w:cs="Calibri"/>
                <w:sz w:val="22"/>
                <w:szCs w:val="22"/>
              </w:rPr>
              <w:t>a</w:t>
            </w:r>
            <w:r w:rsidR="00273926" w:rsidRPr="003275BB">
              <w:rPr>
                <w:rFonts w:cs="Calibri"/>
                <w:sz w:val="22"/>
                <w:szCs w:val="22"/>
              </w:rPr>
              <w:t xml:space="preserve"> bude týkať </w:t>
            </w:r>
            <w:r w:rsidR="000D31F3" w:rsidRPr="003275BB">
              <w:rPr>
                <w:rFonts w:cs="Calibri"/>
                <w:sz w:val="22"/>
                <w:szCs w:val="22"/>
              </w:rPr>
              <w:t>dvoch</w:t>
            </w:r>
            <w:r w:rsidR="00273926" w:rsidRPr="003275BB">
              <w:rPr>
                <w:rFonts w:cs="Calibri"/>
                <w:sz w:val="22"/>
                <w:szCs w:val="22"/>
              </w:rPr>
              <w:t xml:space="preserve"> položiek: mzdovej kompenzácie za sťažený výkon práce a príspevku </w:t>
            </w:r>
            <w:r w:rsidR="00643E65" w:rsidRPr="003275BB">
              <w:rPr>
                <w:rFonts w:cs="Calibri"/>
                <w:sz w:val="22"/>
                <w:szCs w:val="22"/>
              </w:rPr>
              <w:t>zamestnávateľa na doplnkové dôchodkové sporenie zamestnanca, ktorý vykonáva prácu zaradenú do kategórie 3 a 4.</w:t>
            </w:r>
          </w:p>
          <w:p w:rsidR="00273926" w:rsidRPr="003275BB" w:rsidRDefault="00273926" w:rsidP="00793D9D">
            <w:pPr>
              <w:ind w:left="426"/>
              <w:jc w:val="both"/>
              <w:rPr>
                <w:rFonts w:cs="Calibri"/>
                <w:sz w:val="22"/>
                <w:szCs w:val="22"/>
              </w:rPr>
            </w:pPr>
            <w:r w:rsidRPr="003275BB">
              <w:rPr>
                <w:rFonts w:cs="Calibri"/>
                <w:sz w:val="22"/>
                <w:szCs w:val="22"/>
              </w:rPr>
              <w:lastRenderedPageBreak/>
              <w:t xml:space="preserve">Mzdová kompenzácia za sťažený výkon práce predstavuje </w:t>
            </w:r>
            <w:r w:rsidRPr="003275BB">
              <w:rPr>
                <w:sz w:val="22"/>
                <w:szCs w:val="22"/>
              </w:rPr>
              <w:t xml:space="preserve"> </w:t>
            </w:r>
            <w:r w:rsidRPr="003275BB">
              <w:rPr>
                <w:rFonts w:cs="Calibri"/>
                <w:sz w:val="22"/>
                <w:szCs w:val="22"/>
              </w:rPr>
              <w:t>najmenej 20 % minimálnej mzdy v eurách za hodinu (§ 124 Zákonníka práce).</w:t>
            </w:r>
            <w:r w:rsidR="00643E65" w:rsidRPr="003275BB">
              <w:rPr>
                <w:rFonts w:cs="Calibri"/>
                <w:sz w:val="22"/>
                <w:szCs w:val="22"/>
              </w:rPr>
              <w:t xml:space="preserve"> </w:t>
            </w:r>
          </w:p>
          <w:p w:rsidR="00643E65" w:rsidRPr="003275BB" w:rsidRDefault="007B7171" w:rsidP="00793D9D">
            <w:pPr>
              <w:ind w:left="426"/>
              <w:jc w:val="both"/>
              <w:rPr>
                <w:rFonts w:cs="Calibri"/>
                <w:sz w:val="22"/>
                <w:szCs w:val="22"/>
              </w:rPr>
            </w:pPr>
            <w:r w:rsidRPr="003275BB">
              <w:rPr>
                <w:rFonts w:ascii="Times" w:hAnsi="Times" w:cs="Times"/>
                <w:sz w:val="22"/>
                <w:szCs w:val="22"/>
              </w:rPr>
              <w: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w:t>
            </w:r>
          </w:p>
          <w:p w:rsidR="008D26FA" w:rsidRPr="003275BB" w:rsidRDefault="00643E65" w:rsidP="00793D9D">
            <w:pPr>
              <w:ind w:left="426"/>
              <w:jc w:val="both"/>
              <w:rPr>
                <w:rFonts w:cs="Calibri"/>
                <w:sz w:val="22"/>
                <w:szCs w:val="22"/>
              </w:rPr>
            </w:pPr>
            <w:r w:rsidRPr="003275BB">
              <w:rPr>
                <w:rFonts w:cs="Calibri"/>
                <w:sz w:val="22"/>
                <w:szCs w:val="22"/>
              </w:rPr>
              <w:t xml:space="preserve">Predkladateľ </w:t>
            </w:r>
            <w:r w:rsidR="00E7434D" w:rsidRPr="003275BB">
              <w:rPr>
                <w:rFonts w:cs="Calibri"/>
                <w:sz w:val="22"/>
                <w:szCs w:val="22"/>
              </w:rPr>
              <w:t xml:space="preserve">však </w:t>
            </w:r>
            <w:r w:rsidRPr="003275BB">
              <w:rPr>
                <w:rFonts w:cs="Calibri"/>
                <w:sz w:val="22"/>
                <w:szCs w:val="22"/>
              </w:rPr>
              <w:t>nepozná vymeriavacie základy jednotlivých dotknutých zamestnancov</w:t>
            </w:r>
            <w:r w:rsidR="00AF115F" w:rsidRPr="003275BB">
              <w:rPr>
                <w:rFonts w:cs="Calibri"/>
                <w:sz w:val="22"/>
                <w:szCs w:val="22"/>
              </w:rPr>
              <w:t xml:space="preserve"> ani ich počet</w:t>
            </w:r>
            <w:r w:rsidR="00642ED5" w:rsidRPr="003275BB">
              <w:rPr>
                <w:rFonts w:cs="Calibri"/>
                <w:sz w:val="22"/>
                <w:szCs w:val="22"/>
              </w:rPr>
              <w:t>.</w:t>
            </w:r>
          </w:p>
          <w:p w:rsidR="002D2C68" w:rsidRPr="003275BB" w:rsidRDefault="002D2C68" w:rsidP="00793D9D">
            <w:pPr>
              <w:ind w:left="426"/>
              <w:jc w:val="both"/>
              <w:rPr>
                <w:rFonts w:cs="Calibri"/>
                <w:sz w:val="22"/>
                <w:szCs w:val="22"/>
              </w:rPr>
            </w:pPr>
          </w:p>
          <w:p w:rsidR="00ED1615" w:rsidRPr="003275BB" w:rsidRDefault="005C4F0C" w:rsidP="00793D9D">
            <w:pPr>
              <w:ind w:left="426"/>
              <w:jc w:val="both"/>
              <w:rPr>
                <w:sz w:val="22"/>
                <w:szCs w:val="22"/>
              </w:rPr>
            </w:pPr>
            <w:r w:rsidRPr="003275BB">
              <w:rPr>
                <w:sz w:val="22"/>
                <w:szCs w:val="22"/>
              </w:rPr>
              <w:t>V Slovenskej republike bolo k 30. 6. 2018 evidovaných 5</w:t>
            </w:r>
            <w:r w:rsidR="00793D9D" w:rsidRPr="003275BB">
              <w:rPr>
                <w:sz w:val="22"/>
                <w:szCs w:val="22"/>
              </w:rPr>
              <w:t> </w:t>
            </w:r>
            <w:r w:rsidRPr="003275BB">
              <w:rPr>
                <w:sz w:val="22"/>
                <w:szCs w:val="22"/>
              </w:rPr>
              <w:t>818</w:t>
            </w:r>
            <w:r w:rsidR="00793D9D" w:rsidRPr="003275BB">
              <w:rPr>
                <w:sz w:val="22"/>
                <w:szCs w:val="22"/>
              </w:rPr>
              <w:t xml:space="preserve"> </w:t>
            </w:r>
            <w:r w:rsidRPr="003275BB">
              <w:rPr>
                <w:sz w:val="22"/>
                <w:szCs w:val="22"/>
              </w:rPr>
              <w:t>zamestnancov (z toho 2 090 žien), vykonávajúcich rizikové práce s expozíciou chemickým karcinogénom a</w:t>
            </w:r>
            <w:r w:rsidR="002D2C68" w:rsidRPr="003275BB">
              <w:rPr>
                <w:sz w:val="22"/>
                <w:szCs w:val="22"/>
              </w:rPr>
              <w:t> </w:t>
            </w:r>
            <w:r w:rsidRPr="003275BB">
              <w:rPr>
                <w:sz w:val="22"/>
                <w:szCs w:val="22"/>
              </w:rPr>
              <w:t>mutagénom</w:t>
            </w:r>
            <w:r w:rsidR="002D2C68" w:rsidRPr="003275BB">
              <w:rPr>
                <w:sz w:val="22"/>
                <w:szCs w:val="22"/>
              </w:rPr>
              <w:t xml:space="preserve"> u približne 320 zamestnávateľov</w:t>
            </w:r>
            <w:r w:rsidRPr="003275BB">
              <w:rPr>
                <w:sz w:val="22"/>
                <w:szCs w:val="22"/>
              </w:rPr>
              <w:t>.</w:t>
            </w:r>
            <w:r w:rsidR="002D2C68" w:rsidRPr="003275BB">
              <w:rPr>
                <w:sz w:val="22"/>
                <w:szCs w:val="22"/>
              </w:rPr>
              <w:t xml:space="preserve"> Tieto údaje sa vzťahujú k vyhláseným rizikovým prácam v vzťahu k</w:t>
            </w:r>
            <w:r w:rsidR="00152211" w:rsidRPr="003275BB">
              <w:rPr>
                <w:sz w:val="22"/>
                <w:szCs w:val="22"/>
              </w:rPr>
              <w:t>u</w:t>
            </w:r>
            <w:r w:rsidR="002D2C68" w:rsidRPr="003275BB">
              <w:rPr>
                <w:sz w:val="22"/>
                <w:szCs w:val="22"/>
              </w:rPr>
              <w:t xml:space="preserve"> karcinogénom a mutagénom v aktuálne platnom znení nariadenia vlády.</w:t>
            </w:r>
          </w:p>
          <w:p w:rsidR="00ED1615" w:rsidRPr="003275BB" w:rsidRDefault="00ED1615" w:rsidP="00793D9D">
            <w:pPr>
              <w:ind w:left="426"/>
              <w:jc w:val="both"/>
              <w:rPr>
                <w:sz w:val="22"/>
                <w:szCs w:val="22"/>
              </w:rPr>
            </w:pPr>
            <w:r w:rsidRPr="003275BB">
              <w:rPr>
                <w:sz w:val="22"/>
                <w:szCs w:val="22"/>
              </w:rPr>
              <w:t>Vplyv zmien v</w:t>
            </w:r>
            <w:r w:rsidR="005C4F0C" w:rsidRPr="003275BB">
              <w:rPr>
                <w:sz w:val="22"/>
                <w:szCs w:val="22"/>
              </w:rPr>
              <w:t xml:space="preserve"> TSH karcinogénov a mutagénov </w:t>
            </w:r>
            <w:r w:rsidRPr="003275BB">
              <w:rPr>
                <w:sz w:val="22"/>
                <w:szCs w:val="22"/>
              </w:rPr>
              <w:t>v návrhu nariadenia vlády (</w:t>
            </w:r>
            <w:r w:rsidR="005C4F0C" w:rsidRPr="003275BB">
              <w:rPr>
                <w:sz w:val="22"/>
                <w:szCs w:val="22"/>
              </w:rPr>
              <w:t>6</w:t>
            </w:r>
            <w:r w:rsidRPr="003275BB">
              <w:rPr>
                <w:sz w:val="22"/>
                <w:szCs w:val="22"/>
              </w:rPr>
              <w:t xml:space="preserve"> sprísnených </w:t>
            </w:r>
            <w:r w:rsidR="005C4F0C" w:rsidRPr="003275BB">
              <w:rPr>
                <w:sz w:val="22"/>
                <w:szCs w:val="22"/>
              </w:rPr>
              <w:t>TSH</w:t>
            </w:r>
            <w:r w:rsidRPr="003275BB">
              <w:rPr>
                <w:sz w:val="22"/>
                <w:szCs w:val="22"/>
              </w:rPr>
              <w:t xml:space="preserve">, </w:t>
            </w:r>
            <w:r w:rsidR="005C4F0C" w:rsidRPr="003275BB">
              <w:rPr>
                <w:sz w:val="22"/>
                <w:szCs w:val="22"/>
              </w:rPr>
              <w:t>3</w:t>
            </w:r>
            <w:r w:rsidRPr="003275BB">
              <w:rPr>
                <w:sz w:val="22"/>
                <w:szCs w:val="22"/>
              </w:rPr>
              <w:t xml:space="preserve"> novozaveden</w:t>
            </w:r>
            <w:r w:rsidR="005C4F0C" w:rsidRPr="003275BB">
              <w:rPr>
                <w:sz w:val="22"/>
                <w:szCs w:val="22"/>
              </w:rPr>
              <w:t>é TSH</w:t>
            </w:r>
            <w:r w:rsidRPr="003275BB">
              <w:rPr>
                <w:sz w:val="22"/>
                <w:szCs w:val="22"/>
              </w:rPr>
              <w:t xml:space="preserve">) na zmeny počtu osôb vykonávajúcich rizikové práce nie je možné kvantifikovať. Nepredpokladá sa však, že bude potrebné vyhlasovať rizikové práce u všetkých dotknutých subjektov, iba u tých, ktorí nebudú mať dostatočné technické alebo technologické opatrenia na zníženie expozície zamestnancov uvedeným </w:t>
            </w:r>
            <w:r w:rsidR="00FF72E2" w:rsidRPr="003275BB">
              <w:rPr>
                <w:sz w:val="22"/>
                <w:szCs w:val="22"/>
              </w:rPr>
              <w:t>karcinogénom a mutagénom</w:t>
            </w:r>
            <w:r w:rsidRPr="003275BB">
              <w:rPr>
                <w:sz w:val="22"/>
                <w:szCs w:val="22"/>
              </w:rPr>
              <w:t>.</w:t>
            </w:r>
          </w:p>
          <w:p w:rsidR="008A5F2C" w:rsidRPr="003275BB" w:rsidRDefault="008A5F2C" w:rsidP="005C4F0C">
            <w:pPr>
              <w:jc w:val="both"/>
              <w:rPr>
                <w:sz w:val="22"/>
                <w:szCs w:val="22"/>
              </w:rPr>
            </w:pPr>
          </w:p>
          <w:p w:rsidR="008A5F2C" w:rsidRPr="003275BB" w:rsidRDefault="008A5F2C" w:rsidP="00793D9D">
            <w:pPr>
              <w:pStyle w:val="Odsekzoznamu"/>
              <w:numPr>
                <w:ilvl w:val="0"/>
                <w:numId w:val="9"/>
              </w:numPr>
              <w:spacing w:line="240" w:lineRule="auto"/>
              <w:ind w:left="426"/>
              <w:jc w:val="both"/>
              <w:rPr>
                <w:rFonts w:ascii="Times New Roman" w:hAnsi="Times New Roman"/>
              </w:rPr>
            </w:pPr>
            <w:r w:rsidRPr="003275BB">
              <w:rPr>
                <w:rFonts w:ascii="Times New Roman" w:hAnsi="Times New Roman"/>
              </w:rPr>
              <w:t>Malé a stredné podniky nie sú vyňaté spod pôsobnosti smernice</w:t>
            </w:r>
            <w:r w:rsidR="00A74865" w:rsidRPr="003275BB">
              <w:rPr>
                <w:rFonts w:ascii="Times New Roman" w:hAnsi="Times New Roman"/>
              </w:rPr>
              <w:t xml:space="preserve"> a teda ani návrhu nariadenia vlády</w:t>
            </w:r>
            <w:r w:rsidRPr="003275BB">
              <w:rPr>
                <w:rFonts w:ascii="Times New Roman" w:hAnsi="Times New Roman"/>
              </w:rPr>
              <w:t>, neplánujú sa žiadne menej prísne režimy, pretože by to mohlo viesť k rôznej úrovni ochrany pracovníkov v závislosti od veľkosti podniku. Hlavný vplyv v situáciách, kde sa očakávajú vyššie úrovne vystavenia, bude na tie MSP, kde sú pracovníci vystavení účinkom šesťmocného chrómu.</w:t>
            </w:r>
          </w:p>
          <w:p w:rsidR="008A5F2C" w:rsidRPr="003275BB" w:rsidRDefault="008A5F2C" w:rsidP="005C4F0C">
            <w:pPr>
              <w:jc w:val="both"/>
            </w:pPr>
          </w:p>
        </w:tc>
      </w:tr>
      <w:tr w:rsidR="008D26FA" w:rsidRPr="00F04CCD" w:rsidTr="008D26FA">
        <w:tc>
          <w:tcPr>
            <w:tcW w:w="9212" w:type="dxa"/>
          </w:tcPr>
          <w:p w:rsidR="008D26FA" w:rsidRPr="003275BB" w:rsidRDefault="008D26FA" w:rsidP="008D26FA">
            <w:pPr>
              <w:rPr>
                <w:b/>
                <w:i/>
              </w:rPr>
            </w:pPr>
            <w:r w:rsidRPr="003275BB">
              <w:rPr>
                <w:b/>
                <w:i/>
              </w:rPr>
              <w:lastRenderedPageBreak/>
              <w:t>3.3.2 Nepriame finančné náklady</w:t>
            </w:r>
          </w:p>
          <w:p w:rsidR="008D26FA" w:rsidRPr="003275BB" w:rsidRDefault="008D26FA" w:rsidP="008D26FA">
            <w:pPr>
              <w:rPr>
                <w:i/>
              </w:rPr>
            </w:pPr>
          </w:p>
        </w:tc>
      </w:tr>
      <w:tr w:rsidR="008D26FA" w:rsidRPr="00F04CCD" w:rsidTr="008D26FA">
        <w:tc>
          <w:tcPr>
            <w:tcW w:w="9212" w:type="dxa"/>
          </w:tcPr>
          <w:p w:rsidR="00D30BC1" w:rsidRPr="003275BB" w:rsidRDefault="00D30BC1" w:rsidP="00D30BC1">
            <w:pPr>
              <w:jc w:val="both"/>
              <w:rPr>
                <w:sz w:val="22"/>
                <w:szCs w:val="22"/>
              </w:rPr>
            </w:pPr>
            <w:r w:rsidRPr="003275BB">
              <w:rPr>
                <w:sz w:val="22"/>
                <w:szCs w:val="22"/>
              </w:rPr>
              <w:t>Pozitívny vplyv na podnikateľské prostredie:</w:t>
            </w:r>
          </w:p>
          <w:p w:rsidR="008A5F2C" w:rsidRPr="003275BB" w:rsidRDefault="00793D9D" w:rsidP="008A5F2C">
            <w:pPr>
              <w:pStyle w:val="Odsekzoznamu"/>
              <w:numPr>
                <w:ilvl w:val="0"/>
                <w:numId w:val="10"/>
              </w:numPr>
              <w:spacing w:line="240" w:lineRule="auto"/>
              <w:ind w:left="426"/>
              <w:jc w:val="both"/>
              <w:rPr>
                <w:rFonts w:ascii="Times New Roman" w:hAnsi="Times New Roman"/>
              </w:rPr>
            </w:pPr>
            <w:r w:rsidRPr="003275BB">
              <w:rPr>
                <w:rFonts w:ascii="Times New Roman" w:hAnsi="Times New Roman"/>
              </w:rPr>
              <w:t>Z</w:t>
            </w:r>
            <w:r w:rsidR="00D30BC1" w:rsidRPr="003275BB">
              <w:rPr>
                <w:rFonts w:ascii="Times New Roman" w:hAnsi="Times New Roman"/>
              </w:rPr>
              <w:t xml:space="preserve">lepšenie ochrany zdravia zamestnancov pri práci zavedením nových </w:t>
            </w:r>
            <w:r w:rsidRPr="003275BB">
              <w:rPr>
                <w:rFonts w:ascii="Times New Roman" w:hAnsi="Times New Roman"/>
              </w:rPr>
              <w:t>TSH</w:t>
            </w:r>
            <w:r w:rsidR="00D30BC1" w:rsidRPr="003275BB">
              <w:rPr>
                <w:rFonts w:ascii="Times New Roman" w:hAnsi="Times New Roman"/>
              </w:rPr>
              <w:t xml:space="preserve"> a revidovaných </w:t>
            </w:r>
            <w:r w:rsidRPr="003275BB">
              <w:rPr>
                <w:rFonts w:ascii="Times New Roman" w:hAnsi="Times New Roman"/>
              </w:rPr>
              <w:t>TSH</w:t>
            </w:r>
            <w:r w:rsidR="00D30BC1" w:rsidRPr="003275BB">
              <w:rPr>
                <w:rFonts w:ascii="Times New Roman" w:hAnsi="Times New Roman"/>
              </w:rPr>
              <w:t xml:space="preserve"> v zmysle nižších hodnôt oproti súčasným hodnotám </w:t>
            </w:r>
            <w:r w:rsidRPr="003275BB">
              <w:rPr>
                <w:rFonts w:ascii="Times New Roman" w:hAnsi="Times New Roman"/>
              </w:rPr>
              <w:t>TSH</w:t>
            </w:r>
            <w:r w:rsidR="00D30BC1" w:rsidRPr="003275BB">
              <w:rPr>
                <w:rFonts w:ascii="Times New Roman" w:hAnsi="Times New Roman"/>
              </w:rPr>
              <w:t>; predpokladá sa nižší výskyt chorôb z povolania a ochorení súvisiacich s</w:t>
            </w:r>
            <w:r w:rsidR="008A5F2C" w:rsidRPr="003275BB">
              <w:rPr>
                <w:rFonts w:ascii="Times New Roman" w:hAnsi="Times New Roman"/>
              </w:rPr>
              <w:t> </w:t>
            </w:r>
            <w:r w:rsidR="00D30BC1" w:rsidRPr="003275BB">
              <w:rPr>
                <w:rFonts w:ascii="Times New Roman" w:hAnsi="Times New Roman"/>
              </w:rPr>
              <w:t>prácou</w:t>
            </w:r>
            <w:r w:rsidR="008A5F2C" w:rsidRPr="003275BB">
              <w:rPr>
                <w:rFonts w:ascii="Times New Roman" w:hAnsi="Times New Roman"/>
              </w:rPr>
              <w:t xml:space="preserve">. </w:t>
            </w:r>
          </w:p>
          <w:p w:rsidR="00D30BC1" w:rsidRPr="003275BB" w:rsidRDefault="008A5F2C" w:rsidP="008A5F2C">
            <w:pPr>
              <w:pStyle w:val="Odsekzoznamu"/>
              <w:numPr>
                <w:ilvl w:val="0"/>
                <w:numId w:val="10"/>
              </w:numPr>
              <w:spacing w:line="240" w:lineRule="auto"/>
              <w:ind w:left="426"/>
              <w:jc w:val="both"/>
              <w:rPr>
                <w:rFonts w:ascii="Times New Roman" w:hAnsi="Times New Roman"/>
              </w:rPr>
            </w:pPr>
            <w:r w:rsidRPr="003275BB">
              <w:rPr>
                <w:rFonts w:ascii="Times New Roman" w:hAnsi="Times New Roman"/>
              </w:rPr>
              <w:t>Zamestnávatelia budú mať pravdepodobný prínos v podobe nižších strát produktivity vyplývajúcich zo straty pracovníkov v dôsledku zlého zdravotného stavu súvisiaceho so zamestnaním a nákladov na ich nahradenie. V štúdii, ktorú zadali útvary Komisie, sa poukazuje na hlavné prínosy, ktoré sa očakávajú zo stanovenia TSH na úrovni 0,025 mg/m³ v prípade zlúčenín šesťmocného chrómu. Pokiaľ ide o šesťmocný chróm, v Európskom meradle sa očakáva, že v období rokov 2010 až 2069 sa vďaka návrhu podarí zabrániť približne 1 800 prípadom rakoviny, čo vo finančnom vyčíslení zodpovedá sume 591 miliónov – 1,7 miliardy EUR. Hlavný finančný prínos v súvislosti so zavedením TSH v návrhu pre ostatné faktory: prach z tvrdého dreva (12 – 54 miliónov EUR); vinylchlorid (1 – 4 milióny EUR); o-toluidín (1,3 – 10,1 milióna EUR); hydrazín (0,01 – 0,05 milióna EUR); ohňovzdorné keramické vlákna (1,1 – 3,4 milióna EUR).</w:t>
            </w:r>
          </w:p>
          <w:p w:rsidR="00D30BC1" w:rsidRPr="003275BB" w:rsidRDefault="00793D9D" w:rsidP="008A5F2C">
            <w:pPr>
              <w:pStyle w:val="Odsekzoznamu"/>
              <w:numPr>
                <w:ilvl w:val="0"/>
                <w:numId w:val="10"/>
              </w:numPr>
              <w:spacing w:line="240" w:lineRule="auto"/>
              <w:ind w:left="426"/>
              <w:jc w:val="both"/>
              <w:rPr>
                <w:rFonts w:ascii="Times New Roman" w:hAnsi="Times New Roman"/>
              </w:rPr>
            </w:pPr>
            <w:r w:rsidRPr="003275BB">
              <w:rPr>
                <w:rFonts w:ascii="Times New Roman" w:hAnsi="Times New Roman"/>
              </w:rPr>
              <w:t>Z</w:t>
            </w:r>
            <w:r w:rsidR="00D30BC1" w:rsidRPr="003275BB">
              <w:rPr>
                <w:rFonts w:ascii="Times New Roman" w:hAnsi="Times New Roman"/>
              </w:rPr>
              <w:t xml:space="preserve">avedenie nových </w:t>
            </w:r>
            <w:r w:rsidRPr="003275BB">
              <w:rPr>
                <w:rFonts w:ascii="Times New Roman" w:hAnsi="Times New Roman"/>
              </w:rPr>
              <w:t>TSH</w:t>
            </w:r>
            <w:r w:rsidR="00D30BC1" w:rsidRPr="003275BB">
              <w:rPr>
                <w:rFonts w:ascii="Times New Roman" w:hAnsi="Times New Roman"/>
              </w:rPr>
              <w:t xml:space="preserve"> pomáha zamestnávateľom pri určovaní a posudzovaní zdravotného rizika  pri práci s  expozíciou konkrétnym  </w:t>
            </w:r>
            <w:r w:rsidRPr="003275BB">
              <w:rPr>
                <w:rFonts w:ascii="Times New Roman" w:hAnsi="Times New Roman"/>
              </w:rPr>
              <w:t>karcinogénom a mutagénom</w:t>
            </w:r>
            <w:r w:rsidR="00D30BC1" w:rsidRPr="003275BB">
              <w:rPr>
                <w:rFonts w:ascii="Times New Roman" w:hAnsi="Times New Roman"/>
              </w:rPr>
              <w:t xml:space="preserve"> v súvislosti s vykonávaním preventívnych a ochranných opatrení na ochranu zdravia zamestnancov pred zdravotnými rizikami z expozície týmto </w:t>
            </w:r>
            <w:r w:rsidR="00FF72E2" w:rsidRPr="003275BB">
              <w:rPr>
                <w:rFonts w:ascii="Times New Roman" w:hAnsi="Times New Roman"/>
              </w:rPr>
              <w:t>karcinogénom a mutagénom</w:t>
            </w:r>
          </w:p>
          <w:p w:rsidR="008D26FA" w:rsidRPr="003275BB" w:rsidRDefault="00793D9D" w:rsidP="008A5F2C">
            <w:pPr>
              <w:pStyle w:val="Odsekzoznamu"/>
              <w:numPr>
                <w:ilvl w:val="0"/>
                <w:numId w:val="10"/>
              </w:numPr>
              <w:spacing w:line="240" w:lineRule="auto"/>
              <w:ind w:left="426"/>
              <w:jc w:val="both"/>
              <w:rPr>
                <w:rFonts w:ascii="Times New Roman" w:hAnsi="Times New Roman"/>
              </w:rPr>
            </w:pPr>
            <w:r w:rsidRPr="003275BB">
              <w:rPr>
                <w:rFonts w:ascii="Times New Roman" w:hAnsi="Times New Roman"/>
              </w:rPr>
              <w:t>P</w:t>
            </w:r>
            <w:r w:rsidR="00D30BC1" w:rsidRPr="003275BB">
              <w:rPr>
                <w:rFonts w:ascii="Times New Roman" w:hAnsi="Times New Roman"/>
              </w:rPr>
              <w:t>omoc zamestnávateľom pri zabezpečovaní účinnej ochrany pri práci s</w:t>
            </w:r>
            <w:r w:rsidRPr="003275BB">
              <w:rPr>
                <w:rFonts w:ascii="Times New Roman" w:hAnsi="Times New Roman"/>
              </w:rPr>
              <w:t> karcinogénmi a mutagénmi</w:t>
            </w:r>
            <w:r w:rsidR="00D30BC1" w:rsidRPr="003275BB">
              <w:rPr>
                <w:rFonts w:ascii="Times New Roman" w:hAnsi="Times New Roman"/>
              </w:rPr>
              <w:t xml:space="preserve"> prenikajúcimi cez pokožku; ich označením v prílohe č. </w:t>
            </w:r>
            <w:r w:rsidRPr="003275BB">
              <w:rPr>
                <w:rFonts w:ascii="Times New Roman" w:hAnsi="Times New Roman"/>
              </w:rPr>
              <w:t>2</w:t>
            </w:r>
          </w:p>
          <w:p w:rsidR="008D26FA" w:rsidRPr="003275BB" w:rsidRDefault="00793D9D" w:rsidP="008D26FA">
            <w:pPr>
              <w:pStyle w:val="Odsekzoznamu"/>
              <w:numPr>
                <w:ilvl w:val="0"/>
                <w:numId w:val="10"/>
              </w:numPr>
              <w:spacing w:line="240" w:lineRule="auto"/>
              <w:ind w:left="426"/>
              <w:jc w:val="both"/>
            </w:pPr>
            <w:r w:rsidRPr="003275BB">
              <w:rPr>
                <w:rFonts w:ascii="Times New Roman" w:hAnsi="Times New Roman"/>
              </w:rPr>
              <w:t>Vplyv na základné práva je pozitívny, najmä pokiaľ ide o právo na život a právo na spravodlivé a primerané pracovné podmienky, ktoré zohľadňujú zdravie, bezpečnosť a dôstojnosť pracovníkov.</w:t>
            </w:r>
          </w:p>
          <w:p w:rsidR="00F85082" w:rsidRPr="003275BB" w:rsidRDefault="00F85082" w:rsidP="00F85082">
            <w:pPr>
              <w:jc w:val="both"/>
            </w:pPr>
            <w:r w:rsidRPr="003275BB">
              <w:rPr>
                <w:sz w:val="22"/>
                <w:szCs w:val="22"/>
              </w:rPr>
              <w:t>Negatívny vplyv na podnikateľské prostredie:</w:t>
            </w:r>
          </w:p>
          <w:p w:rsidR="00F85082" w:rsidRPr="003275BB" w:rsidRDefault="00F85082" w:rsidP="00F85082">
            <w:pPr>
              <w:pStyle w:val="Odsekzoznamu"/>
              <w:numPr>
                <w:ilvl w:val="0"/>
                <w:numId w:val="4"/>
              </w:numPr>
              <w:spacing w:after="0" w:line="240" w:lineRule="auto"/>
              <w:jc w:val="both"/>
              <w:rPr>
                <w:rFonts w:ascii="Times New Roman" w:hAnsi="Times New Roman"/>
              </w:rPr>
            </w:pPr>
            <w:r w:rsidRPr="003275BB">
              <w:rPr>
                <w:rFonts w:ascii="Times New Roman" w:hAnsi="Times New Roman"/>
              </w:rPr>
              <w:t xml:space="preserve">Finančné náklady na meranie karcinogénov a mutagénov v pracovnom ovzduší a na úpravu existujúcich, najmä technických opatrení, alebo na zavedenie nových opatrení v pracovnom prostredí, kde sa vyskytujú karcinogény a mutagény, ktorých TSH sú novo zavedené alebo TSH sú revidované v zmysle nižších (prísnejších) hodnôt oproti súčasným hodnotám TSH. V prípade </w:t>
            </w:r>
            <w:r w:rsidRPr="003275BB">
              <w:rPr>
                <w:rFonts w:ascii="Times New Roman" w:hAnsi="Times New Roman"/>
              </w:rPr>
              <w:lastRenderedPageBreak/>
              <w:t xml:space="preserve">niektorých karcinogénov bude mať zvolená možnosť vplyv na prevádzkové náklady podnikov, ktoré budú musieť zaviesť dodatočné ochranné a preventívne opatrenia. Týkať sa to bude predovšetkým zlúčenín šesťmocného chrómu, ktorý má vzhľadom na to zavedené aj prechodné obdobie do roku 2025 na postupné sprísňovanie limitu. Pri ostatných karcinogénoch bude vplyv na prevádzkové náklady pre podniky (vrátane malých a stredných podnikov) minimálny, keďže na zabezpečenie úplného súladu postačia často len malé úpravy. </w:t>
            </w:r>
          </w:p>
          <w:p w:rsidR="00F85082" w:rsidRPr="003275BB" w:rsidRDefault="00F85082" w:rsidP="00F85082">
            <w:pPr>
              <w:ind w:left="426"/>
              <w:jc w:val="both"/>
              <w:rPr>
                <w:sz w:val="22"/>
                <w:szCs w:val="22"/>
              </w:rPr>
            </w:pPr>
            <w:r w:rsidRPr="003275BB">
              <w:rPr>
                <w:sz w:val="22"/>
                <w:szCs w:val="22"/>
              </w:rPr>
              <w:t>Vyčíslenie:</w:t>
            </w:r>
          </w:p>
          <w:p w:rsidR="00F85082" w:rsidRPr="003275BB" w:rsidRDefault="00F85082" w:rsidP="00F85082">
            <w:pPr>
              <w:ind w:left="426"/>
              <w:jc w:val="both"/>
              <w:rPr>
                <w:sz w:val="22"/>
                <w:szCs w:val="22"/>
              </w:rPr>
            </w:pPr>
            <w:r w:rsidRPr="003275BB">
              <w:rPr>
                <w:sz w:val="22"/>
                <w:szCs w:val="22"/>
              </w:rPr>
              <w:t xml:space="preserve">Nie je možné kvantifikovať konkrétne, nakoľko technické a technologické opatrenia, ktoré si návrh nariadenia vlády vyžiada, sú individuálne a závisia od aktuálneho stavu vybavenosti jednotlivých dotknutých podnikov. </w:t>
            </w:r>
          </w:p>
          <w:p w:rsidR="00F85082" w:rsidRPr="003275BB" w:rsidRDefault="00F85082" w:rsidP="00F85082">
            <w:pPr>
              <w:ind w:left="426"/>
              <w:jc w:val="both"/>
              <w:rPr>
                <w:sz w:val="22"/>
                <w:szCs w:val="22"/>
              </w:rPr>
            </w:pPr>
            <w:r w:rsidRPr="003275BB">
              <w:rPr>
                <w:sz w:val="22"/>
                <w:szCs w:val="22"/>
              </w:rPr>
              <w:t>Nepriamo je možné uviesť približné ceny za meranie faktorov v pracovnom ovzduší (cenotvorba nie je regulovaná):</w:t>
            </w:r>
          </w:p>
          <w:p w:rsidR="00F85082" w:rsidRPr="003275BB" w:rsidRDefault="00F85082" w:rsidP="00F85082">
            <w:pPr>
              <w:ind w:left="426"/>
              <w:jc w:val="both"/>
              <w:rPr>
                <w:sz w:val="22"/>
                <w:szCs w:val="22"/>
              </w:rPr>
            </w:pPr>
            <w:r w:rsidRPr="003275BB">
              <w:rPr>
                <w:sz w:val="22"/>
                <w:szCs w:val="22"/>
              </w:rPr>
              <w:t>- odber vzoriek podľa platných noriem a štandardných pracovných postupov     15,00/1 hod. VŠ</w:t>
            </w:r>
          </w:p>
          <w:p w:rsidR="00F85082" w:rsidRPr="003275BB" w:rsidRDefault="00F85082" w:rsidP="00F85082">
            <w:pPr>
              <w:ind w:left="426"/>
              <w:jc w:val="both"/>
              <w:rPr>
                <w:sz w:val="22"/>
                <w:szCs w:val="22"/>
              </w:rPr>
            </w:pPr>
            <w:r w:rsidRPr="003275BB">
              <w:rPr>
                <w:sz w:val="22"/>
                <w:szCs w:val="22"/>
              </w:rPr>
              <w:t xml:space="preserve">                                                                                                                                8,00/1 hod. SŠ</w:t>
            </w:r>
          </w:p>
          <w:p w:rsidR="00F85082" w:rsidRPr="003275BB" w:rsidRDefault="00F85082" w:rsidP="00F85082">
            <w:pPr>
              <w:ind w:left="426"/>
              <w:jc w:val="both"/>
              <w:rPr>
                <w:sz w:val="22"/>
                <w:szCs w:val="22"/>
              </w:rPr>
            </w:pPr>
            <w:r w:rsidRPr="003275BB">
              <w:rPr>
                <w:sz w:val="22"/>
                <w:szCs w:val="22"/>
              </w:rPr>
              <w:t>- sadzba za dopravu pri použití dopravného prostriedku                                       0,50/1 km</w:t>
            </w:r>
          </w:p>
          <w:p w:rsidR="00F85082" w:rsidRPr="003275BB" w:rsidRDefault="00F85082" w:rsidP="00F85082">
            <w:pPr>
              <w:ind w:left="426"/>
              <w:jc w:val="both"/>
              <w:rPr>
                <w:sz w:val="22"/>
                <w:szCs w:val="22"/>
              </w:rPr>
            </w:pPr>
            <w:r w:rsidRPr="003275BB">
              <w:rPr>
                <w:sz w:val="22"/>
                <w:szCs w:val="22"/>
              </w:rPr>
              <w:t xml:space="preserve">- spracovanie výsledkov a vyhotovenie protokolu o skúškach                              15,00/1 hod. </w:t>
            </w:r>
          </w:p>
          <w:p w:rsidR="00F85082" w:rsidRPr="003275BB" w:rsidRDefault="00F85082" w:rsidP="00F85082">
            <w:pPr>
              <w:ind w:left="426"/>
              <w:jc w:val="both"/>
            </w:pPr>
            <w:r w:rsidRPr="003275BB">
              <w:rPr>
                <w:sz w:val="22"/>
                <w:szCs w:val="22"/>
              </w:rPr>
              <w:t>- určenie karcinogénu podľa akreditovanej/štandardizovanej metódy                  10 - 50 Eur/látku</w:t>
            </w:r>
          </w:p>
        </w:tc>
      </w:tr>
      <w:tr w:rsidR="008D26FA" w:rsidRPr="00F04CCD" w:rsidTr="008D26FA">
        <w:tc>
          <w:tcPr>
            <w:tcW w:w="9212" w:type="dxa"/>
          </w:tcPr>
          <w:p w:rsidR="008D26FA" w:rsidRPr="003275BB" w:rsidRDefault="00FD2F21" w:rsidP="008D26FA">
            <w:pPr>
              <w:rPr>
                <w:b/>
                <w:i/>
              </w:rPr>
            </w:pPr>
            <w:r w:rsidRPr="003275BB">
              <w:rPr>
                <w:b/>
                <w:i/>
              </w:rPr>
              <w:lastRenderedPageBreak/>
              <w:t>3.3.3 Administratívne náklady</w:t>
            </w:r>
          </w:p>
        </w:tc>
      </w:tr>
      <w:tr w:rsidR="008D26FA" w:rsidRPr="00F04CCD" w:rsidTr="008D26FA">
        <w:tc>
          <w:tcPr>
            <w:tcW w:w="9212" w:type="dxa"/>
          </w:tcPr>
          <w:p w:rsidR="008D26FA" w:rsidRPr="003275BB" w:rsidRDefault="00FD2F21" w:rsidP="008D26FA">
            <w:pPr>
              <w:rPr>
                <w:b/>
                <w:i/>
                <w:sz w:val="22"/>
                <w:szCs w:val="22"/>
              </w:rPr>
            </w:pPr>
            <w:r w:rsidRPr="003275BB">
              <w:rPr>
                <w:sz w:val="22"/>
                <w:szCs w:val="22"/>
              </w:rPr>
              <w:t>Predpokladá sa, že</w:t>
            </w:r>
            <w:r w:rsidRPr="003275BB">
              <w:rPr>
                <w:b/>
                <w:i/>
                <w:sz w:val="22"/>
                <w:szCs w:val="22"/>
              </w:rPr>
              <w:t xml:space="preserve"> </w:t>
            </w:r>
            <w:r w:rsidRPr="003275BB">
              <w:rPr>
                <w:sz w:val="22"/>
                <w:szCs w:val="22"/>
              </w:rPr>
              <w:t>návrh nebude znamenať žiadne dodatočné informačné povinnosti, ani nebude viesť k zvýšeniu administratívneho zaťaženia podnikateľov.</w:t>
            </w:r>
          </w:p>
          <w:p w:rsidR="008D26FA" w:rsidRPr="003275BB" w:rsidRDefault="008D26FA" w:rsidP="008D26FA">
            <w:pPr>
              <w:rPr>
                <w:b/>
                <w:i/>
                <w:sz w:val="22"/>
                <w:szCs w:val="22"/>
              </w:rPr>
            </w:pPr>
          </w:p>
        </w:tc>
      </w:tr>
      <w:tr w:rsidR="008D26FA" w:rsidRPr="00F04CCD" w:rsidTr="008D26FA">
        <w:trPr>
          <w:trHeight w:val="2318"/>
        </w:trPr>
        <w:tc>
          <w:tcPr>
            <w:tcW w:w="9212" w:type="dxa"/>
          </w:tcPr>
          <w:p w:rsidR="008D26FA" w:rsidRPr="003275BB" w:rsidRDefault="008D26FA" w:rsidP="008D26FA">
            <w:pPr>
              <w:rPr>
                <w:i/>
              </w:rPr>
            </w:pPr>
            <w:r w:rsidRPr="003275BB">
              <w:rPr>
                <w:b/>
                <w:i/>
              </w:rPr>
              <w:t>3.3.4 Súhrnná tabuľka nákladov regulácie</w:t>
            </w:r>
          </w:p>
          <w:p w:rsidR="008D26FA" w:rsidRPr="003275BB" w:rsidRDefault="008D26FA" w:rsidP="008D26FA">
            <w:pPr>
              <w:rPr>
                <w:i/>
              </w:rPr>
            </w:pPr>
          </w:p>
          <w:tbl>
            <w:tblPr>
              <w:tblStyle w:val="Mriekatabuky"/>
              <w:tblW w:w="0" w:type="auto"/>
              <w:tblLook w:val="04A0" w:firstRow="1" w:lastRow="0" w:firstColumn="1" w:lastColumn="0" w:noHBand="0" w:noVBand="1"/>
            </w:tblPr>
            <w:tblGrid>
              <w:gridCol w:w="2949"/>
              <w:gridCol w:w="2940"/>
              <w:gridCol w:w="2945"/>
            </w:tblGrid>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jc w:val="center"/>
                    <w:rPr>
                      <w:i/>
                    </w:rPr>
                  </w:pPr>
                  <w:r w:rsidRPr="003275BB">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jc w:val="center"/>
                    <w:rPr>
                      <w:i/>
                    </w:rPr>
                  </w:pPr>
                  <w:r w:rsidRPr="003275BB">
                    <w:rPr>
                      <w:i/>
                    </w:rPr>
                    <w:t>Náklady na celé podnikateľské prostredie</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r w:rsidRPr="003275BB">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r w:rsidRPr="003275BB">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r w:rsidRPr="003275BB">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0</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0</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b/>
                      <w:i/>
                    </w:rPr>
                  </w:pPr>
                  <w:r w:rsidRPr="003275BB">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b/>
                      <w:i/>
                    </w:rPr>
                  </w:pPr>
                  <w:r w:rsidRPr="003275BB">
                    <w:rPr>
                      <w:b/>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b/>
                      <w:i/>
                    </w:rPr>
                  </w:pPr>
                  <w:r w:rsidRPr="003275BB">
                    <w:rPr>
                      <w:b/>
                      <w:i/>
                    </w:rPr>
                    <w:t>N/A</w:t>
                  </w:r>
                </w:p>
              </w:tc>
            </w:tr>
          </w:tbl>
          <w:p w:rsidR="008D26FA" w:rsidRPr="003275BB" w:rsidRDefault="008D26FA" w:rsidP="008D26FA">
            <w:pPr>
              <w:rPr>
                <w:i/>
              </w:rPr>
            </w:pP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3.4 Konkurencieschopnosť a správanie sa podnikov na trhu</w:t>
            </w:r>
          </w:p>
          <w:p w:rsidR="008D26FA" w:rsidRPr="003275BB" w:rsidRDefault="008D26FA" w:rsidP="008D26FA">
            <w:r w:rsidRPr="003275BB">
              <w:rPr>
                <w:b/>
                <w:sz w:val="24"/>
              </w:rPr>
              <w:t xml:space="preserve">       </w:t>
            </w:r>
            <w:r w:rsidRPr="003275BB">
              <w:rPr>
                <w:sz w:val="24"/>
              </w:rPr>
              <w:t xml:space="preserve">- </w:t>
            </w:r>
            <w:r w:rsidRPr="003275BB">
              <w:rPr>
                <w:b/>
                <w:sz w:val="24"/>
              </w:rPr>
              <w:t>z toho MSP</w:t>
            </w:r>
          </w:p>
        </w:tc>
      </w:tr>
      <w:tr w:rsidR="008D26FA" w:rsidRPr="00F04CCD" w:rsidTr="008D26FA">
        <w:tc>
          <w:tcPr>
            <w:tcW w:w="9212" w:type="dxa"/>
          </w:tcPr>
          <w:p w:rsidR="008D26FA" w:rsidRPr="003275BB" w:rsidRDefault="008D26FA" w:rsidP="008D26FA">
            <w:pPr>
              <w:rPr>
                <w:i/>
              </w:rPr>
            </w:pPr>
            <w:r w:rsidRPr="003275BB">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8D26FA" w:rsidRPr="003275BB" w:rsidRDefault="008D26FA" w:rsidP="008D26FA">
            <w:pPr>
              <w:rPr>
                <w:i/>
              </w:rPr>
            </w:pPr>
            <w:r w:rsidRPr="003275BB">
              <w:rPr>
                <w:i/>
              </w:rPr>
              <w:t>Aký vplyv bude mať navrhovaná zmena na obchodné bariéry? Bude mať vplyv na vyvolanie cezhraničných investícií (príliv /odliv zahraničných investícií resp. uplatnenie slovenských podnikov na zahraničných trhoch)? Ak áno, popíšte.</w:t>
            </w:r>
          </w:p>
          <w:p w:rsidR="008D26FA" w:rsidRPr="003275BB" w:rsidRDefault="008D26FA" w:rsidP="008D26FA">
            <w:pPr>
              <w:rPr>
                <w:i/>
              </w:rPr>
            </w:pPr>
            <w:r w:rsidRPr="003275BB">
              <w:rPr>
                <w:i/>
              </w:rPr>
              <w:t>Ako ovplyvní cenu alebo dostupnosť základných zdrojov (suroviny, mechanizmy, pracovná sila, energie atď.)?</w:t>
            </w:r>
          </w:p>
          <w:p w:rsidR="008D26FA" w:rsidRPr="003275BB" w:rsidRDefault="008D26FA" w:rsidP="008D26FA">
            <w:pPr>
              <w:rPr>
                <w:i/>
              </w:rPr>
            </w:pPr>
            <w:r w:rsidRPr="003275BB">
              <w:rPr>
                <w:i/>
              </w:rPr>
              <w:t>Ovplyvňuje prístup k financiám? Ak áno, ako?</w:t>
            </w:r>
          </w:p>
        </w:tc>
      </w:tr>
      <w:tr w:rsidR="008D26FA" w:rsidRPr="00F04CCD" w:rsidTr="00ED1615">
        <w:trPr>
          <w:trHeight w:val="853"/>
        </w:trPr>
        <w:tc>
          <w:tcPr>
            <w:tcW w:w="9212" w:type="dxa"/>
          </w:tcPr>
          <w:p w:rsidR="00A74865" w:rsidRPr="003275BB" w:rsidRDefault="00A74865" w:rsidP="00A74865">
            <w:pPr>
              <w:jc w:val="both"/>
              <w:rPr>
                <w:sz w:val="22"/>
                <w:szCs w:val="22"/>
              </w:rPr>
            </w:pPr>
            <w:r w:rsidRPr="003275BB">
              <w:t>Návrh</w:t>
            </w:r>
            <w:r w:rsidRPr="003275BB">
              <w:rPr>
                <w:sz w:val="22"/>
                <w:szCs w:val="22"/>
              </w:rPr>
              <w:t xml:space="preserve"> by mal mať priaznivý vplyv na hospodársku súťaž v rámci vnútorného trhu. Limitnými hodnotami platnými pre celú EÚ pre faktory, ktorých sa týka </w:t>
            </w:r>
            <w:r w:rsidRPr="003275BB">
              <w:t>tento návrh</w:t>
            </w:r>
            <w:r w:rsidRPr="003275BB">
              <w:rPr>
                <w:sz w:val="22"/>
                <w:szCs w:val="22"/>
              </w:rPr>
              <w:t xml:space="preserve">, sa zníži narúšanie hospodárskej súťaže medzi podnikmi nachádzajúcimi sa v členských štátoch s rôznymi vnútroštátnymi úrovňami </w:t>
            </w:r>
            <w:r w:rsidRPr="003275BB">
              <w:t>TSH</w:t>
            </w:r>
            <w:r w:rsidRPr="003275BB">
              <w:rPr>
                <w:sz w:val="22"/>
                <w:szCs w:val="22"/>
              </w:rPr>
              <w:t xml:space="preserve">. Navyše vzhľadom na skutočnosť, že navrhované </w:t>
            </w:r>
            <w:r w:rsidRPr="003275BB">
              <w:t>TSH</w:t>
            </w:r>
            <w:r w:rsidRPr="003275BB">
              <w:rPr>
                <w:sz w:val="22"/>
                <w:szCs w:val="22"/>
              </w:rPr>
              <w:t xml:space="preserve"> sú podobné hodnotám, ktoré platia vo väčšine krajín obchodných partnerov EÚ, </w:t>
            </w:r>
            <w:r w:rsidRPr="003275BB">
              <w:t>návrh</w:t>
            </w:r>
            <w:r w:rsidRPr="003275BB">
              <w:rPr>
                <w:sz w:val="22"/>
                <w:szCs w:val="22"/>
              </w:rPr>
              <w:t xml:space="preserve"> by nemal mať významnejší vplyv na vonkajšiu konkurencieschopnosť firiem EÚ.</w:t>
            </w:r>
          </w:p>
          <w:p w:rsidR="008D26FA" w:rsidRPr="003275BB" w:rsidRDefault="00AF115F" w:rsidP="00A74865">
            <w:pPr>
              <w:jc w:val="both"/>
              <w:rPr>
                <w:sz w:val="22"/>
                <w:szCs w:val="22"/>
              </w:rPr>
            </w:pPr>
            <w:r w:rsidRPr="003275BB">
              <w:rPr>
                <w:sz w:val="22"/>
                <w:szCs w:val="22"/>
              </w:rPr>
              <w:t>Návrh sa dotkne všetkých subjektov podnikajúcich v dotknutom segmente rovnako, pretože zavádza jednotné limity, preto sa nepredpokladá ovplyvnenie konkurencieschopnosti podnikov na trhu.</w:t>
            </w:r>
            <w:r w:rsidR="00A74865" w:rsidRPr="003275BB">
              <w:rPr>
                <w:sz w:val="22"/>
                <w:szCs w:val="22"/>
              </w:rPr>
              <w:t xml:space="preserve"> Malé a stredné podniky nie sú vyňaté spod pôsobnosti smernice a teda ani návrhu nariadenia vlády, neplánujú sa žiadne menej prísne režimy, pretože by to mohlo viesť k rôznej úrovni ochrany pracovníkov v závislosti od veľkosti podniku.</w:t>
            </w: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 xml:space="preserve">3.5 Inovácie </w:t>
            </w:r>
          </w:p>
          <w:p w:rsidR="008D26FA" w:rsidRPr="003275BB" w:rsidRDefault="008D26FA" w:rsidP="008D26FA">
            <w:pPr>
              <w:rPr>
                <w:b/>
              </w:rPr>
            </w:pPr>
            <w:r w:rsidRPr="003275BB">
              <w:rPr>
                <w:sz w:val="24"/>
              </w:rPr>
              <w:t xml:space="preserve">       - </w:t>
            </w:r>
            <w:r w:rsidRPr="003275BB">
              <w:rPr>
                <w:b/>
                <w:sz w:val="24"/>
              </w:rPr>
              <w:t>z toho MSP</w:t>
            </w:r>
          </w:p>
        </w:tc>
      </w:tr>
      <w:tr w:rsidR="008D26FA" w:rsidRPr="00F04CCD" w:rsidTr="008D26FA">
        <w:tc>
          <w:tcPr>
            <w:tcW w:w="9212" w:type="dxa"/>
          </w:tcPr>
          <w:p w:rsidR="008D26FA" w:rsidRPr="003275BB" w:rsidRDefault="008D26FA" w:rsidP="008D26FA">
            <w:pPr>
              <w:rPr>
                <w:i/>
              </w:rPr>
            </w:pPr>
            <w:r w:rsidRPr="003275BB">
              <w:rPr>
                <w:i/>
              </w:rPr>
              <w:t>Uveďte, ako podporuje navrhovaná zmena inovácie.</w:t>
            </w:r>
          </w:p>
          <w:p w:rsidR="008D26FA" w:rsidRPr="003275BB" w:rsidRDefault="008D26FA" w:rsidP="008D26FA">
            <w:pPr>
              <w:rPr>
                <w:i/>
              </w:rPr>
            </w:pPr>
            <w:r w:rsidRPr="003275BB">
              <w:rPr>
                <w:i/>
              </w:rPr>
              <w:t>Zjednodušuje uvedenie alebo rozšírenie nových výrobných metód, technológií a výrobkov na trh?</w:t>
            </w:r>
          </w:p>
          <w:p w:rsidR="008D26FA" w:rsidRPr="003275BB" w:rsidRDefault="008D26FA" w:rsidP="008D26FA">
            <w:pPr>
              <w:rPr>
                <w:i/>
              </w:rPr>
            </w:pPr>
            <w:r w:rsidRPr="003275BB">
              <w:rPr>
                <w:i/>
              </w:rPr>
              <w:t xml:space="preserve">Uveďte, ako vplýva navrhovaná zmena na jednotlivé práva duševného vlastníctva (napr. patenty, ochranné </w:t>
            </w:r>
            <w:r w:rsidRPr="003275BB">
              <w:rPr>
                <w:i/>
              </w:rPr>
              <w:lastRenderedPageBreak/>
              <w:t>známky, autorské práva, vlastníctvo know-how).</w:t>
            </w:r>
          </w:p>
          <w:p w:rsidR="008D26FA" w:rsidRPr="003275BB" w:rsidRDefault="008D26FA" w:rsidP="008D26FA">
            <w:pPr>
              <w:rPr>
                <w:i/>
              </w:rPr>
            </w:pPr>
            <w:r w:rsidRPr="003275BB">
              <w:rPr>
                <w:i/>
              </w:rPr>
              <w:t>Podporuje vyššiu efektivitu výroby/využívania zdrojov? Ak áno, ako?</w:t>
            </w:r>
          </w:p>
          <w:p w:rsidR="008D26FA" w:rsidRPr="003275BB" w:rsidRDefault="008D26FA" w:rsidP="008D26FA">
            <w:r w:rsidRPr="003275BB">
              <w:rPr>
                <w:i/>
              </w:rPr>
              <w:t>Vytvorí zmena nové pracovné miesta pre zamestnancov výskumu a vývoja v SR?</w:t>
            </w:r>
          </w:p>
        </w:tc>
      </w:tr>
      <w:tr w:rsidR="008D26FA" w:rsidRPr="00F04CCD" w:rsidTr="00ED1615">
        <w:trPr>
          <w:trHeight w:val="698"/>
        </w:trPr>
        <w:tc>
          <w:tcPr>
            <w:tcW w:w="9212" w:type="dxa"/>
          </w:tcPr>
          <w:p w:rsidR="008D26FA" w:rsidRPr="003275BB" w:rsidRDefault="00AF115F" w:rsidP="00A74865">
            <w:pPr>
              <w:jc w:val="both"/>
              <w:rPr>
                <w:sz w:val="24"/>
                <w:szCs w:val="24"/>
              </w:rPr>
            </w:pPr>
            <w:r w:rsidRPr="003275BB">
              <w:rPr>
                <w:sz w:val="24"/>
                <w:szCs w:val="24"/>
              </w:rPr>
              <w:lastRenderedPageBreak/>
              <w:t>-</w:t>
            </w:r>
          </w:p>
        </w:tc>
      </w:tr>
    </w:tbl>
    <w:p w:rsidR="00780861" w:rsidRDefault="00780861" w:rsidP="00A74865">
      <w:pPr>
        <w:rPr>
          <w:bCs/>
          <w:color w:val="000000"/>
          <w:sz w:val="24"/>
          <w:szCs w:val="24"/>
          <w:lang w:eastAsia="en-US"/>
        </w:rPr>
      </w:pPr>
    </w:p>
    <w:sectPr w:rsidR="00780861" w:rsidSect="000D28AD">
      <w:headerReference w:type="default" r:id="rId11"/>
      <w:footerReference w:type="default" r:id="rId12"/>
      <w:footnotePr>
        <w:numFmt w:val="chicago"/>
      </w:footnotePr>
      <w:pgSz w:w="11906" w:h="16838"/>
      <w:pgMar w:top="1134" w:right="1418"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18" w:rsidRDefault="00DA1518" w:rsidP="003501A1">
      <w:r>
        <w:separator/>
      </w:r>
    </w:p>
  </w:endnote>
  <w:endnote w:type="continuationSeparator" w:id="0">
    <w:p w:rsidR="00DA1518" w:rsidRDefault="00DA1518"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Meiryo"/>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eiryo"/>
    <w:panose1 w:val="02020609040205080304"/>
    <w:charset w:val="80"/>
    <w:family w:val="roman"/>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E5" w:rsidRPr="001D6749" w:rsidRDefault="009A16E5">
    <w:pPr>
      <w:pStyle w:val="Pta"/>
      <w:jc w:val="right"/>
    </w:pPr>
    <w:r w:rsidRPr="001D6749">
      <w:fldChar w:fldCharType="begin"/>
    </w:r>
    <w:r w:rsidRPr="001D6749">
      <w:instrText>PAGE   \* MERGEFORMAT</w:instrText>
    </w:r>
    <w:r w:rsidRPr="001D6749">
      <w:fldChar w:fldCharType="separate"/>
    </w:r>
    <w:r w:rsidR="00406268">
      <w:rPr>
        <w:noProof/>
      </w:rPr>
      <w:t>1</w:t>
    </w:r>
    <w:r w:rsidRPr="001D67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18" w:rsidRDefault="00DA1518" w:rsidP="003501A1">
      <w:r>
        <w:separator/>
      </w:r>
    </w:p>
  </w:footnote>
  <w:footnote w:type="continuationSeparator" w:id="0">
    <w:p w:rsidR="00DA1518" w:rsidRDefault="00DA1518"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E5" w:rsidRPr="008F1501" w:rsidRDefault="009A16E5" w:rsidP="008F15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747868"/>
    <w:multiLevelType w:val="hybridMultilevel"/>
    <w:tmpl w:val="4F62B6DA"/>
    <w:lvl w:ilvl="0" w:tplc="D866540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6A8F3F10"/>
    <w:multiLevelType w:val="hybridMultilevel"/>
    <w:tmpl w:val="067E89CA"/>
    <w:lvl w:ilvl="0" w:tplc="199819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AA22485"/>
    <w:multiLevelType w:val="hybridMultilevel"/>
    <w:tmpl w:val="7B481874"/>
    <w:lvl w:ilvl="0" w:tplc="199819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0"/>
  </w:num>
  <w:num w:numId="2">
    <w:abstractNumId w:val="5"/>
  </w:num>
  <w:num w:numId="3">
    <w:abstractNumId w:val="2"/>
  </w:num>
  <w:num w:numId="4">
    <w:abstractNumId w:val="7"/>
  </w:num>
  <w:num w:numId="5">
    <w:abstractNumId w:val="6"/>
  </w:num>
  <w:num w:numId="6">
    <w:abstractNumId w:val="3"/>
  </w:num>
  <w:num w:numId="7">
    <w:abstractNumId w:val="1"/>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0BB3"/>
    <w:rsid w:val="00000FD3"/>
    <w:rsid w:val="00003176"/>
    <w:rsid w:val="00020799"/>
    <w:rsid w:val="00022522"/>
    <w:rsid w:val="0002348F"/>
    <w:rsid w:val="00042C66"/>
    <w:rsid w:val="00044145"/>
    <w:rsid w:val="00057955"/>
    <w:rsid w:val="0007171A"/>
    <w:rsid w:val="0008228A"/>
    <w:rsid w:val="00084177"/>
    <w:rsid w:val="00093DB8"/>
    <w:rsid w:val="00094948"/>
    <w:rsid w:val="00095207"/>
    <w:rsid w:val="00097DD1"/>
    <w:rsid w:val="000A15AE"/>
    <w:rsid w:val="000B1FDF"/>
    <w:rsid w:val="000C45E7"/>
    <w:rsid w:val="000C7777"/>
    <w:rsid w:val="000D0F6D"/>
    <w:rsid w:val="000D2622"/>
    <w:rsid w:val="000D28AD"/>
    <w:rsid w:val="000D31F3"/>
    <w:rsid w:val="00114954"/>
    <w:rsid w:val="00121479"/>
    <w:rsid w:val="0012382F"/>
    <w:rsid w:val="00124D9C"/>
    <w:rsid w:val="00152211"/>
    <w:rsid w:val="001527FE"/>
    <w:rsid w:val="00154881"/>
    <w:rsid w:val="00175FD8"/>
    <w:rsid w:val="00177AE1"/>
    <w:rsid w:val="001805D5"/>
    <w:rsid w:val="001948E8"/>
    <w:rsid w:val="001B00B9"/>
    <w:rsid w:val="001D30AE"/>
    <w:rsid w:val="001D6749"/>
    <w:rsid w:val="001D696E"/>
    <w:rsid w:val="001F5874"/>
    <w:rsid w:val="00212894"/>
    <w:rsid w:val="002145D3"/>
    <w:rsid w:val="00217A80"/>
    <w:rsid w:val="00226D46"/>
    <w:rsid w:val="00232DB2"/>
    <w:rsid w:val="00233D62"/>
    <w:rsid w:val="00236E77"/>
    <w:rsid w:val="00242773"/>
    <w:rsid w:val="002575D9"/>
    <w:rsid w:val="00267061"/>
    <w:rsid w:val="00273926"/>
    <w:rsid w:val="00280725"/>
    <w:rsid w:val="002B232C"/>
    <w:rsid w:val="002D04B9"/>
    <w:rsid w:val="002D2C68"/>
    <w:rsid w:val="002D5500"/>
    <w:rsid w:val="002E32C0"/>
    <w:rsid w:val="002E6651"/>
    <w:rsid w:val="002E77F6"/>
    <w:rsid w:val="00301D74"/>
    <w:rsid w:val="00305649"/>
    <w:rsid w:val="00306F48"/>
    <w:rsid w:val="00312B1C"/>
    <w:rsid w:val="003275BB"/>
    <w:rsid w:val="00332FBA"/>
    <w:rsid w:val="00336C65"/>
    <w:rsid w:val="003501A1"/>
    <w:rsid w:val="00355A5C"/>
    <w:rsid w:val="0036105E"/>
    <w:rsid w:val="00367CFB"/>
    <w:rsid w:val="0037258F"/>
    <w:rsid w:val="003727D3"/>
    <w:rsid w:val="003826F4"/>
    <w:rsid w:val="00394A9E"/>
    <w:rsid w:val="00395098"/>
    <w:rsid w:val="003A17DE"/>
    <w:rsid w:val="003B4C27"/>
    <w:rsid w:val="003C0592"/>
    <w:rsid w:val="003C3251"/>
    <w:rsid w:val="00400F61"/>
    <w:rsid w:val="0040544D"/>
    <w:rsid w:val="00406268"/>
    <w:rsid w:val="00412F8C"/>
    <w:rsid w:val="0042399B"/>
    <w:rsid w:val="00435B44"/>
    <w:rsid w:val="00461753"/>
    <w:rsid w:val="0047710A"/>
    <w:rsid w:val="0047723F"/>
    <w:rsid w:val="0047741C"/>
    <w:rsid w:val="0047773B"/>
    <w:rsid w:val="00480880"/>
    <w:rsid w:val="00481B86"/>
    <w:rsid w:val="004903F8"/>
    <w:rsid w:val="004A3FF9"/>
    <w:rsid w:val="004B23DD"/>
    <w:rsid w:val="004B2663"/>
    <w:rsid w:val="004B349A"/>
    <w:rsid w:val="004B559F"/>
    <w:rsid w:val="004C6039"/>
    <w:rsid w:val="004C60B8"/>
    <w:rsid w:val="004C6C43"/>
    <w:rsid w:val="004C794A"/>
    <w:rsid w:val="004D2D27"/>
    <w:rsid w:val="004E3E89"/>
    <w:rsid w:val="004E685F"/>
    <w:rsid w:val="004F649B"/>
    <w:rsid w:val="004F6F1F"/>
    <w:rsid w:val="00526D18"/>
    <w:rsid w:val="00535E8E"/>
    <w:rsid w:val="00537824"/>
    <w:rsid w:val="00544EA5"/>
    <w:rsid w:val="0055631C"/>
    <w:rsid w:val="00564FFB"/>
    <w:rsid w:val="00565C77"/>
    <w:rsid w:val="005708CD"/>
    <w:rsid w:val="0057589E"/>
    <w:rsid w:val="00582BEE"/>
    <w:rsid w:val="005B7A8D"/>
    <w:rsid w:val="005C12EA"/>
    <w:rsid w:val="005C23EF"/>
    <w:rsid w:val="005C4B9C"/>
    <w:rsid w:val="005C4F0C"/>
    <w:rsid w:val="005D56E3"/>
    <w:rsid w:val="005E7D38"/>
    <w:rsid w:val="0060497B"/>
    <w:rsid w:val="00611105"/>
    <w:rsid w:val="00616E48"/>
    <w:rsid w:val="00637736"/>
    <w:rsid w:val="00642ED5"/>
    <w:rsid w:val="00643E65"/>
    <w:rsid w:val="00646B9C"/>
    <w:rsid w:val="00654CB0"/>
    <w:rsid w:val="006A5D70"/>
    <w:rsid w:val="006A701A"/>
    <w:rsid w:val="006C3B7D"/>
    <w:rsid w:val="006C402F"/>
    <w:rsid w:val="006C58C4"/>
    <w:rsid w:val="006C5A89"/>
    <w:rsid w:val="006F4AEC"/>
    <w:rsid w:val="006F5CBE"/>
    <w:rsid w:val="00713823"/>
    <w:rsid w:val="00713CF4"/>
    <w:rsid w:val="0071559F"/>
    <w:rsid w:val="007540EB"/>
    <w:rsid w:val="007674EB"/>
    <w:rsid w:val="00773F88"/>
    <w:rsid w:val="007745B2"/>
    <w:rsid w:val="00780861"/>
    <w:rsid w:val="00785409"/>
    <w:rsid w:val="00793D9D"/>
    <w:rsid w:val="007B7171"/>
    <w:rsid w:val="007C7563"/>
    <w:rsid w:val="007D5748"/>
    <w:rsid w:val="007D73FE"/>
    <w:rsid w:val="007E1924"/>
    <w:rsid w:val="007F03E7"/>
    <w:rsid w:val="00806EA1"/>
    <w:rsid w:val="0081159A"/>
    <w:rsid w:val="0081242E"/>
    <w:rsid w:val="0081647C"/>
    <w:rsid w:val="008254FB"/>
    <w:rsid w:val="00832057"/>
    <w:rsid w:val="00837B6C"/>
    <w:rsid w:val="008416AB"/>
    <w:rsid w:val="00841B7F"/>
    <w:rsid w:val="00844365"/>
    <w:rsid w:val="00856A59"/>
    <w:rsid w:val="008577A0"/>
    <w:rsid w:val="00864591"/>
    <w:rsid w:val="0088438C"/>
    <w:rsid w:val="00897160"/>
    <w:rsid w:val="008A1252"/>
    <w:rsid w:val="008A3694"/>
    <w:rsid w:val="008A5F2C"/>
    <w:rsid w:val="008C0DBA"/>
    <w:rsid w:val="008C1613"/>
    <w:rsid w:val="008D26FA"/>
    <w:rsid w:val="008D339D"/>
    <w:rsid w:val="008D4FC5"/>
    <w:rsid w:val="008E04A0"/>
    <w:rsid w:val="008E47AC"/>
    <w:rsid w:val="008F1501"/>
    <w:rsid w:val="008F38BE"/>
    <w:rsid w:val="0091065D"/>
    <w:rsid w:val="009275BF"/>
    <w:rsid w:val="00933E16"/>
    <w:rsid w:val="0095420F"/>
    <w:rsid w:val="00976555"/>
    <w:rsid w:val="00977934"/>
    <w:rsid w:val="009808BC"/>
    <w:rsid w:val="00982EE1"/>
    <w:rsid w:val="00994C53"/>
    <w:rsid w:val="009A16E5"/>
    <w:rsid w:val="009A3EA4"/>
    <w:rsid w:val="009B6AF0"/>
    <w:rsid w:val="009C2129"/>
    <w:rsid w:val="009C3CB7"/>
    <w:rsid w:val="009D099F"/>
    <w:rsid w:val="00A172CE"/>
    <w:rsid w:val="00A179AE"/>
    <w:rsid w:val="00A23FD1"/>
    <w:rsid w:val="00A30F1C"/>
    <w:rsid w:val="00A46938"/>
    <w:rsid w:val="00A47252"/>
    <w:rsid w:val="00A5309D"/>
    <w:rsid w:val="00A547C5"/>
    <w:rsid w:val="00A56CAD"/>
    <w:rsid w:val="00A654A5"/>
    <w:rsid w:val="00A71983"/>
    <w:rsid w:val="00A74865"/>
    <w:rsid w:val="00AB307C"/>
    <w:rsid w:val="00AB3148"/>
    <w:rsid w:val="00AD30F4"/>
    <w:rsid w:val="00AE7949"/>
    <w:rsid w:val="00AF115F"/>
    <w:rsid w:val="00B007AE"/>
    <w:rsid w:val="00B02F85"/>
    <w:rsid w:val="00B1031A"/>
    <w:rsid w:val="00B1784E"/>
    <w:rsid w:val="00B33E7C"/>
    <w:rsid w:val="00B344FD"/>
    <w:rsid w:val="00B356F8"/>
    <w:rsid w:val="00B4230D"/>
    <w:rsid w:val="00B5155C"/>
    <w:rsid w:val="00B65A86"/>
    <w:rsid w:val="00B72BDC"/>
    <w:rsid w:val="00B76277"/>
    <w:rsid w:val="00B82326"/>
    <w:rsid w:val="00B82E88"/>
    <w:rsid w:val="00B843C4"/>
    <w:rsid w:val="00BB06B5"/>
    <w:rsid w:val="00BC472B"/>
    <w:rsid w:val="00BE5310"/>
    <w:rsid w:val="00BF1C36"/>
    <w:rsid w:val="00BF3078"/>
    <w:rsid w:val="00C12EC8"/>
    <w:rsid w:val="00C13E34"/>
    <w:rsid w:val="00C16B3F"/>
    <w:rsid w:val="00C24BB9"/>
    <w:rsid w:val="00C34FC6"/>
    <w:rsid w:val="00C50037"/>
    <w:rsid w:val="00C528D0"/>
    <w:rsid w:val="00C54412"/>
    <w:rsid w:val="00C57F67"/>
    <w:rsid w:val="00C61682"/>
    <w:rsid w:val="00C61B8B"/>
    <w:rsid w:val="00C8323B"/>
    <w:rsid w:val="00C867F9"/>
    <w:rsid w:val="00C87C8A"/>
    <w:rsid w:val="00C909C5"/>
    <w:rsid w:val="00CA11C1"/>
    <w:rsid w:val="00CA1A3A"/>
    <w:rsid w:val="00CA47C2"/>
    <w:rsid w:val="00CA6BAF"/>
    <w:rsid w:val="00CB3623"/>
    <w:rsid w:val="00CC006B"/>
    <w:rsid w:val="00CD4982"/>
    <w:rsid w:val="00CE5D3B"/>
    <w:rsid w:val="00D13B6F"/>
    <w:rsid w:val="00D30BC1"/>
    <w:rsid w:val="00D3615C"/>
    <w:rsid w:val="00D521F9"/>
    <w:rsid w:val="00D663CA"/>
    <w:rsid w:val="00D726F8"/>
    <w:rsid w:val="00D73F62"/>
    <w:rsid w:val="00D75D35"/>
    <w:rsid w:val="00D85C7E"/>
    <w:rsid w:val="00D912E8"/>
    <w:rsid w:val="00D95F76"/>
    <w:rsid w:val="00D9732A"/>
    <w:rsid w:val="00DA1518"/>
    <w:rsid w:val="00DA4453"/>
    <w:rsid w:val="00DA5B56"/>
    <w:rsid w:val="00DB408D"/>
    <w:rsid w:val="00DD27C9"/>
    <w:rsid w:val="00DE2A12"/>
    <w:rsid w:val="00E2548F"/>
    <w:rsid w:val="00E43AA2"/>
    <w:rsid w:val="00E538C0"/>
    <w:rsid w:val="00E53C2A"/>
    <w:rsid w:val="00E608FC"/>
    <w:rsid w:val="00E7434D"/>
    <w:rsid w:val="00E83082"/>
    <w:rsid w:val="00E920E9"/>
    <w:rsid w:val="00EB59C8"/>
    <w:rsid w:val="00EB59E3"/>
    <w:rsid w:val="00EC2E9C"/>
    <w:rsid w:val="00ED0DC2"/>
    <w:rsid w:val="00ED1615"/>
    <w:rsid w:val="00ED4518"/>
    <w:rsid w:val="00EE64E6"/>
    <w:rsid w:val="00EF7707"/>
    <w:rsid w:val="00F04CCD"/>
    <w:rsid w:val="00F05DFA"/>
    <w:rsid w:val="00F123CE"/>
    <w:rsid w:val="00F22831"/>
    <w:rsid w:val="00F244D7"/>
    <w:rsid w:val="00F2597D"/>
    <w:rsid w:val="00F36EF9"/>
    <w:rsid w:val="00F42D96"/>
    <w:rsid w:val="00F5316D"/>
    <w:rsid w:val="00F53619"/>
    <w:rsid w:val="00F62771"/>
    <w:rsid w:val="00F70047"/>
    <w:rsid w:val="00F70DE7"/>
    <w:rsid w:val="00F7425B"/>
    <w:rsid w:val="00F85082"/>
    <w:rsid w:val="00F93596"/>
    <w:rsid w:val="00F972A5"/>
    <w:rsid w:val="00FB3D81"/>
    <w:rsid w:val="00FB6C6D"/>
    <w:rsid w:val="00FB7C9F"/>
    <w:rsid w:val="00FC5453"/>
    <w:rsid w:val="00FC7E39"/>
    <w:rsid w:val="00FD2F21"/>
    <w:rsid w:val="00FD5C05"/>
    <w:rsid w:val="00FE08EF"/>
    <w:rsid w:val="00FF1E3A"/>
    <w:rsid w:val="00FF72E2"/>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925D0F-F369-427E-B840-628F870F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56118">
      <w:marLeft w:val="0"/>
      <w:marRight w:val="0"/>
      <w:marTop w:val="0"/>
      <w:marBottom w:val="0"/>
      <w:divBdr>
        <w:top w:val="none" w:sz="0" w:space="0" w:color="auto"/>
        <w:left w:val="none" w:sz="0" w:space="0" w:color="auto"/>
        <w:bottom w:val="none" w:sz="0" w:space="0" w:color="auto"/>
        <w:right w:val="none" w:sz="0" w:space="0" w:color="auto"/>
      </w:divBdr>
    </w:div>
    <w:div w:id="904756119">
      <w:marLeft w:val="0"/>
      <w:marRight w:val="0"/>
      <w:marTop w:val="0"/>
      <w:marBottom w:val="0"/>
      <w:divBdr>
        <w:top w:val="none" w:sz="0" w:space="0" w:color="auto"/>
        <w:left w:val="none" w:sz="0" w:space="0" w:color="auto"/>
        <w:bottom w:val="none" w:sz="0" w:space="0" w:color="auto"/>
        <w:right w:val="none" w:sz="0" w:space="0" w:color="auto"/>
      </w:divBdr>
    </w:div>
    <w:div w:id="904756123">
      <w:marLeft w:val="0"/>
      <w:marRight w:val="0"/>
      <w:marTop w:val="0"/>
      <w:marBottom w:val="0"/>
      <w:divBdr>
        <w:top w:val="none" w:sz="0" w:space="0" w:color="auto"/>
        <w:left w:val="none" w:sz="0" w:space="0" w:color="auto"/>
        <w:bottom w:val="none" w:sz="0" w:space="0" w:color="auto"/>
        <w:right w:val="none" w:sz="0" w:space="0" w:color="auto"/>
      </w:divBdr>
      <w:divsChild>
        <w:div w:id="904756120">
          <w:marLeft w:val="0"/>
          <w:marRight w:val="0"/>
          <w:marTop w:val="0"/>
          <w:marBottom w:val="0"/>
          <w:divBdr>
            <w:top w:val="none" w:sz="0" w:space="0" w:color="auto"/>
            <w:left w:val="none" w:sz="0" w:space="0" w:color="auto"/>
            <w:bottom w:val="none" w:sz="0" w:space="0" w:color="auto"/>
            <w:right w:val="none" w:sz="0" w:space="0" w:color="auto"/>
          </w:divBdr>
        </w:div>
        <w:div w:id="904756121">
          <w:marLeft w:val="0"/>
          <w:marRight w:val="0"/>
          <w:marTop w:val="0"/>
          <w:marBottom w:val="0"/>
          <w:divBdr>
            <w:top w:val="none" w:sz="0" w:space="0" w:color="auto"/>
            <w:left w:val="none" w:sz="0" w:space="0" w:color="auto"/>
            <w:bottom w:val="none" w:sz="0" w:space="0" w:color="auto"/>
            <w:right w:val="none" w:sz="0" w:space="0" w:color="auto"/>
          </w:divBdr>
        </w:div>
        <w:div w:id="904756122">
          <w:marLeft w:val="0"/>
          <w:marRight w:val="0"/>
          <w:marTop w:val="0"/>
          <w:marBottom w:val="0"/>
          <w:divBdr>
            <w:top w:val="none" w:sz="0" w:space="0" w:color="auto"/>
            <w:left w:val="none" w:sz="0" w:space="0" w:color="auto"/>
            <w:bottom w:val="none" w:sz="0" w:space="0" w:color="auto"/>
            <w:right w:val="none" w:sz="0" w:space="0" w:color="auto"/>
          </w:divBdr>
        </w:div>
        <w:div w:id="904756124">
          <w:marLeft w:val="0"/>
          <w:marRight w:val="0"/>
          <w:marTop w:val="0"/>
          <w:marBottom w:val="0"/>
          <w:divBdr>
            <w:top w:val="none" w:sz="0" w:space="0" w:color="auto"/>
            <w:left w:val="none" w:sz="0" w:space="0" w:color="auto"/>
            <w:bottom w:val="none" w:sz="0" w:space="0" w:color="auto"/>
            <w:right w:val="none" w:sz="0" w:space="0" w:color="auto"/>
          </w:divBdr>
        </w:div>
        <w:div w:id="904756125">
          <w:marLeft w:val="0"/>
          <w:marRight w:val="0"/>
          <w:marTop w:val="0"/>
          <w:marBottom w:val="0"/>
          <w:divBdr>
            <w:top w:val="none" w:sz="0" w:space="0" w:color="auto"/>
            <w:left w:val="none" w:sz="0" w:space="0" w:color="auto"/>
            <w:bottom w:val="none" w:sz="0" w:space="0" w:color="auto"/>
            <w:right w:val="none" w:sz="0" w:space="0" w:color="auto"/>
          </w:divBdr>
        </w:div>
        <w:div w:id="904756127">
          <w:marLeft w:val="0"/>
          <w:marRight w:val="0"/>
          <w:marTop w:val="0"/>
          <w:marBottom w:val="0"/>
          <w:divBdr>
            <w:top w:val="none" w:sz="0" w:space="0" w:color="auto"/>
            <w:left w:val="none" w:sz="0" w:space="0" w:color="auto"/>
            <w:bottom w:val="none" w:sz="0" w:space="0" w:color="auto"/>
            <w:right w:val="none" w:sz="0" w:space="0" w:color="auto"/>
          </w:divBdr>
        </w:div>
        <w:div w:id="904756128">
          <w:marLeft w:val="0"/>
          <w:marRight w:val="0"/>
          <w:marTop w:val="0"/>
          <w:marBottom w:val="0"/>
          <w:divBdr>
            <w:top w:val="none" w:sz="0" w:space="0" w:color="auto"/>
            <w:left w:val="none" w:sz="0" w:space="0" w:color="auto"/>
            <w:bottom w:val="none" w:sz="0" w:space="0" w:color="auto"/>
            <w:right w:val="none" w:sz="0" w:space="0" w:color="auto"/>
          </w:divBdr>
        </w:div>
        <w:div w:id="904756129">
          <w:marLeft w:val="0"/>
          <w:marRight w:val="0"/>
          <w:marTop w:val="0"/>
          <w:marBottom w:val="0"/>
          <w:divBdr>
            <w:top w:val="none" w:sz="0" w:space="0" w:color="auto"/>
            <w:left w:val="none" w:sz="0" w:space="0" w:color="auto"/>
            <w:bottom w:val="none" w:sz="0" w:space="0" w:color="auto"/>
            <w:right w:val="none" w:sz="0" w:space="0" w:color="auto"/>
          </w:divBdr>
        </w:div>
        <w:div w:id="904756133">
          <w:marLeft w:val="0"/>
          <w:marRight w:val="0"/>
          <w:marTop w:val="0"/>
          <w:marBottom w:val="0"/>
          <w:divBdr>
            <w:top w:val="none" w:sz="0" w:space="0" w:color="auto"/>
            <w:left w:val="none" w:sz="0" w:space="0" w:color="auto"/>
            <w:bottom w:val="none" w:sz="0" w:space="0" w:color="auto"/>
            <w:right w:val="none" w:sz="0" w:space="0" w:color="auto"/>
          </w:divBdr>
        </w:div>
      </w:divsChild>
    </w:div>
    <w:div w:id="904756126">
      <w:marLeft w:val="0"/>
      <w:marRight w:val="0"/>
      <w:marTop w:val="0"/>
      <w:marBottom w:val="0"/>
      <w:divBdr>
        <w:top w:val="none" w:sz="0" w:space="0" w:color="auto"/>
        <w:left w:val="none" w:sz="0" w:space="0" w:color="auto"/>
        <w:bottom w:val="none" w:sz="0" w:space="0" w:color="auto"/>
        <w:right w:val="none" w:sz="0" w:space="0" w:color="auto"/>
      </w:divBdr>
    </w:div>
    <w:div w:id="904756130">
      <w:marLeft w:val="0"/>
      <w:marRight w:val="0"/>
      <w:marTop w:val="0"/>
      <w:marBottom w:val="0"/>
      <w:divBdr>
        <w:top w:val="none" w:sz="0" w:space="0" w:color="auto"/>
        <w:left w:val="none" w:sz="0" w:space="0" w:color="auto"/>
        <w:bottom w:val="none" w:sz="0" w:space="0" w:color="auto"/>
        <w:right w:val="none" w:sz="0" w:space="0" w:color="auto"/>
      </w:divBdr>
    </w:div>
    <w:div w:id="904756131">
      <w:marLeft w:val="0"/>
      <w:marRight w:val="0"/>
      <w:marTop w:val="0"/>
      <w:marBottom w:val="0"/>
      <w:divBdr>
        <w:top w:val="none" w:sz="0" w:space="0" w:color="auto"/>
        <w:left w:val="none" w:sz="0" w:space="0" w:color="auto"/>
        <w:bottom w:val="none" w:sz="0" w:space="0" w:color="auto"/>
        <w:right w:val="none" w:sz="0" w:space="0" w:color="auto"/>
      </w:divBdr>
    </w:div>
    <w:div w:id="904756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fontTable" Target="fontTable.xml"></Relationship><Relationship Id="rId3" Type="http://schemas.openxmlformats.org/officeDocument/2006/relationships/customXml" Target="../customXml/item3.xml"></Relationship><Relationship Id="rId7" Type="http://schemas.openxmlformats.org/officeDocument/2006/relationships/settings" Target="settings.xml"></Relationship><Relationship Id="rId12" Type="http://schemas.openxmlformats.org/officeDocument/2006/relationships/footer" Target="footer1.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styles" Target="styles.xml"></Relationship><Relationship Id="rId11" Type="http://schemas.openxmlformats.org/officeDocument/2006/relationships/header" Target="header1.xml"></Relationship><Relationship Id="rId5" Type="http://schemas.openxmlformats.org/officeDocument/2006/relationships/numbering" Target="numbering.xml"></Relationship><Relationship Id="rId10" Type="http://schemas.openxmlformats.org/officeDocument/2006/relationships/endnotes" Target="endnotes.xml"></Relationship><Relationship Id="rId4" Type="http://schemas.openxmlformats.org/officeDocument/2006/relationships/customXml" Target="../customXml/item4.xml"></Relationship><Relationship Id="rId9" Type="http://schemas.openxmlformats.org/officeDocument/2006/relationships/footnotes" Target="footnotes.xml"></Relationship><Relationship Id="rId14" Type="http://schemas.openxmlformats.org/officeDocument/2006/relationships/theme" Target="theme/theme1.xml"></Relationship><Relationship Id="rId15" Type="http://schemas.openxmlformats.org/officeDocument/2006/relationships/customXml" Target="../customXml/item5.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no'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f:fields xmlns:f="http://schemas.fabasoft.com/folio/2007/fields">
  <f:record ref="">
    <f:field ref="objname" par="" edit="true" text="356-analyza-vplyvov-podnikatelske-prostredie"/>
    <f:field ref="objsubject" par="" edit="true" text=""/>
    <f:field ref="objcreatedby" par="" text="Lacová, Magdaléna, JUDr."/>
    <f:field ref="objcreatedat" par="" text="5.2.2019 13:58:54"/>
    <f:field ref="objchangedby" par="" text="Administrator, System"/>
    <f:field ref="objmodifiedat" par="" text="5.2.2019 13:58: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3.xml><?xml version="1.0" encoding="utf-8"?>
<ds:datastoreItem xmlns:ds="http://schemas.openxmlformats.org/officeDocument/2006/customXml" ds:itemID="{F0C549DF-7ECA-49A8-9349-3FB6044708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E8AB93-9D2B-4CF8-AE88-B00BB8438DFF}">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9377</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Lacová Magdaléna</cp:lastModifiedBy>
  <cp:revision>2</cp:revision>
  <cp:lastPrinted>2019-01-15T08:22:00Z</cp:lastPrinted>
  <dcterms:created xsi:type="dcterms:W3CDTF">2019-01-30T09:10:00Z</dcterms:created>
  <dcterms:modified xsi:type="dcterms:W3CDTF">2019-01-30T09:10:00Z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align="center"&gt;Verejnosť bola o&amp;nbsp;príprave návrhu nariadenia vlády Slovenskej republiky, ktorým sa mení a dopĺňa nariadenie vlády Slovenskej republiky č. 356/2006 Z. z. o ochrane zdravia zamestnancov pred rizikami súvisiacimi s expozíciou karcinogénnym a mutagénnym faktorom pri práci v znení neskorších predpisov informovaná prostredníctvom predbežnej informácie č. PI/2018/190 zverejnenej na portáli právnych predpisov Slov-Lex. Pripomienkové konanie prebiehalo od 11.9.2018 do 24.9.2018. K&amp;nbsp;predbežnej informácii k&amp;nbsp;návrhu nariadenia vlády nevzniesla verejnosť pripomienky.&lt;/p&gt;&lt;p&gt;Odborná verejnosť bola do prípravy predloženého návrhu nariadenia vlády zapojená aj prostredníctvom konzultácie s dotknutými subjektami, ktorú zabezpečilo Ministerstvo hospodárstva SR podľa Jednotnej metodiky na posudzovanie vybraných vplyvov. Konzultácie prebiehali od 6.9.2018 do 25.9.2018. Jeden subjekt si vyžiadal podrobnejšie informácie o&amp;nbsp;návrhu nariadenia vlády. Ani jeden subjekt nevzniesol pripomienku alebo otázku k&amp;nbsp;návrhu nariadenia vlády. &amp;nbsp;&amp;nbsp;&amp;nbsp;&lt;/p&gt;</vt:lpwstr>
  </property>
  <property name="FSC#SKEDITIONSLOVLEX@103.510:typpredpis" pid="3" fmtid="{D5CDD505-2E9C-101B-9397-08002B2CF9AE}">
    <vt:lpwstr>Nariadenie vlády Slovenskej republiky</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Magdaléna Lacová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,ktorým sa mení a dopĺňa nariadenie vlády Slovenskej republiky č. 356/2006 Z. z. o ochrane zdravia zamestnancov pred rizikami súvisiacimi s expozíciou karcinogénnym a mutagénnym faktorom pri práci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vt:lpwstr>
  </property>
  <property name="FSC#SKEDITIONSLOVLEX@103.510:autorpredpis" pid="21" fmtid="{D5CDD505-2E9C-101B-9397-08002B2CF9AE}">
    <vt:lpwstr/>
  </property>
  <property name="FSC#SKEDITIONSLOVLEX@103.510:podnetpredpis" pid="22" fmtid="{D5CDD505-2E9C-101B-9397-08002B2CF9AE}">
    <vt:lpwstr>Plán legislatívnych úloh vlády na rok 2019</vt:lpwstr>
  </property>
  <property name="FSC#SKEDITIONSLOVLEX@103.510:plnynazovpredpis" pid="23" fmtid="{D5CDD505-2E9C-101B-9397-08002B2CF9AE}">
    <vt:lpwstr> Nariadenie vlády  Slovenskej republiky,ktorým sa mení a dopĺňa nariadenie vlády Slovenskej republiky č. 356/2006 Z. z. o ochrane zdravia zamestnancov pred rizikami súvisiacimi s expozíciou karcinogénnym a mutagénnym faktorom pri práci v znení neskorších </vt:lpwstr>
  </property>
  <property name="FSC#SKEDITIONSLOVLEX@103.510:plnynazovpredpis1" pid="24" fmtid="{D5CDD505-2E9C-101B-9397-08002B2CF9AE}">
    <vt:lpwstr>predpisov</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S04985-2019-OL           </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LP/2019/93</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168 Zmluvy o fungovaní Európskej únie v platnom znení</vt:lpwstr>
  </property>
  <property name="FSC#SKEDITIONSLOVLEX@103.510:AttrStrListDocPropSekundarneLegPravoPO" pid="47" fmtid="{D5CDD505-2E9C-101B-9397-08002B2CF9AE}">
    <vt:lpwstr>-_x0009_smernica  Európskeho parlamentu a Rady 2004/37/ES z 29. apríla 2004 o ochrane pracovníkov pred rizikami z vystavenia účinkom karcinogénov alebo mutagénov pri práci (Mimoriadne vydanie Ú. v. EÚ, kap. 5/zv.5),_x000d__x000a_-_x0009_smernica Európskeho parlamentu a Rady 2014/27/EÚ z 26. februára 2014, ktorou sa menia smernice Rady 92/58/EHS, 92/85/EHS, 94/33/ES, 98/24/ES a smernica Európskeho parlamentu a Rady 2004/37/ES s cieľom zosúladiť ich s nariadením (ES) č. 1272/2008 o klasifikácii, označovaní a balení látok a zmesí (Ú. v. EÚ L 65, 5.3.2014),_x000d__x000a_-_x0009_smernica  Európskeho parlamentu a Rady (EÚ) 2017/2398 z 12. decembra 2017, ktorou sa mení smernica 2004/37/ES o ochrane pracovníkov pred rizikami z vystavenia účinkom karcinogénov alebo mutagénov pri práci (Ú. v. EÚ L 345, 27.12.2017)_x000d__x000a_-_x0009_nariadenie Európskeho parlamentu a Rady (ES) č. 1272/2008 z 16. decembra 2008 o klasifikácii, označovaní a balení látok a zmesí, o zmene, doplnení a zrušení smerníc 67/548/EHS a 1999/45/ES a o zmene a doplnení nariadenia (ES) č. 1907/2006 (Ú. v. EÚ L 353, 31.12.2008) v platnom znení._x000d__x000a_-_x0009_smernica  Európskeho parlamentu a Rady 2004/37/ES z 29. apríla 2004 o ochrane pracovníkov pred rizikami z vystavenia účinkom karcinogénov alebo mutagénov pri práci (šiesta samostatná smernica podľa článku 16 ods. 1 smernice 89/391/EHS)(kodifikované znenie) (Mimoriadne vydanie Ú. v. EÚ, kap. 5/zv.5),</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nie je</vt:lpwstr>
  </property>
  <property name="FSC#SKEDITIONSLOVLEX@103.510:AttrStrListDocPropLehotaPrebratieSmernice" pid="52" fmtid="{D5CDD505-2E9C-101B-9397-08002B2CF9AE}">
    <vt:lpwstr>17. január 2020,</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nebolo</vt:lpwstr>
  </property>
  <property name="FSC#SKEDITIONSLOVLEX@103.510:AttrStrListDocPropInfoUzPreberanePP" pid="55" fmtid="{D5CDD505-2E9C-101B-9397-08002B2CF9AE}">
    <vt:lpwstr>Smernica Európskeho parlamentu a Rady (EÚ) 2017/2398 ešte nebola prebratá v žiadnych slovenských právnych predpisoch.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6. 9. 2018</vt:lpwstr>
  </property>
  <property name="FSC#SKEDITIONSLOVLEX@103.510:AttrDateDocPropUkonceniePKK" pid="59" fmtid="{D5CDD505-2E9C-101B-9397-08002B2CF9AE}">
    <vt:lpwstr>25. 9. 2018</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&lt;table border="1" cellpadding="0" cellspacing="0" width="0"&gt;_x0009_&lt;tbody&gt;_x0009__x0009_&lt;tr&gt;_x0009__x0009__x0009_&lt;td style="width: 631px; height: 48px;"&gt;_x0009__x0009__x0009_&lt;p&gt;Využitie 14 karcinogénov a mutagénov, ktorým sa smernicou dopĺňa alebo reviduje technická smerná hodnota (v&amp;nbsp;tabuľke č. 1 na konci doložky).&lt;/p&gt;_x0009__x0009__x0009_&lt;p&gt;Porovnanie zmien pri expozícii 11 karcinogénom a mutagénom, ktoré už sú zavedené v legislatíve SR (v&amp;nbsp;tabuľke č. 2 na konci doložky).&lt;/p&gt;_x0009__x0009__x0009_&lt;p&gt;&amp;nbsp;&lt;/p&gt;_x0009__x0009__x0009_&lt;p&gt;Pozitívny vplyv na podnikateľské prostredie:&lt;/p&gt;_x0009__x0009__x0009_&lt;p&gt;- zlepšenie ochrany zdravia zamestnancov pri práci zavedením nových TSH a revidovaných TSH v zmysle nižších hodnôt oproti súčasným hodnotám TSH; predpokladá sa nižší výskyt chorôb z povolania a ochorení súvisiacich s prácou&lt;/p&gt;_x0009__x0009__x0009_&lt;p&gt;-&amp;nbsp; zavedenie nových TSH pomáha zamestnávateľom pri určovaní a posudzovaní zdravotného rizika&amp;nbsp; pri práci s expozíciou konkrétnym karcinogénom a mutagénom v súvislosti s vykonávaním preventívnych a ochranných opatrení na ochranu zdravia zamestnancov pred zdravotnými rizikami z expozície týmto faktorom&lt;/p&gt;_x0009__x0009__x0009_&lt;p&gt;-&amp;nbsp; pomoc zamestnávateľom pri zabezpečovaní účinnej ochrany pri práci s&amp;nbsp;karcinogénmi a mutagénmi prenikajúcimi cez kožu; ich označením v prílohe č. 2.&lt;/p&gt;_x0009__x0009__x0009_&lt;p&gt;&amp;nbsp;&lt;/p&gt;_x0009__x0009__x0009_&lt;p&gt;Negatívny vplyv na podnikateľské prostredie:&lt;/p&gt;_x0009__x0009__x0009_&lt;p&gt;- finančné náklady na meranie karcinogénov a mutagénov v pracovnom ovzduší a na úpravu existujúcich, najmä technických opatrení, alebo na zavedenie nových opatrení v pracovnom prostredí, kde sa vyskytujú karcinogény alebo mutagény, ktorých TSH sú novo zavedené alebo TSH sú revidované v zmysle nižších hodnôt oproti súčasným hodnotám TSH&lt;/p&gt;_x0009__x0009__x0009_&lt;p&gt;- je možné predpokladať nárast počtu rizikových prác vzhľadom na sprísnenie TSH 6 karcinogénov a&amp;nbsp;mutagénov, ktoré už sú zavedené v legislatíve SR a&amp;nbsp;na 3 novozavedené TSH.&lt;/p&gt;_x0009__x0009__x0009_&lt;p&gt;&amp;nbsp;&lt;/p&gt;_x0009__x0009__x0009_&lt;/td&gt;_x0009__x0009_&lt;/tr&gt;_x0009__x0009_&lt;tr&gt;_x0009__x0009__x0009_&lt;td style="width: 631px; height: 48px;"&gt;_x0009__x0009__x0009_&lt;p&gt;&lt;strong&gt;&lt;em&gt;Priame finančné náklady&lt;/em&gt;&lt;/strong&gt;&lt;/p&gt;_x0009__x0009__x0009_&lt;/td&gt;_x0009__x0009_&lt;/tr&gt;_x0009__x0009_&lt;tr&gt;_x0009__x0009__x0009_&lt;td style="width: 631px;"&gt;_x0009__x0009__x0009_&lt;p&gt;&lt;u&gt;Pozitívny vplyv na podnikateľské prostredie:&lt;/u&gt;&lt;/p&gt;_x0009__x0009__x0009_&lt;ul&gt;_x0009__x0009__x0009__x0009_&lt;li&gt;Podniky by mali profitovať z jasnejších a homogénnejších podmienok. V prípade 11 faktorov zahrnutých v tomto návrhu už TSH existujú na vnútroštátnej úrovni, z&amp;nbsp;toho u 4 sa nemení TSH a&amp;nbsp;v&amp;nbsp;jednom prípade sa TSH uvoľňuje (akrylamid).&lt;/li&gt;_x0009__x0009__x0009_&lt;/ul&gt;_x0009__x0009__x0009_&lt;p&gt;&lt;u&gt;Negatívny vplyv na podnikateľské prostredie:&lt;/u&gt;&lt;/p&gt;_x0009__x0009__x0009_&lt;ul&gt;_x0009__x0009__x0009__x0009_&lt;li&gt;Je možné predpokladať nárast počtu rizikových prác vzhľadom na sprísnenie TSH 6 karcinogénov a mutagénov, pričom vplyv zmien na zmeny počtu osôb vykonávajúcich rizikové práce nie je možné presne určiť. &lt;strong&gt;Nepredpokladá sa, že bude potrebné vyhlasovať rizikové práce u&amp;nbsp;všetkých dotknutých subjektov, iba u&amp;nbsp;tých, ktorí nebudú mať dostatočné technické alebo technologické opatrenia&lt;/strong&gt; na zníženie expozície zamestnancov uvedeným karcinogénom a mutagénom.&lt;/li&gt;_x0009__x0009__x0009_&lt;/ul&gt;_x0009__x0009__x0009_&lt;p style="margin-left: 21.3pt;"&gt;Vyčíslenie:&lt;/p&gt;_x0009__x0009__x0009_&lt;p style="margin-left: 21.3pt;"&gt;V&amp;nbsp;súčasnosti nie je možné negatívny vplyv (pravdepodobné zvýšenie nákladov zamestnávateľov) kvantifikovať konkrétne, iba opisne:&lt;/p&gt;_x0009__x0009__x0009_&lt;p style="margin-left: 21.3pt;"&gt;V&amp;nbsp;prípade vyhlásenia rizikovej práce u&amp;nbsp;1 zamestnanca sa zvýšenie nákladov zamestnávateľa bude týkať dvoch položiek: mzdovej kompenzácie za sťažený výkon práce a&amp;nbsp;príspevku zamestnávateľa na doplnkové dôchodkové sporenie zamestnanca, ktorý vykonáva prácu zaradenú do kategórie 3 a&amp;nbsp;4.&lt;/p&gt;_x0009__x0009__x0009_&lt;p style="margin-left: 21.3pt;"&gt;Mzdová kompenzácia za sťažený výkon práce predstavuje &amp;nbsp;najmenej 20 % minimálnej mzdy v eurách za hodinu (§ 124 Zákonníka práce).&lt;/p&gt;_x0009__x0009__x0009_&lt;p style="margin-left: 21.3pt;"&gt;Podľa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poistený.&lt;/p&gt;_x0009__x0009__x0009_&lt;p style="margin-left: 21.3pt;"&gt;Predkladateľ však nepozná vymeriavacie základy jednotlivých dotknutých zamestnancov ani ich počet.&lt;/p&gt;_x0009__x0009__x0009_&lt;p style="margin-left: 21.3pt;"&gt;&amp;nbsp;&lt;/p&gt;_x0009__x0009__x0009_&lt;p style="margin-left: 21.3pt;"&gt;V Slovenskej republike bolo k&amp;nbsp;30. 6. 2018 evidovaných 5&amp;nbsp;818 zamestnancov (z&amp;nbsp;toho 2 090 žien), vykonávajúcich rizikové práce s&amp;nbsp;expozíciou chemickým karcinogénom a&amp;nbsp;mutagénom u&amp;nbsp;približne 320 zamestnávateľov. Tieto údaje sa vzťahujú k&amp;nbsp;vyhláseným rizikovým prácam v&amp;nbsp;vzťahu ku karcinogénom a&amp;nbsp;mutagénom v&amp;nbsp;aktuálne platnom znení nariadenia vlády.&lt;/p&gt;_x0009__x0009__x0009_&lt;p style="margin-left: 21.3pt;"&gt;Vplyv zmien v&amp;nbsp;TSH karcinogénov a&amp;nbsp;mutagénov v&amp;nbsp;návrhu nariadenia vlády (6 sprísnených TSH, 3 novozavedené TSH) na zmeny počtu osôb vykonávajúcich rizikové práce nie je možné kvantifikovať. Nepredpokladá sa však, že bude potrebné vyhlasovať rizikové práce u všetkých dotknutých subjektov, iba u tých, ktorí nebudú mať dostatočné technické alebo technologické opatrenia na zníženie expozície zamestnancov uvedeným karcinogénom a mutagénom.&lt;/p&gt;_x0009__x0009__x0009_&lt;p&gt;&amp;nbsp;&lt;/p&gt;_x0009__x0009__x0009_&lt;ul&gt;_x0009__x0009__x0009__x0009_&lt;li&gt;Malé a stredné podniky nie sú vyňaté spod pôsobnosti smernice a&amp;nbsp;teda ani návrhu nariadenia vlády, neplánujú sa žiadne menej prísne režimy, pretože by to mohlo viesť k rôznej úrovni ochrany pracovníkov v závislosti od veľkosti podniku. Hlavný vplyv v situáciách, kde sa očakávajú vyššie úrovne vystavenia, bude na tie MSP, kde sú pracovníci vystavení účinkom šesťmocného chrómu.&lt;/li&gt;_x0009__x0009__x0009_&lt;/ul&gt;_x0009__x0009__x0009_&lt;p&gt;&amp;nbsp;&lt;/p&gt;_x0009__x0009__x0009_&lt;/td&gt;_x0009__x0009_&lt;/tr&gt;_x0009__x0009_&lt;tr&gt;_x0009__x0009__x0009_&lt;td style="width: 631px; height: 39px;"&gt;_x0009__x0009__x0009_&lt;p&gt;&lt;strong&gt;&lt;em&gt;3.3.2 Nepriame finančné náklady&lt;/em&gt;&lt;/strong&gt;&lt;/p&gt;_x0009__x0009__x0009_&lt;p&gt;&amp;nbsp;&lt;/p&gt;_x0009__x0009__x0009_&lt;/td&gt;_x0009__x0009_&lt;/tr&gt;_x0009__x0009_&lt;tr&gt;_x0009__x0009__x0009_&lt;td style="width: 631px;"&gt;_x0009__x0009__x0009_&lt;p&gt;&lt;u&gt;Pozitívny vplyv na podnikateľské prostredie:&lt;/u&gt;&lt;/p&gt;_x0009__x0009__x0009_&lt;ul&gt;_x0009__x0009__x0009__x0009_&lt;li&gt;Zlepšenie ochrany zdravia zamestnancov pri práci zavedením nových TSH a revidovaných TSH v zmysle nižších hodnôt oproti súčasným hodnotám TSH; predpokladá sa nižší výskyt chorôb z povolania a ochorení súvisiacich s&amp;nbsp;prácou.&lt;/li&gt;_x0009__x0009__x0009__x0009_&lt;li&gt;Zamestnávatelia budú mať pravdepodobný prínos v podobe nižších strát produktivity vyplývajúcich zo straty pracovníkov v dôsledku zlého zdravotného stavu súvisiaceho so zamestnaním a nákladov na ich nahradenie. V štúdii, ktorú zadali útvary Komisie, sa poukazuje na hlavné prínosy, ktoré sa očakávajú zo stanovenia TSH na úrovni 0,025 mg/m³ v prípade zlúčenín šesťmocného chrómu. Pokiaľ ide o šesťmocný chróm, v&amp;nbsp;Európskom meradle sa očakáva, že v období rokov 2010 až 2069 sa vďaka návrhu podarí zabrániť približne 1 800 prípadom rakoviny, čo vo finančnom vyčíslení zodpovedá sume 591 miliónov – 1,7 miliardy EUR. Hlavný finančný prínos v súvislosti so zavedením TSH v návrhu pre ostatné faktory: prach z tvrdého dreva (12 – 54 miliónov EUR); vinylchlorid (1 – 4 milióny EUR); o-toluidín (1,3 – 10,1 milióna EUR); hydrazín (0,01 – 0,05 milióna EUR); ohňovzdorné keramické vlákna (1,1 – 3,4 milióna EUR).&lt;/li&gt;_x0009__x0009__x0009__x0009_&lt;li&gt;Zavedenie nových TSH pomáha zamestnávateľom pri určovaní a posudzovaní zdravotného rizika&amp;nbsp; pri práci s&amp;nbsp; expozíciou konkrétnym&amp;nbsp; karcinogénom a mutagénom v súvislosti s vykonávaním preventívnych a ochranných opatrení na ochranu zdravia zamestnancov pred zdravotnými rizikami z expozície týmto karcinogénom a mutagénom&lt;/li&gt;_x0009__x0009__x0009__x0009_&lt;li&gt;Pomoc zamestnávateľom pri zabezpečovaní účinnej ochrany pri práci s&amp;nbsp;karcinogénmi a mutagénmi prenikajúcimi cez pokožku; ich označením v prílohe č. 2&lt;/li&gt;_x0009__x0009__x0009__x0009_&lt;li&gt;Vplyv na základné práva je pozitívny, najmä pokiaľ ide o právo na život a právo na spravodlivé a primerané pracovné podmienky, ktoré zohľadňujú zdravie, bezpečnosť a dôstojnosť pracovníkov.&lt;/li&gt;_x0009__x0009__x0009_&lt;/ul&gt;_x0009__x0009__x0009_&lt;p&gt;&lt;u&gt;Negatívny vplyv na podnikateľské prostredie:&lt;/u&gt;&lt;/p&gt;_x0009__x0009__x0009_&lt;ul&gt;_x0009__x0009__x0009__x0009_&lt;li&gt;Finančné náklady na meranie karcinogénov a mutagénov v pracovnom ovzduší a na úpravu existujúcich, najmä technických opatrení, alebo na zavedenie nových opatrení v pracovnom prostredí, kde sa vyskytujú karcinogény a mutagény, ktorých TSH sú novo zavedené alebo TSH sú revidované v zmysle nižších (prísnejších) hodnôt oproti súčasným hodnotám TSH. V prípade niektorých karcinogénov bude mať zvolená možnosť vplyv na prevádzkové náklady podnikov, ktoré budú musieť zaviesť dodatočné ochranné a preventívne opatrenia. Týkať sa to bude predovšetkým zlúčenín šesťmocného chrómu, ktorý má vzhľadom na to zavedené aj prechodné obdobie do roku 2025 na postupné sprísňovanie limitu. Pri ostatných karcinogénoch bude vplyv na prevádzkové náklady pre podniky (vrátane malých a stredných podnikov) minimálny, keďže na zabezpečenie úplného súladu postačia často len malé úpravy.&lt;/li&gt;_x0009__x0009__x0009_&lt;/ul&gt;_x0009__x0009__x0009_&lt;p style="margin-left: 21.3pt;"&gt;Vyčíslenie:&lt;/p&gt;_x0009__x0009__x0009_&lt;p style="margin-left: 21.3pt;"&gt;Nie je možné kvantifikovať konkrétne, nakoľko technické a&amp;nbsp;technologické opatrenia, ktoré si návrh nariadenia vlády vyžiada, sú individuálne a&amp;nbsp;závisia od aktuálneho stavu vybavenosti jednotlivých dotknutých podnikov.&lt;/p&gt;_x0009__x0009__x0009_&lt;p style="margin-left: 21.3pt;"&gt;Nepriamo je možné uviesť približné ceny za meranie faktorov v&amp;nbsp;pracovnom ovzduší (cenotvorba nie je regulovaná):&lt;/p&gt;_x0009__x0009__x0009_&lt;p style="margin-left: 21.3pt;"&gt;- odber vzoriek podľa platných noriem a štandardných pracovných postupov&amp;nbsp;&amp;nbsp;&amp;nbsp;&amp;nbsp; 15,00/1 hod. VŠ&lt;/p&gt;_x0009__x0009__x0009_&lt;p style="margin-left: 21.3pt;"&gt;&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8,00/1 hod. SŠ&lt;/p&gt;_x0009__x0009__x0009_&lt;p style="margin-left: 21.3pt;"&gt;- sadzba za dopravu pri použití dopravného prostriedku&amp;nbsp;&amp;nbsp; &amp;nbsp;&amp;nbsp;&amp;nbsp;&amp;nbsp;&amp;nbsp;&amp;nbsp;&amp;nbsp;&amp;nbsp;&amp;nbsp;&amp;nbsp;&amp;nbsp;&amp;nbsp;&amp;nbsp;&amp;nbsp;&amp;nbsp;&amp;nbsp;&amp;nbsp;&amp;nbsp;&amp;nbsp;&amp;nbsp;&amp;nbsp;&amp;nbsp;&amp;nbsp;&amp;nbsp;&amp;nbsp;&amp;nbsp;&amp;nbsp;&amp;nbsp;&amp;nbsp;&amp;nbsp;&amp;nbsp;&amp;nbsp;&amp;nbsp;&amp;nbsp;&amp;nbsp;&amp;nbsp;0,50/1 km&lt;/p&gt;_x0009__x0009__x0009_&lt;p style="margin-left: 21.3pt;"&gt;- spracovanie výsledkov a vyhotovenie protokolu o&amp;nbsp;skúškach&amp;nbsp;&amp;nbsp;&amp;nbsp;&amp;nbsp;&amp;nbsp;&amp;nbsp;&amp;nbsp;&amp;nbsp;&amp;nbsp;&amp;nbsp;&amp;nbsp;&amp;nbsp;&amp;nbsp;&amp;nbsp;&amp;nbsp;&amp;nbsp;&amp;nbsp;&amp;nbsp;&amp;nbsp;&amp;nbsp;&amp;nbsp;&amp;nbsp;&amp;nbsp;&amp;nbsp;&amp;nbsp;&amp;nbsp;&amp;nbsp;&amp;nbsp;&amp;nbsp; 15,00/1 hod.&lt;/p&gt;_x0009__x0009__x0009_&lt;p style="margin-left: 21.3pt;"&gt;- určenie karcinogénu podľa akreditovanej/štandardizovanej metódy&amp;nbsp;&amp;nbsp;&amp;nbsp;&amp;nbsp;&amp;nbsp;&amp;nbsp;&amp;nbsp;&amp;nbsp;&amp;nbsp;&amp;nbsp;&amp;nbsp;&amp;nbsp;&amp;nbsp;&amp;nbsp;&amp;nbsp;&amp;nbsp;&amp;nbsp; 10 - 50 Eur/látku&lt;/p&gt;_x0009__x0009__x0009_&lt;/td&gt;_x0009__x0009_&lt;/tr&gt;_x0009_&lt;/tbody&gt;&lt;/table&gt;</vt:lpwstr>
  </property>
  <property name="FSC#SKEDITIONSLOVLEX@103.510:AttrStrListDocPropAltRiesenia" pid="66" fmtid="{D5CDD505-2E9C-101B-9397-08002B2CF9AE}">
    <vt:lpwstr>Uplatnenie nulového variantu (neprijatie právnej úpravy) neumožňuje európska smernica, ktorá vyžaduje, aby členské štáty uviedli do účinnosti zákony, iné právne predpisy a správne opatrenia potrebné na dosiahnutie súladu s touto smernicou najneskôr do 17. januára 2020.Počas konzultácií s dotknutými subjektami nebola predložená ani jedna pripomienka k návrhu nariadenia vlády. </vt:lpwstr>
  </property>
  <property name="FSC#SKEDITIONSLOVLEX@103.510:AttrStrListDocPropStanoviskoGest" pid="67" fmtid="{D5CDD505-2E9C-101B-9397-08002B2CF9AE}">
    <vt:lpwstr>&lt;table border="1" cellpadding="0" cellspacing="0" width="0"&gt;_x0009_&lt;tbody&gt;_x0009__x0009_&lt;tr&gt;_x0009__x0009__x0009_&lt;td style="width: 631px;"&gt;_x0009__x0009__x0009_&lt;p&gt;Stála pracovná komisia Legislatívnej rady vlády SR na posudzovanie vybraných vplyvov (Komisia) vyjadrila nesúhlasné stanovisko č. 009/2019 zo dňa 21.1.2019 s&amp;nbsp;materiálom predloženým na predbežné pripomienkové konanie s&amp;nbsp;odporúčaním na dopracovanie doložky vybraných vplyvov a&amp;nbsp;analýzy vplyvov na podnikateľské prostredie podľa pripomienok. Všetky pripomienky boli akceptované a&amp;nbsp;zapracované, predkladateľ požiadal Komisiu o&amp;nbsp;opätovné schválenie.&lt;/p&gt;_x0009__x0009__x0009_&lt;p&gt;Nesúhlasné stanovisko Komisie neznamená zastavenie ďalšieho schvaľovacieho procesu.&amp;nbsp;&lt;/p&gt;_x0009__x0009__x0009_&lt;p&gt;&lt;strong&gt;Stála pracovná komisia Legislatívnej rady vlády SR na posudzovanie vybraných vplyvov (Komisia) vyjadrila v&amp;nbsp;opätovnom predbežnom pripomienkovom konaní súhlasné stanovisko č. 009_x005f_2/2019 zo dňa 30.1.2019&lt;/strong&gt; s&amp;nbsp;materiálom predloženým na opätovné predbežné pripomienkové konanie s&amp;nbsp;odporúčaním na dopracovanie doložky vybraných vplyvov a&amp;nbsp;analýzy vplyvov na podnikateľské prostredie podľa pripomienok a&amp;nbsp;odporúčaní.&lt;/p&gt;_x0009__x0009__x0009_&lt;p&gt;Predkladateľ akceptoval a zapracoval všetky pripomienky.&lt;/p&gt;_x0009__x0009__x0009_&lt;p&gt;Predkladateľ nezapracoval odporúčanie Komisie: znázorniť v analýze vplyvov modelový príklad pre jeden subjekt (resp. zamestnávateľa), ktorý by tieto alebo podobné opatrenia nespĺňal a na jeho príklade náklady vyčísliť resp. opisne priblížiť náklady súvisiace s návrhom materiálu. Predkladateľ nepozná technické a&amp;nbsp;technologické vybavenie dotknutých zamestnávateľov ani cenotvorbu súvisiacu s&amp;nbsp;realizáciou potrebných opatrení, vie iba predpokladať vplyv, čo uviedol v&amp;nbsp;doložke a&amp;nbsp;analýze. Modelácia príkladu z&amp;nbsp;praxe je možná iba zo strany dotknutých zamestnávateľov, túto informáciu teda mohli poskytnúť Komisii v&amp;nbsp;PPK iba dotknutí zamestnávatelia.&lt;/p&gt;_x0009__x0009__x0009_&lt;/td&gt;_x0009__x0009_&lt;/tr&gt;_x0009_&lt;/tbody&gt;&lt;/table&gt;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justify;"&gt;&amp;nbsp;&lt;/p&gt;&lt;p style="text-align: justify;"&gt;Návrhom nariadenia vlády Slovenskej republiky, ktorým sa mení a&amp;nbsp;dopĺňa nariadenie vlády Slovenskej republiky č. 356/2006 Z. z. o&amp;nbsp;ochrane zdravia zamestnancov pred rizikami súvisiacimi s&amp;nbsp;expozíciou karcinogénnym a&amp;nbsp;mutagénnym faktorom pri práci v&amp;nbsp;znení neskorších predpisov (ďalej „návrh nariadenia vlády“) sa do právneho poriadku Slovenskej republiky preberá smernica&amp;nbsp;&lt;strong&gt; Európskeho parlamentu a&amp;nbsp;Rady (EÚ) 2017/2398 z&amp;nbsp;12.&amp;nbsp;decembra&amp;nbsp;2017, &lt;/strong&gt;ktorou sa mení smernica 2004/37/ES&lt;strong&gt; o&amp;nbsp;ochrane pracovníkov pred rizikami z&amp;nbsp;vystavenia účinkom karcinogénov alebo mutagénov pri práci (ďalej „smernica&lt;/strong&gt;“)&lt;strong&gt;. Cieľom sm&lt;/strong&gt;ernice je zlepšiť ochranu zdravia zamestnancov pri práci tým, že sprísňuje maximálne hodnoty expozície karcinogénnym a&amp;nbsp;mutagénnym faktorom (ďalej „&lt;strong&gt;karcinogény a mutagény“)&lt;/strong&gt; pri práci a&amp;nbsp;rozširuje zoznam karcinogénov a mutagénov, u ktorých sú tieto hodnoty stanovené.&lt;/p&gt;&lt;p style="text-align: justify;"&gt;Do návrhu nariadenia vlády sa zo smernice transponujú maximálne hodnoty expozície pri práci pre 14 &lt;strong&gt;karcinogénov a mutagénov&lt;/strong&gt;, ktoré boli revidované a&amp;nbsp;odvodené z&amp;nbsp;najnovších dostupných vedeckých údajov s&amp;nbsp;ohľadom na ochranu zdravia pri práci a&amp;nbsp;odporúčaných kritérií a&amp;nbsp;metód Vedeckého výboru pre expozičné limity (SCOEL) zriadeného rozhodnutím Európskej komisie, pričom berú do úvahy dostupnosť meracích techník. Stanovujú sa ako technické smerné hodnoty &lt;strong&gt;karcinogénov a mutagénov&lt;/strong&gt; &amp;nbsp;kategórie 1A a&amp;nbsp;kategórie 1B v&amp;nbsp;pracovnom ovzduší, pre ktoré nemôžu byť stanovené najvyššie prípustné expozičné limity ako je to u&amp;nbsp;iných chemických faktorov z&amp;nbsp;dôvodu, že v prípade väčšiny karcinogénov &lt;strong&gt;a mutagénov&lt;/strong&gt; nie je v&amp;nbsp;súčasnosti vedecky možné určiť úroveň, pod ktorou by expozícia neviedla k&amp;nbsp;nepriaznivým následkom na zdravie. Stanovením technickej smernej hodnoty sa reziduálne riziká neodstránia úplne, ale prispeje sa k&amp;nbsp;výraznému zníženiu rizika vyplývajúceho z&amp;nbsp;expozície &lt;strong&gt;karcinogénom a mutagénom&lt;/strong&gt;.&lt;/p&gt;&lt;p style="text-align: justify;"&gt;Do návrhu nariadenia vlády sa dopĺňajú technické smerné hodnoty pre tri karcinogény &lt;strong&gt;a mutagény&lt;/strong&gt; v pracovnom ovzduší, ktoré doteraz neboli súčasťou legislatívy Slovenskej republiky&amp;nbsp;(brómetylén, 1,2-epoxypropán, ohňovzdorné keramické vlákna). Zavedenie nových technických smerných hodnôt pre konkrétne karcinogény a &lt;strong&gt;mutagény&lt;/strong&gt; znamená lepšiu ochranu zdravia zamestnancov zabezpečenú dodržiavaním určených technických smerných hodnôt v pracovnom ovzduší. Z&amp;nbsp;ďalších jedenástich karcinogénov a&amp;nbsp;mutagénov, ktorých maximálne hodnoty expozície sú súčasťou smernice a ktoré sú už v&amp;nbsp;súčasnosti uvedené ako technické smerné hodnoty v &amp;nbsp;prílohe č. 2 nariadenia vlády Slovenskej republiky č. 356/2006 Z. z.,&amp;nbsp; sa&amp;nbsp;revidujú technické smerné hodnoty pre sedem karci&lt;strong&gt;nogénov a mutagénov&lt;/strong&gt; v pracovnom ovzduší. Väčšina z&amp;nbsp; revidovaných technických smerných hodnôt má klesajúcu tendenciu, čím je v&amp;nbsp;súlade s&amp;nbsp;európskym cieľom zabezpečená lepšia ochrana zdravia zamestnancov pri práci s karcinogénmi &lt;strong&gt;a mutagénmi&lt;/strong&gt;.&lt;/p&gt;&lt;p style="text-align: justify;"&gt;Návrh nariadenia vlády je v súlade s Ústavou Slovenskej republiky, zákonmi a ďalšími všeobecne záväznými právnymi predpismi ako aj s medzinárodnými zmluvami a medzinárodnými dokumentmi, ktorými je Slovenská republika viazaná a s právom Európskej únie.&lt;/p&gt;&lt;p style="text-align: justify;"&gt;Predložený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vplyvy.&lt;/p&gt;&lt;p style="text-align: justify;"&gt;Navrhovaná účinnosť nariadenia vlády je od 1. mája 2019.&lt;/p&gt;&lt;p style="text-align: justify;"&gt;Nie je dôvod nesprístupňovania návrhu nariadenia vlády.&lt;/p&gt;&lt;p style="text-align: justify;"&gt;Návrh nariadenia vlády nie je predmetom vnútrokomunitárneho pripomienkového konania.&lt;/p&gt;&lt;p style="text-align: justify;"&gt;Návrh nariadenia vlády sa predkladá do medzirezortného pripomienkového konania.&lt;/p&gt;</vt:lpwstr>
  </property>
  <property name="FSC#SKEDITIONSLOVLEX@103.510:vytvorenedna" pid="150" fmtid="{D5CDD505-2E9C-101B-9397-08002B2CF9AE}">
    <vt:lpwstr>5. 2. 2019</vt:lpwstr>
  </property>
  <property name="FSC#COOSYSTEM@1.1:Container" pid="151" fmtid="{D5CDD505-2E9C-101B-9397-08002B2CF9AE}">
    <vt:lpwstr>COO.2145.1000.3.3193007</vt:lpwstr>
  </property>
  <property name="FSC#FSCFOLIO@1.1001:docpropproject" pid="152" fmtid="{D5CDD505-2E9C-101B-9397-08002B2CF9AE}">
    <vt:lpwstr/>
  </property>
</Properties>
</file>