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970E0D" w:rsidRDefault="00732E57" w:rsidP="00970E0D">
      <w:pPr>
        <w:spacing w:line="240" w:lineRule="auto"/>
        <w:jc w:val="right"/>
        <w:rPr>
          <w:rFonts w:eastAsia="Calibri"/>
          <w:sz w:val="20"/>
          <w:szCs w:val="20"/>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970E0D" w:rsidTr="009C2704">
        <w:trPr>
          <w:trHeight w:val="822"/>
        </w:trPr>
        <w:tc>
          <w:tcPr>
            <w:tcW w:w="9371" w:type="dxa"/>
            <w:shd w:val="clear" w:color="auto" w:fill="BFBFBF"/>
            <w:vAlign w:val="center"/>
          </w:tcPr>
          <w:p w:rsidR="00337789" w:rsidRPr="00970E0D" w:rsidRDefault="00337789" w:rsidP="00970E0D">
            <w:pPr>
              <w:spacing w:line="240" w:lineRule="auto"/>
              <w:jc w:val="center"/>
              <w:rPr>
                <w:b/>
                <w:bCs/>
              </w:rPr>
            </w:pPr>
            <w:r w:rsidRPr="00970E0D">
              <w:rPr>
                <w:b/>
                <w:bCs/>
              </w:rPr>
              <w:t xml:space="preserve">Analýza </w:t>
            </w:r>
            <w:r w:rsidR="00964DDF" w:rsidRPr="00970E0D">
              <w:rPr>
                <w:b/>
                <w:bCs/>
              </w:rPr>
              <w:t>vplyvov na služby verejnej správy pre občana</w:t>
            </w:r>
          </w:p>
        </w:tc>
      </w:tr>
      <w:tr w:rsidR="00337789" w:rsidRPr="00970E0D" w:rsidTr="009C2704">
        <w:trPr>
          <w:trHeight w:val="367"/>
        </w:trPr>
        <w:tc>
          <w:tcPr>
            <w:tcW w:w="9371" w:type="dxa"/>
            <w:shd w:val="clear" w:color="auto" w:fill="C0C0C0"/>
            <w:vAlign w:val="center"/>
          </w:tcPr>
          <w:p w:rsidR="00337789" w:rsidRPr="00970E0D" w:rsidRDefault="00337789" w:rsidP="00970E0D">
            <w:pPr>
              <w:spacing w:line="240" w:lineRule="auto"/>
              <w:jc w:val="center"/>
              <w:rPr>
                <w:b/>
                <w:sz w:val="20"/>
                <w:szCs w:val="20"/>
              </w:rPr>
            </w:pPr>
            <w:r w:rsidRPr="00970E0D">
              <w:rPr>
                <w:b/>
                <w:sz w:val="20"/>
                <w:szCs w:val="20"/>
              </w:rPr>
              <w:t xml:space="preserve">7.1 Identifikácia služby verejnej správy, ktorá je dotknutá návrhom </w:t>
            </w:r>
          </w:p>
        </w:tc>
      </w:tr>
      <w:tr w:rsidR="00337789" w:rsidRPr="00970E0D" w:rsidTr="009C2704">
        <w:trPr>
          <w:trHeight w:val="316"/>
        </w:trPr>
        <w:tc>
          <w:tcPr>
            <w:tcW w:w="9371" w:type="dxa"/>
          </w:tcPr>
          <w:p w:rsidR="00337789" w:rsidRPr="00970E0D" w:rsidRDefault="00337789" w:rsidP="00970E0D">
            <w:pPr>
              <w:spacing w:line="240" w:lineRule="auto"/>
              <w:rPr>
                <w:b/>
                <w:i/>
                <w:sz w:val="20"/>
                <w:szCs w:val="20"/>
              </w:rPr>
            </w:pPr>
            <w:r w:rsidRPr="00970E0D">
              <w:rPr>
                <w:b/>
                <w:sz w:val="20"/>
                <w:szCs w:val="20"/>
              </w:rPr>
              <w:t>7.1.1 Predpokladá predložený návrh zmenu existujúcej služby verejnej správy alebo vytvorenie novej služby?</w:t>
            </w:r>
            <w:r w:rsidRPr="00970E0D">
              <w:rPr>
                <w:i/>
                <w:sz w:val="20"/>
                <w:szCs w:val="20"/>
              </w:rPr>
              <w:t xml:space="preserve"> </w:t>
            </w:r>
          </w:p>
        </w:tc>
      </w:tr>
      <w:tr w:rsidR="00337789" w:rsidRPr="00970E0D" w:rsidTr="009C2704">
        <w:trPr>
          <w:trHeight w:val="296"/>
        </w:trPr>
        <w:tc>
          <w:tcPr>
            <w:tcW w:w="9371" w:type="dxa"/>
          </w:tcPr>
          <w:p w:rsidR="00337789" w:rsidRPr="00970E0D" w:rsidRDefault="00337789" w:rsidP="00970E0D">
            <w:pPr>
              <w:spacing w:line="240" w:lineRule="auto"/>
              <w:rPr>
                <w:b/>
                <w:i/>
                <w:sz w:val="20"/>
                <w:szCs w:val="20"/>
              </w:rPr>
            </w:pPr>
            <w:r w:rsidRPr="00970E0D">
              <w:rPr>
                <w:i/>
                <w:sz w:val="20"/>
                <w:szCs w:val="20"/>
              </w:rPr>
              <w:t xml:space="preserve">Zmena existujúcej služby (konkretizujte a popíšte) </w:t>
            </w:r>
          </w:p>
        </w:tc>
      </w:tr>
      <w:tr w:rsidR="00337789" w:rsidRPr="00970E0D" w:rsidTr="009C2704">
        <w:trPr>
          <w:trHeight w:val="655"/>
        </w:trPr>
        <w:tc>
          <w:tcPr>
            <w:tcW w:w="9371" w:type="dxa"/>
          </w:tcPr>
          <w:p w:rsidR="00F0260E" w:rsidRPr="00970E0D" w:rsidRDefault="00F0260E" w:rsidP="00970E0D">
            <w:pPr>
              <w:spacing w:line="240" w:lineRule="auto"/>
              <w:rPr>
                <w:sz w:val="20"/>
                <w:szCs w:val="20"/>
              </w:rPr>
            </w:pPr>
            <w:r w:rsidRPr="00970E0D">
              <w:rPr>
                <w:bCs/>
                <w:sz w:val="20"/>
                <w:szCs w:val="20"/>
              </w:rPr>
              <w:t>U</w:t>
            </w:r>
            <w:r w:rsidRPr="00970E0D">
              <w:rPr>
                <w:sz w:val="20"/>
                <w:szCs w:val="20"/>
              </w:rPr>
              <w:t xml:space="preserve">pravuje a spresňuje postup vedenia evidencie lesných pozemkov podľa obhospodarovateľov lesa a odborných lesných hospodárov, pričom sa orgánu štátnej správy lesného hospodárstva dopĺňa povinnosť viesť túto evidenciu </w:t>
            </w:r>
            <w:r w:rsidR="00740C57" w:rsidRPr="00970E0D">
              <w:rPr>
                <w:sz w:val="20"/>
                <w:szCs w:val="20"/>
              </w:rPr>
              <w:t xml:space="preserve">okrem doterajšej formy </w:t>
            </w:r>
            <w:r w:rsidRPr="00970E0D">
              <w:rPr>
                <w:sz w:val="20"/>
                <w:szCs w:val="20"/>
              </w:rPr>
              <w:t xml:space="preserve">v informačnom systéme lesného hospodárstva </w:t>
            </w:r>
            <w:r w:rsidR="00740C57" w:rsidRPr="00970E0D">
              <w:rPr>
                <w:sz w:val="20"/>
                <w:szCs w:val="20"/>
              </w:rPr>
              <w:t xml:space="preserve">sa dopĺňa jej vedenie aj vo webovej aplikácií tohto informačného systému </w:t>
            </w:r>
            <w:r w:rsidRPr="00970E0D">
              <w:rPr>
                <w:sz w:val="20"/>
                <w:szCs w:val="20"/>
              </w:rPr>
              <w:t>podľa § 45 zákona o lesoch. Zároveň sa definuje termín, ku ktorému fyzická alebo právnická osoba vstupuje do práv a povinností obhospodarovateľa lesa. Ďalej sa definuje postup vedenia lesných pozemkov a povinnosti obhospodarovateľa lesa po jeho zaevidovaní do evidencie lesných pozemkov. Touto zmenou sa vytvára predpoklad zefektívnenia evidencie lesných pozemkov  a urýchlenia odbornej správy lesov.</w:t>
            </w:r>
          </w:p>
          <w:p w:rsidR="003B64C4" w:rsidRPr="00970E0D" w:rsidRDefault="003B64C4" w:rsidP="00970E0D">
            <w:pPr>
              <w:spacing w:line="240" w:lineRule="auto"/>
              <w:rPr>
                <w:sz w:val="20"/>
                <w:szCs w:val="20"/>
              </w:rPr>
            </w:pPr>
            <w:r w:rsidRPr="00970E0D">
              <w:rPr>
                <w:sz w:val="20"/>
                <w:szCs w:val="20"/>
              </w:rPr>
              <w:t xml:space="preserve">Návrh zákona dopĺňa a definuje postup, ktorý umožní preskúmanie postupu orgánu štátnej správy lesného hospodárstva pri zápise do evidencie lesných pozemkov. Stanovujú sa osoby </w:t>
            </w:r>
            <w:r w:rsidR="00DF3F11" w:rsidRPr="00970E0D">
              <w:rPr>
                <w:sz w:val="20"/>
                <w:szCs w:val="20"/>
              </w:rPr>
              <w:t xml:space="preserve">oprávnené </w:t>
            </w:r>
            <w:r w:rsidRPr="00970E0D">
              <w:rPr>
                <w:sz w:val="20"/>
                <w:szCs w:val="20"/>
              </w:rPr>
              <w:t xml:space="preserve">podať </w:t>
            </w:r>
            <w:r w:rsidR="00DF3F11" w:rsidRPr="00970E0D">
              <w:rPr>
                <w:sz w:val="20"/>
                <w:szCs w:val="20"/>
              </w:rPr>
              <w:t xml:space="preserve">odvolanie alebo </w:t>
            </w:r>
            <w:r w:rsidRPr="00970E0D">
              <w:rPr>
                <w:sz w:val="20"/>
                <w:szCs w:val="20"/>
              </w:rPr>
              <w:t>námietky voči postupu</w:t>
            </w:r>
            <w:r w:rsidR="00DF3F11" w:rsidRPr="00970E0D">
              <w:rPr>
                <w:sz w:val="20"/>
                <w:szCs w:val="20"/>
              </w:rPr>
              <w:t xml:space="preserve"> pri zápise do evidencie lesných pozemkov</w:t>
            </w:r>
            <w:r w:rsidRPr="00970E0D">
              <w:rPr>
                <w:sz w:val="20"/>
                <w:szCs w:val="20"/>
              </w:rPr>
              <w:t>, ako aj postup orgánov štátnej správy</w:t>
            </w:r>
            <w:r w:rsidR="00DF3F11" w:rsidRPr="00970E0D">
              <w:rPr>
                <w:sz w:val="20"/>
                <w:szCs w:val="20"/>
              </w:rPr>
              <w:t xml:space="preserve"> lesného hospodárstva pri ich preskúmavaní.</w:t>
            </w:r>
          </w:p>
          <w:p w:rsidR="00327F37" w:rsidRPr="00970E0D" w:rsidRDefault="00692198" w:rsidP="00970E0D">
            <w:pPr>
              <w:spacing w:line="240" w:lineRule="auto"/>
              <w:rPr>
                <w:sz w:val="20"/>
                <w:szCs w:val="20"/>
              </w:rPr>
            </w:pPr>
            <w:r w:rsidRPr="00970E0D">
              <w:rPr>
                <w:sz w:val="20"/>
                <w:szCs w:val="20"/>
              </w:rPr>
              <w:t xml:space="preserve">Návrhom sa upresňuje problematika vedenia registra </w:t>
            </w:r>
            <w:r w:rsidR="00DF3F11" w:rsidRPr="00970E0D">
              <w:rPr>
                <w:sz w:val="20"/>
                <w:szCs w:val="20"/>
              </w:rPr>
              <w:t xml:space="preserve">odborných lesných </w:t>
            </w:r>
            <w:r w:rsidRPr="00970E0D">
              <w:rPr>
                <w:sz w:val="20"/>
                <w:szCs w:val="20"/>
              </w:rPr>
              <w:t>hospodárov a jeho vedenia podľa miesta trvalého pobytu hospodára, konkretizuje sa miestna príslušnosť orgánu štátnej správy lesného hospodárstva pre jeho vedenie a zároveň pre prípady, ak hospodár má trvalý pobyt alebo sídlo mimo územia SR, sa taxatívne určuje, že register pre tieto osoby bude viesť Okresný úrad Bratislava.</w:t>
            </w:r>
            <w:r w:rsidR="0079289E" w:rsidRPr="00970E0D">
              <w:rPr>
                <w:sz w:val="20"/>
                <w:szCs w:val="20"/>
              </w:rPr>
              <w:t xml:space="preserve"> Zároveň sa upresňuje, na ktoré prípady zániku platnosti osvedčenia o odbornej spôsobilosti hospodára a vyčiarknutie z registra hospodárov sa nevzťahuje všeobecný predpis o správnom konaní.</w:t>
            </w:r>
            <w:r w:rsidRPr="00970E0D">
              <w:rPr>
                <w:sz w:val="20"/>
                <w:szCs w:val="20"/>
              </w:rPr>
              <w:t xml:space="preserve"> </w:t>
            </w:r>
          </w:p>
        </w:tc>
      </w:tr>
      <w:tr w:rsidR="00337789" w:rsidRPr="00970E0D" w:rsidTr="009C2704">
        <w:trPr>
          <w:trHeight w:val="212"/>
        </w:trPr>
        <w:tc>
          <w:tcPr>
            <w:tcW w:w="9371" w:type="dxa"/>
          </w:tcPr>
          <w:p w:rsidR="00337789" w:rsidRPr="00970E0D" w:rsidRDefault="00337789" w:rsidP="00970E0D">
            <w:pPr>
              <w:spacing w:line="240" w:lineRule="auto"/>
              <w:rPr>
                <w:i/>
                <w:sz w:val="20"/>
                <w:szCs w:val="20"/>
              </w:rPr>
            </w:pPr>
            <w:r w:rsidRPr="00970E0D">
              <w:rPr>
                <w:i/>
                <w:sz w:val="20"/>
                <w:szCs w:val="20"/>
              </w:rPr>
              <w:t>Nová služba (konkretizujte a popíšte)</w:t>
            </w:r>
          </w:p>
        </w:tc>
      </w:tr>
      <w:tr w:rsidR="00337789" w:rsidRPr="00970E0D" w:rsidTr="009C2704">
        <w:trPr>
          <w:trHeight w:val="598"/>
        </w:trPr>
        <w:tc>
          <w:tcPr>
            <w:tcW w:w="9371" w:type="dxa"/>
          </w:tcPr>
          <w:p w:rsidR="00337789" w:rsidRPr="00970E0D" w:rsidRDefault="0071192F" w:rsidP="00970E0D">
            <w:pPr>
              <w:spacing w:line="240" w:lineRule="auto"/>
              <w:rPr>
                <w:sz w:val="20"/>
                <w:szCs w:val="20"/>
              </w:rPr>
            </w:pPr>
            <w:r w:rsidRPr="00970E0D">
              <w:rPr>
                <w:sz w:val="20"/>
                <w:szCs w:val="20"/>
              </w:rPr>
              <w:t xml:space="preserve">Vydávanie výpisov z evidencie lesných pozemkov – vzhľadom k tomu, že evidencia lesných pozemkov podľa návrhu nadobudne konštitutívny charakter, a pre niektoré konania nemôžu byť použité údaje zo zverejnenej evidencie lesných pozemkov, resp. mohlo u dotknutých účastníkov konania dôjsť k strate rozhodnutia (resp. potvrdenia) o zápise v evidencii, dopĺňa sa možnosť požiadať o vydanie </w:t>
            </w:r>
            <w:r w:rsidR="00883A84" w:rsidRPr="00970E0D">
              <w:rPr>
                <w:sz w:val="20"/>
                <w:szCs w:val="20"/>
              </w:rPr>
              <w:t>výpisu</w:t>
            </w:r>
            <w:r w:rsidRPr="00970E0D">
              <w:rPr>
                <w:sz w:val="20"/>
                <w:szCs w:val="20"/>
              </w:rPr>
              <w:t xml:space="preserve"> o skutočnostiach zapísaných v evidencii lesných pozemkov.</w:t>
            </w:r>
          </w:p>
        </w:tc>
      </w:tr>
      <w:tr w:rsidR="00337789" w:rsidRPr="00970E0D" w:rsidTr="009C2704">
        <w:trPr>
          <w:trHeight w:val="248"/>
        </w:trPr>
        <w:tc>
          <w:tcPr>
            <w:tcW w:w="9371" w:type="dxa"/>
          </w:tcPr>
          <w:p w:rsidR="00337789" w:rsidRPr="00970E0D" w:rsidRDefault="00337789" w:rsidP="00970E0D">
            <w:pPr>
              <w:spacing w:line="240" w:lineRule="auto"/>
              <w:rPr>
                <w:b/>
                <w:sz w:val="20"/>
                <w:szCs w:val="20"/>
              </w:rPr>
            </w:pPr>
            <w:r w:rsidRPr="00970E0D">
              <w:rPr>
                <w:b/>
                <w:sz w:val="20"/>
                <w:szCs w:val="20"/>
              </w:rPr>
              <w:t>7.1.2 Špecifikácia služby verejnej správy, ktorá je dotknutá návrhom</w:t>
            </w:r>
          </w:p>
        </w:tc>
      </w:tr>
      <w:tr w:rsidR="00337789" w:rsidRPr="00970E0D" w:rsidTr="009C2704">
        <w:trPr>
          <w:trHeight w:val="248"/>
        </w:trPr>
        <w:tc>
          <w:tcPr>
            <w:tcW w:w="9371" w:type="dxa"/>
          </w:tcPr>
          <w:p w:rsidR="00337789" w:rsidRPr="00970E0D" w:rsidRDefault="00337789" w:rsidP="00970E0D">
            <w:pPr>
              <w:spacing w:line="240" w:lineRule="auto"/>
              <w:rPr>
                <w:i/>
                <w:sz w:val="20"/>
                <w:szCs w:val="20"/>
              </w:rPr>
            </w:pPr>
            <w:r w:rsidRPr="00970E0D">
              <w:rPr>
                <w:i/>
                <w:sz w:val="20"/>
                <w:szCs w:val="20"/>
              </w:rPr>
              <w:t xml:space="preserve">Názov služby </w:t>
            </w:r>
          </w:p>
        </w:tc>
      </w:tr>
      <w:tr w:rsidR="00337789" w:rsidRPr="00970E0D" w:rsidTr="006713A5">
        <w:trPr>
          <w:trHeight w:val="258"/>
        </w:trPr>
        <w:tc>
          <w:tcPr>
            <w:tcW w:w="9371" w:type="dxa"/>
          </w:tcPr>
          <w:p w:rsidR="00337789" w:rsidRPr="00970E0D" w:rsidRDefault="00A31E27" w:rsidP="00970E0D">
            <w:pPr>
              <w:spacing w:line="240" w:lineRule="auto"/>
              <w:rPr>
                <w:sz w:val="20"/>
                <w:szCs w:val="20"/>
              </w:rPr>
            </w:pPr>
            <w:r w:rsidRPr="00970E0D">
              <w:rPr>
                <w:sz w:val="20"/>
                <w:szCs w:val="20"/>
              </w:rPr>
              <w:t xml:space="preserve">Vedenie evidencie lesných pozemkov podľa obhospodarovateľov lesov a odborných lesných hospodárov </w:t>
            </w:r>
          </w:p>
        </w:tc>
      </w:tr>
      <w:tr w:rsidR="00337789" w:rsidRPr="00970E0D" w:rsidTr="009C2704">
        <w:trPr>
          <w:trHeight w:val="248"/>
        </w:trPr>
        <w:tc>
          <w:tcPr>
            <w:tcW w:w="9371" w:type="dxa"/>
          </w:tcPr>
          <w:p w:rsidR="00337789" w:rsidRPr="00970E0D" w:rsidRDefault="00337789" w:rsidP="00970E0D">
            <w:pPr>
              <w:spacing w:line="240" w:lineRule="auto"/>
              <w:rPr>
                <w:b/>
                <w:i/>
                <w:sz w:val="20"/>
                <w:szCs w:val="20"/>
              </w:rPr>
            </w:pPr>
            <w:r w:rsidRPr="00970E0D">
              <w:rPr>
                <w:i/>
                <w:sz w:val="20"/>
                <w:szCs w:val="20"/>
              </w:rPr>
              <w:t>Platná právna úprava, na základe ktorej je služba poskytovaná (ak ide o zmenu existujúcej služby)</w:t>
            </w:r>
          </w:p>
        </w:tc>
      </w:tr>
      <w:tr w:rsidR="00337789" w:rsidRPr="00970E0D" w:rsidTr="006713A5">
        <w:trPr>
          <w:trHeight w:val="183"/>
        </w:trPr>
        <w:tc>
          <w:tcPr>
            <w:tcW w:w="9371" w:type="dxa"/>
          </w:tcPr>
          <w:p w:rsidR="00337789" w:rsidRPr="00970E0D" w:rsidRDefault="00A31E27" w:rsidP="00970E0D">
            <w:pPr>
              <w:spacing w:line="240" w:lineRule="auto"/>
              <w:rPr>
                <w:sz w:val="20"/>
                <w:szCs w:val="20"/>
              </w:rPr>
            </w:pPr>
            <w:r w:rsidRPr="00970E0D">
              <w:rPr>
                <w:sz w:val="20"/>
                <w:szCs w:val="20"/>
              </w:rPr>
              <w:t>Zákon č. 326/2005 Z. z. o lesoch v znení neskorších predpisov</w:t>
            </w:r>
          </w:p>
        </w:tc>
      </w:tr>
      <w:tr w:rsidR="00337789" w:rsidRPr="00970E0D" w:rsidTr="009C2704">
        <w:trPr>
          <w:trHeight w:val="220"/>
        </w:trPr>
        <w:tc>
          <w:tcPr>
            <w:tcW w:w="9371" w:type="dxa"/>
          </w:tcPr>
          <w:p w:rsidR="00337789" w:rsidRPr="00970E0D" w:rsidRDefault="00337789" w:rsidP="00970E0D">
            <w:pPr>
              <w:spacing w:line="240" w:lineRule="auto"/>
              <w:rPr>
                <w:b/>
                <w:i/>
                <w:sz w:val="20"/>
                <w:szCs w:val="20"/>
              </w:rPr>
            </w:pPr>
            <w:r w:rsidRPr="00970E0D">
              <w:rPr>
                <w:i/>
                <w:sz w:val="20"/>
                <w:szCs w:val="20"/>
              </w:rPr>
              <w:t xml:space="preserve">Subjekt, ktorý je na základe platnej právnej úpravy oprávnený službu poskytovať </w:t>
            </w:r>
          </w:p>
        </w:tc>
      </w:tr>
      <w:tr w:rsidR="00337789" w:rsidRPr="00970E0D" w:rsidTr="006713A5">
        <w:trPr>
          <w:trHeight w:val="447"/>
        </w:trPr>
        <w:tc>
          <w:tcPr>
            <w:tcW w:w="9371" w:type="dxa"/>
          </w:tcPr>
          <w:p w:rsidR="00337789" w:rsidRPr="00970E0D" w:rsidRDefault="00A31E27" w:rsidP="00970E0D">
            <w:pPr>
              <w:spacing w:line="240" w:lineRule="auto"/>
              <w:rPr>
                <w:sz w:val="20"/>
                <w:szCs w:val="20"/>
              </w:rPr>
            </w:pPr>
            <w:r w:rsidRPr="00970E0D">
              <w:rPr>
                <w:sz w:val="20"/>
                <w:szCs w:val="20"/>
              </w:rPr>
              <w:t>Národné lesnícke centrum</w:t>
            </w:r>
          </w:p>
          <w:p w:rsidR="0079289E" w:rsidRPr="00970E0D" w:rsidRDefault="00A31E27" w:rsidP="00970E0D">
            <w:pPr>
              <w:spacing w:line="240" w:lineRule="auto"/>
              <w:rPr>
                <w:sz w:val="20"/>
                <w:szCs w:val="20"/>
              </w:rPr>
            </w:pPr>
            <w:r w:rsidRPr="00970E0D">
              <w:rPr>
                <w:sz w:val="20"/>
                <w:szCs w:val="20"/>
              </w:rPr>
              <w:t xml:space="preserve">Okresné úrady - pozemkové a lesné odbory </w:t>
            </w:r>
          </w:p>
        </w:tc>
      </w:tr>
      <w:tr w:rsidR="00337789" w:rsidRPr="00970E0D" w:rsidTr="006713A5">
        <w:trPr>
          <w:trHeight w:val="200"/>
        </w:trPr>
        <w:tc>
          <w:tcPr>
            <w:tcW w:w="9371" w:type="dxa"/>
          </w:tcPr>
          <w:p w:rsidR="00337789" w:rsidRPr="00970E0D" w:rsidRDefault="00337789" w:rsidP="00970E0D">
            <w:pPr>
              <w:spacing w:line="240" w:lineRule="auto"/>
              <w:rPr>
                <w:b/>
                <w:i/>
                <w:sz w:val="20"/>
                <w:szCs w:val="20"/>
              </w:rPr>
            </w:pPr>
            <w:r w:rsidRPr="00970E0D">
              <w:rPr>
                <w:b/>
                <w:sz w:val="20"/>
                <w:szCs w:val="20"/>
              </w:rPr>
              <w:t xml:space="preserve">7.1.3 O aký vplyv na službu verejnej správy ide? </w:t>
            </w:r>
          </w:p>
        </w:tc>
      </w:tr>
      <w:tr w:rsidR="00337789" w:rsidRPr="00970E0D" w:rsidTr="009C2704">
        <w:trPr>
          <w:trHeight w:val="256"/>
        </w:trPr>
        <w:tc>
          <w:tcPr>
            <w:tcW w:w="9371" w:type="dxa"/>
          </w:tcPr>
          <w:p w:rsidR="00337789" w:rsidRPr="00970E0D" w:rsidRDefault="00337789" w:rsidP="00970E0D">
            <w:pPr>
              <w:spacing w:line="240" w:lineRule="auto"/>
              <w:rPr>
                <w:b/>
                <w:i/>
                <w:sz w:val="20"/>
                <w:szCs w:val="20"/>
              </w:rPr>
            </w:pPr>
            <w:r w:rsidRPr="00970E0D">
              <w:rPr>
                <w:i/>
                <w:sz w:val="20"/>
                <w:szCs w:val="20"/>
              </w:rPr>
              <w:t xml:space="preserve">Priamy vplyv (popíšte) </w:t>
            </w:r>
          </w:p>
        </w:tc>
      </w:tr>
      <w:tr w:rsidR="00337789" w:rsidRPr="00970E0D" w:rsidTr="009C2704">
        <w:trPr>
          <w:trHeight w:val="543"/>
        </w:trPr>
        <w:tc>
          <w:tcPr>
            <w:tcW w:w="9371" w:type="dxa"/>
          </w:tcPr>
          <w:p w:rsidR="00337789" w:rsidRPr="00970E0D" w:rsidRDefault="00B1544E" w:rsidP="00970E0D">
            <w:pPr>
              <w:spacing w:line="240" w:lineRule="auto"/>
              <w:rPr>
                <w:sz w:val="20"/>
                <w:szCs w:val="20"/>
              </w:rPr>
            </w:pPr>
            <w:r w:rsidRPr="00970E0D">
              <w:rPr>
                <w:sz w:val="20"/>
                <w:szCs w:val="20"/>
              </w:rPr>
              <w:t xml:space="preserve">Pozitívny. </w:t>
            </w:r>
            <w:r w:rsidR="00740C57" w:rsidRPr="00970E0D">
              <w:rPr>
                <w:sz w:val="20"/>
                <w:szCs w:val="20"/>
              </w:rPr>
              <w:t>Zmena v procese evidencie obhospodarovateľov lesa a odborných lesných hospodárov.</w:t>
            </w:r>
            <w:r w:rsidR="00883A84" w:rsidRPr="00970E0D">
              <w:rPr>
                <w:sz w:val="20"/>
                <w:szCs w:val="20"/>
              </w:rPr>
              <w:t xml:space="preserve"> </w:t>
            </w:r>
            <w:r w:rsidRPr="00970E0D">
              <w:rPr>
                <w:sz w:val="20"/>
                <w:szCs w:val="20"/>
              </w:rPr>
              <w:t>Uvedené vplyvy sú pozitívne v tom, že doplnením elektronických služieb do procesu evidencie sa po doplnení a zosúladení evidencie aj v elektronickej podobe celkovo zjednoduší, sprehľadní a zosúladí výkon štátnej správy lesného hospodárstva na všetkých okresných úradoch. Uvedené bude mať pozitívny vplyv aj na subjekty, ktoré budú využívať údaje z uvedenej evidencie, ktorá sa doteraz viedla čiastočne v písomnej podob</w:t>
            </w:r>
            <w:r w:rsidR="0071192F" w:rsidRPr="00970E0D">
              <w:rPr>
                <w:sz w:val="20"/>
                <w:szCs w:val="20"/>
              </w:rPr>
              <w:t>e</w:t>
            </w:r>
            <w:r w:rsidRPr="00970E0D">
              <w:rPr>
                <w:sz w:val="20"/>
                <w:szCs w:val="20"/>
              </w:rPr>
              <w:t xml:space="preserve"> a čiastočne v elektronickej podobe.</w:t>
            </w:r>
          </w:p>
        </w:tc>
      </w:tr>
      <w:tr w:rsidR="00337789" w:rsidRPr="00970E0D" w:rsidTr="009C2704">
        <w:trPr>
          <w:trHeight w:val="20"/>
        </w:trPr>
        <w:tc>
          <w:tcPr>
            <w:tcW w:w="9371" w:type="dxa"/>
          </w:tcPr>
          <w:p w:rsidR="00337789" w:rsidRPr="00970E0D" w:rsidRDefault="00337789" w:rsidP="00970E0D">
            <w:pPr>
              <w:spacing w:line="240" w:lineRule="auto"/>
              <w:rPr>
                <w:b/>
                <w:i/>
                <w:sz w:val="20"/>
                <w:szCs w:val="20"/>
              </w:rPr>
            </w:pPr>
            <w:r w:rsidRPr="00970E0D">
              <w:rPr>
                <w:i/>
                <w:sz w:val="20"/>
                <w:szCs w:val="20"/>
              </w:rPr>
              <w:t xml:space="preserve">Nepriamy vplyv (popíšte) </w:t>
            </w:r>
          </w:p>
        </w:tc>
      </w:tr>
      <w:tr w:rsidR="00337789" w:rsidRPr="00970E0D" w:rsidTr="009C2704">
        <w:trPr>
          <w:trHeight w:val="616"/>
        </w:trPr>
        <w:tc>
          <w:tcPr>
            <w:tcW w:w="9371" w:type="dxa"/>
          </w:tcPr>
          <w:p w:rsidR="00337789" w:rsidRPr="00970E0D" w:rsidRDefault="00740C57" w:rsidP="00970E0D">
            <w:pPr>
              <w:spacing w:line="240" w:lineRule="auto"/>
              <w:rPr>
                <w:sz w:val="20"/>
                <w:szCs w:val="20"/>
              </w:rPr>
            </w:pPr>
            <w:r w:rsidRPr="00970E0D">
              <w:rPr>
                <w:sz w:val="20"/>
                <w:szCs w:val="20"/>
              </w:rPr>
              <w:t xml:space="preserve">Novela zákona č. 145/1995 Z. z. o správnych poplatkoch v znení neskorších predpisov zavedením nového správneho poplatku za vydanie potvrdenia o </w:t>
            </w:r>
            <w:r w:rsidR="00DF3F11" w:rsidRPr="00970E0D">
              <w:rPr>
                <w:sz w:val="20"/>
                <w:szCs w:val="20"/>
              </w:rPr>
              <w:t xml:space="preserve">skutočnostiach zapísaných v evidencii lesných pozemkov </w:t>
            </w:r>
            <w:r w:rsidR="0090559F" w:rsidRPr="00970E0D">
              <w:rPr>
                <w:sz w:val="20"/>
                <w:szCs w:val="20"/>
              </w:rPr>
              <w:t>podľa § 4 zákona č. 326/2005 Z. z. o lesoch v znení neskorších predpisov</w:t>
            </w:r>
            <w:r w:rsidR="00DF3F11" w:rsidRPr="00970E0D">
              <w:rPr>
                <w:sz w:val="20"/>
                <w:szCs w:val="20"/>
              </w:rPr>
              <w:t>.</w:t>
            </w:r>
          </w:p>
        </w:tc>
      </w:tr>
      <w:tr w:rsidR="00337789" w:rsidRPr="00970E0D" w:rsidTr="009C2704">
        <w:trPr>
          <w:trHeight w:val="20"/>
        </w:trPr>
        <w:tc>
          <w:tcPr>
            <w:tcW w:w="9371" w:type="dxa"/>
            <w:shd w:val="clear" w:color="auto" w:fill="C0C0C0"/>
            <w:vAlign w:val="center"/>
          </w:tcPr>
          <w:p w:rsidR="00337789" w:rsidRPr="00970E0D" w:rsidRDefault="00337789" w:rsidP="00970E0D">
            <w:pPr>
              <w:spacing w:line="240" w:lineRule="auto"/>
              <w:jc w:val="center"/>
              <w:rPr>
                <w:b/>
                <w:sz w:val="20"/>
                <w:szCs w:val="20"/>
              </w:rPr>
            </w:pPr>
            <w:r w:rsidRPr="00970E0D">
              <w:rPr>
                <w:b/>
                <w:sz w:val="20"/>
                <w:szCs w:val="20"/>
              </w:rPr>
              <w:t xml:space="preserve">7.2 Vplyv </w:t>
            </w:r>
            <w:r w:rsidR="00611193" w:rsidRPr="00970E0D">
              <w:rPr>
                <w:b/>
                <w:sz w:val="20"/>
                <w:szCs w:val="20"/>
              </w:rPr>
              <w:t>služ</w:t>
            </w:r>
            <w:r w:rsidR="009634B3" w:rsidRPr="00970E0D">
              <w:rPr>
                <w:b/>
                <w:sz w:val="20"/>
                <w:szCs w:val="20"/>
              </w:rPr>
              <w:t>ieb</w:t>
            </w:r>
            <w:r w:rsidR="00611193" w:rsidRPr="00970E0D">
              <w:rPr>
                <w:b/>
                <w:sz w:val="20"/>
                <w:szCs w:val="20"/>
              </w:rPr>
              <w:t xml:space="preserve"> </w:t>
            </w:r>
            <w:r w:rsidR="00E57B5B" w:rsidRPr="00970E0D">
              <w:rPr>
                <w:b/>
                <w:sz w:val="20"/>
                <w:szCs w:val="20"/>
              </w:rPr>
              <w:t xml:space="preserve">verejnej správy </w:t>
            </w:r>
            <w:r w:rsidR="005021C6" w:rsidRPr="00970E0D">
              <w:rPr>
                <w:b/>
                <w:sz w:val="20"/>
                <w:szCs w:val="20"/>
              </w:rPr>
              <w:t>na</w:t>
            </w:r>
            <w:r w:rsidRPr="00970E0D">
              <w:rPr>
                <w:b/>
                <w:sz w:val="20"/>
                <w:szCs w:val="20"/>
              </w:rPr>
              <w:t xml:space="preserve"> </w:t>
            </w:r>
            <w:r w:rsidR="005021C6" w:rsidRPr="00970E0D">
              <w:rPr>
                <w:b/>
                <w:sz w:val="20"/>
                <w:szCs w:val="20"/>
              </w:rPr>
              <w:t>občana</w:t>
            </w:r>
          </w:p>
        </w:tc>
      </w:tr>
      <w:tr w:rsidR="00337789" w:rsidRPr="00970E0D" w:rsidTr="006713A5">
        <w:trPr>
          <w:trHeight w:val="177"/>
        </w:trPr>
        <w:tc>
          <w:tcPr>
            <w:tcW w:w="9371" w:type="dxa"/>
          </w:tcPr>
          <w:p w:rsidR="00337789" w:rsidRPr="00970E0D" w:rsidRDefault="00337789" w:rsidP="00970E0D">
            <w:pPr>
              <w:spacing w:line="240" w:lineRule="auto"/>
              <w:rPr>
                <w:b/>
                <w:sz w:val="20"/>
                <w:szCs w:val="20"/>
              </w:rPr>
            </w:pPr>
            <w:r w:rsidRPr="00970E0D">
              <w:rPr>
                <w:b/>
                <w:sz w:val="20"/>
                <w:szCs w:val="20"/>
              </w:rPr>
              <w:t xml:space="preserve">7.2.1 Náklady </w:t>
            </w:r>
          </w:p>
        </w:tc>
      </w:tr>
      <w:tr w:rsidR="00337789" w:rsidRPr="00970E0D" w:rsidTr="009C2704">
        <w:trPr>
          <w:trHeight w:val="226"/>
        </w:trPr>
        <w:tc>
          <w:tcPr>
            <w:tcW w:w="9371" w:type="dxa"/>
          </w:tcPr>
          <w:p w:rsidR="00337789" w:rsidRPr="00970E0D" w:rsidRDefault="00337789" w:rsidP="00970E0D">
            <w:pPr>
              <w:spacing w:line="240" w:lineRule="auto"/>
              <w:rPr>
                <w:b/>
                <w:sz w:val="20"/>
                <w:szCs w:val="20"/>
              </w:rPr>
            </w:pPr>
            <w:r w:rsidRPr="00970E0D">
              <w:rPr>
                <w:i/>
                <w:sz w:val="20"/>
                <w:szCs w:val="20"/>
              </w:rPr>
              <w:t xml:space="preserve">Zníženie priamych finančných nákladov </w:t>
            </w:r>
          </w:p>
        </w:tc>
      </w:tr>
      <w:tr w:rsidR="00337789" w:rsidRPr="00970E0D" w:rsidTr="006713A5">
        <w:trPr>
          <w:trHeight w:val="248"/>
        </w:trPr>
        <w:tc>
          <w:tcPr>
            <w:tcW w:w="9371" w:type="dxa"/>
          </w:tcPr>
          <w:p w:rsidR="00337789" w:rsidRPr="00970E0D" w:rsidRDefault="00E172D8" w:rsidP="00970E0D">
            <w:pPr>
              <w:spacing w:line="240" w:lineRule="auto"/>
              <w:rPr>
                <w:sz w:val="20"/>
                <w:szCs w:val="20"/>
              </w:rPr>
            </w:pPr>
            <w:r w:rsidRPr="00970E0D">
              <w:rPr>
                <w:sz w:val="20"/>
                <w:szCs w:val="20"/>
              </w:rPr>
              <w:t>Pre „občana“ (v zmysle metodiky)</w:t>
            </w:r>
            <w:r w:rsidR="00922E49" w:rsidRPr="00970E0D">
              <w:rPr>
                <w:sz w:val="20"/>
                <w:szCs w:val="20"/>
              </w:rPr>
              <w:t xml:space="preserve"> </w:t>
            </w:r>
            <w:r w:rsidRPr="00970E0D">
              <w:rPr>
                <w:sz w:val="20"/>
                <w:szCs w:val="20"/>
              </w:rPr>
              <w:t>bezpredmetné</w:t>
            </w:r>
          </w:p>
        </w:tc>
      </w:tr>
      <w:tr w:rsidR="00337789" w:rsidRPr="00970E0D" w:rsidTr="009C2704">
        <w:trPr>
          <w:trHeight w:val="294"/>
        </w:trPr>
        <w:tc>
          <w:tcPr>
            <w:tcW w:w="9371" w:type="dxa"/>
          </w:tcPr>
          <w:p w:rsidR="00337789" w:rsidRPr="00970E0D" w:rsidRDefault="00337789" w:rsidP="00970E0D">
            <w:pPr>
              <w:spacing w:line="240" w:lineRule="auto"/>
              <w:rPr>
                <w:i/>
                <w:sz w:val="20"/>
                <w:szCs w:val="20"/>
              </w:rPr>
            </w:pPr>
            <w:r w:rsidRPr="00970E0D">
              <w:rPr>
                <w:i/>
                <w:sz w:val="20"/>
                <w:szCs w:val="20"/>
              </w:rPr>
              <w:lastRenderedPageBreak/>
              <w:t>Zvýšenie priamych finančných nákladov</w:t>
            </w:r>
          </w:p>
        </w:tc>
      </w:tr>
      <w:tr w:rsidR="00337789" w:rsidRPr="00970E0D" w:rsidTr="006713A5">
        <w:trPr>
          <w:trHeight w:val="310"/>
        </w:trPr>
        <w:tc>
          <w:tcPr>
            <w:tcW w:w="9371" w:type="dxa"/>
          </w:tcPr>
          <w:p w:rsidR="00337789" w:rsidRPr="00970E0D" w:rsidRDefault="00E172D8" w:rsidP="00970E0D">
            <w:pPr>
              <w:spacing w:line="240" w:lineRule="auto"/>
              <w:rPr>
                <w:sz w:val="20"/>
                <w:szCs w:val="20"/>
              </w:rPr>
            </w:pPr>
            <w:r w:rsidRPr="00970E0D">
              <w:rPr>
                <w:sz w:val="20"/>
                <w:szCs w:val="20"/>
              </w:rPr>
              <w:t>bezpredmetné</w:t>
            </w:r>
          </w:p>
        </w:tc>
      </w:tr>
      <w:tr w:rsidR="00337789" w:rsidRPr="00970E0D" w:rsidTr="009C2704">
        <w:trPr>
          <w:trHeight w:val="214"/>
        </w:trPr>
        <w:tc>
          <w:tcPr>
            <w:tcW w:w="9371" w:type="dxa"/>
          </w:tcPr>
          <w:p w:rsidR="00337789" w:rsidRPr="00970E0D" w:rsidRDefault="00337789" w:rsidP="00970E0D">
            <w:pPr>
              <w:spacing w:line="240" w:lineRule="auto"/>
              <w:rPr>
                <w:i/>
                <w:sz w:val="20"/>
                <w:szCs w:val="20"/>
              </w:rPr>
            </w:pPr>
            <w:r w:rsidRPr="00970E0D">
              <w:rPr>
                <w:i/>
                <w:sz w:val="20"/>
                <w:szCs w:val="20"/>
              </w:rPr>
              <w:t>Zníženie nepriamych finančných nákladov</w:t>
            </w:r>
          </w:p>
        </w:tc>
      </w:tr>
      <w:tr w:rsidR="00337789" w:rsidRPr="00970E0D" w:rsidTr="009C2704">
        <w:trPr>
          <w:trHeight w:val="707"/>
        </w:trPr>
        <w:tc>
          <w:tcPr>
            <w:tcW w:w="9371" w:type="dxa"/>
          </w:tcPr>
          <w:p w:rsidR="00337789" w:rsidRPr="00970E0D" w:rsidRDefault="00F754A5" w:rsidP="00970E0D">
            <w:pPr>
              <w:spacing w:line="240" w:lineRule="auto"/>
              <w:rPr>
                <w:sz w:val="20"/>
                <w:szCs w:val="20"/>
              </w:rPr>
            </w:pPr>
            <w:r w:rsidRPr="00970E0D">
              <w:rPr>
                <w:sz w:val="20"/>
                <w:szCs w:val="20"/>
              </w:rPr>
              <w:t>Zjednodušením procesov, ako aj zverejňovaním údajov z registrov vedených orgánmi štátnej správy lesného hospodárstva a taktiež zverejnením údajov programov starostlivosti o lesy dôjde k zníženiu časovej a aj finančnej náročnosti získavania údajov pre občanov.</w:t>
            </w:r>
          </w:p>
        </w:tc>
      </w:tr>
      <w:tr w:rsidR="00337789" w:rsidRPr="00970E0D" w:rsidTr="006713A5">
        <w:trPr>
          <w:trHeight w:val="145"/>
        </w:trPr>
        <w:tc>
          <w:tcPr>
            <w:tcW w:w="9371" w:type="dxa"/>
          </w:tcPr>
          <w:p w:rsidR="00337789" w:rsidRPr="00970E0D" w:rsidRDefault="00337789" w:rsidP="00970E0D">
            <w:pPr>
              <w:spacing w:line="240" w:lineRule="auto"/>
              <w:rPr>
                <w:i/>
                <w:sz w:val="20"/>
                <w:szCs w:val="20"/>
              </w:rPr>
            </w:pPr>
            <w:r w:rsidRPr="00970E0D">
              <w:rPr>
                <w:i/>
                <w:sz w:val="20"/>
                <w:szCs w:val="20"/>
              </w:rPr>
              <w:t>Zvýšenie nepriamych finančných nákladov</w:t>
            </w:r>
          </w:p>
        </w:tc>
      </w:tr>
      <w:tr w:rsidR="00337789" w:rsidRPr="00970E0D" w:rsidTr="006713A5">
        <w:trPr>
          <w:trHeight w:val="263"/>
        </w:trPr>
        <w:tc>
          <w:tcPr>
            <w:tcW w:w="9371" w:type="dxa"/>
          </w:tcPr>
          <w:p w:rsidR="00337789" w:rsidRPr="00970E0D" w:rsidRDefault="0090559F" w:rsidP="00970E0D">
            <w:pPr>
              <w:spacing w:line="240" w:lineRule="auto"/>
              <w:rPr>
                <w:sz w:val="20"/>
                <w:szCs w:val="20"/>
              </w:rPr>
            </w:pPr>
            <w:r w:rsidRPr="00970E0D">
              <w:rPr>
                <w:sz w:val="20"/>
                <w:szCs w:val="20"/>
              </w:rPr>
              <w:t>bezpredmetné</w:t>
            </w:r>
          </w:p>
        </w:tc>
      </w:tr>
      <w:tr w:rsidR="00337789" w:rsidRPr="00970E0D" w:rsidTr="006713A5">
        <w:trPr>
          <w:trHeight w:val="225"/>
        </w:trPr>
        <w:tc>
          <w:tcPr>
            <w:tcW w:w="9371" w:type="dxa"/>
          </w:tcPr>
          <w:p w:rsidR="00337789" w:rsidRPr="00970E0D" w:rsidRDefault="00337789" w:rsidP="00970E0D">
            <w:pPr>
              <w:spacing w:line="240" w:lineRule="auto"/>
              <w:rPr>
                <w:i/>
                <w:iCs/>
                <w:sz w:val="20"/>
                <w:szCs w:val="20"/>
              </w:rPr>
            </w:pPr>
            <w:r w:rsidRPr="00970E0D">
              <w:rPr>
                <w:b/>
                <w:sz w:val="20"/>
                <w:szCs w:val="20"/>
              </w:rPr>
              <w:t xml:space="preserve">7.2.2 Časový vplyv </w:t>
            </w:r>
          </w:p>
        </w:tc>
      </w:tr>
      <w:tr w:rsidR="00337789" w:rsidRPr="00970E0D" w:rsidTr="009C2704">
        <w:trPr>
          <w:trHeight w:val="20"/>
        </w:trPr>
        <w:tc>
          <w:tcPr>
            <w:tcW w:w="9371" w:type="dxa"/>
          </w:tcPr>
          <w:p w:rsidR="00337789" w:rsidRPr="00970E0D" w:rsidRDefault="00337789" w:rsidP="00970E0D">
            <w:pPr>
              <w:spacing w:line="240" w:lineRule="auto"/>
              <w:rPr>
                <w:b/>
                <w:sz w:val="20"/>
                <w:szCs w:val="20"/>
              </w:rPr>
            </w:pPr>
            <w:r w:rsidRPr="00970E0D">
              <w:rPr>
                <w:i/>
                <w:sz w:val="20"/>
                <w:szCs w:val="20"/>
              </w:rPr>
              <w:t>Zvýšenie času vybavenia požiadavky (popíšte)</w:t>
            </w:r>
          </w:p>
        </w:tc>
      </w:tr>
      <w:tr w:rsidR="00337789" w:rsidRPr="00970E0D" w:rsidTr="006713A5">
        <w:trPr>
          <w:trHeight w:val="205"/>
        </w:trPr>
        <w:tc>
          <w:tcPr>
            <w:tcW w:w="9371" w:type="dxa"/>
          </w:tcPr>
          <w:p w:rsidR="00337789" w:rsidRPr="00970E0D" w:rsidRDefault="0090559F" w:rsidP="00970E0D">
            <w:pPr>
              <w:spacing w:line="240" w:lineRule="auto"/>
              <w:rPr>
                <w:sz w:val="20"/>
                <w:szCs w:val="20"/>
              </w:rPr>
            </w:pPr>
            <w:r w:rsidRPr="00970E0D">
              <w:rPr>
                <w:sz w:val="20"/>
                <w:szCs w:val="20"/>
              </w:rPr>
              <w:t>bezpredmetné</w:t>
            </w:r>
          </w:p>
        </w:tc>
      </w:tr>
      <w:tr w:rsidR="00337789" w:rsidRPr="00970E0D" w:rsidTr="009C2704">
        <w:trPr>
          <w:trHeight w:val="20"/>
        </w:trPr>
        <w:tc>
          <w:tcPr>
            <w:tcW w:w="9371" w:type="dxa"/>
          </w:tcPr>
          <w:p w:rsidR="00337789" w:rsidRPr="00970E0D" w:rsidRDefault="00337789" w:rsidP="00970E0D">
            <w:pPr>
              <w:spacing w:line="240" w:lineRule="auto"/>
              <w:rPr>
                <w:b/>
                <w:sz w:val="20"/>
                <w:szCs w:val="20"/>
              </w:rPr>
            </w:pPr>
            <w:r w:rsidRPr="00970E0D">
              <w:rPr>
                <w:i/>
                <w:sz w:val="20"/>
                <w:szCs w:val="20"/>
              </w:rPr>
              <w:t>Zníženie času  vybavenia požiadavky (popíšte)</w:t>
            </w:r>
          </w:p>
        </w:tc>
      </w:tr>
      <w:tr w:rsidR="00337789" w:rsidRPr="00970E0D" w:rsidTr="009C2704">
        <w:trPr>
          <w:trHeight w:val="729"/>
        </w:trPr>
        <w:tc>
          <w:tcPr>
            <w:tcW w:w="9371" w:type="dxa"/>
          </w:tcPr>
          <w:p w:rsidR="00337789" w:rsidRPr="00970E0D" w:rsidRDefault="00B87541" w:rsidP="00970E0D">
            <w:pPr>
              <w:spacing w:line="240" w:lineRule="auto"/>
              <w:rPr>
                <w:sz w:val="20"/>
                <w:szCs w:val="20"/>
              </w:rPr>
            </w:pPr>
            <w:r w:rsidRPr="00970E0D">
              <w:rPr>
                <w:sz w:val="20"/>
                <w:szCs w:val="20"/>
              </w:rPr>
              <w:t>Zjednodušením procesov, ako aj zverejňovaním údajov z registrov vedených orgánmi štátnej správy lesného hospodárstva a taktiež zverejnením údajov programov starostlivosti o lesy dôjde k zníženiu časovej náročnosti získavania údajov pre občanov.</w:t>
            </w:r>
          </w:p>
          <w:p w:rsidR="00B87541" w:rsidRPr="00970E0D" w:rsidRDefault="00B87541" w:rsidP="00970E0D">
            <w:pPr>
              <w:spacing w:line="240" w:lineRule="auto"/>
              <w:rPr>
                <w:sz w:val="20"/>
                <w:szCs w:val="20"/>
              </w:rPr>
            </w:pPr>
            <w:r w:rsidRPr="00970E0D">
              <w:rPr>
                <w:sz w:val="20"/>
                <w:szCs w:val="20"/>
              </w:rPr>
              <w:t xml:space="preserve">Taktiež zjednotením formy a spôsobu vedenia registrov prostredníctvom informačného systému lesného hospodárstva dôjde zjednoteniu výkonu štátnej správy lesného hospodárstva a následne aj k zrýchleniu vybavenia požiadaviek. </w:t>
            </w:r>
          </w:p>
        </w:tc>
      </w:tr>
      <w:tr w:rsidR="00337789" w:rsidRPr="00970E0D" w:rsidTr="009C2704">
        <w:trPr>
          <w:trHeight w:val="424"/>
        </w:trPr>
        <w:tc>
          <w:tcPr>
            <w:tcW w:w="9371" w:type="dxa"/>
          </w:tcPr>
          <w:p w:rsidR="00337789" w:rsidRPr="00970E0D" w:rsidRDefault="00337789" w:rsidP="00970E0D">
            <w:pPr>
              <w:spacing w:line="240" w:lineRule="auto"/>
              <w:rPr>
                <w:b/>
                <w:sz w:val="20"/>
                <w:szCs w:val="20"/>
              </w:rPr>
            </w:pPr>
            <w:r w:rsidRPr="00970E0D">
              <w:rPr>
                <w:b/>
                <w:sz w:val="20"/>
                <w:szCs w:val="20"/>
              </w:rPr>
              <w:t xml:space="preserve">7.2.3 Ktorá skupina občanov bude predloženým návrhom ovplyvnená? </w:t>
            </w:r>
          </w:p>
          <w:p w:rsidR="00B87541" w:rsidRPr="00970E0D" w:rsidRDefault="00337789" w:rsidP="00970E0D">
            <w:pPr>
              <w:spacing w:line="240" w:lineRule="auto"/>
              <w:rPr>
                <w:i/>
                <w:iCs/>
                <w:sz w:val="20"/>
                <w:szCs w:val="20"/>
              </w:rPr>
            </w:pPr>
            <w:r w:rsidRPr="00970E0D">
              <w:rPr>
                <w:i/>
                <w:iCs/>
                <w:sz w:val="20"/>
                <w:szCs w:val="20"/>
              </w:rPr>
              <w:t>Špecifikujte skupinu občanov, ktorá bude návrhom ovplyvnená (napr. držitelia vodičských oprávnení). Aká je  veľkosť tejto skupiny?</w:t>
            </w:r>
          </w:p>
        </w:tc>
      </w:tr>
      <w:tr w:rsidR="00337789" w:rsidRPr="00970E0D" w:rsidTr="009A7D08">
        <w:trPr>
          <w:trHeight w:val="363"/>
        </w:trPr>
        <w:tc>
          <w:tcPr>
            <w:tcW w:w="9371" w:type="dxa"/>
          </w:tcPr>
          <w:p w:rsidR="00337789" w:rsidRPr="00970E0D" w:rsidRDefault="009A7D08" w:rsidP="00970E0D">
            <w:pPr>
              <w:spacing w:line="240" w:lineRule="auto"/>
              <w:rPr>
                <w:iCs/>
                <w:sz w:val="20"/>
                <w:szCs w:val="20"/>
              </w:rPr>
            </w:pPr>
            <w:r w:rsidRPr="00970E0D">
              <w:rPr>
                <w:iCs/>
                <w:sz w:val="20"/>
                <w:szCs w:val="20"/>
              </w:rPr>
              <w:t>Obhospodarovatelia lesov a odborní lesní hospodári</w:t>
            </w:r>
            <w:r w:rsidR="0090559F" w:rsidRPr="00970E0D">
              <w:rPr>
                <w:iCs/>
                <w:sz w:val="20"/>
                <w:szCs w:val="20"/>
              </w:rPr>
              <w:t xml:space="preserve">, ktorí ako </w:t>
            </w:r>
            <w:r w:rsidR="00E172D8" w:rsidRPr="00970E0D">
              <w:rPr>
                <w:iCs/>
                <w:sz w:val="20"/>
                <w:szCs w:val="20"/>
              </w:rPr>
              <w:t>„</w:t>
            </w:r>
            <w:r w:rsidR="0090559F" w:rsidRPr="00970E0D">
              <w:rPr>
                <w:iCs/>
                <w:sz w:val="20"/>
                <w:szCs w:val="20"/>
              </w:rPr>
              <w:t>občania</w:t>
            </w:r>
            <w:r w:rsidR="00E172D8" w:rsidRPr="00970E0D">
              <w:rPr>
                <w:iCs/>
                <w:sz w:val="20"/>
                <w:szCs w:val="20"/>
              </w:rPr>
              <w:t xml:space="preserve">“ (v zmysle definície v metodike) splnili podmienky pre zaevidovanie ako obhospodarovateľa lesa, alebo odborného lesného hospodára. </w:t>
            </w:r>
            <w:r w:rsidR="00922E49" w:rsidRPr="00970E0D">
              <w:rPr>
                <w:iCs/>
                <w:sz w:val="20"/>
                <w:szCs w:val="20"/>
              </w:rPr>
              <w:t xml:space="preserve">Zároveň vlastníci lesných pozemkov. </w:t>
            </w:r>
            <w:r w:rsidR="00E172D8" w:rsidRPr="00970E0D">
              <w:rPr>
                <w:iCs/>
                <w:sz w:val="20"/>
                <w:szCs w:val="20"/>
              </w:rPr>
              <w:t>Počet je neurčiteľný.</w:t>
            </w:r>
          </w:p>
        </w:tc>
      </w:tr>
      <w:tr w:rsidR="00337789" w:rsidRPr="00970E0D" w:rsidTr="009C2704">
        <w:trPr>
          <w:trHeight w:val="20"/>
        </w:trPr>
        <w:tc>
          <w:tcPr>
            <w:tcW w:w="9371" w:type="dxa"/>
          </w:tcPr>
          <w:p w:rsidR="00337789" w:rsidRPr="00970E0D" w:rsidRDefault="00337789" w:rsidP="00970E0D">
            <w:pPr>
              <w:spacing w:line="240" w:lineRule="auto"/>
              <w:rPr>
                <w:i/>
                <w:iCs/>
                <w:sz w:val="20"/>
                <w:szCs w:val="20"/>
              </w:rPr>
            </w:pPr>
            <w:r w:rsidRPr="00970E0D">
              <w:rPr>
                <w:b/>
                <w:sz w:val="20"/>
                <w:szCs w:val="20"/>
              </w:rPr>
              <w:t xml:space="preserve">7.2.4 Vyplývajú z návrhu pre občana pri vybavení svojej požiadavky nové povinnosti alebo zanikajú už existujúce povinnosti?  </w:t>
            </w:r>
          </w:p>
        </w:tc>
      </w:tr>
      <w:tr w:rsidR="00337789" w:rsidRPr="00970E0D" w:rsidTr="009C2704">
        <w:trPr>
          <w:trHeight w:val="20"/>
        </w:trPr>
        <w:tc>
          <w:tcPr>
            <w:tcW w:w="9371" w:type="dxa"/>
          </w:tcPr>
          <w:p w:rsidR="00337789" w:rsidRPr="00970E0D" w:rsidRDefault="00337789" w:rsidP="00970E0D">
            <w:pPr>
              <w:spacing w:line="240" w:lineRule="auto"/>
              <w:rPr>
                <w:i/>
                <w:iCs/>
                <w:sz w:val="20"/>
                <w:szCs w:val="20"/>
              </w:rPr>
            </w:pPr>
            <w:r w:rsidRPr="00970E0D">
              <w:rPr>
                <w:i/>
                <w:iCs/>
                <w:sz w:val="20"/>
                <w:szCs w:val="20"/>
              </w:rPr>
              <w:t xml:space="preserve">Nové povinnosti (identifikujte) </w:t>
            </w:r>
          </w:p>
        </w:tc>
      </w:tr>
      <w:tr w:rsidR="00337789" w:rsidRPr="00970E0D" w:rsidTr="009C2704">
        <w:trPr>
          <w:trHeight w:val="726"/>
        </w:trPr>
        <w:tc>
          <w:tcPr>
            <w:tcW w:w="9371" w:type="dxa"/>
          </w:tcPr>
          <w:p w:rsidR="00E172D8" w:rsidRPr="00970E0D" w:rsidRDefault="00B87541" w:rsidP="00970E0D">
            <w:pPr>
              <w:pStyle w:val="Odsekzoznamu"/>
              <w:numPr>
                <w:ilvl w:val="0"/>
                <w:numId w:val="28"/>
              </w:numPr>
              <w:spacing w:line="240" w:lineRule="auto"/>
              <w:rPr>
                <w:sz w:val="20"/>
                <w:szCs w:val="20"/>
              </w:rPr>
            </w:pPr>
            <w:r w:rsidRPr="00970E0D">
              <w:rPr>
                <w:sz w:val="20"/>
                <w:szCs w:val="20"/>
              </w:rPr>
              <w:t xml:space="preserve">Úhrada správneho poplatku v prípade žiadosti o vydanie </w:t>
            </w:r>
            <w:r w:rsidR="00883A84" w:rsidRPr="00970E0D">
              <w:rPr>
                <w:sz w:val="20"/>
                <w:szCs w:val="20"/>
              </w:rPr>
              <w:t>výpisu</w:t>
            </w:r>
            <w:r w:rsidRPr="00970E0D">
              <w:rPr>
                <w:sz w:val="20"/>
                <w:szCs w:val="20"/>
              </w:rPr>
              <w:t xml:space="preserve"> o skutočnostiach zapísaných do evidencie lesných pozemkov (predpokladá sa dopad na subjekty podnikajúce v lesnom hospodárstve)</w:t>
            </w:r>
          </w:p>
          <w:p w:rsidR="00897E07" w:rsidRPr="00970E0D" w:rsidRDefault="00B87541" w:rsidP="00970E0D">
            <w:pPr>
              <w:pStyle w:val="Odsekzoznamu"/>
              <w:numPr>
                <w:ilvl w:val="0"/>
                <w:numId w:val="28"/>
              </w:numPr>
              <w:spacing w:line="240" w:lineRule="auto"/>
              <w:rPr>
                <w:sz w:val="20"/>
                <w:szCs w:val="20"/>
              </w:rPr>
            </w:pPr>
            <w:r w:rsidRPr="00970E0D">
              <w:rPr>
                <w:sz w:val="20"/>
                <w:szCs w:val="20"/>
              </w:rPr>
              <w:t xml:space="preserve">Povinnosť na odborného lesného hospodára na pozemkoch vyhlásených za lesné pozemky a porastených lesnými drevinami v zmysle doplnenia § 37 (vo väzbe na túto povinnosť je v prechodnom ustanovení </w:t>
            </w:r>
            <w:r w:rsidR="00922E49" w:rsidRPr="00970E0D">
              <w:rPr>
                <w:sz w:val="20"/>
                <w:szCs w:val="20"/>
              </w:rPr>
              <w:t>§ 68d doplnená povinnosť jeho nahlásenia)</w:t>
            </w:r>
            <w:r w:rsidR="00883A84" w:rsidRPr="00970E0D">
              <w:rPr>
                <w:sz w:val="20"/>
                <w:szCs w:val="20"/>
              </w:rPr>
              <w:t>.</w:t>
            </w:r>
          </w:p>
        </w:tc>
      </w:tr>
      <w:tr w:rsidR="00337789" w:rsidRPr="00970E0D" w:rsidTr="009C2704">
        <w:trPr>
          <w:trHeight w:val="20"/>
        </w:trPr>
        <w:tc>
          <w:tcPr>
            <w:tcW w:w="9371" w:type="dxa"/>
          </w:tcPr>
          <w:p w:rsidR="00337789" w:rsidRPr="00970E0D" w:rsidRDefault="00337789" w:rsidP="00970E0D">
            <w:pPr>
              <w:spacing w:line="240" w:lineRule="auto"/>
              <w:rPr>
                <w:i/>
                <w:iCs/>
                <w:sz w:val="20"/>
                <w:szCs w:val="20"/>
              </w:rPr>
            </w:pPr>
            <w:r w:rsidRPr="00970E0D">
              <w:rPr>
                <w:i/>
                <w:iCs/>
                <w:sz w:val="20"/>
                <w:szCs w:val="20"/>
              </w:rPr>
              <w:t>Zanikajúce povinnosti (identifikujte)</w:t>
            </w:r>
          </w:p>
        </w:tc>
      </w:tr>
      <w:tr w:rsidR="00337789" w:rsidRPr="00970E0D" w:rsidTr="006713A5">
        <w:trPr>
          <w:trHeight w:val="275"/>
        </w:trPr>
        <w:tc>
          <w:tcPr>
            <w:tcW w:w="9371" w:type="dxa"/>
          </w:tcPr>
          <w:p w:rsidR="00CD477A" w:rsidRPr="006713A5" w:rsidRDefault="00740C57" w:rsidP="00970E0D">
            <w:pPr>
              <w:spacing w:line="240" w:lineRule="auto"/>
              <w:rPr>
                <w:iCs/>
                <w:sz w:val="20"/>
                <w:szCs w:val="20"/>
              </w:rPr>
            </w:pPr>
            <w:r w:rsidRPr="00970E0D">
              <w:rPr>
                <w:iCs/>
                <w:sz w:val="20"/>
                <w:szCs w:val="20"/>
              </w:rPr>
              <w:t>bezpredmetné</w:t>
            </w:r>
          </w:p>
        </w:tc>
      </w:tr>
      <w:tr w:rsidR="00337789" w:rsidRPr="00970E0D" w:rsidTr="009C2704">
        <w:trPr>
          <w:trHeight w:val="20"/>
        </w:trPr>
        <w:tc>
          <w:tcPr>
            <w:tcW w:w="9371" w:type="dxa"/>
            <w:shd w:val="clear" w:color="auto" w:fill="BFBFBF"/>
            <w:vAlign w:val="center"/>
          </w:tcPr>
          <w:p w:rsidR="00337789" w:rsidRPr="00970E0D" w:rsidRDefault="00337789" w:rsidP="00970E0D">
            <w:pPr>
              <w:spacing w:line="240" w:lineRule="auto"/>
              <w:jc w:val="center"/>
              <w:rPr>
                <w:b/>
                <w:sz w:val="20"/>
                <w:szCs w:val="20"/>
              </w:rPr>
            </w:pPr>
            <w:r w:rsidRPr="00970E0D">
              <w:rPr>
                <w:b/>
                <w:sz w:val="20"/>
                <w:szCs w:val="20"/>
              </w:rPr>
              <w:t xml:space="preserve">7.3 Vplyv na procesy </w:t>
            </w:r>
            <w:r w:rsidR="00E57B5B" w:rsidRPr="00970E0D">
              <w:rPr>
                <w:b/>
                <w:sz w:val="20"/>
                <w:szCs w:val="20"/>
              </w:rPr>
              <w:t xml:space="preserve">služieb </w:t>
            </w:r>
            <w:r w:rsidRPr="00970E0D">
              <w:rPr>
                <w:b/>
                <w:sz w:val="20"/>
                <w:szCs w:val="20"/>
              </w:rPr>
              <w:t>vo verejnej správe</w:t>
            </w:r>
          </w:p>
        </w:tc>
      </w:tr>
      <w:tr w:rsidR="00337789" w:rsidRPr="00970E0D" w:rsidTr="009C2704">
        <w:trPr>
          <w:trHeight w:val="390"/>
        </w:trPr>
        <w:tc>
          <w:tcPr>
            <w:tcW w:w="9371" w:type="dxa"/>
          </w:tcPr>
          <w:p w:rsidR="00337789" w:rsidRPr="00970E0D" w:rsidRDefault="00337789" w:rsidP="00970E0D">
            <w:pPr>
              <w:spacing w:line="240" w:lineRule="auto"/>
              <w:rPr>
                <w:b/>
                <w:sz w:val="20"/>
                <w:szCs w:val="20"/>
              </w:rPr>
            </w:pPr>
            <w:r w:rsidRPr="00970E0D">
              <w:rPr>
                <w:b/>
                <w:sz w:val="20"/>
                <w:szCs w:val="20"/>
              </w:rPr>
              <w:t xml:space="preserve">7.3.1 Ktoré sú dotknuté subjekty verejnej správy? </w:t>
            </w:r>
          </w:p>
          <w:p w:rsidR="00337789" w:rsidRPr="00970E0D" w:rsidRDefault="00337789" w:rsidP="00970E0D">
            <w:pPr>
              <w:spacing w:line="240" w:lineRule="auto"/>
              <w:rPr>
                <w:i/>
                <w:iCs/>
                <w:sz w:val="20"/>
                <w:szCs w:val="20"/>
              </w:rPr>
            </w:pPr>
            <w:r w:rsidRPr="00970E0D">
              <w:rPr>
                <w:i/>
                <w:sz w:val="20"/>
                <w:szCs w:val="20"/>
              </w:rPr>
              <w:t xml:space="preserve">Ktoré subjekty verejnej správy sú účastné procesu poskytnutia služby? </w:t>
            </w:r>
          </w:p>
        </w:tc>
      </w:tr>
      <w:tr w:rsidR="00337789" w:rsidRPr="00970E0D" w:rsidTr="00897E07">
        <w:trPr>
          <w:trHeight w:val="323"/>
        </w:trPr>
        <w:tc>
          <w:tcPr>
            <w:tcW w:w="9371" w:type="dxa"/>
          </w:tcPr>
          <w:p w:rsidR="00337789" w:rsidRPr="00970E0D" w:rsidRDefault="00A31E27" w:rsidP="00970E0D">
            <w:pPr>
              <w:spacing w:line="240" w:lineRule="auto"/>
              <w:rPr>
                <w:sz w:val="20"/>
                <w:szCs w:val="20"/>
              </w:rPr>
            </w:pPr>
            <w:r w:rsidRPr="00970E0D">
              <w:rPr>
                <w:sz w:val="20"/>
                <w:szCs w:val="20"/>
              </w:rPr>
              <w:t>Okresné úrady</w:t>
            </w:r>
          </w:p>
        </w:tc>
      </w:tr>
      <w:tr w:rsidR="00337789" w:rsidRPr="00970E0D" w:rsidTr="009C2704">
        <w:trPr>
          <w:trHeight w:val="20"/>
        </w:trPr>
        <w:tc>
          <w:tcPr>
            <w:tcW w:w="9371" w:type="dxa"/>
          </w:tcPr>
          <w:p w:rsidR="00337789" w:rsidRPr="00970E0D" w:rsidRDefault="00337789" w:rsidP="00970E0D">
            <w:pPr>
              <w:spacing w:line="240" w:lineRule="auto"/>
              <w:rPr>
                <w:i/>
                <w:iCs/>
                <w:sz w:val="20"/>
                <w:szCs w:val="20"/>
              </w:rPr>
            </w:pPr>
            <w:r w:rsidRPr="00970E0D">
              <w:rPr>
                <w:b/>
                <w:sz w:val="20"/>
                <w:szCs w:val="20"/>
              </w:rPr>
              <w:t xml:space="preserve">7.3.2 Vyplývajú z návrhu pre orgán verejnej správy pri vybavení požiadavky nové povinnosti alebo zanikajú už existujúce povinnosti?  </w:t>
            </w:r>
            <w:r w:rsidRPr="00970E0D">
              <w:rPr>
                <w:iCs/>
                <w:sz w:val="20"/>
                <w:szCs w:val="20"/>
              </w:rPr>
              <w:t xml:space="preserve"> </w:t>
            </w:r>
          </w:p>
        </w:tc>
      </w:tr>
      <w:tr w:rsidR="00337789" w:rsidRPr="00970E0D" w:rsidTr="009C2704">
        <w:trPr>
          <w:trHeight w:val="20"/>
        </w:trPr>
        <w:tc>
          <w:tcPr>
            <w:tcW w:w="9371" w:type="dxa"/>
          </w:tcPr>
          <w:p w:rsidR="00337789" w:rsidRPr="00970E0D" w:rsidRDefault="00337789" w:rsidP="00970E0D">
            <w:pPr>
              <w:spacing w:line="240" w:lineRule="auto"/>
              <w:rPr>
                <w:i/>
                <w:iCs/>
                <w:sz w:val="20"/>
                <w:szCs w:val="20"/>
              </w:rPr>
            </w:pPr>
            <w:r w:rsidRPr="00970E0D">
              <w:rPr>
                <w:i/>
                <w:iCs/>
                <w:sz w:val="20"/>
                <w:szCs w:val="20"/>
              </w:rPr>
              <w:t>Nové povinnosti (identifikujte)</w:t>
            </w:r>
          </w:p>
        </w:tc>
      </w:tr>
      <w:tr w:rsidR="00337789" w:rsidRPr="00970E0D" w:rsidTr="009C2704">
        <w:trPr>
          <w:trHeight w:val="674"/>
        </w:trPr>
        <w:tc>
          <w:tcPr>
            <w:tcW w:w="9371" w:type="dxa"/>
          </w:tcPr>
          <w:p w:rsidR="0064174C" w:rsidRPr="00970E0D" w:rsidRDefault="0064174C" w:rsidP="00970E0D">
            <w:pPr>
              <w:spacing w:line="240" w:lineRule="auto"/>
              <w:rPr>
                <w:iCs/>
                <w:sz w:val="20"/>
                <w:szCs w:val="20"/>
              </w:rPr>
            </w:pPr>
            <w:r w:rsidRPr="00970E0D">
              <w:rPr>
                <w:iCs/>
                <w:sz w:val="20"/>
                <w:szCs w:val="20"/>
              </w:rPr>
              <w:t xml:space="preserve">Povinnosť okresného úradu, pozemkového a lesného odboru </w:t>
            </w:r>
            <w:r w:rsidR="00883A84" w:rsidRPr="00970E0D">
              <w:rPr>
                <w:iCs/>
                <w:sz w:val="20"/>
                <w:szCs w:val="20"/>
              </w:rPr>
              <w:t xml:space="preserve">rozhodovať o zápise a </w:t>
            </w:r>
            <w:r w:rsidRPr="00970E0D">
              <w:rPr>
                <w:iCs/>
                <w:sz w:val="20"/>
                <w:szCs w:val="20"/>
              </w:rPr>
              <w:t>viesť evidenciu lesných pozemkov podľa obhospodarovateľov lesov a odborných lesných hospodárov v informačnom systéme lesného hospodárstva</w:t>
            </w:r>
            <w:r w:rsidR="00D74B5F" w:rsidRPr="00970E0D">
              <w:rPr>
                <w:iCs/>
                <w:sz w:val="20"/>
                <w:szCs w:val="20"/>
              </w:rPr>
              <w:t xml:space="preserve"> aj formou jeho webovej aplikácie a</w:t>
            </w:r>
            <w:r w:rsidR="00D74B5F" w:rsidRPr="00970E0D">
              <w:rPr>
                <w:sz w:val="20"/>
                <w:szCs w:val="20"/>
              </w:rPr>
              <w:t xml:space="preserve"> vydanie </w:t>
            </w:r>
            <w:r w:rsidR="00D74B5F" w:rsidRPr="00970E0D">
              <w:rPr>
                <w:iCs/>
                <w:sz w:val="20"/>
                <w:szCs w:val="20"/>
              </w:rPr>
              <w:t xml:space="preserve">potvrdenia o zaevidovaní obhospodarovateľa lesa. </w:t>
            </w:r>
            <w:r w:rsidR="00883A84" w:rsidRPr="00970E0D">
              <w:rPr>
                <w:iCs/>
                <w:sz w:val="20"/>
                <w:szCs w:val="20"/>
              </w:rPr>
              <w:t>Povinnosť viesť evidenciu bola aj v súčasnosti, nebol však stanovený spôsob a forma vedenia evidencie, preto bol výkon štátnej správy v tejto oblasti nejednotný.</w:t>
            </w:r>
          </w:p>
          <w:p w:rsidR="00337789" w:rsidRPr="00970E0D" w:rsidRDefault="0064174C" w:rsidP="00970E0D">
            <w:pPr>
              <w:spacing w:line="240" w:lineRule="auto"/>
              <w:rPr>
                <w:iCs/>
                <w:sz w:val="20"/>
                <w:szCs w:val="20"/>
              </w:rPr>
            </w:pPr>
            <w:r w:rsidRPr="00970E0D">
              <w:rPr>
                <w:iCs/>
                <w:sz w:val="20"/>
                <w:szCs w:val="20"/>
              </w:rPr>
              <w:t>Povinnosť pre okresný úrad, odbor opravných prostriedkov preskúmať postup okresného úradu pozemkového a lesného odboru pri zápise do evidencie lesných pozemkov podľa obhospodarovateľov lesov a odborných lesných hospodárov.</w:t>
            </w:r>
          </w:p>
        </w:tc>
      </w:tr>
      <w:tr w:rsidR="00337789" w:rsidRPr="00970E0D" w:rsidTr="009C2704">
        <w:trPr>
          <w:trHeight w:val="20"/>
        </w:trPr>
        <w:tc>
          <w:tcPr>
            <w:tcW w:w="9371" w:type="dxa"/>
          </w:tcPr>
          <w:p w:rsidR="00337789" w:rsidRPr="00970E0D" w:rsidRDefault="00337789" w:rsidP="00970E0D">
            <w:pPr>
              <w:spacing w:line="240" w:lineRule="auto"/>
              <w:rPr>
                <w:i/>
                <w:iCs/>
                <w:sz w:val="20"/>
                <w:szCs w:val="20"/>
              </w:rPr>
            </w:pPr>
            <w:r w:rsidRPr="00970E0D">
              <w:rPr>
                <w:i/>
                <w:iCs/>
                <w:sz w:val="20"/>
                <w:szCs w:val="20"/>
              </w:rPr>
              <w:t>Zanikajúce povinnosti (identifikujte)</w:t>
            </w:r>
          </w:p>
        </w:tc>
      </w:tr>
      <w:tr w:rsidR="00337789" w:rsidRPr="00970E0D" w:rsidTr="006713A5">
        <w:trPr>
          <w:trHeight w:val="241"/>
        </w:trPr>
        <w:tc>
          <w:tcPr>
            <w:tcW w:w="9371" w:type="dxa"/>
          </w:tcPr>
          <w:p w:rsidR="00337789" w:rsidRPr="00970E0D" w:rsidRDefault="00CE4ADC" w:rsidP="00970E0D">
            <w:pPr>
              <w:spacing w:line="240" w:lineRule="auto"/>
              <w:rPr>
                <w:iCs/>
                <w:sz w:val="20"/>
                <w:szCs w:val="20"/>
              </w:rPr>
            </w:pPr>
            <w:r w:rsidRPr="00970E0D">
              <w:rPr>
                <w:iCs/>
                <w:sz w:val="20"/>
                <w:szCs w:val="20"/>
              </w:rPr>
              <w:t>B</w:t>
            </w:r>
            <w:r w:rsidR="0090559F" w:rsidRPr="00970E0D">
              <w:rPr>
                <w:iCs/>
                <w:sz w:val="20"/>
                <w:szCs w:val="20"/>
              </w:rPr>
              <w:t>ezpredmetné</w:t>
            </w:r>
            <w:bookmarkStart w:id="0" w:name="_GoBack"/>
            <w:bookmarkEnd w:id="0"/>
          </w:p>
        </w:tc>
      </w:tr>
    </w:tbl>
    <w:p w:rsidR="006821D1" w:rsidRPr="00970E0D" w:rsidRDefault="006821D1" w:rsidP="00970E0D">
      <w:pPr>
        <w:autoSpaceDE w:val="0"/>
        <w:autoSpaceDN w:val="0"/>
        <w:spacing w:line="240" w:lineRule="auto"/>
        <w:jc w:val="center"/>
        <w:rPr>
          <w:rFonts w:eastAsia="Calibri"/>
          <w:bCs/>
          <w:color w:val="000000"/>
          <w:sz w:val="20"/>
          <w:szCs w:val="20"/>
          <w:lang w:eastAsia="en-US"/>
        </w:rPr>
      </w:pPr>
    </w:p>
    <w:sectPr w:rsidR="006821D1" w:rsidRPr="00970E0D" w:rsidSect="006713A5">
      <w:footerReference w:type="default" r:id="rId9"/>
      <w:pgSz w:w="11906" w:h="16838"/>
      <w:pgMar w:top="851" w:right="1418" w:bottom="964" w:left="1418" w:header="709" w:footer="283"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0D" w:rsidRDefault="00706D0D">
      <w:r>
        <w:separator/>
      </w:r>
    </w:p>
  </w:endnote>
  <w:endnote w:type="continuationSeparator" w:id="0">
    <w:p w:rsidR="00706D0D" w:rsidRDefault="0070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51409"/>
      <w:docPartObj>
        <w:docPartGallery w:val="Page Numbers (Bottom of Page)"/>
        <w:docPartUnique/>
      </w:docPartObj>
    </w:sdtPr>
    <w:sdtEndPr/>
    <w:sdtContent>
      <w:p w:rsidR="00060E4D" w:rsidRDefault="00060E4D">
        <w:pPr>
          <w:pStyle w:val="Pta"/>
          <w:jc w:val="center"/>
        </w:pPr>
        <w:r>
          <w:fldChar w:fldCharType="begin"/>
        </w:r>
        <w:r>
          <w:instrText>PAGE   \* MERGEFORMAT</w:instrText>
        </w:r>
        <w:r>
          <w:fldChar w:fldCharType="separate"/>
        </w:r>
        <w:r w:rsidR="006713A5">
          <w:rPr>
            <w:noProof/>
          </w:rPr>
          <w:t>25</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0D" w:rsidRDefault="00706D0D">
      <w:r>
        <w:separator/>
      </w:r>
    </w:p>
  </w:footnote>
  <w:footnote w:type="continuationSeparator" w:id="0">
    <w:p w:rsidR="00706D0D" w:rsidRDefault="00706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29C23A2"/>
    <w:multiLevelType w:val="hybridMultilevel"/>
    <w:tmpl w:val="C010CFBA"/>
    <w:lvl w:ilvl="0" w:tplc="C742BE5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1">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7"/>
  </w:num>
  <w:num w:numId="8">
    <w:abstractNumId w:val="23"/>
  </w:num>
  <w:num w:numId="9">
    <w:abstractNumId w:val="5"/>
  </w:num>
  <w:num w:numId="10">
    <w:abstractNumId w:val="4"/>
  </w:num>
  <w:num w:numId="11">
    <w:abstractNumId w:val="25"/>
  </w:num>
  <w:num w:numId="12">
    <w:abstractNumId w:val="8"/>
  </w:num>
  <w:num w:numId="13">
    <w:abstractNumId w:val="17"/>
  </w:num>
  <w:num w:numId="14">
    <w:abstractNumId w:val="3"/>
  </w:num>
  <w:num w:numId="15">
    <w:abstractNumId w:val="11"/>
  </w:num>
  <w:num w:numId="16">
    <w:abstractNumId w:val="15"/>
  </w:num>
  <w:num w:numId="17">
    <w:abstractNumId w:val="27"/>
  </w:num>
  <w:num w:numId="18">
    <w:abstractNumId w:val="10"/>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8DD"/>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0E4D"/>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CC3"/>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75"/>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9EF"/>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1944"/>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27F37"/>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4C4"/>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4BF"/>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07C"/>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74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3A5"/>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B4D"/>
    <w:rsid w:val="00686CF4"/>
    <w:rsid w:val="00686F6C"/>
    <w:rsid w:val="006871D4"/>
    <w:rsid w:val="006871D5"/>
    <w:rsid w:val="00687427"/>
    <w:rsid w:val="006902F2"/>
    <w:rsid w:val="0069081F"/>
    <w:rsid w:val="006912AB"/>
    <w:rsid w:val="00691386"/>
    <w:rsid w:val="00692198"/>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32E"/>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0D"/>
    <w:rsid w:val="00706D36"/>
    <w:rsid w:val="007073D3"/>
    <w:rsid w:val="007075BE"/>
    <w:rsid w:val="007079EF"/>
    <w:rsid w:val="0071048D"/>
    <w:rsid w:val="007106A8"/>
    <w:rsid w:val="00710824"/>
    <w:rsid w:val="00710F2A"/>
    <w:rsid w:val="007112C5"/>
    <w:rsid w:val="007114C6"/>
    <w:rsid w:val="0071182E"/>
    <w:rsid w:val="0071192F"/>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C57"/>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89E"/>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613"/>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3A84"/>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97E07"/>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559F"/>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2E49"/>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0E0D"/>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A7D08"/>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27"/>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44E"/>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89F"/>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BB1"/>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541"/>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CC"/>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4ADC"/>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5F"/>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3F1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2D8"/>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861"/>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0CB"/>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3A7"/>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60E"/>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4A5"/>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3A23"/>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paragraph" w:styleId="Podtitul">
    <w:name w:val="Subtitle"/>
    <w:basedOn w:val="Normlny"/>
    <w:link w:val="PodtitulChar"/>
    <w:uiPriority w:val="99"/>
    <w:qFormat/>
    <w:rsid w:val="00F0260E"/>
    <w:pPr>
      <w:widowControl/>
      <w:adjustRightInd/>
      <w:spacing w:line="240" w:lineRule="auto"/>
      <w:jc w:val="center"/>
      <w:textAlignment w:val="auto"/>
    </w:pPr>
    <w:rPr>
      <w:rFonts w:eastAsiaTheme="minorEastAsia"/>
      <w:b/>
      <w:bCs/>
    </w:rPr>
  </w:style>
  <w:style w:type="character" w:customStyle="1" w:styleId="PodtitulChar">
    <w:name w:val="Podtitul Char"/>
    <w:basedOn w:val="Predvolenpsmoodseku"/>
    <w:link w:val="Podtitul"/>
    <w:uiPriority w:val="99"/>
    <w:rsid w:val="00F0260E"/>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služby-verejnej-správy-pre-občana"/>
    <f:field ref="objsubject" par="" edit="true" text=""/>
    <f:field ref="objcreatedby" par="" text="Hrnčiarová, Lenka, JUDr."/>
    <f:field ref="objcreatedat" par="" text="22.6.2018 12:50:31"/>
    <f:field ref="objchangedby" par="" text="Administrator, System"/>
    <f:field ref="objmodifiedat" par="" text="22.6.2018 12:50: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D0D455-5639-45C7-AEDA-9F40A2B0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7239</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2018-02-14T09:21:00Z</dcterms:created>
  <dcterms:modified xsi:type="dcterms:W3CDTF">2018-12-18T16:06:00Z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326/2005 Z. z. o lesoch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3" name="FSC#SKEDITIONSLOVLEX@103.510:plnynazovpredpis">
    <vt:lpwstr> Zákon, ktorým sa mení a dopĺňa zákon č. 326/2005 Z. z. o lesoch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2417/2018-410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50" name="FSC#SKEDITIONSLOVLEX@103.510:vytvorenedna">
    <vt:lpwstr>22. 6. 2018</vt:lpwstr>
  </property>
  <property fmtid="{D5CDD505-2E9C-101B-9397-08002B2CF9AE}" pid="151" name="FSC#COOSYSTEM@1.1:Container">
    <vt:lpwstr>COO.2145.1000.3.2789359</vt:lpwstr>
  </property>
  <property fmtid="{D5CDD505-2E9C-101B-9397-08002B2CF9AE}" pid="152" name="FSC#FSCFOLIO@1.1001:docpropproject">
    <vt:lpwstr/>
  </property>
</Properties>
</file>