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BB" w:rsidRPr="007451E4" w:rsidRDefault="00B53BBB" w:rsidP="00B53BBB">
      <w:pPr>
        <w:widowControl/>
        <w:adjustRightInd/>
        <w:spacing w:after="0" w:line="240" w:lineRule="auto"/>
        <w:jc w:val="center"/>
        <w:rPr>
          <w:rFonts w:ascii="Times New Roman" w:hAnsi="Times New Roman" w:cs="Times New Roman"/>
          <w:b/>
          <w:bCs/>
          <w:sz w:val="28"/>
          <w:szCs w:val="28"/>
          <w:lang w:eastAsia="sk-SK"/>
        </w:rPr>
      </w:pPr>
      <w:r w:rsidRPr="007451E4">
        <w:rPr>
          <w:rFonts w:ascii="Times New Roman" w:hAnsi="Times New Roman" w:cs="Times New Roman"/>
          <w:b/>
          <w:bCs/>
          <w:sz w:val="28"/>
          <w:szCs w:val="28"/>
          <w:lang w:eastAsia="sk-SK"/>
        </w:rPr>
        <w:t>Doložka vybraných vplyvov</w:t>
      </w:r>
    </w:p>
    <w:p w:rsidR="00B53BBB" w:rsidRPr="007451E4" w:rsidRDefault="00B53BBB" w:rsidP="00B53BBB">
      <w:pPr>
        <w:widowControl/>
        <w:adjustRightInd/>
        <w:ind w:left="426"/>
        <w:contextualSpacing/>
        <w:rPr>
          <w:rFonts w:eastAsia="Calibri"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400"/>
        <w:gridCol w:w="141"/>
        <w:gridCol w:w="564"/>
        <w:gridCol w:w="717"/>
        <w:gridCol w:w="569"/>
        <w:gridCol w:w="1133"/>
        <w:gridCol w:w="284"/>
        <w:gridCol w:w="263"/>
        <w:gridCol w:w="1297"/>
      </w:tblGrid>
      <w:tr w:rsidR="00B53BBB" w:rsidRPr="007451E4" w:rsidTr="000C238E">
        <w:tc>
          <w:tcPr>
            <w:tcW w:w="9180" w:type="dxa"/>
            <w:gridSpan w:val="10"/>
            <w:tcBorders>
              <w:bottom w:val="single" w:sz="4" w:space="0" w:color="FFFFFF"/>
            </w:tcBorders>
            <w:shd w:val="clear" w:color="auto" w:fill="E2E2E2"/>
          </w:tcPr>
          <w:p w:rsidR="00B53BBB" w:rsidRPr="007451E4" w:rsidRDefault="00B53BBB" w:rsidP="00B53BBB">
            <w:pPr>
              <w:widowControl/>
              <w:numPr>
                <w:ilvl w:val="0"/>
                <w:numId w:val="3"/>
              </w:numPr>
              <w:adjustRightInd/>
              <w:spacing w:after="0" w:line="240" w:lineRule="auto"/>
              <w:ind w:left="426"/>
              <w:contextualSpacing/>
              <w:rPr>
                <w:rFonts w:ascii="Times New Roman" w:eastAsia="Calibri" w:hAnsi="Times New Roman" w:cs="Times New Roman"/>
                <w:b/>
                <w:sz w:val="24"/>
                <w:szCs w:val="24"/>
              </w:rPr>
            </w:pPr>
            <w:r w:rsidRPr="007451E4">
              <w:rPr>
                <w:rFonts w:ascii="Times New Roman" w:eastAsia="Calibri" w:hAnsi="Times New Roman" w:cs="Times New Roman"/>
                <w:b/>
              </w:rPr>
              <w:t>Základné údaje</w:t>
            </w:r>
          </w:p>
        </w:tc>
      </w:tr>
      <w:tr w:rsidR="00B53BBB" w:rsidRPr="007451E4" w:rsidTr="000C238E">
        <w:tc>
          <w:tcPr>
            <w:tcW w:w="9180" w:type="dxa"/>
            <w:gridSpan w:val="10"/>
            <w:tcBorders>
              <w:bottom w:val="single" w:sz="4" w:space="0" w:color="FFFFFF"/>
            </w:tcBorders>
            <w:shd w:val="clear" w:color="auto" w:fill="E2E2E2"/>
          </w:tcPr>
          <w:p w:rsidR="00B53BBB" w:rsidRPr="007451E4" w:rsidRDefault="00B53BBB" w:rsidP="000C238E">
            <w:pPr>
              <w:widowControl/>
              <w:adjustRightInd/>
              <w:ind w:left="142"/>
              <w:contextualSpacing/>
              <w:rPr>
                <w:rFonts w:ascii="Times New Roman" w:eastAsia="Calibri" w:hAnsi="Times New Roman" w:cs="Times New Roman"/>
                <w:b/>
                <w:sz w:val="24"/>
                <w:szCs w:val="24"/>
              </w:rPr>
            </w:pPr>
            <w:r w:rsidRPr="007451E4">
              <w:rPr>
                <w:rFonts w:ascii="Times New Roman" w:eastAsia="Calibri" w:hAnsi="Times New Roman" w:cs="Times New Roman"/>
                <w:b/>
              </w:rPr>
              <w:t>Názov materiálu</w:t>
            </w:r>
          </w:p>
        </w:tc>
      </w:tr>
      <w:tr w:rsidR="00B53BBB" w:rsidRPr="007451E4" w:rsidTr="000C238E">
        <w:tc>
          <w:tcPr>
            <w:tcW w:w="9180" w:type="dxa"/>
            <w:gridSpan w:val="10"/>
            <w:tcBorders>
              <w:top w:val="single" w:sz="4" w:space="0" w:color="FFFFFF"/>
              <w:bottom w:val="single" w:sz="4" w:space="0" w:color="auto"/>
            </w:tcBorders>
            <w:shd w:val="clear" w:color="auto" w:fill="auto"/>
          </w:tcPr>
          <w:p w:rsidR="00B53BBB" w:rsidRPr="007451E4" w:rsidRDefault="00B53BBB" w:rsidP="000C238E">
            <w:pPr>
              <w:widowControl/>
              <w:autoSpaceDE w:val="0"/>
              <w:autoSpaceDN w:val="0"/>
              <w:spacing w:after="0" w:line="240" w:lineRule="auto"/>
              <w:jc w:val="both"/>
              <w:rPr>
                <w:rFonts w:ascii="Times New Roman" w:hAnsi="Times New Roman" w:cs="Times New Roman"/>
                <w:b/>
                <w:sz w:val="20"/>
                <w:szCs w:val="20"/>
                <w:lang w:eastAsia="sk-SK"/>
              </w:rPr>
            </w:pPr>
            <w:r w:rsidRPr="007451E4">
              <w:rPr>
                <w:rFonts w:ascii="Times New Roman" w:hAnsi="Times New Roman" w:cs="Times New Roman"/>
                <w:sz w:val="20"/>
                <w:szCs w:val="20"/>
                <w:lang w:eastAsia="sk-SK"/>
              </w:rPr>
              <w:t>Návrh  nariadenia vlády SR, ktorým sa ustanovuje výška povinného príspevku a povinnej platby a podrobnosti                  o spôsobe výberu a platenia povinného príspevku a povinnej platby na účet Národného jadrového fondu.</w:t>
            </w:r>
          </w:p>
          <w:p w:rsidR="00B53BBB" w:rsidRPr="007451E4" w:rsidRDefault="00B53BBB" w:rsidP="000C238E">
            <w:pPr>
              <w:widowControl/>
              <w:autoSpaceDE w:val="0"/>
              <w:autoSpaceDN w:val="0"/>
              <w:spacing w:after="0" w:line="240" w:lineRule="auto"/>
              <w:jc w:val="both"/>
              <w:rPr>
                <w:rFonts w:ascii="Times New Roman" w:hAnsi="Times New Roman" w:cs="Times New Roman"/>
                <w:bCs/>
                <w:sz w:val="20"/>
                <w:szCs w:val="20"/>
                <w:lang w:eastAsia="sk-SK"/>
              </w:rPr>
            </w:pPr>
          </w:p>
        </w:tc>
      </w:tr>
      <w:tr w:rsidR="00B53BBB" w:rsidRPr="007451E4" w:rsidTr="000C238E">
        <w:tc>
          <w:tcPr>
            <w:tcW w:w="9180" w:type="dxa"/>
            <w:gridSpan w:val="10"/>
            <w:tcBorders>
              <w:top w:val="single" w:sz="4" w:space="0" w:color="auto"/>
              <w:left w:val="single" w:sz="4" w:space="0" w:color="auto"/>
              <w:bottom w:val="single" w:sz="4" w:space="0" w:color="FFFFFF"/>
            </w:tcBorders>
            <w:shd w:val="clear" w:color="auto" w:fill="E2E2E2"/>
          </w:tcPr>
          <w:p w:rsidR="00B53BBB" w:rsidRPr="007451E4" w:rsidRDefault="00B53BBB" w:rsidP="000C238E">
            <w:pPr>
              <w:widowControl/>
              <w:adjustRightInd/>
              <w:ind w:left="142"/>
              <w:contextualSpacing/>
              <w:rPr>
                <w:rFonts w:ascii="Times New Roman" w:eastAsia="Calibri" w:hAnsi="Times New Roman" w:cs="Times New Roman"/>
                <w:b/>
                <w:sz w:val="24"/>
                <w:szCs w:val="24"/>
              </w:rPr>
            </w:pPr>
            <w:r w:rsidRPr="007451E4">
              <w:rPr>
                <w:rFonts w:ascii="Times New Roman" w:eastAsia="Calibri" w:hAnsi="Times New Roman" w:cs="Times New Roman"/>
                <w:b/>
              </w:rPr>
              <w:t>Predkladateľ (a spolupredkladateľ)</w:t>
            </w:r>
          </w:p>
        </w:tc>
      </w:tr>
      <w:tr w:rsidR="00B53BBB" w:rsidRPr="007451E4" w:rsidTr="000C238E">
        <w:tc>
          <w:tcPr>
            <w:tcW w:w="9180" w:type="dxa"/>
            <w:gridSpan w:val="10"/>
            <w:tcBorders>
              <w:top w:val="single" w:sz="4" w:space="0" w:color="FFFFFF"/>
              <w:left w:val="single" w:sz="4" w:space="0" w:color="auto"/>
              <w:bottom w:val="single" w:sz="4" w:space="0" w:color="auto"/>
            </w:tcBorders>
            <w:shd w:val="clear" w:color="auto" w:fill="FFFFFF"/>
          </w:tcPr>
          <w:p w:rsidR="00B53BBB" w:rsidRPr="007451E4" w:rsidRDefault="00B53BBB" w:rsidP="000C238E">
            <w:pPr>
              <w:widowControl/>
              <w:adjustRightInd/>
              <w:spacing w:after="0" w:line="240" w:lineRule="auto"/>
              <w:rPr>
                <w:rFonts w:ascii="Times New Roman" w:hAnsi="Times New Roman" w:cs="Times New Roman"/>
                <w:sz w:val="20"/>
                <w:szCs w:val="20"/>
                <w:lang w:eastAsia="sk-SK"/>
              </w:rPr>
            </w:pPr>
            <w:r w:rsidRPr="007451E4">
              <w:rPr>
                <w:rFonts w:ascii="Times New Roman" w:hAnsi="Times New Roman" w:cs="Times New Roman"/>
                <w:sz w:val="20"/>
                <w:szCs w:val="20"/>
                <w:lang w:eastAsia="sk-SK"/>
              </w:rPr>
              <w:t>Ministerstvo hospodárstva Slovenskej republiky v spolupráci s Národným jadrovým fondom</w:t>
            </w:r>
          </w:p>
        </w:tc>
      </w:tr>
      <w:tr w:rsidR="00B53BBB" w:rsidRPr="007451E4" w:rsidTr="000C238E">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B53BBB" w:rsidRPr="007451E4" w:rsidRDefault="00B53BBB" w:rsidP="000C238E">
            <w:pPr>
              <w:widowControl/>
              <w:adjustRightInd/>
              <w:ind w:left="142"/>
              <w:contextualSpacing/>
              <w:rPr>
                <w:rFonts w:ascii="Times New Roman" w:eastAsia="Calibri" w:hAnsi="Times New Roman" w:cs="Times New Roman"/>
                <w:b/>
                <w:sz w:val="24"/>
                <w:szCs w:val="24"/>
              </w:rPr>
            </w:pPr>
            <w:r w:rsidRPr="007451E4">
              <w:rPr>
                <w:rFonts w:ascii="Times New Roman" w:eastAsia="Calibri" w:hAnsi="Times New Roman" w:cs="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vAlign w:val="center"/>
          </w:tcPr>
          <w:p w:rsidR="00B53BBB" w:rsidRPr="007451E4" w:rsidRDefault="00B53BBB" w:rsidP="000C238E">
            <w:pPr>
              <w:widowControl/>
              <w:adjustRightInd/>
              <w:spacing w:after="0" w:line="240" w:lineRule="auto"/>
              <w:jc w:val="center"/>
              <w:rPr>
                <w:rFonts w:ascii="Times New Roman" w:hAnsi="Times New Roman" w:cs="Times New Roman"/>
                <w:sz w:val="20"/>
                <w:szCs w:val="20"/>
                <w:lang w:eastAsia="sk-SK"/>
              </w:rPr>
            </w:pPr>
            <w:r w:rsidRPr="007451E4">
              <w:rPr>
                <w:rFonts w:ascii="MS Mincho" w:eastAsia="MS Mincho" w:hAnsi="MS Mincho" w:cs="MS Mincho" w:hint="eastAsia"/>
                <w:sz w:val="20"/>
                <w:szCs w:val="20"/>
                <w:lang w:eastAsia="sk-SK"/>
              </w:rPr>
              <w:t>☐</w:t>
            </w:r>
          </w:p>
        </w:tc>
        <w:tc>
          <w:tcPr>
            <w:tcW w:w="4263" w:type="dxa"/>
            <w:gridSpan w:val="6"/>
            <w:tcBorders>
              <w:top w:val="single" w:sz="4" w:space="0" w:color="auto"/>
              <w:left w:val="nil"/>
              <w:bottom w:val="single" w:sz="4" w:space="0" w:color="auto"/>
              <w:right w:val="single" w:sz="4" w:space="0" w:color="auto"/>
            </w:tcBorders>
            <w:shd w:val="clear" w:color="auto" w:fill="FFFFFF"/>
            <w:vAlign w:val="center"/>
          </w:tcPr>
          <w:p w:rsidR="00B53BBB" w:rsidRPr="007451E4" w:rsidRDefault="00B53BBB" w:rsidP="000C238E">
            <w:pPr>
              <w:widowControl/>
              <w:adjustRightInd/>
              <w:spacing w:after="0" w:line="240" w:lineRule="auto"/>
              <w:rPr>
                <w:rFonts w:ascii="Times New Roman" w:hAnsi="Times New Roman" w:cs="Times New Roman"/>
                <w:sz w:val="20"/>
                <w:szCs w:val="20"/>
                <w:lang w:eastAsia="sk-SK"/>
              </w:rPr>
            </w:pPr>
            <w:r w:rsidRPr="007451E4">
              <w:rPr>
                <w:rFonts w:ascii="Times New Roman" w:hAnsi="Times New Roman" w:cs="Times New Roman"/>
                <w:sz w:val="20"/>
                <w:szCs w:val="20"/>
                <w:lang w:eastAsia="sk-SK"/>
              </w:rPr>
              <w:t>Materiál nelegislatívnej povahy</w:t>
            </w:r>
          </w:p>
        </w:tc>
      </w:tr>
      <w:tr w:rsidR="00B53BBB" w:rsidRPr="007451E4" w:rsidTr="000C238E">
        <w:tc>
          <w:tcPr>
            <w:tcW w:w="4212" w:type="dxa"/>
            <w:gridSpan w:val="2"/>
            <w:vMerge/>
            <w:tcBorders>
              <w:top w:val="nil"/>
              <w:left w:val="single" w:sz="4" w:space="0" w:color="auto"/>
              <w:bottom w:val="single" w:sz="4" w:space="0" w:color="FFFFFF"/>
            </w:tcBorders>
            <w:shd w:val="clear" w:color="auto" w:fill="E2E2E2"/>
          </w:tcPr>
          <w:p w:rsidR="00B53BBB" w:rsidRPr="007451E4" w:rsidRDefault="00B53BBB" w:rsidP="000C238E">
            <w:pPr>
              <w:widowControl/>
              <w:adjustRightInd/>
              <w:spacing w:after="0" w:line="240" w:lineRule="auto"/>
              <w:rPr>
                <w:rFonts w:ascii="Times New Roman" w:hAnsi="Times New Roman" w:cs="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vAlign w:val="center"/>
          </w:tcPr>
          <w:p w:rsidR="00B53BBB" w:rsidRPr="007451E4" w:rsidRDefault="00B53BBB" w:rsidP="000C238E">
            <w:pPr>
              <w:widowControl/>
              <w:adjustRightInd/>
              <w:spacing w:after="0" w:line="240" w:lineRule="auto"/>
              <w:jc w:val="center"/>
              <w:rPr>
                <w:rFonts w:ascii="Times New Roman" w:hAnsi="Times New Roman" w:cs="Times New Roman"/>
                <w:sz w:val="20"/>
                <w:szCs w:val="20"/>
                <w:lang w:eastAsia="sk-SK"/>
              </w:rPr>
            </w:pPr>
            <w:r w:rsidRPr="007451E4">
              <w:rPr>
                <w:rFonts w:ascii="MS Mincho" w:eastAsia="MS Mincho" w:hAnsi="MS Mincho" w:cs="MS Mincho" w:hint="eastAsia"/>
                <w:sz w:val="24"/>
                <w:szCs w:val="24"/>
                <w:lang w:eastAsia="sk-SK"/>
              </w:rPr>
              <w:t>☒</w:t>
            </w:r>
          </w:p>
        </w:tc>
        <w:tc>
          <w:tcPr>
            <w:tcW w:w="4263" w:type="dxa"/>
            <w:gridSpan w:val="6"/>
            <w:tcBorders>
              <w:top w:val="single" w:sz="4" w:space="0" w:color="auto"/>
              <w:left w:val="nil"/>
              <w:bottom w:val="single" w:sz="4" w:space="0" w:color="auto"/>
            </w:tcBorders>
            <w:shd w:val="clear" w:color="auto" w:fill="FFFFFF"/>
            <w:vAlign w:val="center"/>
          </w:tcPr>
          <w:p w:rsidR="00B53BBB" w:rsidRPr="007451E4" w:rsidRDefault="00B53BBB" w:rsidP="000C238E">
            <w:pPr>
              <w:widowControl/>
              <w:adjustRightInd/>
              <w:spacing w:after="0" w:line="240" w:lineRule="auto"/>
              <w:ind w:left="175" w:hanging="175"/>
              <w:rPr>
                <w:rFonts w:ascii="Times New Roman" w:hAnsi="Times New Roman" w:cs="Times New Roman"/>
                <w:sz w:val="20"/>
                <w:szCs w:val="20"/>
                <w:lang w:eastAsia="sk-SK"/>
              </w:rPr>
            </w:pPr>
            <w:r w:rsidRPr="007451E4">
              <w:rPr>
                <w:rFonts w:ascii="Times New Roman" w:hAnsi="Times New Roman" w:cs="Times New Roman"/>
                <w:sz w:val="20"/>
                <w:szCs w:val="20"/>
                <w:lang w:eastAsia="sk-SK"/>
              </w:rPr>
              <w:t>Materiál legislatívnej povahy</w:t>
            </w:r>
          </w:p>
        </w:tc>
      </w:tr>
      <w:tr w:rsidR="00B53BBB" w:rsidRPr="007451E4" w:rsidTr="000C238E">
        <w:tc>
          <w:tcPr>
            <w:tcW w:w="4212" w:type="dxa"/>
            <w:gridSpan w:val="2"/>
            <w:vMerge/>
            <w:tcBorders>
              <w:top w:val="nil"/>
              <w:left w:val="single" w:sz="4" w:space="0" w:color="auto"/>
              <w:bottom w:val="single" w:sz="4" w:space="0" w:color="auto"/>
            </w:tcBorders>
            <w:shd w:val="clear" w:color="auto" w:fill="E2E2E2"/>
          </w:tcPr>
          <w:p w:rsidR="00B53BBB" w:rsidRPr="007451E4" w:rsidRDefault="00B53BBB" w:rsidP="000C238E">
            <w:pPr>
              <w:widowControl/>
              <w:adjustRightInd/>
              <w:spacing w:after="0" w:line="240" w:lineRule="auto"/>
              <w:rPr>
                <w:rFonts w:ascii="Times New Roman" w:hAnsi="Times New Roman" w:cs="Times New Roman"/>
                <w:sz w:val="20"/>
                <w:szCs w:val="20"/>
                <w:lang w:eastAsia="sk-SK"/>
              </w:rPr>
            </w:pPr>
          </w:p>
        </w:tc>
        <w:tc>
          <w:tcPr>
            <w:tcW w:w="705" w:type="dxa"/>
            <w:gridSpan w:val="2"/>
            <w:tcBorders>
              <w:top w:val="single" w:sz="4" w:space="0" w:color="auto"/>
              <w:left w:val="single" w:sz="4" w:space="0" w:color="auto"/>
              <w:bottom w:val="single" w:sz="4" w:space="0" w:color="auto"/>
              <w:right w:val="nil"/>
            </w:tcBorders>
            <w:shd w:val="clear" w:color="auto" w:fill="FFFFFF"/>
            <w:vAlign w:val="center"/>
          </w:tcPr>
          <w:p w:rsidR="00B53BBB" w:rsidRPr="007451E4" w:rsidRDefault="00B53BBB" w:rsidP="000C238E">
            <w:pPr>
              <w:widowControl/>
              <w:adjustRightInd/>
              <w:spacing w:after="0" w:line="240" w:lineRule="auto"/>
              <w:jc w:val="center"/>
              <w:rPr>
                <w:rFonts w:ascii="Times New Roman" w:hAnsi="Times New Roman" w:cs="Times New Roman"/>
                <w:sz w:val="20"/>
                <w:szCs w:val="20"/>
                <w:lang w:eastAsia="sk-SK"/>
              </w:rPr>
            </w:pPr>
            <w:r w:rsidRPr="007451E4">
              <w:rPr>
                <w:rFonts w:ascii="MS Mincho" w:eastAsia="MS Mincho" w:hAnsi="MS Mincho" w:cs="MS Mincho" w:hint="eastAsia"/>
                <w:sz w:val="20"/>
                <w:szCs w:val="20"/>
                <w:lang w:eastAsia="sk-SK"/>
              </w:rPr>
              <w:t>☐</w:t>
            </w:r>
          </w:p>
        </w:tc>
        <w:tc>
          <w:tcPr>
            <w:tcW w:w="4263" w:type="dxa"/>
            <w:gridSpan w:val="6"/>
            <w:tcBorders>
              <w:top w:val="single" w:sz="4" w:space="0" w:color="auto"/>
              <w:left w:val="nil"/>
              <w:bottom w:val="single" w:sz="4" w:space="0" w:color="auto"/>
            </w:tcBorders>
            <w:shd w:val="clear" w:color="auto" w:fill="FFFFFF"/>
            <w:vAlign w:val="center"/>
          </w:tcPr>
          <w:p w:rsidR="00B53BBB" w:rsidRPr="007451E4" w:rsidRDefault="00B53BBB" w:rsidP="000C238E">
            <w:pPr>
              <w:widowControl/>
              <w:adjustRightInd/>
              <w:spacing w:after="0" w:line="240" w:lineRule="auto"/>
              <w:rPr>
                <w:rFonts w:ascii="Times New Roman" w:hAnsi="Times New Roman" w:cs="Times New Roman"/>
                <w:sz w:val="20"/>
                <w:szCs w:val="20"/>
                <w:lang w:eastAsia="sk-SK"/>
              </w:rPr>
            </w:pPr>
            <w:r w:rsidRPr="007451E4">
              <w:rPr>
                <w:rFonts w:ascii="Times New Roman" w:hAnsi="Times New Roman" w:cs="Times New Roman"/>
                <w:sz w:val="20"/>
                <w:szCs w:val="20"/>
                <w:lang w:eastAsia="sk-SK"/>
              </w:rPr>
              <w:t>Transpozícia práva EÚ</w:t>
            </w:r>
          </w:p>
        </w:tc>
      </w:tr>
      <w:tr w:rsidR="00B53BBB" w:rsidRPr="007451E4" w:rsidTr="000C238E">
        <w:tc>
          <w:tcPr>
            <w:tcW w:w="9180" w:type="dxa"/>
            <w:gridSpan w:val="10"/>
            <w:tcBorders>
              <w:top w:val="single" w:sz="4" w:space="0" w:color="auto"/>
              <w:left w:val="single" w:sz="4" w:space="0" w:color="auto"/>
              <w:bottom w:val="single" w:sz="4" w:space="0" w:color="FFFFFF"/>
            </w:tcBorders>
            <w:shd w:val="clear" w:color="auto" w:fill="FFFFFF"/>
          </w:tcPr>
          <w:p w:rsidR="00B53BBB" w:rsidRPr="007451E4" w:rsidRDefault="00B53BBB" w:rsidP="000C238E">
            <w:pPr>
              <w:widowControl/>
              <w:adjustRightInd/>
              <w:spacing w:after="0" w:line="240" w:lineRule="auto"/>
              <w:rPr>
                <w:rFonts w:ascii="Times New Roman" w:hAnsi="Times New Roman" w:cs="Times New Roman"/>
                <w:i/>
                <w:sz w:val="20"/>
                <w:szCs w:val="20"/>
                <w:lang w:eastAsia="sk-SK"/>
              </w:rPr>
            </w:pPr>
            <w:r w:rsidRPr="007451E4">
              <w:rPr>
                <w:rFonts w:ascii="Times New Roman" w:hAnsi="Times New Roman" w:cs="Times New Roman"/>
                <w:i/>
                <w:sz w:val="20"/>
                <w:szCs w:val="20"/>
                <w:lang w:eastAsia="sk-SK"/>
              </w:rPr>
              <w:t>V prípade transpozície uveďte zoznam transponovaných predpisov:</w:t>
            </w:r>
          </w:p>
          <w:p w:rsidR="00B53BBB" w:rsidRPr="007451E4" w:rsidRDefault="00B53BBB" w:rsidP="000C238E">
            <w:pPr>
              <w:widowControl/>
              <w:adjustRightInd/>
              <w:spacing w:after="0" w:line="240" w:lineRule="auto"/>
              <w:rPr>
                <w:rFonts w:ascii="Times New Roman" w:hAnsi="Times New Roman" w:cs="Times New Roman"/>
                <w:sz w:val="20"/>
                <w:szCs w:val="20"/>
                <w:lang w:eastAsia="sk-SK"/>
              </w:rPr>
            </w:pPr>
          </w:p>
        </w:tc>
      </w:tr>
      <w:tr w:rsidR="00B53BBB" w:rsidRPr="007451E4" w:rsidTr="000C238E">
        <w:tc>
          <w:tcPr>
            <w:tcW w:w="5634" w:type="dxa"/>
            <w:gridSpan w:val="5"/>
            <w:tcBorders>
              <w:top w:val="single" w:sz="4" w:space="0" w:color="000000"/>
              <w:left w:val="single" w:sz="4" w:space="0" w:color="auto"/>
              <w:bottom w:val="single" w:sz="4" w:space="0" w:color="FFFFFF"/>
              <w:right w:val="single" w:sz="4" w:space="0" w:color="auto"/>
            </w:tcBorders>
            <w:shd w:val="clear" w:color="auto" w:fill="E2E2E2"/>
            <w:vAlign w:val="center"/>
          </w:tcPr>
          <w:p w:rsidR="00B53BBB" w:rsidRPr="007451E4" w:rsidRDefault="00B53BBB" w:rsidP="000C238E">
            <w:pPr>
              <w:widowControl/>
              <w:adjustRightInd/>
              <w:ind w:left="142"/>
              <w:contextualSpacing/>
              <w:rPr>
                <w:rFonts w:ascii="Times New Roman" w:eastAsia="Calibri" w:hAnsi="Times New Roman" w:cs="Times New Roman"/>
                <w:b/>
                <w:sz w:val="24"/>
                <w:szCs w:val="24"/>
              </w:rPr>
            </w:pPr>
            <w:r w:rsidRPr="007451E4">
              <w:rPr>
                <w:rFonts w:ascii="Times New Roman" w:eastAsia="Calibri" w:hAnsi="Times New Roman" w:cs="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shd w:val="clear" w:color="auto" w:fill="auto"/>
            <w:vAlign w:val="center"/>
          </w:tcPr>
          <w:p w:rsidR="00B53BBB" w:rsidRPr="007A0529" w:rsidRDefault="001061A7" w:rsidP="000C238E">
            <w:pPr>
              <w:widowControl/>
              <w:adjustRightInd/>
              <w:spacing w:after="0" w:line="240" w:lineRule="auto"/>
              <w:rPr>
                <w:rFonts w:ascii="Times New Roman" w:hAnsi="Times New Roman" w:cs="Times New Roman"/>
                <w:highlight w:val="yellow"/>
                <w:lang w:eastAsia="sk-SK"/>
              </w:rPr>
            </w:pPr>
            <w:r>
              <w:rPr>
                <w:rFonts w:ascii="Times New Roman" w:hAnsi="Times New Roman" w:cs="Times New Roman"/>
                <w:lang w:eastAsia="sk-SK"/>
              </w:rPr>
              <w:t>18.10. – 5.11.</w:t>
            </w:r>
            <w:r w:rsidR="00B53BBB">
              <w:rPr>
                <w:rFonts w:ascii="Times New Roman" w:hAnsi="Times New Roman" w:cs="Times New Roman"/>
                <w:lang w:eastAsia="sk-SK"/>
              </w:rPr>
              <w:t xml:space="preserve">  </w:t>
            </w:r>
            <w:r w:rsidR="00B53BBB" w:rsidRPr="007A0529">
              <w:rPr>
                <w:rFonts w:ascii="Times New Roman" w:hAnsi="Times New Roman" w:cs="Times New Roman"/>
                <w:lang w:eastAsia="sk-SK"/>
              </w:rPr>
              <w:t>2018</w:t>
            </w:r>
          </w:p>
        </w:tc>
      </w:tr>
      <w:tr w:rsidR="00B53BBB" w:rsidRPr="007451E4" w:rsidTr="000C238E">
        <w:tc>
          <w:tcPr>
            <w:tcW w:w="5634" w:type="dxa"/>
            <w:gridSpan w:val="5"/>
            <w:tcBorders>
              <w:top w:val="single" w:sz="4" w:space="0" w:color="auto"/>
              <w:left w:val="single" w:sz="4" w:space="0" w:color="auto"/>
              <w:bottom w:val="single" w:sz="4" w:space="0" w:color="FFFFFF"/>
              <w:right w:val="single" w:sz="4" w:space="0" w:color="auto"/>
            </w:tcBorders>
            <w:shd w:val="clear" w:color="auto" w:fill="E2E2E2"/>
            <w:vAlign w:val="center"/>
          </w:tcPr>
          <w:p w:rsidR="00B53BBB" w:rsidRPr="007451E4" w:rsidRDefault="00B53BBB" w:rsidP="000C238E">
            <w:pPr>
              <w:widowControl/>
              <w:adjustRightInd/>
              <w:ind w:left="142"/>
              <w:contextualSpacing/>
              <w:rPr>
                <w:rFonts w:ascii="Times New Roman" w:eastAsia="Calibri" w:hAnsi="Times New Roman" w:cs="Times New Roman"/>
                <w:b/>
                <w:sz w:val="24"/>
                <w:szCs w:val="24"/>
              </w:rPr>
            </w:pPr>
            <w:r w:rsidRPr="007451E4">
              <w:rPr>
                <w:rFonts w:ascii="Times New Roman" w:eastAsia="Calibri" w:hAnsi="Times New Roman" w:cs="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3BBB" w:rsidRPr="007451E4" w:rsidRDefault="00B53BBB" w:rsidP="000C238E">
            <w:pPr>
              <w:widowControl/>
              <w:adjustRightInd/>
              <w:spacing w:after="0" w:line="240" w:lineRule="auto"/>
              <w:rPr>
                <w:rFonts w:ascii="Times New Roman" w:hAnsi="Times New Roman" w:cs="Times New Roman"/>
                <w:sz w:val="24"/>
                <w:szCs w:val="24"/>
                <w:highlight w:val="yellow"/>
                <w:lang w:eastAsia="sk-SK"/>
              </w:rPr>
            </w:pPr>
            <w:r>
              <w:rPr>
                <w:rFonts w:ascii="Times New Roman" w:hAnsi="Times New Roman" w:cs="Times New Roman"/>
                <w:lang w:eastAsia="sk-SK"/>
              </w:rPr>
              <w:t xml:space="preserve">november </w:t>
            </w:r>
            <w:r w:rsidRPr="007451E4">
              <w:rPr>
                <w:rFonts w:ascii="Times New Roman" w:hAnsi="Times New Roman" w:cs="Times New Roman"/>
                <w:lang w:eastAsia="sk-SK"/>
              </w:rPr>
              <w:t xml:space="preserve"> 2018</w:t>
            </w:r>
          </w:p>
        </w:tc>
      </w:tr>
      <w:tr w:rsidR="00B53BBB" w:rsidRPr="007451E4" w:rsidTr="000C238E">
        <w:tc>
          <w:tcPr>
            <w:tcW w:w="5634" w:type="dxa"/>
            <w:gridSpan w:val="5"/>
            <w:tcBorders>
              <w:top w:val="single" w:sz="4" w:space="0" w:color="auto"/>
              <w:left w:val="single" w:sz="4" w:space="0" w:color="auto"/>
              <w:bottom w:val="single" w:sz="4" w:space="0" w:color="FFFFFF"/>
              <w:right w:val="single" w:sz="4" w:space="0" w:color="auto"/>
            </w:tcBorders>
            <w:shd w:val="clear" w:color="auto" w:fill="E2E2E2"/>
            <w:vAlign w:val="center"/>
          </w:tcPr>
          <w:p w:rsidR="00B53BBB" w:rsidRPr="007451E4" w:rsidRDefault="00B53BBB" w:rsidP="000C238E">
            <w:pPr>
              <w:widowControl/>
              <w:adjustRightInd/>
              <w:ind w:left="142"/>
              <w:contextualSpacing/>
              <w:rPr>
                <w:rFonts w:ascii="Times New Roman" w:eastAsia="Calibri" w:hAnsi="Times New Roman" w:cs="Times New Roman"/>
                <w:b/>
                <w:sz w:val="24"/>
                <w:szCs w:val="24"/>
              </w:rPr>
            </w:pPr>
            <w:r w:rsidRPr="007451E4">
              <w:rPr>
                <w:rFonts w:ascii="Times New Roman" w:eastAsia="Calibri" w:hAnsi="Times New Roman" w:cs="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3BBB" w:rsidRPr="007451E4" w:rsidRDefault="00AE573E" w:rsidP="000C238E">
            <w:pPr>
              <w:widowControl/>
              <w:adjustRightInd/>
              <w:spacing w:after="0" w:line="240" w:lineRule="auto"/>
              <w:rPr>
                <w:rFonts w:ascii="Times New Roman" w:hAnsi="Times New Roman" w:cs="Times New Roman"/>
                <w:sz w:val="24"/>
                <w:szCs w:val="24"/>
                <w:highlight w:val="yellow"/>
                <w:lang w:eastAsia="sk-SK"/>
              </w:rPr>
            </w:pPr>
            <w:r>
              <w:rPr>
                <w:rFonts w:ascii="Times New Roman" w:hAnsi="Times New Roman" w:cs="Times New Roman"/>
                <w:lang w:eastAsia="sk-SK"/>
              </w:rPr>
              <w:t xml:space="preserve">december </w:t>
            </w:r>
            <w:r w:rsidR="00B53BBB" w:rsidRPr="007451E4">
              <w:rPr>
                <w:rFonts w:ascii="Times New Roman" w:hAnsi="Times New Roman" w:cs="Times New Roman"/>
                <w:lang w:eastAsia="sk-SK"/>
              </w:rPr>
              <w:t>2018</w:t>
            </w:r>
          </w:p>
        </w:tc>
      </w:tr>
      <w:tr w:rsidR="00B53BBB" w:rsidRPr="007451E4" w:rsidTr="000C238E">
        <w:tc>
          <w:tcPr>
            <w:tcW w:w="9180" w:type="dxa"/>
            <w:gridSpan w:val="10"/>
            <w:tcBorders>
              <w:top w:val="single" w:sz="4" w:space="0" w:color="auto"/>
              <w:left w:val="nil"/>
              <w:bottom w:val="single" w:sz="4" w:space="0" w:color="auto"/>
              <w:right w:val="nil"/>
            </w:tcBorders>
            <w:shd w:val="clear" w:color="auto" w:fill="FFFFFF"/>
          </w:tcPr>
          <w:p w:rsidR="00B53BBB" w:rsidRPr="007451E4" w:rsidRDefault="00B53BBB" w:rsidP="000C238E">
            <w:pPr>
              <w:widowControl/>
              <w:adjustRightInd/>
              <w:spacing w:after="0" w:line="240" w:lineRule="auto"/>
              <w:rPr>
                <w:rFonts w:ascii="Times New Roman" w:hAnsi="Times New Roman" w:cs="Times New Roman"/>
                <w:sz w:val="20"/>
                <w:szCs w:val="20"/>
                <w:lang w:eastAsia="sk-SK"/>
              </w:rPr>
            </w:pPr>
          </w:p>
        </w:tc>
      </w:tr>
      <w:tr w:rsidR="00B53BBB" w:rsidRPr="007451E4" w:rsidTr="000C238E">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B53BBB" w:rsidRPr="007451E4" w:rsidRDefault="00B53BBB" w:rsidP="00B53BBB">
            <w:pPr>
              <w:widowControl/>
              <w:numPr>
                <w:ilvl w:val="0"/>
                <w:numId w:val="3"/>
              </w:numPr>
              <w:adjustRightInd/>
              <w:spacing w:after="0" w:line="240" w:lineRule="auto"/>
              <w:ind w:left="426"/>
              <w:contextualSpacing/>
              <w:rPr>
                <w:rFonts w:ascii="Times New Roman" w:eastAsia="Calibri" w:hAnsi="Times New Roman" w:cs="Times New Roman"/>
                <w:b/>
                <w:sz w:val="24"/>
                <w:szCs w:val="24"/>
              </w:rPr>
            </w:pPr>
            <w:r w:rsidRPr="007451E4">
              <w:rPr>
                <w:rFonts w:ascii="Times New Roman" w:eastAsia="Calibri" w:hAnsi="Times New Roman" w:cs="Times New Roman"/>
                <w:b/>
              </w:rPr>
              <w:t>Definícia problému</w:t>
            </w:r>
          </w:p>
        </w:tc>
      </w:tr>
      <w:tr w:rsidR="00B53BBB" w:rsidRPr="007451E4" w:rsidTr="000C238E">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rsidR="00B53BBB" w:rsidRPr="007451E4" w:rsidRDefault="00B53BBB" w:rsidP="000C238E">
            <w:pPr>
              <w:widowControl/>
              <w:adjustRightInd/>
              <w:spacing w:after="0" w:line="240" w:lineRule="auto"/>
              <w:rPr>
                <w:rFonts w:ascii="Times New Roman" w:hAnsi="Times New Roman" w:cs="Times New Roman"/>
                <w:i/>
                <w:sz w:val="20"/>
                <w:szCs w:val="20"/>
                <w:lang w:eastAsia="sk-SK"/>
              </w:rPr>
            </w:pPr>
            <w:r w:rsidRPr="007451E4">
              <w:rPr>
                <w:rFonts w:ascii="Times New Roman" w:hAnsi="Times New Roman" w:cs="Times New Roman"/>
                <w:i/>
                <w:sz w:val="20"/>
                <w:szCs w:val="20"/>
                <w:lang w:eastAsia="sk-SK"/>
              </w:rPr>
              <w:t>Uveďte základné problémy, na ktoré navrhovaná regulácia reaguje.</w:t>
            </w:r>
          </w:p>
          <w:p w:rsidR="00B53BBB" w:rsidRPr="007451E4" w:rsidRDefault="00B53BBB" w:rsidP="000C238E">
            <w:pPr>
              <w:widowControl/>
              <w:adjustRightInd/>
              <w:spacing w:after="0" w:line="240" w:lineRule="auto"/>
              <w:jc w:val="both"/>
              <w:rPr>
                <w:rFonts w:ascii="Times New Roman" w:hAnsi="Times New Roman" w:cs="Times New Roman"/>
                <w:color w:val="000000"/>
                <w:sz w:val="20"/>
                <w:szCs w:val="20"/>
                <w:lang w:eastAsia="sk-SK"/>
              </w:rPr>
            </w:pPr>
            <w:r w:rsidRPr="007451E4">
              <w:rPr>
                <w:rFonts w:ascii="Times New Roman" w:hAnsi="Times New Roman" w:cs="Times New Roman"/>
                <w:color w:val="000000"/>
                <w:sz w:val="20"/>
                <w:szCs w:val="20"/>
                <w:lang w:eastAsia="sk-SK"/>
              </w:rPr>
              <w:t xml:space="preserve">Návrh nariadenia vlády </w:t>
            </w:r>
            <w:r>
              <w:rPr>
                <w:rFonts w:ascii="Times New Roman" w:hAnsi="Times New Roman" w:cs="Times New Roman"/>
                <w:color w:val="000000"/>
                <w:sz w:val="20"/>
                <w:szCs w:val="20"/>
                <w:lang w:eastAsia="sk-SK"/>
              </w:rPr>
              <w:t xml:space="preserve">SR </w:t>
            </w:r>
            <w:r w:rsidRPr="007451E4">
              <w:rPr>
                <w:rFonts w:ascii="Times New Roman" w:hAnsi="Times New Roman" w:cs="Times New Roman"/>
                <w:color w:val="000000"/>
                <w:sz w:val="20"/>
                <w:szCs w:val="20"/>
                <w:lang w:eastAsia="sk-SK"/>
              </w:rPr>
              <w:t>sa predkladá ako iniciatívny návrh z týchto hlavných dôvodov:</w:t>
            </w:r>
          </w:p>
          <w:p w:rsidR="00B53BBB" w:rsidRPr="007451E4" w:rsidRDefault="00B53BBB" w:rsidP="00B53BBB">
            <w:pPr>
              <w:widowControl/>
              <w:numPr>
                <w:ilvl w:val="0"/>
                <w:numId w:val="2"/>
              </w:numPr>
              <w:adjustRightInd/>
              <w:spacing w:after="0" w:line="240" w:lineRule="auto"/>
              <w:ind w:left="360"/>
              <w:contextualSpacing/>
              <w:jc w:val="both"/>
              <w:rPr>
                <w:rFonts w:ascii="Times New Roman" w:hAnsi="Times New Roman" w:cs="Times New Roman"/>
                <w:color w:val="000000"/>
                <w:sz w:val="20"/>
                <w:szCs w:val="20"/>
                <w:lang w:eastAsia="sk-SK"/>
              </w:rPr>
            </w:pPr>
            <w:r w:rsidRPr="007451E4">
              <w:rPr>
                <w:rFonts w:ascii="Times New Roman" w:hAnsi="Times New Roman" w:cs="Times New Roman"/>
                <w:color w:val="000000"/>
                <w:sz w:val="20"/>
                <w:szCs w:val="20"/>
                <w:lang w:eastAsia="sk-SK"/>
              </w:rPr>
              <w:t>Zavedenie nových pravidiel pri stanovovaní výšky zdrojov, ktoré je potrebné zhromažďovať na činnosti v záverečnej časti jadrovej energetiky, zvýšenie transparentnosti pri spravovaní prostriedkov pre záverečnú časť jadrovej energetiky</w:t>
            </w:r>
          </w:p>
          <w:p w:rsidR="00B53BBB" w:rsidRPr="007451E4" w:rsidRDefault="00B53BBB" w:rsidP="00B53BBB">
            <w:pPr>
              <w:widowControl/>
              <w:numPr>
                <w:ilvl w:val="0"/>
                <w:numId w:val="2"/>
              </w:numPr>
              <w:adjustRightInd/>
              <w:spacing w:after="0" w:line="240" w:lineRule="auto"/>
              <w:ind w:left="360"/>
              <w:contextualSpacing/>
              <w:jc w:val="both"/>
              <w:rPr>
                <w:rFonts w:ascii="Times New Roman" w:hAnsi="Times New Roman" w:cs="Times New Roman"/>
                <w:color w:val="000000"/>
                <w:sz w:val="20"/>
                <w:szCs w:val="20"/>
                <w:lang w:eastAsia="sk-SK"/>
              </w:rPr>
            </w:pPr>
            <w:r w:rsidRPr="007451E4">
              <w:rPr>
                <w:rFonts w:ascii="Times New Roman" w:hAnsi="Times New Roman" w:cs="Times New Roman"/>
                <w:color w:val="000000"/>
                <w:sz w:val="20"/>
                <w:szCs w:val="20"/>
                <w:lang w:eastAsia="sk-SK"/>
              </w:rPr>
              <w:t>Rozšírenie povinnosti odvádzať finančné prostriedky do jadrového fondu aj na iné prevádzkované jadrové zariadenia ako jadrové elektrárne vyrábajúce elektrinu</w:t>
            </w:r>
          </w:p>
        </w:tc>
      </w:tr>
      <w:tr w:rsidR="00B53BBB" w:rsidRPr="007451E4" w:rsidTr="000C238E">
        <w:tc>
          <w:tcPr>
            <w:tcW w:w="9180" w:type="dxa"/>
            <w:gridSpan w:val="10"/>
            <w:tcBorders>
              <w:top w:val="single" w:sz="4" w:space="0" w:color="auto"/>
              <w:left w:val="single" w:sz="4" w:space="0" w:color="auto"/>
              <w:bottom w:val="nil"/>
              <w:right w:val="single" w:sz="4" w:space="0" w:color="auto"/>
            </w:tcBorders>
            <w:shd w:val="clear" w:color="auto" w:fill="E2E2E2"/>
          </w:tcPr>
          <w:p w:rsidR="00B53BBB" w:rsidRPr="007451E4" w:rsidRDefault="00B53BBB" w:rsidP="00B53BBB">
            <w:pPr>
              <w:widowControl/>
              <w:numPr>
                <w:ilvl w:val="0"/>
                <w:numId w:val="3"/>
              </w:numPr>
              <w:adjustRightInd/>
              <w:spacing w:after="0" w:line="240" w:lineRule="auto"/>
              <w:ind w:left="426"/>
              <w:contextualSpacing/>
              <w:rPr>
                <w:rFonts w:ascii="Times New Roman" w:eastAsia="Calibri" w:hAnsi="Times New Roman" w:cs="Times New Roman"/>
                <w:b/>
                <w:sz w:val="24"/>
                <w:szCs w:val="24"/>
              </w:rPr>
            </w:pPr>
            <w:r w:rsidRPr="007451E4">
              <w:rPr>
                <w:rFonts w:ascii="Times New Roman" w:eastAsia="Calibri" w:hAnsi="Times New Roman" w:cs="Times New Roman"/>
                <w:b/>
              </w:rPr>
              <w:t>Ciele a výsledný stav</w:t>
            </w:r>
          </w:p>
        </w:tc>
      </w:tr>
      <w:tr w:rsidR="00B53BBB" w:rsidRPr="007451E4" w:rsidTr="000C238E">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cPr>
          <w:p w:rsidR="00B53BBB" w:rsidRPr="007451E4" w:rsidRDefault="00B53BBB" w:rsidP="000C238E">
            <w:pPr>
              <w:widowControl/>
              <w:adjustRightInd/>
              <w:spacing w:after="0" w:line="240" w:lineRule="auto"/>
              <w:rPr>
                <w:rFonts w:ascii="Times New Roman" w:hAnsi="Times New Roman" w:cs="Times New Roman"/>
                <w:i/>
                <w:sz w:val="20"/>
                <w:szCs w:val="20"/>
                <w:lang w:eastAsia="sk-SK"/>
              </w:rPr>
            </w:pPr>
            <w:r w:rsidRPr="007451E4">
              <w:rPr>
                <w:rFonts w:ascii="Times New Roman" w:hAnsi="Times New Roman" w:cs="Times New Roman"/>
                <w:i/>
                <w:sz w:val="20"/>
                <w:szCs w:val="20"/>
                <w:lang w:eastAsia="sk-SK"/>
              </w:rPr>
              <w:t>Uveďte hlavné ciele navrhovaného predpisu (aký výsledný stav chcete reguláciou dosiahnuť).</w:t>
            </w:r>
          </w:p>
          <w:p w:rsidR="00B53BBB" w:rsidRPr="007451E4" w:rsidRDefault="00B53BBB" w:rsidP="000C238E">
            <w:pPr>
              <w:widowControl/>
              <w:adjustRightInd/>
              <w:spacing w:after="0" w:line="240" w:lineRule="auto"/>
              <w:rPr>
                <w:rFonts w:ascii="Times New Roman" w:hAnsi="Times New Roman" w:cs="Times New Roman"/>
                <w:sz w:val="20"/>
                <w:szCs w:val="20"/>
                <w:lang w:eastAsia="sk-SK"/>
              </w:rPr>
            </w:pPr>
            <w:r w:rsidRPr="007451E4">
              <w:rPr>
                <w:rFonts w:ascii="Times New Roman" w:hAnsi="Times New Roman" w:cs="Times New Roman"/>
                <w:sz w:val="20"/>
                <w:szCs w:val="20"/>
                <w:lang w:eastAsia="sk-SK"/>
              </w:rPr>
              <w:t>Vo všeobecnosti ciele navrhovanej právnej úpravy možno vymedziť nasledovne:</w:t>
            </w:r>
          </w:p>
          <w:p w:rsidR="00B53BBB" w:rsidRPr="007451E4" w:rsidRDefault="00B53BBB" w:rsidP="00B53BBB">
            <w:pPr>
              <w:widowControl/>
              <w:numPr>
                <w:ilvl w:val="0"/>
                <w:numId w:val="1"/>
              </w:numPr>
              <w:adjustRightInd/>
              <w:spacing w:after="0" w:line="240" w:lineRule="auto"/>
              <w:ind w:left="839" w:hanging="482"/>
              <w:jc w:val="both"/>
              <w:rPr>
                <w:rFonts w:ascii="Times New Roman" w:eastAsia="Calibri" w:hAnsi="Times New Roman" w:cs="Times New Roman"/>
                <w:sz w:val="20"/>
                <w:szCs w:val="20"/>
              </w:rPr>
            </w:pPr>
            <w:r w:rsidRPr="007451E4">
              <w:rPr>
                <w:rFonts w:ascii="Times New Roman" w:eastAsia="Calibri" w:hAnsi="Times New Roman" w:cs="Times New Roman"/>
                <w:sz w:val="20"/>
                <w:szCs w:val="20"/>
              </w:rPr>
              <w:t>Vytvoriť nový, efektívny, transparentný a spravodlivý spôsob stanovovania výšky povinných príspevkov a povinných platieb do Národného jadrového fondu, ktorý je nezávislý od aktuálnej situácie na trhu s elektrinou.</w:t>
            </w:r>
          </w:p>
          <w:p w:rsidR="00B53BBB" w:rsidRPr="007451E4" w:rsidRDefault="00B53BBB" w:rsidP="00B53BBB">
            <w:pPr>
              <w:widowControl/>
              <w:numPr>
                <w:ilvl w:val="0"/>
                <w:numId w:val="1"/>
              </w:numPr>
              <w:adjustRightInd/>
              <w:spacing w:after="0" w:line="240" w:lineRule="auto"/>
              <w:ind w:left="839" w:hanging="482"/>
              <w:jc w:val="both"/>
              <w:rPr>
                <w:rFonts w:ascii="Times New Roman" w:eastAsia="Calibri" w:hAnsi="Times New Roman" w:cs="Times New Roman"/>
                <w:sz w:val="20"/>
                <w:szCs w:val="20"/>
              </w:rPr>
            </w:pPr>
            <w:r w:rsidRPr="007451E4">
              <w:rPr>
                <w:rFonts w:ascii="Times New Roman" w:eastAsia="Calibri" w:hAnsi="Times New Roman" w:cs="Times New Roman"/>
                <w:bCs/>
                <w:sz w:val="20"/>
                <w:szCs w:val="20"/>
              </w:rPr>
              <w:t>Výška povinných príspevkov a povinných platieb  je vypočítaná na základe očakávaných budúcich nákladov na vyraďovanie jadrového zariadenia, skladovanie vyhoretého jadrového paliva a nákladov na hlbinné úložisko a obdobia prevádzky daného jadrového zariadenia.</w:t>
            </w:r>
          </w:p>
          <w:p w:rsidR="00B53BBB" w:rsidRPr="007451E4" w:rsidRDefault="00B53BBB" w:rsidP="00B53BBB">
            <w:pPr>
              <w:widowControl/>
              <w:numPr>
                <w:ilvl w:val="0"/>
                <w:numId w:val="1"/>
              </w:numPr>
              <w:adjustRightInd/>
              <w:spacing w:after="0" w:line="240" w:lineRule="auto"/>
              <w:ind w:left="839" w:hanging="482"/>
              <w:jc w:val="both"/>
              <w:rPr>
                <w:rFonts w:ascii="Times New Roman" w:eastAsia="Calibri" w:hAnsi="Times New Roman" w:cs="Times New Roman"/>
                <w:sz w:val="20"/>
                <w:szCs w:val="20"/>
              </w:rPr>
            </w:pPr>
            <w:r w:rsidRPr="007451E4">
              <w:rPr>
                <w:rFonts w:ascii="Times New Roman" w:eastAsia="Calibri" w:hAnsi="Times New Roman" w:cs="Times New Roman"/>
                <w:sz w:val="20"/>
                <w:szCs w:val="20"/>
              </w:rPr>
              <w:t>Rozšíriť povinnosť odvádzať povinné platby do Národného jadrového fondu aj na ostatné jadrové zariadenia iné ako na výrobu elektriny, ktoré sa budú v budúcnosti vyraďovať z prevádzky.</w:t>
            </w:r>
          </w:p>
          <w:p w:rsidR="00B53BBB" w:rsidRPr="007451E4" w:rsidRDefault="00B53BBB" w:rsidP="000C238E">
            <w:pPr>
              <w:widowControl/>
              <w:adjustRightInd/>
              <w:spacing w:after="0" w:line="240" w:lineRule="auto"/>
              <w:ind w:left="839"/>
              <w:jc w:val="both"/>
              <w:rPr>
                <w:rFonts w:ascii="Times New Roman" w:eastAsia="Calibri" w:hAnsi="Times New Roman" w:cs="Times New Roman"/>
                <w:sz w:val="20"/>
                <w:szCs w:val="20"/>
              </w:rPr>
            </w:pPr>
          </w:p>
        </w:tc>
      </w:tr>
      <w:tr w:rsidR="00B53BBB" w:rsidRPr="007451E4" w:rsidTr="000C238E">
        <w:tc>
          <w:tcPr>
            <w:tcW w:w="9180" w:type="dxa"/>
            <w:gridSpan w:val="10"/>
            <w:tcBorders>
              <w:top w:val="single" w:sz="4" w:space="0" w:color="auto"/>
              <w:left w:val="single" w:sz="4" w:space="0" w:color="auto"/>
              <w:bottom w:val="nil"/>
              <w:right w:val="single" w:sz="4" w:space="0" w:color="auto"/>
            </w:tcBorders>
            <w:shd w:val="clear" w:color="auto" w:fill="E2E2E2"/>
          </w:tcPr>
          <w:p w:rsidR="00B53BBB" w:rsidRPr="007451E4" w:rsidRDefault="00B53BBB" w:rsidP="00B53BBB">
            <w:pPr>
              <w:widowControl/>
              <w:numPr>
                <w:ilvl w:val="0"/>
                <w:numId w:val="3"/>
              </w:numPr>
              <w:adjustRightInd/>
              <w:spacing w:after="0" w:line="240" w:lineRule="auto"/>
              <w:ind w:left="426"/>
              <w:contextualSpacing/>
              <w:rPr>
                <w:rFonts w:ascii="Times New Roman" w:eastAsia="Calibri" w:hAnsi="Times New Roman" w:cs="Times New Roman"/>
                <w:b/>
                <w:sz w:val="24"/>
                <w:szCs w:val="24"/>
              </w:rPr>
            </w:pPr>
            <w:r w:rsidRPr="007451E4">
              <w:rPr>
                <w:rFonts w:ascii="Times New Roman" w:eastAsia="Calibri" w:hAnsi="Times New Roman" w:cs="Times New Roman"/>
                <w:b/>
              </w:rPr>
              <w:t>Dotknuté subjekty</w:t>
            </w:r>
          </w:p>
        </w:tc>
      </w:tr>
      <w:tr w:rsidR="00B53BBB" w:rsidRPr="007451E4" w:rsidTr="000C238E">
        <w:tc>
          <w:tcPr>
            <w:tcW w:w="9180" w:type="dxa"/>
            <w:gridSpan w:val="10"/>
            <w:tcBorders>
              <w:top w:val="nil"/>
              <w:left w:val="single" w:sz="4" w:space="0" w:color="auto"/>
              <w:bottom w:val="single" w:sz="4" w:space="0" w:color="auto"/>
              <w:right w:val="single" w:sz="4" w:space="0" w:color="auto"/>
            </w:tcBorders>
            <w:shd w:val="clear" w:color="auto" w:fill="FFFFFF"/>
          </w:tcPr>
          <w:p w:rsidR="00B53BBB" w:rsidRPr="007451E4" w:rsidRDefault="00B53BBB" w:rsidP="000C238E">
            <w:pPr>
              <w:widowControl/>
              <w:adjustRightInd/>
              <w:spacing w:after="0" w:line="240" w:lineRule="auto"/>
              <w:rPr>
                <w:rFonts w:ascii="Times New Roman" w:hAnsi="Times New Roman" w:cs="Times New Roman"/>
                <w:i/>
                <w:sz w:val="20"/>
                <w:szCs w:val="20"/>
                <w:lang w:eastAsia="sk-SK"/>
              </w:rPr>
            </w:pPr>
            <w:r w:rsidRPr="007451E4">
              <w:rPr>
                <w:rFonts w:ascii="Times New Roman" w:hAnsi="Times New Roman" w:cs="Times New Roman"/>
                <w:i/>
                <w:sz w:val="20"/>
                <w:szCs w:val="20"/>
                <w:lang w:eastAsia="sk-SK"/>
              </w:rPr>
              <w:t>Uveďte subjekty, ktorých sa zmeny návrhu dotknú priamo aj nepriamo:</w:t>
            </w:r>
          </w:p>
          <w:p w:rsidR="00B53BBB" w:rsidRPr="007451E4" w:rsidRDefault="00B53BBB" w:rsidP="000C238E">
            <w:pPr>
              <w:widowControl/>
              <w:adjustRightInd/>
              <w:spacing w:after="0" w:line="240" w:lineRule="auto"/>
              <w:rPr>
                <w:rFonts w:ascii="Times New Roman" w:hAnsi="Times New Roman" w:cs="Times New Roman"/>
                <w:sz w:val="20"/>
                <w:szCs w:val="20"/>
                <w:lang w:eastAsia="sk-SK"/>
              </w:rPr>
            </w:pPr>
            <w:r w:rsidRPr="007451E4">
              <w:rPr>
                <w:rFonts w:ascii="Times New Roman" w:hAnsi="Times New Roman" w:cs="Times New Roman"/>
                <w:sz w:val="20"/>
                <w:szCs w:val="20"/>
                <w:lang w:eastAsia="sk-SK"/>
              </w:rPr>
              <w:t>Národný jadrový fond, prevádzkovatelia jadrových zariadení.</w:t>
            </w:r>
          </w:p>
          <w:p w:rsidR="00B53BBB" w:rsidRPr="007451E4" w:rsidRDefault="00B53BBB" w:rsidP="000C238E">
            <w:pPr>
              <w:widowControl/>
              <w:adjustRightInd/>
              <w:spacing w:after="0" w:line="240" w:lineRule="auto"/>
              <w:rPr>
                <w:rFonts w:ascii="Times New Roman" w:hAnsi="Times New Roman" w:cs="Times New Roman"/>
                <w:sz w:val="20"/>
                <w:szCs w:val="20"/>
                <w:lang w:eastAsia="sk-SK"/>
              </w:rPr>
            </w:pPr>
          </w:p>
        </w:tc>
      </w:tr>
      <w:tr w:rsidR="00B53BBB" w:rsidRPr="007451E4" w:rsidTr="000C238E">
        <w:tc>
          <w:tcPr>
            <w:tcW w:w="9180" w:type="dxa"/>
            <w:gridSpan w:val="10"/>
            <w:tcBorders>
              <w:top w:val="single" w:sz="4" w:space="0" w:color="auto"/>
              <w:left w:val="single" w:sz="4" w:space="0" w:color="auto"/>
              <w:bottom w:val="nil"/>
              <w:right w:val="single" w:sz="4" w:space="0" w:color="auto"/>
            </w:tcBorders>
            <w:shd w:val="clear" w:color="auto" w:fill="E2E2E2"/>
          </w:tcPr>
          <w:p w:rsidR="00B53BBB" w:rsidRPr="007451E4" w:rsidRDefault="00B53BBB" w:rsidP="00B53BBB">
            <w:pPr>
              <w:widowControl/>
              <w:numPr>
                <w:ilvl w:val="0"/>
                <w:numId w:val="3"/>
              </w:numPr>
              <w:adjustRightInd/>
              <w:spacing w:after="0" w:line="240" w:lineRule="auto"/>
              <w:ind w:left="426"/>
              <w:contextualSpacing/>
              <w:rPr>
                <w:rFonts w:ascii="Times New Roman" w:eastAsia="Calibri" w:hAnsi="Times New Roman" w:cs="Times New Roman"/>
                <w:b/>
                <w:sz w:val="24"/>
                <w:szCs w:val="24"/>
              </w:rPr>
            </w:pPr>
            <w:r w:rsidRPr="007451E4">
              <w:rPr>
                <w:rFonts w:ascii="Times New Roman" w:eastAsia="Calibri" w:hAnsi="Times New Roman" w:cs="Times New Roman"/>
                <w:b/>
              </w:rPr>
              <w:t>Alternatívne riešenia</w:t>
            </w:r>
          </w:p>
        </w:tc>
      </w:tr>
      <w:tr w:rsidR="00B53BBB" w:rsidRPr="007451E4" w:rsidTr="000C238E">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cPr>
          <w:p w:rsidR="00B53BBB" w:rsidRPr="007451E4" w:rsidRDefault="00B53BBB" w:rsidP="000C238E">
            <w:pPr>
              <w:widowControl/>
              <w:adjustRightInd/>
              <w:spacing w:after="0" w:line="240" w:lineRule="auto"/>
              <w:rPr>
                <w:rFonts w:ascii="Times New Roman" w:hAnsi="Times New Roman" w:cs="Times New Roman"/>
                <w:i/>
                <w:sz w:val="20"/>
                <w:szCs w:val="20"/>
                <w:lang w:eastAsia="sk-SK"/>
              </w:rPr>
            </w:pPr>
            <w:r w:rsidRPr="007451E4">
              <w:rPr>
                <w:rFonts w:ascii="Times New Roman" w:hAnsi="Times New Roman" w:cs="Times New Roman"/>
                <w:i/>
                <w:sz w:val="20"/>
                <w:szCs w:val="20"/>
                <w:lang w:eastAsia="sk-SK"/>
              </w:rPr>
              <w:t>Aké alternatívne riešenia boli posudzované?</w:t>
            </w:r>
          </w:p>
          <w:p w:rsidR="00B53BBB" w:rsidRPr="007451E4" w:rsidRDefault="00B53BBB" w:rsidP="000C238E">
            <w:pPr>
              <w:widowControl/>
              <w:adjustRightInd/>
              <w:spacing w:after="0" w:line="240" w:lineRule="auto"/>
              <w:rPr>
                <w:rFonts w:ascii="Times New Roman" w:hAnsi="Times New Roman" w:cs="Times New Roman"/>
                <w:i/>
                <w:sz w:val="20"/>
                <w:szCs w:val="20"/>
                <w:lang w:eastAsia="sk-SK"/>
              </w:rPr>
            </w:pPr>
            <w:r w:rsidRPr="007451E4">
              <w:rPr>
                <w:rFonts w:ascii="Times New Roman" w:hAnsi="Times New Roman" w:cs="Times New Roman"/>
                <w:i/>
                <w:sz w:val="20"/>
                <w:szCs w:val="20"/>
                <w:lang w:eastAsia="sk-SK"/>
              </w:rPr>
              <w:t>Uveďte, aké alternatívne spôsoby na odstránenie definovaného problému boli identifikované a posudzované.</w:t>
            </w:r>
          </w:p>
          <w:p w:rsidR="00B53BBB" w:rsidRPr="007451E4" w:rsidRDefault="00B53BBB" w:rsidP="000C238E">
            <w:pPr>
              <w:widowControl/>
              <w:adjustRightInd/>
              <w:spacing w:after="0" w:line="240" w:lineRule="auto"/>
              <w:jc w:val="both"/>
              <w:rPr>
                <w:rFonts w:ascii="Times New Roman" w:hAnsi="Times New Roman" w:cs="Times New Roman"/>
                <w:sz w:val="20"/>
                <w:szCs w:val="20"/>
                <w:lang w:eastAsia="sk-SK"/>
              </w:rPr>
            </w:pPr>
            <w:r w:rsidRPr="007451E4">
              <w:rPr>
                <w:rFonts w:ascii="Times New Roman" w:hAnsi="Times New Roman" w:cs="Times New Roman"/>
                <w:sz w:val="20"/>
                <w:szCs w:val="20"/>
                <w:u w:val="single"/>
                <w:lang w:eastAsia="sk-SK"/>
              </w:rPr>
              <w:t>Alternatíva 0:</w:t>
            </w:r>
            <w:r w:rsidRPr="007451E4">
              <w:rPr>
                <w:rFonts w:ascii="Times New Roman" w:hAnsi="Times New Roman" w:cs="Times New Roman"/>
                <w:sz w:val="20"/>
                <w:szCs w:val="20"/>
                <w:lang w:eastAsia="sk-SK"/>
              </w:rPr>
              <w:t xml:space="preserve"> v prípade zachovania súčasného nariadenia vlády</w:t>
            </w:r>
            <w:r>
              <w:rPr>
                <w:rFonts w:ascii="Times New Roman" w:hAnsi="Times New Roman" w:cs="Times New Roman"/>
                <w:sz w:val="20"/>
                <w:szCs w:val="20"/>
                <w:lang w:eastAsia="sk-SK"/>
              </w:rPr>
              <w:t xml:space="preserve"> SR</w:t>
            </w:r>
            <w:r w:rsidRPr="007451E4">
              <w:rPr>
                <w:rFonts w:ascii="Times New Roman" w:hAnsi="Times New Roman" w:cs="Times New Roman"/>
                <w:sz w:val="20"/>
                <w:szCs w:val="20"/>
                <w:lang w:eastAsia="sk-SK"/>
              </w:rPr>
              <w:t>, v zmysle ktorého je výška povinných príspevkov naviazaná na cenu elektrickej energie na trhu je veľká pravdepodobnosť, že Národný jadrový fond nebude disponovať s požadovaným množstvom finančných prostriedkov na pokrytie všetkých činností záverečnej časti jadrovej energetiky. Taktiež súčasný zákon neumožňuje zabezpečovanie finančných zdrojov formou povinných platieb do jadrového fondu za jadrové zariadenia iné ako na výrobu elektriny.</w:t>
            </w:r>
          </w:p>
          <w:p w:rsidR="00B53BBB" w:rsidRPr="007451E4" w:rsidRDefault="00B53BBB" w:rsidP="000C238E">
            <w:pPr>
              <w:widowControl/>
              <w:adjustRightInd/>
              <w:spacing w:after="0" w:line="240" w:lineRule="auto"/>
              <w:rPr>
                <w:rFonts w:ascii="Times New Roman" w:hAnsi="Times New Roman" w:cs="Times New Roman"/>
                <w:i/>
                <w:sz w:val="20"/>
                <w:szCs w:val="20"/>
                <w:lang w:eastAsia="sk-SK"/>
              </w:rPr>
            </w:pPr>
            <w:r w:rsidRPr="007451E4">
              <w:rPr>
                <w:rFonts w:ascii="Times New Roman" w:hAnsi="Times New Roman" w:cs="Times New Roman"/>
                <w:sz w:val="20"/>
                <w:szCs w:val="20"/>
                <w:u w:val="single"/>
                <w:lang w:eastAsia="sk-SK"/>
              </w:rPr>
              <w:t>Alternatíva 1:</w:t>
            </w:r>
            <w:r w:rsidRPr="007451E4">
              <w:rPr>
                <w:rFonts w:ascii="Times New Roman" w:hAnsi="Times New Roman" w:cs="Times New Roman"/>
                <w:sz w:val="20"/>
                <w:szCs w:val="20"/>
                <w:lang w:eastAsia="sk-SK"/>
              </w:rPr>
              <w:t xml:space="preserve"> zmena navrhovaná predkladateľom eliminuje závislosť povinných príspevkov na cene elektriny a zavádza povinné platby za jadrové zariadenia, ktoré nevyrábajú elektrinu. </w:t>
            </w:r>
          </w:p>
        </w:tc>
      </w:tr>
      <w:tr w:rsidR="00B53BBB" w:rsidRPr="007451E4" w:rsidTr="000C238E">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B53BBB" w:rsidRPr="007451E4" w:rsidRDefault="00B53BBB" w:rsidP="00B53BBB">
            <w:pPr>
              <w:widowControl/>
              <w:numPr>
                <w:ilvl w:val="0"/>
                <w:numId w:val="3"/>
              </w:numPr>
              <w:adjustRightInd/>
              <w:spacing w:after="0" w:line="240" w:lineRule="auto"/>
              <w:ind w:left="426"/>
              <w:contextualSpacing/>
              <w:rPr>
                <w:rFonts w:ascii="Times New Roman" w:eastAsia="Calibri" w:hAnsi="Times New Roman" w:cs="Times New Roman"/>
                <w:b/>
                <w:sz w:val="24"/>
                <w:szCs w:val="24"/>
              </w:rPr>
            </w:pPr>
            <w:r w:rsidRPr="007451E4">
              <w:rPr>
                <w:rFonts w:ascii="Times New Roman" w:eastAsia="Calibri" w:hAnsi="Times New Roman" w:cs="Times New Roman"/>
                <w:b/>
              </w:rPr>
              <w:t>Vykonávacie predpisy</w:t>
            </w:r>
          </w:p>
        </w:tc>
      </w:tr>
      <w:tr w:rsidR="00B53BBB" w:rsidRPr="007451E4" w:rsidTr="000C238E">
        <w:tc>
          <w:tcPr>
            <w:tcW w:w="6203" w:type="dxa"/>
            <w:gridSpan w:val="6"/>
            <w:tcBorders>
              <w:top w:val="single" w:sz="4" w:space="0" w:color="FFFFFF"/>
              <w:left w:val="single" w:sz="4" w:space="0" w:color="auto"/>
              <w:bottom w:val="nil"/>
              <w:right w:val="nil"/>
            </w:tcBorders>
            <w:shd w:val="clear" w:color="auto" w:fill="FFFFFF"/>
          </w:tcPr>
          <w:p w:rsidR="00B53BBB" w:rsidRPr="007451E4" w:rsidRDefault="00B53BBB" w:rsidP="000C238E">
            <w:pPr>
              <w:widowControl/>
              <w:adjustRightInd/>
              <w:spacing w:after="0" w:line="240" w:lineRule="auto"/>
              <w:rPr>
                <w:rFonts w:ascii="Times New Roman" w:hAnsi="Times New Roman" w:cs="Times New Roman"/>
                <w:i/>
                <w:sz w:val="20"/>
                <w:szCs w:val="20"/>
                <w:lang w:eastAsia="sk-SK"/>
              </w:rPr>
            </w:pPr>
            <w:r w:rsidRPr="007451E4">
              <w:rPr>
                <w:rFonts w:ascii="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B53BBB" w:rsidRPr="007451E4" w:rsidRDefault="00B53BBB" w:rsidP="000C238E">
            <w:pPr>
              <w:widowControl/>
              <w:adjustRightInd/>
              <w:spacing w:after="0" w:line="240" w:lineRule="auto"/>
              <w:jc w:val="center"/>
              <w:rPr>
                <w:rFonts w:ascii="Times New Roman" w:hAnsi="Times New Roman" w:cs="Times New Roman"/>
                <w:sz w:val="20"/>
                <w:szCs w:val="20"/>
                <w:lang w:eastAsia="sk-SK"/>
              </w:rPr>
            </w:pPr>
            <w:r w:rsidRPr="007451E4">
              <w:rPr>
                <w:rFonts w:ascii="MS Mincho" w:eastAsia="MS Mincho" w:hAnsi="MS Mincho" w:cs="MS Mincho" w:hint="eastAsia"/>
                <w:sz w:val="24"/>
                <w:szCs w:val="24"/>
                <w:lang w:eastAsia="sk-SK"/>
              </w:rPr>
              <w:t>☒</w:t>
            </w:r>
            <w:r w:rsidRPr="007451E4">
              <w:rPr>
                <w:rFonts w:ascii="Times New Roman" w:hAnsi="Times New Roman" w:cs="Times New Roman"/>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B53BBB" w:rsidRPr="007451E4" w:rsidRDefault="00B53BBB" w:rsidP="000C238E">
            <w:pPr>
              <w:widowControl/>
              <w:adjustRightInd/>
              <w:spacing w:after="0" w:line="240" w:lineRule="auto"/>
              <w:jc w:val="center"/>
              <w:rPr>
                <w:rFonts w:ascii="Times New Roman" w:hAnsi="Times New Roman" w:cs="Times New Roman"/>
                <w:sz w:val="20"/>
                <w:szCs w:val="20"/>
                <w:lang w:eastAsia="sk-SK"/>
              </w:rPr>
            </w:pPr>
            <w:r w:rsidRPr="007451E4">
              <w:rPr>
                <w:rFonts w:ascii="MS Gothic" w:eastAsia="MS Gothic" w:hAnsi="MS Gothic" w:cs="Times New Roman" w:hint="eastAsia"/>
                <w:sz w:val="20"/>
                <w:szCs w:val="20"/>
                <w:lang w:eastAsia="sk-SK"/>
              </w:rPr>
              <w:t>☐</w:t>
            </w:r>
            <w:r w:rsidRPr="007451E4">
              <w:rPr>
                <w:rFonts w:ascii="Times New Roman" w:hAnsi="Times New Roman" w:cs="Times New Roman"/>
                <w:sz w:val="20"/>
                <w:szCs w:val="20"/>
                <w:lang w:eastAsia="sk-SK"/>
              </w:rPr>
              <w:t xml:space="preserve">  Nie</w:t>
            </w:r>
          </w:p>
        </w:tc>
      </w:tr>
      <w:tr w:rsidR="00B53BBB" w:rsidRPr="007451E4" w:rsidTr="000C238E">
        <w:tc>
          <w:tcPr>
            <w:tcW w:w="9180" w:type="dxa"/>
            <w:gridSpan w:val="10"/>
            <w:tcBorders>
              <w:top w:val="nil"/>
              <w:left w:val="single" w:sz="4" w:space="0" w:color="auto"/>
              <w:bottom w:val="single" w:sz="4" w:space="0" w:color="auto"/>
              <w:right w:val="single" w:sz="4" w:space="0" w:color="auto"/>
            </w:tcBorders>
            <w:shd w:val="clear" w:color="auto" w:fill="FFFFFF"/>
          </w:tcPr>
          <w:p w:rsidR="00B53BBB" w:rsidRPr="007451E4" w:rsidRDefault="00B53BBB" w:rsidP="000C238E">
            <w:pPr>
              <w:widowControl/>
              <w:adjustRightInd/>
              <w:spacing w:after="0" w:line="240" w:lineRule="auto"/>
              <w:rPr>
                <w:rFonts w:ascii="Times New Roman" w:hAnsi="Times New Roman" w:cs="Times New Roman"/>
                <w:i/>
                <w:sz w:val="20"/>
                <w:szCs w:val="20"/>
                <w:lang w:eastAsia="sk-SK"/>
              </w:rPr>
            </w:pPr>
            <w:r w:rsidRPr="007451E4">
              <w:rPr>
                <w:rFonts w:ascii="Times New Roman" w:hAnsi="Times New Roman" w:cs="Times New Roman"/>
                <w:i/>
                <w:sz w:val="20"/>
                <w:szCs w:val="20"/>
                <w:lang w:eastAsia="sk-SK"/>
              </w:rPr>
              <w:t>Ak áno, uveďte ktoré oblasti budú nimi upravené, resp. ktorých vykonávacích predpisov sa zmena dotkne:</w:t>
            </w:r>
          </w:p>
          <w:p w:rsidR="00B53BBB" w:rsidRPr="007451E4" w:rsidRDefault="00B53BBB" w:rsidP="000C238E">
            <w:pPr>
              <w:widowControl/>
              <w:adjustRightInd/>
              <w:spacing w:after="0" w:line="240" w:lineRule="auto"/>
              <w:jc w:val="both"/>
              <w:rPr>
                <w:rFonts w:ascii="Times New Roman" w:hAnsi="Times New Roman" w:cs="Times New Roman"/>
                <w:sz w:val="20"/>
                <w:szCs w:val="20"/>
                <w:lang w:eastAsia="sk-SK"/>
              </w:rPr>
            </w:pPr>
            <w:r w:rsidRPr="007451E4">
              <w:rPr>
                <w:rFonts w:ascii="Times New Roman" w:hAnsi="Times New Roman" w:cs="Times New Roman"/>
                <w:sz w:val="20"/>
                <w:szCs w:val="20"/>
                <w:lang w:eastAsia="sk-SK"/>
              </w:rPr>
              <w:lastRenderedPageBreak/>
              <w:t>Pre podrobnosti o štruktúre a rozsahu oprávnených nákladov, pravidlá tvorby a aktualizácie cien vlastných výkonov prijímateľa finančných prostriedkov jadrového fondu a o štruktúre a rozsahu cenovej kalkulácie vlastných výkonov bude prijatá nová vyhláška.</w:t>
            </w:r>
          </w:p>
        </w:tc>
      </w:tr>
      <w:tr w:rsidR="00B53BBB" w:rsidRPr="007451E4" w:rsidTr="000C238E">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B53BBB" w:rsidRPr="007451E4" w:rsidRDefault="00B53BBB" w:rsidP="00B53BBB">
            <w:pPr>
              <w:widowControl/>
              <w:numPr>
                <w:ilvl w:val="0"/>
                <w:numId w:val="3"/>
              </w:numPr>
              <w:adjustRightInd/>
              <w:spacing w:after="0" w:line="240" w:lineRule="auto"/>
              <w:ind w:left="426"/>
              <w:contextualSpacing/>
              <w:rPr>
                <w:rFonts w:ascii="Times New Roman" w:eastAsia="Calibri" w:hAnsi="Times New Roman" w:cs="Times New Roman"/>
                <w:b/>
                <w:sz w:val="24"/>
                <w:szCs w:val="24"/>
              </w:rPr>
            </w:pPr>
            <w:r w:rsidRPr="007451E4">
              <w:rPr>
                <w:rFonts w:ascii="Times New Roman" w:eastAsia="Calibri" w:hAnsi="Times New Roman" w:cs="Times New Roman"/>
                <w:b/>
              </w:rPr>
              <w:lastRenderedPageBreak/>
              <w:t xml:space="preserve">Transpozícia práva EÚ </w:t>
            </w:r>
          </w:p>
        </w:tc>
      </w:tr>
      <w:tr w:rsidR="00B53BBB" w:rsidRPr="007451E4" w:rsidTr="000C238E">
        <w:trPr>
          <w:trHeight w:val="157"/>
        </w:trPr>
        <w:tc>
          <w:tcPr>
            <w:tcW w:w="9180" w:type="dxa"/>
            <w:gridSpan w:val="10"/>
            <w:tcBorders>
              <w:top w:val="nil"/>
              <w:left w:val="single" w:sz="4" w:space="0" w:color="000000"/>
              <w:bottom w:val="nil"/>
              <w:right w:val="single" w:sz="4" w:space="0" w:color="auto"/>
            </w:tcBorders>
            <w:shd w:val="clear" w:color="auto" w:fill="FFFFFF"/>
          </w:tcPr>
          <w:p w:rsidR="00B53BBB" w:rsidRPr="007451E4" w:rsidRDefault="00B53BBB" w:rsidP="000C238E">
            <w:pPr>
              <w:widowControl/>
              <w:adjustRightInd/>
              <w:spacing w:after="0" w:line="240" w:lineRule="auto"/>
              <w:rPr>
                <w:rFonts w:ascii="Times New Roman" w:hAnsi="Times New Roman" w:cs="Times New Roman"/>
                <w:i/>
                <w:sz w:val="20"/>
                <w:szCs w:val="20"/>
                <w:lang w:eastAsia="sk-SK"/>
              </w:rPr>
            </w:pPr>
            <w:r w:rsidRPr="007451E4">
              <w:rPr>
                <w:rFonts w:ascii="Times New Roman" w:hAnsi="Times New Roman" w:cs="Times New Roman"/>
                <w:i/>
                <w:sz w:val="20"/>
                <w:szCs w:val="20"/>
                <w:lang w:eastAsia="sk-SK"/>
              </w:rPr>
              <w:t>Uveďte, v ktorých ustanoveniach ide národná právna úprava nad rámec minimálnych požiadaviek EÚ spolu s odôvodnením.</w:t>
            </w:r>
          </w:p>
        </w:tc>
      </w:tr>
      <w:tr w:rsidR="00B53BBB" w:rsidRPr="007451E4" w:rsidTr="000C238E">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cPr>
          <w:p w:rsidR="00B53BBB" w:rsidRPr="007451E4" w:rsidRDefault="00B53BBB" w:rsidP="000C238E">
            <w:pPr>
              <w:widowControl/>
              <w:adjustRightInd/>
              <w:spacing w:after="0" w:line="240" w:lineRule="auto"/>
              <w:rPr>
                <w:rFonts w:ascii="Times New Roman" w:hAnsi="Times New Roman" w:cs="Times New Roman"/>
                <w:sz w:val="20"/>
                <w:szCs w:val="20"/>
                <w:lang w:eastAsia="sk-SK"/>
              </w:rPr>
            </w:pPr>
          </w:p>
        </w:tc>
      </w:tr>
      <w:tr w:rsidR="00B53BBB" w:rsidRPr="007451E4" w:rsidTr="000C238E">
        <w:tc>
          <w:tcPr>
            <w:tcW w:w="9180" w:type="dxa"/>
            <w:gridSpan w:val="10"/>
            <w:tcBorders>
              <w:top w:val="single" w:sz="4" w:space="0" w:color="auto"/>
              <w:left w:val="single" w:sz="4" w:space="0" w:color="auto"/>
              <w:bottom w:val="single" w:sz="4" w:space="0" w:color="FFFFFF"/>
              <w:right w:val="single" w:sz="4" w:space="0" w:color="auto"/>
            </w:tcBorders>
            <w:shd w:val="clear" w:color="auto" w:fill="E2E2E2"/>
          </w:tcPr>
          <w:p w:rsidR="00B53BBB" w:rsidRPr="007451E4" w:rsidRDefault="00B53BBB" w:rsidP="00B53BBB">
            <w:pPr>
              <w:widowControl/>
              <w:numPr>
                <w:ilvl w:val="0"/>
                <w:numId w:val="3"/>
              </w:numPr>
              <w:adjustRightInd/>
              <w:spacing w:after="0" w:line="240" w:lineRule="auto"/>
              <w:ind w:left="426"/>
              <w:contextualSpacing/>
              <w:rPr>
                <w:rFonts w:ascii="Times New Roman" w:eastAsia="Calibri" w:hAnsi="Times New Roman" w:cs="Times New Roman"/>
                <w:b/>
                <w:sz w:val="24"/>
                <w:szCs w:val="24"/>
              </w:rPr>
            </w:pPr>
            <w:r w:rsidRPr="007451E4">
              <w:rPr>
                <w:rFonts w:ascii="Times New Roman" w:eastAsia="Calibri" w:hAnsi="Times New Roman" w:cs="Times New Roman"/>
                <w:b/>
              </w:rPr>
              <w:t>Preskúmanie účelnosti**</w:t>
            </w:r>
          </w:p>
        </w:tc>
      </w:tr>
      <w:tr w:rsidR="00B53BBB" w:rsidRPr="007451E4" w:rsidTr="000C238E">
        <w:tc>
          <w:tcPr>
            <w:tcW w:w="9180" w:type="dxa"/>
            <w:gridSpan w:val="10"/>
            <w:tcBorders>
              <w:top w:val="single" w:sz="4" w:space="0" w:color="FFFFFF"/>
              <w:left w:val="single" w:sz="4" w:space="0" w:color="auto"/>
              <w:bottom w:val="single" w:sz="4" w:space="0" w:color="auto"/>
              <w:right w:val="single" w:sz="4" w:space="0" w:color="auto"/>
            </w:tcBorders>
            <w:shd w:val="clear" w:color="auto" w:fill="FFFFFF"/>
          </w:tcPr>
          <w:p w:rsidR="00B53BBB" w:rsidRPr="007451E4" w:rsidRDefault="00B53BBB" w:rsidP="000C238E">
            <w:pPr>
              <w:widowControl/>
              <w:adjustRightInd/>
              <w:spacing w:after="0" w:line="240" w:lineRule="auto"/>
              <w:rPr>
                <w:rFonts w:ascii="Times New Roman" w:hAnsi="Times New Roman" w:cs="Times New Roman"/>
                <w:i/>
                <w:sz w:val="20"/>
                <w:szCs w:val="20"/>
                <w:lang w:eastAsia="sk-SK"/>
              </w:rPr>
            </w:pPr>
            <w:r w:rsidRPr="007451E4">
              <w:rPr>
                <w:rFonts w:ascii="Times New Roman" w:hAnsi="Times New Roman" w:cs="Times New Roman"/>
                <w:i/>
                <w:sz w:val="20"/>
                <w:szCs w:val="20"/>
                <w:lang w:eastAsia="sk-SK"/>
              </w:rPr>
              <w:t>Uveďte termín, kedy by malo dôjsť k preskúmaniu účinnosti a účelnosti navrhovaného predpisu.</w:t>
            </w:r>
          </w:p>
          <w:p w:rsidR="00B53BBB" w:rsidRPr="007451E4" w:rsidRDefault="00B53BBB" w:rsidP="000C238E">
            <w:pPr>
              <w:widowControl/>
              <w:adjustRightInd/>
              <w:spacing w:after="0" w:line="240" w:lineRule="auto"/>
              <w:rPr>
                <w:rFonts w:ascii="Times New Roman" w:hAnsi="Times New Roman" w:cs="Times New Roman"/>
                <w:i/>
                <w:sz w:val="20"/>
                <w:szCs w:val="20"/>
                <w:lang w:eastAsia="sk-SK"/>
              </w:rPr>
            </w:pPr>
            <w:r w:rsidRPr="007451E4">
              <w:rPr>
                <w:rFonts w:ascii="Times New Roman" w:hAnsi="Times New Roman" w:cs="Times New Roman"/>
                <w:i/>
                <w:sz w:val="20"/>
                <w:szCs w:val="20"/>
                <w:lang w:eastAsia="sk-SK"/>
              </w:rPr>
              <w:t>Uveďte kritériá, na základe ktorých bude preskúmanie vykonané.</w:t>
            </w:r>
          </w:p>
        </w:tc>
      </w:tr>
      <w:tr w:rsidR="00B53BBB" w:rsidRPr="007451E4" w:rsidTr="000C238E">
        <w:trPr>
          <w:trHeight w:val="715"/>
        </w:trPr>
        <w:tc>
          <w:tcPr>
            <w:tcW w:w="9180" w:type="dxa"/>
            <w:gridSpan w:val="10"/>
            <w:tcBorders>
              <w:top w:val="single" w:sz="4" w:space="0" w:color="auto"/>
              <w:left w:val="nil"/>
              <w:bottom w:val="nil"/>
              <w:right w:val="nil"/>
            </w:tcBorders>
            <w:shd w:val="clear" w:color="auto" w:fill="FFFFFF"/>
          </w:tcPr>
          <w:p w:rsidR="00B53BBB" w:rsidRPr="007451E4" w:rsidRDefault="00B53BBB" w:rsidP="000C238E">
            <w:pPr>
              <w:widowControl/>
              <w:adjustRightInd/>
              <w:spacing w:after="0" w:line="240" w:lineRule="auto"/>
              <w:ind w:left="142" w:hanging="142"/>
              <w:rPr>
                <w:rFonts w:ascii="Times New Roman" w:hAnsi="Times New Roman" w:cs="Times New Roman"/>
                <w:sz w:val="20"/>
                <w:szCs w:val="20"/>
                <w:lang w:eastAsia="sk-SK"/>
              </w:rPr>
            </w:pPr>
            <w:r w:rsidRPr="007451E4">
              <w:rPr>
                <w:rFonts w:ascii="Times New Roman" w:hAnsi="Times New Roman" w:cs="Times New Roman"/>
                <w:sz w:val="20"/>
                <w:szCs w:val="20"/>
                <w:lang w:eastAsia="sk-SK"/>
              </w:rPr>
              <w:t>* vyplniť iba v prípade, ak materiál nie je zahrnutý do Plánu práce vlády Slovenskej republiky alebo Plánu legislatívnych úloh vlády Slovenskej republiky.</w:t>
            </w:r>
          </w:p>
          <w:p w:rsidR="00B53BBB" w:rsidRPr="007451E4" w:rsidRDefault="00B53BBB" w:rsidP="000C238E">
            <w:pPr>
              <w:widowControl/>
              <w:adjustRightInd/>
              <w:spacing w:after="0" w:line="240" w:lineRule="auto"/>
              <w:rPr>
                <w:rFonts w:ascii="Times New Roman" w:hAnsi="Times New Roman" w:cs="Times New Roman"/>
                <w:sz w:val="20"/>
                <w:szCs w:val="20"/>
                <w:lang w:eastAsia="sk-SK"/>
              </w:rPr>
            </w:pPr>
            <w:r w:rsidRPr="007451E4">
              <w:rPr>
                <w:rFonts w:ascii="Times New Roman" w:hAnsi="Times New Roman" w:cs="Times New Roman"/>
                <w:sz w:val="20"/>
                <w:szCs w:val="20"/>
                <w:lang w:eastAsia="sk-SK"/>
              </w:rPr>
              <w:t>** nepovinné</w:t>
            </w:r>
          </w:p>
        </w:tc>
      </w:tr>
      <w:tr w:rsidR="00B53BBB" w:rsidRPr="007451E4" w:rsidTr="000C238E">
        <w:tc>
          <w:tcPr>
            <w:tcW w:w="9180" w:type="dxa"/>
            <w:gridSpan w:val="10"/>
            <w:tcBorders>
              <w:top w:val="nil"/>
              <w:left w:val="nil"/>
              <w:bottom w:val="single" w:sz="4" w:space="0" w:color="auto"/>
              <w:right w:val="nil"/>
            </w:tcBorders>
            <w:shd w:val="clear" w:color="auto" w:fill="FFFFFF"/>
          </w:tcPr>
          <w:p w:rsidR="00B53BBB" w:rsidRPr="007451E4" w:rsidRDefault="00B53BBB" w:rsidP="000C238E">
            <w:pPr>
              <w:widowControl/>
              <w:adjustRightInd/>
              <w:spacing w:after="0" w:line="240" w:lineRule="auto"/>
              <w:rPr>
                <w:rFonts w:ascii="Times New Roman" w:hAnsi="Times New Roman" w:cs="Times New Roman"/>
                <w:b/>
                <w:sz w:val="20"/>
                <w:szCs w:val="20"/>
                <w:lang w:eastAsia="sk-SK"/>
              </w:rPr>
            </w:pPr>
          </w:p>
        </w:tc>
      </w:tr>
      <w:tr w:rsidR="00B53BBB" w:rsidRPr="007451E4" w:rsidTr="000C238E">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vAlign w:val="center"/>
          </w:tcPr>
          <w:p w:rsidR="00B53BBB" w:rsidRPr="007451E4" w:rsidRDefault="00B53BBB" w:rsidP="00B53BBB">
            <w:pPr>
              <w:widowControl/>
              <w:numPr>
                <w:ilvl w:val="0"/>
                <w:numId w:val="3"/>
              </w:numPr>
              <w:adjustRightInd/>
              <w:spacing w:after="0" w:line="240" w:lineRule="auto"/>
              <w:ind w:left="426"/>
              <w:contextualSpacing/>
              <w:rPr>
                <w:rFonts w:ascii="Times New Roman" w:eastAsia="Calibri" w:hAnsi="Times New Roman" w:cs="Times New Roman"/>
                <w:b/>
                <w:sz w:val="24"/>
                <w:szCs w:val="24"/>
              </w:rPr>
            </w:pPr>
            <w:r w:rsidRPr="007451E4">
              <w:rPr>
                <w:rFonts w:ascii="Times New Roman" w:eastAsia="Calibri" w:hAnsi="Times New Roman" w:cs="Times New Roman"/>
                <w:b/>
              </w:rPr>
              <w:t>Vplyvy navrhovaného materiálu</w:t>
            </w:r>
          </w:p>
        </w:tc>
      </w:tr>
      <w:tr w:rsidR="00B53BBB" w:rsidRPr="007451E4" w:rsidTr="000C238E">
        <w:tc>
          <w:tcPr>
            <w:tcW w:w="3812" w:type="dxa"/>
            <w:tcBorders>
              <w:top w:val="single" w:sz="4" w:space="0" w:color="auto"/>
              <w:left w:val="single" w:sz="4" w:space="0" w:color="auto"/>
              <w:bottom w:val="nil"/>
              <w:right w:val="single" w:sz="4" w:space="0" w:color="auto"/>
            </w:tcBorders>
            <w:shd w:val="clear" w:color="auto" w:fill="E2E2E2"/>
          </w:tcPr>
          <w:p w:rsidR="00B53BBB" w:rsidRPr="007451E4" w:rsidRDefault="00B53BBB" w:rsidP="000C238E">
            <w:pPr>
              <w:widowControl/>
              <w:adjustRightInd/>
              <w:spacing w:after="0" w:line="240" w:lineRule="auto"/>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Vplyvy na rozpočet verejnej správy</w:t>
            </w:r>
          </w:p>
        </w:tc>
        <w:tc>
          <w:tcPr>
            <w:tcW w:w="541" w:type="dxa"/>
            <w:gridSpan w:val="2"/>
            <w:tcBorders>
              <w:top w:val="single" w:sz="4" w:space="0" w:color="auto"/>
              <w:left w:val="single" w:sz="4" w:space="0" w:color="auto"/>
              <w:bottom w:val="single" w:sz="4" w:space="0" w:color="auto"/>
              <w:right w:val="nil"/>
            </w:tcBorders>
            <w:shd w:val="clear" w:color="auto" w:fill="auto"/>
            <w:vAlign w:val="center"/>
          </w:tcPr>
          <w:p w:rsidR="00B53BBB" w:rsidRPr="007451E4" w:rsidRDefault="00B53BBB" w:rsidP="000C238E">
            <w:pPr>
              <w:widowControl/>
              <w:adjustRightInd/>
              <w:spacing w:after="0" w:line="240" w:lineRule="auto"/>
              <w:jc w:val="center"/>
              <w:rPr>
                <w:rFonts w:ascii="Times New Roman" w:hAnsi="Times New Roman" w:cs="Times New Roman"/>
                <w:b/>
                <w:sz w:val="20"/>
                <w:szCs w:val="20"/>
                <w:lang w:eastAsia="sk-SK"/>
              </w:rPr>
            </w:pPr>
            <w:r w:rsidRPr="007451E4">
              <w:rPr>
                <w:rFonts w:ascii="MS Mincho" w:eastAsia="MS Mincho" w:hAnsi="MS Mincho" w:cs="MS Mincho" w:hint="eastAsia"/>
                <w:b/>
                <w:sz w:val="24"/>
                <w:szCs w:val="24"/>
                <w:lang w:eastAsia="sk-SK"/>
              </w:rPr>
              <w:t>☒</w:t>
            </w:r>
          </w:p>
        </w:tc>
        <w:tc>
          <w:tcPr>
            <w:tcW w:w="1281" w:type="dxa"/>
            <w:gridSpan w:val="2"/>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Pozitívne</w:t>
            </w:r>
          </w:p>
        </w:tc>
        <w:tc>
          <w:tcPr>
            <w:tcW w:w="569" w:type="dxa"/>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jc w:val="center"/>
              <w:rPr>
                <w:rFonts w:ascii="Times New Roman" w:hAnsi="Times New Roman" w:cs="Times New Roman"/>
                <w:b/>
                <w:sz w:val="20"/>
                <w:szCs w:val="20"/>
                <w:lang w:eastAsia="sk-SK"/>
              </w:rPr>
            </w:pPr>
            <w:r w:rsidRPr="007451E4">
              <w:rPr>
                <w:rFonts w:ascii="MS Mincho" w:eastAsia="MS Mincho" w:hAnsi="MS Mincho" w:cs="MS Mincho"/>
                <w:b/>
                <w:sz w:val="20"/>
                <w:szCs w:val="20"/>
                <w:lang w:eastAsia="sk-SK"/>
              </w:rPr>
              <w:t>☐</w:t>
            </w:r>
          </w:p>
        </w:tc>
        <w:tc>
          <w:tcPr>
            <w:tcW w:w="1133" w:type="dxa"/>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Žiadne</w:t>
            </w:r>
          </w:p>
        </w:tc>
        <w:tc>
          <w:tcPr>
            <w:tcW w:w="547" w:type="dxa"/>
            <w:gridSpan w:val="2"/>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ind w:left="-107" w:right="-108"/>
              <w:jc w:val="center"/>
              <w:rPr>
                <w:rFonts w:ascii="Times New Roman" w:hAnsi="Times New Roman" w:cs="Times New Roman"/>
                <w:b/>
                <w:sz w:val="20"/>
                <w:szCs w:val="20"/>
                <w:lang w:eastAsia="sk-SK"/>
              </w:rPr>
            </w:pPr>
            <w:r w:rsidRPr="007451E4">
              <w:rPr>
                <w:rFonts w:ascii="MS Mincho" w:eastAsia="MS Mincho" w:hAnsi="MS Mincho" w:cs="MS Mincho" w:hint="eastAsia"/>
                <w:b/>
                <w:sz w:val="24"/>
                <w:szCs w:val="24"/>
                <w:lang w:eastAsia="sk-SK"/>
              </w:rPr>
              <w:t>☒</w:t>
            </w:r>
          </w:p>
        </w:tc>
        <w:tc>
          <w:tcPr>
            <w:tcW w:w="1297" w:type="dxa"/>
            <w:tcBorders>
              <w:top w:val="single" w:sz="4" w:space="0" w:color="auto"/>
              <w:left w:val="nil"/>
              <w:bottom w:val="single" w:sz="4" w:space="0" w:color="auto"/>
              <w:right w:val="single" w:sz="4" w:space="0" w:color="auto"/>
            </w:tcBorders>
            <w:shd w:val="clear" w:color="auto" w:fill="auto"/>
            <w:vAlign w:val="center"/>
          </w:tcPr>
          <w:p w:rsidR="00B53BBB" w:rsidRPr="007451E4" w:rsidRDefault="00B53BBB" w:rsidP="000C238E">
            <w:pPr>
              <w:widowControl/>
              <w:adjustRightInd/>
              <w:spacing w:after="0" w:line="240" w:lineRule="auto"/>
              <w:ind w:left="34"/>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Negatívne</w:t>
            </w:r>
          </w:p>
        </w:tc>
      </w:tr>
      <w:tr w:rsidR="00B53BBB" w:rsidRPr="007451E4" w:rsidTr="000C238E">
        <w:tc>
          <w:tcPr>
            <w:tcW w:w="3812" w:type="dxa"/>
            <w:tcBorders>
              <w:top w:val="nil"/>
              <w:left w:val="single" w:sz="4" w:space="0" w:color="auto"/>
              <w:bottom w:val="single" w:sz="4" w:space="0" w:color="000000"/>
              <w:right w:val="single" w:sz="4" w:space="0" w:color="auto"/>
            </w:tcBorders>
            <w:shd w:val="clear" w:color="auto" w:fill="E2E2E2"/>
          </w:tcPr>
          <w:p w:rsidR="00B53BBB" w:rsidRPr="007451E4" w:rsidRDefault="00B53BBB" w:rsidP="000C238E">
            <w:pPr>
              <w:widowControl/>
              <w:adjustRightInd/>
              <w:spacing w:after="0" w:line="240" w:lineRule="auto"/>
              <w:rPr>
                <w:rFonts w:ascii="Times New Roman" w:hAnsi="Times New Roman" w:cs="Times New Roman"/>
                <w:sz w:val="20"/>
                <w:szCs w:val="20"/>
                <w:lang w:eastAsia="sk-SK"/>
              </w:rPr>
            </w:pPr>
            <w:r w:rsidRPr="007451E4">
              <w:rPr>
                <w:rFonts w:ascii="Times New Roman" w:hAnsi="Times New Roman" w:cs="Times New Roman"/>
                <w:sz w:val="20"/>
                <w:szCs w:val="20"/>
                <w:lang w:eastAsia="sk-SK"/>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shd w:val="clear" w:color="auto" w:fill="auto"/>
            <w:vAlign w:val="center"/>
          </w:tcPr>
          <w:p w:rsidR="00B53BBB" w:rsidRPr="007451E4" w:rsidRDefault="00B53BBB" w:rsidP="000C238E">
            <w:pPr>
              <w:widowControl/>
              <w:adjustRightInd/>
              <w:spacing w:after="0" w:line="240" w:lineRule="auto"/>
              <w:jc w:val="center"/>
              <w:rPr>
                <w:rFonts w:ascii="Times New Roman" w:hAnsi="Times New Roman" w:cs="Times New Roman"/>
                <w:sz w:val="20"/>
                <w:szCs w:val="20"/>
                <w:lang w:eastAsia="sk-SK"/>
              </w:rPr>
            </w:pPr>
            <w:r w:rsidRPr="007451E4">
              <w:rPr>
                <w:rFonts w:ascii="MS Mincho" w:eastAsia="MS Mincho" w:hAnsi="MS Mincho" w:cs="MS Mincho"/>
                <w:sz w:val="24"/>
                <w:szCs w:val="24"/>
                <w:lang w:eastAsia="sk-SK"/>
              </w:rPr>
              <w:t>☒</w:t>
            </w:r>
          </w:p>
        </w:tc>
        <w:tc>
          <w:tcPr>
            <w:tcW w:w="1281" w:type="dxa"/>
            <w:gridSpan w:val="2"/>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rPr>
                <w:rFonts w:ascii="Times New Roman" w:hAnsi="Times New Roman" w:cs="Times New Roman"/>
                <w:sz w:val="20"/>
                <w:szCs w:val="20"/>
                <w:lang w:eastAsia="sk-SK"/>
              </w:rPr>
            </w:pPr>
            <w:r w:rsidRPr="007451E4">
              <w:rPr>
                <w:rFonts w:ascii="Times New Roman" w:hAnsi="Times New Roman" w:cs="Times New Roman"/>
                <w:sz w:val="20"/>
                <w:szCs w:val="20"/>
                <w:lang w:eastAsia="sk-SK"/>
              </w:rPr>
              <w:t>Áno</w:t>
            </w:r>
          </w:p>
        </w:tc>
        <w:tc>
          <w:tcPr>
            <w:tcW w:w="569" w:type="dxa"/>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jc w:val="center"/>
              <w:rPr>
                <w:rFonts w:ascii="Times New Roman" w:hAnsi="Times New Roman" w:cs="Times New Roman"/>
                <w:sz w:val="20"/>
                <w:szCs w:val="20"/>
                <w:lang w:eastAsia="sk-SK"/>
              </w:rPr>
            </w:pPr>
            <w:r w:rsidRPr="007451E4">
              <w:rPr>
                <w:rFonts w:ascii="MS Mincho" w:eastAsia="MS Mincho" w:hAnsi="MS Mincho" w:cs="MS Mincho"/>
                <w:sz w:val="20"/>
                <w:szCs w:val="20"/>
                <w:lang w:eastAsia="sk-SK"/>
              </w:rPr>
              <w:t>☐</w:t>
            </w:r>
          </w:p>
        </w:tc>
        <w:tc>
          <w:tcPr>
            <w:tcW w:w="1133" w:type="dxa"/>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rPr>
                <w:rFonts w:ascii="Times New Roman" w:hAnsi="Times New Roman" w:cs="Times New Roman"/>
                <w:sz w:val="20"/>
                <w:szCs w:val="20"/>
                <w:lang w:eastAsia="sk-SK"/>
              </w:rPr>
            </w:pPr>
            <w:r w:rsidRPr="007451E4">
              <w:rPr>
                <w:rFonts w:ascii="Times New Roman" w:hAnsi="Times New Roman" w:cs="Times New Roman"/>
                <w:sz w:val="20"/>
                <w:szCs w:val="20"/>
                <w:lang w:eastAsia="sk-SK"/>
              </w:rPr>
              <w:t>Nie</w:t>
            </w:r>
          </w:p>
        </w:tc>
        <w:tc>
          <w:tcPr>
            <w:tcW w:w="547" w:type="dxa"/>
            <w:gridSpan w:val="2"/>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ind w:left="-107" w:right="-108"/>
              <w:jc w:val="center"/>
              <w:rPr>
                <w:rFonts w:ascii="Times New Roman" w:hAnsi="Times New Roman" w:cs="Times New Roman"/>
                <w:sz w:val="20"/>
                <w:szCs w:val="20"/>
                <w:lang w:eastAsia="sk-SK"/>
              </w:rPr>
            </w:pPr>
            <w:r w:rsidRPr="007451E4">
              <w:rPr>
                <w:rFonts w:ascii="MS Mincho" w:eastAsia="MS Mincho" w:hAnsi="MS Mincho" w:cs="MS Mincho"/>
                <w:sz w:val="20"/>
                <w:szCs w:val="20"/>
                <w:lang w:eastAsia="sk-SK"/>
              </w:rPr>
              <w:t>☐</w:t>
            </w:r>
          </w:p>
        </w:tc>
        <w:tc>
          <w:tcPr>
            <w:tcW w:w="1297" w:type="dxa"/>
            <w:tcBorders>
              <w:top w:val="single" w:sz="4" w:space="0" w:color="auto"/>
              <w:left w:val="nil"/>
              <w:bottom w:val="single" w:sz="4" w:space="0" w:color="auto"/>
              <w:right w:val="single" w:sz="4" w:space="0" w:color="auto"/>
            </w:tcBorders>
            <w:shd w:val="clear" w:color="auto" w:fill="auto"/>
            <w:vAlign w:val="center"/>
          </w:tcPr>
          <w:p w:rsidR="00B53BBB" w:rsidRPr="007451E4" w:rsidRDefault="00B53BBB" w:rsidP="000C238E">
            <w:pPr>
              <w:widowControl/>
              <w:adjustRightInd/>
              <w:spacing w:after="0" w:line="240" w:lineRule="auto"/>
              <w:ind w:left="34"/>
              <w:rPr>
                <w:rFonts w:ascii="Times New Roman" w:hAnsi="Times New Roman" w:cs="Times New Roman"/>
                <w:sz w:val="20"/>
                <w:szCs w:val="20"/>
                <w:lang w:eastAsia="sk-SK"/>
              </w:rPr>
            </w:pPr>
            <w:r w:rsidRPr="007451E4">
              <w:rPr>
                <w:rFonts w:ascii="Times New Roman" w:hAnsi="Times New Roman" w:cs="Times New Roman"/>
                <w:sz w:val="20"/>
                <w:szCs w:val="20"/>
                <w:lang w:eastAsia="sk-SK"/>
              </w:rPr>
              <w:t>Čiastočne</w:t>
            </w:r>
          </w:p>
        </w:tc>
      </w:tr>
      <w:tr w:rsidR="00B53BBB" w:rsidRPr="007451E4" w:rsidTr="000C238E">
        <w:tc>
          <w:tcPr>
            <w:tcW w:w="3812" w:type="dxa"/>
            <w:tcBorders>
              <w:top w:val="single" w:sz="4" w:space="0" w:color="000000"/>
              <w:left w:val="single" w:sz="4" w:space="0" w:color="auto"/>
              <w:bottom w:val="nil"/>
              <w:right w:val="single" w:sz="4" w:space="0" w:color="auto"/>
            </w:tcBorders>
            <w:shd w:val="clear" w:color="auto" w:fill="E2E2E2"/>
          </w:tcPr>
          <w:p w:rsidR="00B53BBB" w:rsidRPr="007451E4" w:rsidRDefault="00B53BBB" w:rsidP="000C238E">
            <w:pPr>
              <w:widowControl/>
              <w:adjustRightInd/>
              <w:spacing w:after="0" w:line="240" w:lineRule="auto"/>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Vplyvy na podnikateľské prostredie</w:t>
            </w:r>
          </w:p>
        </w:tc>
        <w:tc>
          <w:tcPr>
            <w:tcW w:w="541" w:type="dxa"/>
            <w:gridSpan w:val="2"/>
            <w:tcBorders>
              <w:top w:val="single" w:sz="4" w:space="0" w:color="auto"/>
              <w:left w:val="single" w:sz="4" w:space="0" w:color="auto"/>
              <w:bottom w:val="single" w:sz="4" w:space="0" w:color="auto"/>
              <w:right w:val="nil"/>
            </w:tcBorders>
            <w:shd w:val="clear" w:color="auto" w:fill="auto"/>
            <w:vAlign w:val="center"/>
          </w:tcPr>
          <w:p w:rsidR="00B53BBB" w:rsidRPr="007451E4" w:rsidRDefault="00B53BBB" w:rsidP="000C238E">
            <w:pPr>
              <w:widowControl/>
              <w:adjustRightInd/>
              <w:spacing w:after="0" w:line="240" w:lineRule="auto"/>
              <w:jc w:val="center"/>
              <w:rPr>
                <w:rFonts w:ascii="Times New Roman" w:hAnsi="Times New Roman" w:cs="Times New Roman"/>
                <w:b/>
                <w:sz w:val="20"/>
                <w:szCs w:val="20"/>
                <w:lang w:eastAsia="sk-SK"/>
              </w:rPr>
            </w:pPr>
            <w:r w:rsidRPr="007451E4">
              <w:rPr>
                <w:rFonts w:ascii="MS Mincho" w:eastAsia="MS Mincho" w:hAnsi="MS Mincho" w:cs="MS Mincho" w:hint="eastAsia"/>
                <w:b/>
                <w:sz w:val="20"/>
                <w:szCs w:val="20"/>
                <w:lang w:eastAsia="sk-SK"/>
              </w:rPr>
              <w:t>☐</w:t>
            </w:r>
          </w:p>
        </w:tc>
        <w:tc>
          <w:tcPr>
            <w:tcW w:w="1281" w:type="dxa"/>
            <w:gridSpan w:val="2"/>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ind w:right="-108"/>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Pozitívne</w:t>
            </w:r>
          </w:p>
        </w:tc>
        <w:tc>
          <w:tcPr>
            <w:tcW w:w="569" w:type="dxa"/>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jc w:val="center"/>
              <w:rPr>
                <w:rFonts w:ascii="Times New Roman" w:hAnsi="Times New Roman" w:cs="Times New Roman"/>
                <w:b/>
                <w:color w:val="FF0000"/>
                <w:sz w:val="20"/>
                <w:szCs w:val="20"/>
                <w:lang w:eastAsia="sk-SK"/>
              </w:rPr>
            </w:pPr>
            <w:r w:rsidRPr="007451E4">
              <w:rPr>
                <w:rFonts w:ascii="MS Mincho" w:eastAsia="MS Mincho" w:hAnsi="MS Mincho" w:cs="MS Mincho"/>
                <w:b/>
                <w:sz w:val="20"/>
                <w:szCs w:val="20"/>
                <w:lang w:eastAsia="sk-SK"/>
              </w:rPr>
              <w:t>☐</w:t>
            </w:r>
          </w:p>
        </w:tc>
        <w:tc>
          <w:tcPr>
            <w:tcW w:w="1133" w:type="dxa"/>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Žiadne</w:t>
            </w:r>
          </w:p>
        </w:tc>
        <w:tc>
          <w:tcPr>
            <w:tcW w:w="547" w:type="dxa"/>
            <w:gridSpan w:val="2"/>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jc w:val="center"/>
              <w:rPr>
                <w:rFonts w:ascii="Times New Roman" w:hAnsi="Times New Roman" w:cs="Times New Roman"/>
                <w:b/>
                <w:sz w:val="20"/>
                <w:szCs w:val="20"/>
                <w:lang w:eastAsia="sk-SK"/>
              </w:rPr>
            </w:pPr>
            <w:r w:rsidRPr="007451E4">
              <w:rPr>
                <w:rFonts w:ascii="MS Mincho" w:eastAsia="MS Mincho" w:hAnsi="MS Mincho" w:cs="MS Mincho"/>
                <w:b/>
                <w:sz w:val="24"/>
                <w:szCs w:val="24"/>
                <w:lang w:eastAsia="sk-SK"/>
              </w:rPr>
              <w:t>☒</w:t>
            </w:r>
          </w:p>
        </w:tc>
        <w:tc>
          <w:tcPr>
            <w:tcW w:w="1297" w:type="dxa"/>
            <w:tcBorders>
              <w:top w:val="single" w:sz="4" w:space="0" w:color="auto"/>
              <w:left w:val="nil"/>
              <w:bottom w:val="single" w:sz="4" w:space="0" w:color="auto"/>
              <w:right w:val="single" w:sz="4" w:space="0" w:color="auto"/>
            </w:tcBorders>
            <w:shd w:val="clear" w:color="auto" w:fill="auto"/>
            <w:vAlign w:val="center"/>
          </w:tcPr>
          <w:p w:rsidR="00B53BBB" w:rsidRPr="007451E4" w:rsidRDefault="00B53BBB" w:rsidP="000C238E">
            <w:pPr>
              <w:widowControl/>
              <w:adjustRightInd/>
              <w:spacing w:after="0" w:line="240" w:lineRule="auto"/>
              <w:ind w:left="54"/>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Negatívne</w:t>
            </w:r>
          </w:p>
        </w:tc>
      </w:tr>
      <w:tr w:rsidR="00B53BBB" w:rsidRPr="007451E4" w:rsidTr="000C238E">
        <w:tc>
          <w:tcPr>
            <w:tcW w:w="3812" w:type="dxa"/>
            <w:tcBorders>
              <w:top w:val="nil"/>
              <w:left w:val="single" w:sz="4" w:space="0" w:color="000000"/>
              <w:bottom w:val="single" w:sz="4" w:space="0" w:color="000000"/>
              <w:right w:val="single" w:sz="4" w:space="0" w:color="000000"/>
            </w:tcBorders>
            <w:shd w:val="clear" w:color="auto" w:fill="E2E2E2"/>
          </w:tcPr>
          <w:p w:rsidR="00B53BBB" w:rsidRPr="007451E4" w:rsidRDefault="00B53BBB" w:rsidP="000C238E">
            <w:pPr>
              <w:widowControl/>
              <w:adjustRightInd/>
              <w:spacing w:after="0" w:line="240" w:lineRule="auto"/>
              <w:rPr>
                <w:rFonts w:ascii="Times New Roman" w:hAnsi="Times New Roman" w:cs="Times New Roman"/>
                <w:sz w:val="20"/>
                <w:szCs w:val="20"/>
                <w:lang w:eastAsia="sk-SK"/>
              </w:rPr>
            </w:pPr>
            <w:r w:rsidRPr="007451E4">
              <w:rPr>
                <w:rFonts w:ascii="Times New Roman" w:hAnsi="Times New Roman" w:cs="Times New Roman"/>
                <w:sz w:val="20"/>
                <w:szCs w:val="20"/>
                <w:lang w:eastAsia="sk-SK"/>
              </w:rPr>
              <w:t xml:space="preserve">    z toho vplyvy na MSP</w:t>
            </w:r>
          </w:p>
        </w:tc>
        <w:tc>
          <w:tcPr>
            <w:tcW w:w="541" w:type="dxa"/>
            <w:gridSpan w:val="2"/>
            <w:tcBorders>
              <w:top w:val="single" w:sz="4" w:space="0" w:color="auto"/>
              <w:left w:val="single" w:sz="4" w:space="0" w:color="000000"/>
              <w:bottom w:val="single" w:sz="4" w:space="0" w:color="auto"/>
              <w:right w:val="nil"/>
            </w:tcBorders>
            <w:shd w:val="clear" w:color="auto" w:fill="auto"/>
            <w:vAlign w:val="center"/>
          </w:tcPr>
          <w:p w:rsidR="00B53BBB" w:rsidRPr="007451E4" w:rsidRDefault="00B53BBB" w:rsidP="000C238E">
            <w:pPr>
              <w:widowControl/>
              <w:adjustRightInd/>
              <w:spacing w:after="0" w:line="240" w:lineRule="auto"/>
              <w:jc w:val="center"/>
              <w:rPr>
                <w:rFonts w:ascii="Times New Roman" w:hAnsi="Times New Roman" w:cs="Times New Roman"/>
                <w:sz w:val="20"/>
                <w:szCs w:val="20"/>
                <w:lang w:eastAsia="sk-SK"/>
              </w:rPr>
            </w:pPr>
            <w:r w:rsidRPr="007451E4">
              <w:rPr>
                <w:rFonts w:ascii="MS Mincho" w:eastAsia="MS Mincho" w:hAnsi="MS Mincho" w:cs="MS Mincho" w:hint="eastAsia"/>
                <w:sz w:val="20"/>
                <w:szCs w:val="20"/>
                <w:lang w:eastAsia="sk-SK"/>
              </w:rPr>
              <w:t>☐</w:t>
            </w:r>
          </w:p>
        </w:tc>
        <w:tc>
          <w:tcPr>
            <w:tcW w:w="1281" w:type="dxa"/>
            <w:gridSpan w:val="2"/>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ind w:right="-108"/>
              <w:rPr>
                <w:rFonts w:ascii="Times New Roman" w:hAnsi="Times New Roman" w:cs="Times New Roman"/>
                <w:sz w:val="20"/>
                <w:szCs w:val="20"/>
                <w:lang w:eastAsia="sk-SK"/>
              </w:rPr>
            </w:pPr>
            <w:r w:rsidRPr="007451E4">
              <w:rPr>
                <w:rFonts w:ascii="Times New Roman" w:hAnsi="Times New Roman" w:cs="Times New Roman"/>
                <w:sz w:val="20"/>
                <w:szCs w:val="20"/>
                <w:lang w:eastAsia="sk-SK"/>
              </w:rPr>
              <w:t>Pozitívne</w:t>
            </w:r>
          </w:p>
        </w:tc>
        <w:tc>
          <w:tcPr>
            <w:tcW w:w="569" w:type="dxa"/>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jc w:val="center"/>
              <w:rPr>
                <w:rFonts w:ascii="Times New Roman" w:hAnsi="Times New Roman" w:cs="Times New Roman"/>
                <w:sz w:val="20"/>
                <w:szCs w:val="20"/>
                <w:lang w:eastAsia="sk-SK"/>
              </w:rPr>
            </w:pPr>
            <w:r w:rsidRPr="007451E4">
              <w:rPr>
                <w:rFonts w:ascii="MS Mincho" w:eastAsia="MS Mincho" w:hAnsi="MS Mincho" w:cs="MS Mincho" w:hint="eastAsia"/>
                <w:sz w:val="24"/>
                <w:szCs w:val="24"/>
                <w:lang w:eastAsia="sk-SK"/>
              </w:rPr>
              <w:t>☒</w:t>
            </w:r>
          </w:p>
        </w:tc>
        <w:tc>
          <w:tcPr>
            <w:tcW w:w="1133" w:type="dxa"/>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rPr>
                <w:rFonts w:ascii="Times New Roman" w:hAnsi="Times New Roman" w:cs="Times New Roman"/>
                <w:sz w:val="20"/>
                <w:szCs w:val="20"/>
                <w:lang w:eastAsia="sk-SK"/>
              </w:rPr>
            </w:pPr>
            <w:r w:rsidRPr="007451E4">
              <w:rPr>
                <w:rFonts w:ascii="Times New Roman" w:hAnsi="Times New Roman" w:cs="Times New Roman"/>
                <w:sz w:val="20"/>
                <w:szCs w:val="20"/>
                <w:lang w:eastAsia="sk-SK"/>
              </w:rPr>
              <w:t>Žiadne</w:t>
            </w:r>
          </w:p>
        </w:tc>
        <w:tc>
          <w:tcPr>
            <w:tcW w:w="547" w:type="dxa"/>
            <w:gridSpan w:val="2"/>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jc w:val="center"/>
              <w:rPr>
                <w:rFonts w:ascii="Times New Roman" w:hAnsi="Times New Roman" w:cs="Times New Roman"/>
                <w:sz w:val="20"/>
                <w:szCs w:val="20"/>
                <w:lang w:eastAsia="sk-SK"/>
              </w:rPr>
            </w:pPr>
            <w:r w:rsidRPr="007451E4">
              <w:rPr>
                <w:rFonts w:ascii="MS Mincho" w:eastAsia="MS Mincho" w:hAnsi="MS Mincho" w:cs="MS Mincho" w:hint="eastAsia"/>
                <w:sz w:val="20"/>
                <w:szCs w:val="20"/>
                <w:lang w:eastAsia="sk-SK"/>
              </w:rPr>
              <w:t>☐</w:t>
            </w:r>
          </w:p>
        </w:tc>
        <w:tc>
          <w:tcPr>
            <w:tcW w:w="1297" w:type="dxa"/>
            <w:tcBorders>
              <w:top w:val="single" w:sz="4" w:space="0" w:color="auto"/>
              <w:left w:val="nil"/>
              <w:bottom w:val="single" w:sz="4" w:space="0" w:color="auto"/>
              <w:right w:val="single" w:sz="4" w:space="0" w:color="auto"/>
            </w:tcBorders>
            <w:shd w:val="clear" w:color="auto" w:fill="auto"/>
            <w:vAlign w:val="center"/>
          </w:tcPr>
          <w:p w:rsidR="00B53BBB" w:rsidRPr="007451E4" w:rsidRDefault="00B53BBB" w:rsidP="000C238E">
            <w:pPr>
              <w:widowControl/>
              <w:adjustRightInd/>
              <w:spacing w:after="0" w:line="240" w:lineRule="auto"/>
              <w:ind w:left="54"/>
              <w:rPr>
                <w:rFonts w:ascii="Times New Roman" w:hAnsi="Times New Roman" w:cs="Times New Roman"/>
                <w:sz w:val="20"/>
                <w:szCs w:val="20"/>
                <w:lang w:eastAsia="sk-SK"/>
              </w:rPr>
            </w:pPr>
            <w:r w:rsidRPr="007451E4">
              <w:rPr>
                <w:rFonts w:ascii="Times New Roman" w:hAnsi="Times New Roman" w:cs="Times New Roman"/>
                <w:sz w:val="20"/>
                <w:szCs w:val="20"/>
                <w:lang w:eastAsia="sk-SK"/>
              </w:rPr>
              <w:t>Negatívne</w:t>
            </w:r>
          </w:p>
        </w:tc>
      </w:tr>
      <w:tr w:rsidR="00B53BBB" w:rsidRPr="007451E4" w:rsidTr="000C238E">
        <w:tc>
          <w:tcPr>
            <w:tcW w:w="3812" w:type="dxa"/>
            <w:tcBorders>
              <w:top w:val="single" w:sz="4" w:space="0" w:color="000000"/>
              <w:left w:val="single" w:sz="4" w:space="0" w:color="auto"/>
              <w:bottom w:val="single" w:sz="4" w:space="0" w:color="auto"/>
              <w:right w:val="single" w:sz="4" w:space="0" w:color="auto"/>
            </w:tcBorders>
            <w:shd w:val="clear" w:color="auto" w:fill="E2E2E2"/>
          </w:tcPr>
          <w:p w:rsidR="00B53BBB" w:rsidRPr="007451E4" w:rsidRDefault="00B53BBB" w:rsidP="000C238E">
            <w:pPr>
              <w:widowControl/>
              <w:adjustRightInd/>
              <w:spacing w:after="0" w:line="240" w:lineRule="auto"/>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Sociálne vplyvy</w:t>
            </w:r>
          </w:p>
        </w:tc>
        <w:tc>
          <w:tcPr>
            <w:tcW w:w="541" w:type="dxa"/>
            <w:gridSpan w:val="2"/>
            <w:tcBorders>
              <w:top w:val="single" w:sz="4" w:space="0" w:color="auto"/>
              <w:left w:val="single" w:sz="4" w:space="0" w:color="auto"/>
              <w:bottom w:val="single" w:sz="4" w:space="0" w:color="auto"/>
              <w:right w:val="nil"/>
            </w:tcBorders>
            <w:shd w:val="clear" w:color="auto" w:fill="auto"/>
            <w:vAlign w:val="center"/>
          </w:tcPr>
          <w:p w:rsidR="00B53BBB" w:rsidRPr="007451E4" w:rsidRDefault="00B53BBB" w:rsidP="000C238E">
            <w:pPr>
              <w:widowControl/>
              <w:adjustRightInd/>
              <w:spacing w:after="0" w:line="240" w:lineRule="auto"/>
              <w:jc w:val="center"/>
              <w:rPr>
                <w:rFonts w:ascii="Times New Roman" w:hAnsi="Times New Roman" w:cs="Times New Roman"/>
                <w:b/>
                <w:sz w:val="20"/>
                <w:szCs w:val="20"/>
                <w:lang w:eastAsia="sk-SK"/>
              </w:rPr>
            </w:pPr>
            <w:r w:rsidRPr="007451E4">
              <w:rPr>
                <w:rFonts w:ascii="MS Mincho" w:eastAsia="MS Mincho" w:hAnsi="MS Mincho" w:cs="MS Mincho" w:hint="eastAsia"/>
                <w:b/>
                <w:sz w:val="20"/>
                <w:szCs w:val="20"/>
                <w:lang w:eastAsia="sk-SK"/>
              </w:rPr>
              <w:t>☐</w:t>
            </w:r>
          </w:p>
        </w:tc>
        <w:tc>
          <w:tcPr>
            <w:tcW w:w="1281" w:type="dxa"/>
            <w:gridSpan w:val="2"/>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ind w:right="-108"/>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Pozitívne</w:t>
            </w:r>
          </w:p>
        </w:tc>
        <w:tc>
          <w:tcPr>
            <w:tcW w:w="569" w:type="dxa"/>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jc w:val="center"/>
              <w:rPr>
                <w:rFonts w:ascii="Times New Roman" w:hAnsi="Times New Roman" w:cs="Times New Roman"/>
                <w:b/>
                <w:sz w:val="20"/>
                <w:szCs w:val="20"/>
                <w:lang w:eastAsia="sk-SK"/>
              </w:rPr>
            </w:pPr>
            <w:r w:rsidRPr="007451E4">
              <w:rPr>
                <w:rFonts w:ascii="MS Mincho" w:eastAsia="MS Mincho" w:hAnsi="MS Mincho" w:cs="MS Mincho" w:hint="eastAsia"/>
                <w:b/>
                <w:sz w:val="24"/>
                <w:szCs w:val="24"/>
                <w:lang w:eastAsia="sk-SK"/>
              </w:rPr>
              <w:t>☒</w:t>
            </w:r>
          </w:p>
        </w:tc>
        <w:tc>
          <w:tcPr>
            <w:tcW w:w="1133" w:type="dxa"/>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Žiadne</w:t>
            </w:r>
          </w:p>
        </w:tc>
        <w:tc>
          <w:tcPr>
            <w:tcW w:w="547" w:type="dxa"/>
            <w:gridSpan w:val="2"/>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jc w:val="center"/>
              <w:rPr>
                <w:rFonts w:ascii="Times New Roman" w:hAnsi="Times New Roman" w:cs="Times New Roman"/>
                <w:b/>
                <w:sz w:val="20"/>
                <w:szCs w:val="20"/>
                <w:lang w:eastAsia="sk-SK"/>
              </w:rPr>
            </w:pPr>
            <w:r w:rsidRPr="007451E4">
              <w:rPr>
                <w:rFonts w:ascii="MS Mincho" w:eastAsia="MS Mincho" w:hAnsi="MS Mincho" w:cs="MS Mincho" w:hint="eastAsia"/>
                <w:b/>
                <w:sz w:val="20"/>
                <w:szCs w:val="20"/>
                <w:lang w:eastAsia="sk-SK"/>
              </w:rPr>
              <w:t>☐</w:t>
            </w:r>
          </w:p>
        </w:tc>
        <w:tc>
          <w:tcPr>
            <w:tcW w:w="1297" w:type="dxa"/>
            <w:tcBorders>
              <w:top w:val="single" w:sz="4" w:space="0" w:color="auto"/>
              <w:left w:val="nil"/>
              <w:bottom w:val="single" w:sz="4" w:space="0" w:color="auto"/>
              <w:right w:val="single" w:sz="4" w:space="0" w:color="auto"/>
            </w:tcBorders>
            <w:shd w:val="clear" w:color="auto" w:fill="auto"/>
            <w:vAlign w:val="center"/>
          </w:tcPr>
          <w:p w:rsidR="00B53BBB" w:rsidRPr="007451E4" w:rsidRDefault="00B53BBB" w:rsidP="000C238E">
            <w:pPr>
              <w:widowControl/>
              <w:adjustRightInd/>
              <w:spacing w:after="0" w:line="240" w:lineRule="auto"/>
              <w:ind w:left="54"/>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Negatívne</w:t>
            </w:r>
          </w:p>
        </w:tc>
      </w:tr>
      <w:tr w:rsidR="00B53BBB" w:rsidRPr="007451E4" w:rsidTr="000C238E">
        <w:tc>
          <w:tcPr>
            <w:tcW w:w="3812" w:type="dxa"/>
            <w:tcBorders>
              <w:top w:val="single" w:sz="4" w:space="0" w:color="auto"/>
              <w:left w:val="single" w:sz="4" w:space="0" w:color="auto"/>
              <w:bottom w:val="single" w:sz="4" w:space="0" w:color="auto"/>
              <w:right w:val="single" w:sz="4" w:space="0" w:color="auto"/>
            </w:tcBorders>
            <w:shd w:val="clear" w:color="auto" w:fill="E2E2E2"/>
          </w:tcPr>
          <w:p w:rsidR="00B53BBB" w:rsidRPr="007451E4" w:rsidRDefault="00B53BBB" w:rsidP="000C238E">
            <w:pPr>
              <w:widowControl/>
              <w:adjustRightInd/>
              <w:spacing w:after="0" w:line="240" w:lineRule="auto"/>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Vplyvy na životné prostredie</w:t>
            </w:r>
          </w:p>
        </w:tc>
        <w:tc>
          <w:tcPr>
            <w:tcW w:w="541" w:type="dxa"/>
            <w:gridSpan w:val="2"/>
            <w:tcBorders>
              <w:top w:val="single" w:sz="4" w:space="0" w:color="auto"/>
              <w:left w:val="single" w:sz="4" w:space="0" w:color="auto"/>
              <w:bottom w:val="single" w:sz="4" w:space="0" w:color="auto"/>
              <w:right w:val="nil"/>
            </w:tcBorders>
            <w:shd w:val="clear" w:color="auto" w:fill="auto"/>
            <w:vAlign w:val="center"/>
          </w:tcPr>
          <w:p w:rsidR="00B53BBB" w:rsidRPr="007451E4" w:rsidRDefault="00B53BBB" w:rsidP="000C238E">
            <w:pPr>
              <w:widowControl/>
              <w:adjustRightInd/>
              <w:spacing w:after="0" w:line="240" w:lineRule="auto"/>
              <w:jc w:val="center"/>
              <w:rPr>
                <w:rFonts w:ascii="Times New Roman" w:hAnsi="Times New Roman" w:cs="Times New Roman"/>
                <w:b/>
                <w:sz w:val="20"/>
                <w:szCs w:val="20"/>
                <w:lang w:eastAsia="sk-SK"/>
              </w:rPr>
            </w:pPr>
            <w:r w:rsidRPr="007451E4">
              <w:rPr>
                <w:rFonts w:ascii="MS Mincho" w:eastAsia="MS Mincho" w:hAnsi="MS Mincho" w:cs="MS Mincho" w:hint="eastAsia"/>
                <w:b/>
                <w:sz w:val="20"/>
                <w:szCs w:val="20"/>
                <w:lang w:eastAsia="sk-SK"/>
              </w:rPr>
              <w:t>☐</w:t>
            </w:r>
          </w:p>
        </w:tc>
        <w:tc>
          <w:tcPr>
            <w:tcW w:w="1281" w:type="dxa"/>
            <w:gridSpan w:val="2"/>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ind w:right="-108"/>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Pozitívne</w:t>
            </w:r>
          </w:p>
        </w:tc>
        <w:tc>
          <w:tcPr>
            <w:tcW w:w="569" w:type="dxa"/>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jc w:val="center"/>
              <w:rPr>
                <w:rFonts w:ascii="Times New Roman" w:hAnsi="Times New Roman" w:cs="Times New Roman"/>
                <w:b/>
                <w:sz w:val="20"/>
                <w:szCs w:val="20"/>
                <w:lang w:eastAsia="sk-SK"/>
              </w:rPr>
            </w:pPr>
            <w:r w:rsidRPr="007451E4">
              <w:rPr>
                <w:rFonts w:ascii="MS Mincho" w:eastAsia="MS Mincho" w:hAnsi="MS Mincho" w:cs="MS Mincho" w:hint="eastAsia"/>
                <w:b/>
                <w:sz w:val="24"/>
                <w:szCs w:val="24"/>
                <w:lang w:eastAsia="sk-SK"/>
              </w:rPr>
              <w:t>☒</w:t>
            </w:r>
          </w:p>
        </w:tc>
        <w:tc>
          <w:tcPr>
            <w:tcW w:w="1133" w:type="dxa"/>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Žiadne</w:t>
            </w:r>
          </w:p>
        </w:tc>
        <w:tc>
          <w:tcPr>
            <w:tcW w:w="547" w:type="dxa"/>
            <w:gridSpan w:val="2"/>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jc w:val="center"/>
              <w:rPr>
                <w:rFonts w:ascii="Times New Roman" w:hAnsi="Times New Roman" w:cs="Times New Roman"/>
                <w:b/>
                <w:sz w:val="20"/>
                <w:szCs w:val="20"/>
                <w:lang w:eastAsia="sk-SK"/>
              </w:rPr>
            </w:pPr>
            <w:r w:rsidRPr="007451E4">
              <w:rPr>
                <w:rFonts w:ascii="MS Mincho" w:eastAsia="MS Mincho" w:hAnsi="MS Mincho" w:cs="MS Mincho" w:hint="eastAsia"/>
                <w:b/>
                <w:sz w:val="20"/>
                <w:szCs w:val="20"/>
                <w:lang w:eastAsia="sk-SK"/>
              </w:rPr>
              <w:t>☐</w:t>
            </w:r>
          </w:p>
        </w:tc>
        <w:tc>
          <w:tcPr>
            <w:tcW w:w="1297" w:type="dxa"/>
            <w:tcBorders>
              <w:top w:val="single" w:sz="4" w:space="0" w:color="auto"/>
              <w:left w:val="nil"/>
              <w:bottom w:val="single" w:sz="4" w:space="0" w:color="auto"/>
              <w:right w:val="single" w:sz="4" w:space="0" w:color="auto"/>
            </w:tcBorders>
            <w:shd w:val="clear" w:color="auto" w:fill="auto"/>
            <w:vAlign w:val="center"/>
          </w:tcPr>
          <w:p w:rsidR="00B53BBB" w:rsidRPr="007451E4" w:rsidRDefault="00B53BBB" w:rsidP="000C238E">
            <w:pPr>
              <w:widowControl/>
              <w:adjustRightInd/>
              <w:spacing w:after="0" w:line="240" w:lineRule="auto"/>
              <w:ind w:left="54"/>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Negatívne</w:t>
            </w:r>
          </w:p>
        </w:tc>
      </w:tr>
      <w:tr w:rsidR="00B53BBB" w:rsidRPr="007451E4" w:rsidTr="000C238E">
        <w:tc>
          <w:tcPr>
            <w:tcW w:w="3812" w:type="dxa"/>
            <w:tcBorders>
              <w:top w:val="single" w:sz="4" w:space="0" w:color="auto"/>
              <w:left w:val="single" w:sz="4" w:space="0" w:color="auto"/>
              <w:bottom w:val="single" w:sz="4" w:space="0" w:color="auto"/>
              <w:right w:val="single" w:sz="4" w:space="0" w:color="auto"/>
            </w:tcBorders>
            <w:shd w:val="clear" w:color="auto" w:fill="D9D9D9"/>
          </w:tcPr>
          <w:p w:rsidR="00B53BBB" w:rsidRPr="007451E4" w:rsidRDefault="00B53BBB" w:rsidP="000C238E">
            <w:pPr>
              <w:widowControl/>
              <w:adjustRightInd/>
              <w:spacing w:after="0" w:line="240" w:lineRule="auto"/>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Vplyvy na informatizáciu</w:t>
            </w:r>
          </w:p>
        </w:tc>
        <w:tc>
          <w:tcPr>
            <w:tcW w:w="541" w:type="dxa"/>
            <w:gridSpan w:val="2"/>
            <w:tcBorders>
              <w:top w:val="single" w:sz="4" w:space="0" w:color="auto"/>
              <w:left w:val="single" w:sz="4" w:space="0" w:color="auto"/>
              <w:bottom w:val="single" w:sz="4" w:space="0" w:color="auto"/>
              <w:right w:val="nil"/>
            </w:tcBorders>
            <w:shd w:val="clear" w:color="auto" w:fill="auto"/>
            <w:vAlign w:val="center"/>
          </w:tcPr>
          <w:p w:rsidR="00B53BBB" w:rsidRPr="007451E4" w:rsidRDefault="00B53BBB" w:rsidP="000C238E">
            <w:pPr>
              <w:widowControl/>
              <w:adjustRightInd/>
              <w:spacing w:after="0" w:line="240" w:lineRule="auto"/>
              <w:jc w:val="center"/>
              <w:rPr>
                <w:rFonts w:ascii="Times New Roman" w:hAnsi="Times New Roman" w:cs="Times New Roman"/>
                <w:b/>
                <w:sz w:val="20"/>
                <w:szCs w:val="20"/>
                <w:lang w:eastAsia="sk-SK"/>
              </w:rPr>
            </w:pPr>
            <w:r w:rsidRPr="007451E4">
              <w:rPr>
                <w:rFonts w:ascii="MS Mincho" w:eastAsia="MS Mincho" w:hAnsi="MS Mincho" w:cs="MS Mincho" w:hint="eastAsia"/>
                <w:b/>
                <w:sz w:val="20"/>
                <w:szCs w:val="20"/>
                <w:lang w:eastAsia="sk-SK"/>
              </w:rPr>
              <w:t>☐</w:t>
            </w:r>
          </w:p>
        </w:tc>
        <w:tc>
          <w:tcPr>
            <w:tcW w:w="1281" w:type="dxa"/>
            <w:gridSpan w:val="2"/>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ind w:right="-108"/>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Pozitívne</w:t>
            </w:r>
          </w:p>
        </w:tc>
        <w:tc>
          <w:tcPr>
            <w:tcW w:w="569" w:type="dxa"/>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jc w:val="center"/>
              <w:rPr>
                <w:rFonts w:ascii="Times New Roman" w:hAnsi="Times New Roman" w:cs="Times New Roman"/>
                <w:b/>
                <w:sz w:val="20"/>
                <w:szCs w:val="20"/>
                <w:lang w:eastAsia="sk-SK"/>
              </w:rPr>
            </w:pPr>
            <w:r w:rsidRPr="007451E4">
              <w:rPr>
                <w:rFonts w:ascii="MS Mincho" w:eastAsia="MS Mincho" w:hAnsi="MS Mincho" w:cs="MS Mincho" w:hint="eastAsia"/>
                <w:b/>
                <w:sz w:val="24"/>
                <w:szCs w:val="24"/>
                <w:lang w:eastAsia="sk-SK"/>
              </w:rPr>
              <w:t>☒</w:t>
            </w:r>
          </w:p>
        </w:tc>
        <w:tc>
          <w:tcPr>
            <w:tcW w:w="1133" w:type="dxa"/>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Žiadne</w:t>
            </w:r>
          </w:p>
        </w:tc>
        <w:tc>
          <w:tcPr>
            <w:tcW w:w="547" w:type="dxa"/>
            <w:gridSpan w:val="2"/>
            <w:tcBorders>
              <w:top w:val="single" w:sz="4" w:space="0" w:color="auto"/>
              <w:left w:val="nil"/>
              <w:bottom w:val="single" w:sz="4" w:space="0" w:color="auto"/>
              <w:right w:val="nil"/>
            </w:tcBorders>
            <w:shd w:val="clear" w:color="auto" w:fill="auto"/>
            <w:vAlign w:val="center"/>
          </w:tcPr>
          <w:p w:rsidR="00B53BBB" w:rsidRPr="007451E4" w:rsidRDefault="00B53BBB" w:rsidP="000C238E">
            <w:pPr>
              <w:widowControl/>
              <w:adjustRightInd/>
              <w:spacing w:after="0" w:line="240" w:lineRule="auto"/>
              <w:jc w:val="center"/>
              <w:rPr>
                <w:rFonts w:ascii="Times New Roman" w:hAnsi="Times New Roman" w:cs="Times New Roman"/>
                <w:b/>
                <w:sz w:val="20"/>
                <w:szCs w:val="20"/>
                <w:lang w:eastAsia="sk-SK"/>
              </w:rPr>
            </w:pPr>
            <w:r w:rsidRPr="007451E4">
              <w:rPr>
                <w:rFonts w:ascii="MS Mincho" w:eastAsia="MS Mincho" w:hAnsi="MS Mincho" w:cs="MS Mincho" w:hint="eastAsia"/>
                <w:b/>
                <w:sz w:val="20"/>
                <w:szCs w:val="20"/>
                <w:lang w:eastAsia="sk-SK"/>
              </w:rPr>
              <w:t>☐</w:t>
            </w:r>
          </w:p>
        </w:tc>
        <w:tc>
          <w:tcPr>
            <w:tcW w:w="1297" w:type="dxa"/>
            <w:tcBorders>
              <w:top w:val="single" w:sz="4" w:space="0" w:color="auto"/>
              <w:left w:val="nil"/>
              <w:bottom w:val="single" w:sz="4" w:space="0" w:color="auto"/>
              <w:right w:val="single" w:sz="4" w:space="0" w:color="auto"/>
            </w:tcBorders>
            <w:shd w:val="clear" w:color="auto" w:fill="auto"/>
            <w:vAlign w:val="center"/>
          </w:tcPr>
          <w:p w:rsidR="00B53BBB" w:rsidRPr="007451E4" w:rsidRDefault="00B53BBB" w:rsidP="000C238E">
            <w:pPr>
              <w:widowControl/>
              <w:adjustRightInd/>
              <w:spacing w:after="0" w:line="240" w:lineRule="auto"/>
              <w:ind w:left="54"/>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Negatívne</w:t>
            </w:r>
          </w:p>
        </w:tc>
      </w:tr>
      <w:tr w:rsidR="00B53BBB" w:rsidRPr="007451E4" w:rsidTr="000C238E">
        <w:tc>
          <w:tcPr>
            <w:tcW w:w="3812" w:type="dxa"/>
            <w:tcBorders>
              <w:top w:val="single" w:sz="4" w:space="0" w:color="auto"/>
              <w:left w:val="single" w:sz="4" w:space="0" w:color="auto"/>
              <w:bottom w:val="nil"/>
              <w:right w:val="single" w:sz="4" w:space="0" w:color="auto"/>
            </w:tcBorders>
            <w:shd w:val="clear" w:color="auto" w:fill="D9D9D9"/>
          </w:tcPr>
          <w:p w:rsidR="00B53BBB" w:rsidRPr="007451E4" w:rsidRDefault="00B53BBB" w:rsidP="000C238E">
            <w:pPr>
              <w:widowControl/>
              <w:adjustRightInd/>
              <w:spacing w:after="0" w:line="240" w:lineRule="auto"/>
              <w:rPr>
                <w:rFonts w:ascii="Times New Roman" w:hAnsi="Times New Roman" w:cs="Times New Roman"/>
                <w:b/>
                <w:sz w:val="20"/>
                <w:szCs w:val="20"/>
                <w:lang w:eastAsia="sk-SK"/>
              </w:rPr>
            </w:pPr>
            <w:r w:rsidRPr="007451E4">
              <w:rPr>
                <w:rFonts w:ascii="Times New Roman" w:eastAsia="Calibri" w:hAnsi="Times New Roman" w:cs="Times New Roman"/>
                <w:b/>
                <w:sz w:val="20"/>
                <w:szCs w:val="20"/>
              </w:rPr>
              <w:t>Vplyvy na služby verejnej správy pre občana, z toho</w:t>
            </w:r>
          </w:p>
        </w:tc>
        <w:tc>
          <w:tcPr>
            <w:tcW w:w="541" w:type="dxa"/>
            <w:gridSpan w:val="2"/>
            <w:tcBorders>
              <w:top w:val="single" w:sz="4" w:space="0" w:color="auto"/>
              <w:left w:val="single" w:sz="4" w:space="0" w:color="auto"/>
              <w:bottom w:val="nil"/>
              <w:right w:val="nil"/>
            </w:tcBorders>
            <w:shd w:val="clear" w:color="auto" w:fill="auto"/>
          </w:tcPr>
          <w:p w:rsidR="00B53BBB" w:rsidRPr="007451E4" w:rsidRDefault="00B53BBB" w:rsidP="000C238E">
            <w:pPr>
              <w:widowControl/>
              <w:adjustRightInd/>
              <w:spacing w:after="0" w:line="240" w:lineRule="auto"/>
              <w:jc w:val="center"/>
              <w:rPr>
                <w:rFonts w:ascii="Times New Roman" w:eastAsia="MS Mincho" w:hAnsi="Times New Roman" w:cs="Times New Roman"/>
                <w:b/>
                <w:sz w:val="20"/>
                <w:szCs w:val="20"/>
                <w:lang w:eastAsia="sk-SK"/>
              </w:rPr>
            </w:pPr>
          </w:p>
        </w:tc>
        <w:tc>
          <w:tcPr>
            <w:tcW w:w="1281" w:type="dxa"/>
            <w:gridSpan w:val="2"/>
            <w:tcBorders>
              <w:top w:val="single" w:sz="4" w:space="0" w:color="auto"/>
              <w:left w:val="nil"/>
              <w:bottom w:val="nil"/>
              <w:right w:val="nil"/>
            </w:tcBorders>
            <w:shd w:val="clear" w:color="auto" w:fill="auto"/>
          </w:tcPr>
          <w:p w:rsidR="00B53BBB" w:rsidRPr="007451E4" w:rsidRDefault="00B53BBB" w:rsidP="000C238E">
            <w:pPr>
              <w:widowControl/>
              <w:adjustRightInd/>
              <w:spacing w:after="0" w:line="240" w:lineRule="auto"/>
              <w:ind w:right="-108"/>
              <w:rPr>
                <w:rFonts w:ascii="Times New Roman" w:hAnsi="Times New Roman" w:cs="Times New Roman"/>
                <w:b/>
                <w:sz w:val="20"/>
                <w:szCs w:val="20"/>
                <w:lang w:eastAsia="sk-SK"/>
              </w:rPr>
            </w:pPr>
          </w:p>
        </w:tc>
        <w:tc>
          <w:tcPr>
            <w:tcW w:w="569" w:type="dxa"/>
            <w:tcBorders>
              <w:top w:val="single" w:sz="4" w:space="0" w:color="auto"/>
              <w:left w:val="nil"/>
              <w:bottom w:val="nil"/>
              <w:right w:val="nil"/>
            </w:tcBorders>
            <w:shd w:val="clear" w:color="auto" w:fill="auto"/>
          </w:tcPr>
          <w:p w:rsidR="00B53BBB" w:rsidRPr="007451E4" w:rsidRDefault="00B53BBB" w:rsidP="000C238E">
            <w:pPr>
              <w:widowControl/>
              <w:adjustRightInd/>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B53BBB" w:rsidRPr="007451E4" w:rsidRDefault="00B53BBB" w:rsidP="000C238E">
            <w:pPr>
              <w:widowControl/>
              <w:adjustRightInd/>
              <w:spacing w:after="0" w:line="240" w:lineRule="auto"/>
              <w:rPr>
                <w:rFonts w:ascii="Times New Roman" w:hAnsi="Times New Roman" w:cs="Times New Roman"/>
                <w:b/>
                <w:sz w:val="20"/>
                <w:szCs w:val="20"/>
                <w:lang w:eastAsia="sk-SK"/>
              </w:rPr>
            </w:pPr>
          </w:p>
        </w:tc>
        <w:tc>
          <w:tcPr>
            <w:tcW w:w="547" w:type="dxa"/>
            <w:gridSpan w:val="2"/>
            <w:tcBorders>
              <w:top w:val="single" w:sz="4" w:space="0" w:color="auto"/>
              <w:left w:val="nil"/>
              <w:bottom w:val="nil"/>
              <w:right w:val="nil"/>
            </w:tcBorders>
            <w:shd w:val="clear" w:color="auto" w:fill="auto"/>
          </w:tcPr>
          <w:p w:rsidR="00B53BBB" w:rsidRPr="007451E4" w:rsidRDefault="00B53BBB" w:rsidP="000C238E">
            <w:pPr>
              <w:widowControl/>
              <w:adjustRightInd/>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B53BBB" w:rsidRPr="007451E4" w:rsidRDefault="00B53BBB" w:rsidP="000C238E">
            <w:pPr>
              <w:widowControl/>
              <w:adjustRightInd/>
              <w:spacing w:after="0" w:line="240" w:lineRule="auto"/>
              <w:ind w:left="54"/>
              <w:rPr>
                <w:rFonts w:ascii="Times New Roman" w:hAnsi="Times New Roman" w:cs="Times New Roman"/>
                <w:b/>
                <w:sz w:val="20"/>
                <w:szCs w:val="20"/>
                <w:lang w:eastAsia="sk-SK"/>
              </w:rPr>
            </w:pPr>
          </w:p>
        </w:tc>
      </w:tr>
      <w:tr w:rsidR="00B53BBB" w:rsidRPr="007451E4" w:rsidTr="000C238E">
        <w:tc>
          <w:tcPr>
            <w:tcW w:w="3812" w:type="dxa"/>
            <w:tcBorders>
              <w:top w:val="nil"/>
              <w:left w:val="single" w:sz="4" w:space="0" w:color="auto"/>
              <w:bottom w:val="nil"/>
              <w:right w:val="single" w:sz="4" w:space="0" w:color="auto"/>
            </w:tcBorders>
            <w:shd w:val="clear" w:color="auto" w:fill="D9D9D9"/>
          </w:tcPr>
          <w:p w:rsidR="00B53BBB" w:rsidRPr="007451E4" w:rsidRDefault="00B53BBB" w:rsidP="000C238E">
            <w:pPr>
              <w:widowControl/>
              <w:adjustRightInd/>
              <w:spacing w:after="0" w:line="240" w:lineRule="auto"/>
              <w:ind w:left="196" w:hanging="196"/>
              <w:rPr>
                <w:rFonts w:ascii="Times New Roman" w:eastAsia="Calibri" w:hAnsi="Times New Roman" w:cs="Times New Roman"/>
                <w:b/>
                <w:sz w:val="20"/>
                <w:szCs w:val="20"/>
              </w:rPr>
            </w:pPr>
            <w:r w:rsidRPr="007451E4">
              <w:rPr>
                <w:rFonts w:ascii="Times New Roman" w:eastAsia="Calibri" w:hAnsi="Times New Roman" w:cs="Times New Roman"/>
                <w:b/>
                <w:sz w:val="20"/>
                <w:szCs w:val="20"/>
              </w:rPr>
              <w:t xml:space="preserve">    vplyvy služieb verejnej správy na občana</w:t>
            </w:r>
          </w:p>
        </w:tc>
        <w:tc>
          <w:tcPr>
            <w:tcW w:w="541" w:type="dxa"/>
            <w:gridSpan w:val="2"/>
            <w:tcBorders>
              <w:top w:val="nil"/>
              <w:left w:val="single" w:sz="4" w:space="0" w:color="auto"/>
              <w:bottom w:val="nil"/>
              <w:right w:val="nil"/>
            </w:tcBorders>
            <w:shd w:val="clear" w:color="auto" w:fill="auto"/>
          </w:tcPr>
          <w:p w:rsidR="00B53BBB" w:rsidRPr="007451E4" w:rsidRDefault="00B53BBB" w:rsidP="000C238E">
            <w:pPr>
              <w:widowControl/>
              <w:adjustRightInd/>
              <w:spacing w:after="0" w:line="240" w:lineRule="auto"/>
              <w:jc w:val="center"/>
              <w:rPr>
                <w:rFonts w:ascii="Times New Roman" w:hAnsi="Times New Roman" w:cs="Times New Roman"/>
                <w:b/>
                <w:sz w:val="20"/>
                <w:szCs w:val="20"/>
                <w:lang w:eastAsia="sk-SK"/>
              </w:rPr>
            </w:pPr>
            <w:r w:rsidRPr="007451E4">
              <w:rPr>
                <w:rFonts w:ascii="MS Gothic" w:eastAsia="MS Gothic" w:hAnsi="MS Gothic" w:cs="Times New Roman" w:hint="eastAsia"/>
                <w:b/>
                <w:sz w:val="20"/>
                <w:szCs w:val="20"/>
                <w:lang w:eastAsia="sk-SK"/>
              </w:rPr>
              <w:t>☐</w:t>
            </w:r>
          </w:p>
        </w:tc>
        <w:tc>
          <w:tcPr>
            <w:tcW w:w="1281" w:type="dxa"/>
            <w:gridSpan w:val="2"/>
            <w:tcBorders>
              <w:top w:val="nil"/>
              <w:left w:val="nil"/>
              <w:bottom w:val="nil"/>
              <w:right w:val="nil"/>
            </w:tcBorders>
            <w:shd w:val="clear" w:color="auto" w:fill="auto"/>
          </w:tcPr>
          <w:p w:rsidR="00B53BBB" w:rsidRPr="007451E4" w:rsidRDefault="00B53BBB" w:rsidP="000C238E">
            <w:pPr>
              <w:widowControl/>
              <w:adjustRightInd/>
              <w:spacing w:after="0" w:line="240" w:lineRule="auto"/>
              <w:ind w:right="-108"/>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Pozitívne</w:t>
            </w:r>
          </w:p>
        </w:tc>
        <w:tc>
          <w:tcPr>
            <w:tcW w:w="569" w:type="dxa"/>
            <w:tcBorders>
              <w:top w:val="nil"/>
              <w:left w:val="nil"/>
              <w:bottom w:val="nil"/>
              <w:right w:val="nil"/>
            </w:tcBorders>
            <w:shd w:val="clear" w:color="auto" w:fill="auto"/>
          </w:tcPr>
          <w:p w:rsidR="00B53BBB" w:rsidRPr="007451E4" w:rsidRDefault="00B53BBB" w:rsidP="000C238E">
            <w:pPr>
              <w:widowControl/>
              <w:adjustRightInd/>
              <w:spacing w:after="0" w:line="240" w:lineRule="auto"/>
              <w:jc w:val="center"/>
              <w:rPr>
                <w:rFonts w:ascii="Times New Roman" w:hAnsi="Times New Roman" w:cs="Times New Roman"/>
                <w:b/>
                <w:sz w:val="20"/>
                <w:szCs w:val="20"/>
                <w:lang w:eastAsia="sk-SK"/>
              </w:rPr>
            </w:pPr>
            <w:r w:rsidRPr="007451E4">
              <w:rPr>
                <w:rFonts w:ascii="MS Gothic" w:eastAsia="MS Gothic" w:hAnsi="MS Gothic" w:cs="Times New Roman" w:hint="eastAsia"/>
                <w:b/>
                <w:sz w:val="20"/>
                <w:szCs w:val="20"/>
                <w:lang w:eastAsia="sk-SK"/>
              </w:rPr>
              <w:t>☒</w:t>
            </w:r>
          </w:p>
        </w:tc>
        <w:tc>
          <w:tcPr>
            <w:tcW w:w="1133" w:type="dxa"/>
            <w:tcBorders>
              <w:top w:val="nil"/>
              <w:left w:val="nil"/>
              <w:bottom w:val="nil"/>
              <w:right w:val="nil"/>
            </w:tcBorders>
            <w:shd w:val="clear" w:color="auto" w:fill="auto"/>
          </w:tcPr>
          <w:p w:rsidR="00B53BBB" w:rsidRPr="007451E4" w:rsidRDefault="00B53BBB" w:rsidP="000C238E">
            <w:pPr>
              <w:widowControl/>
              <w:adjustRightInd/>
              <w:spacing w:after="0" w:line="240" w:lineRule="auto"/>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Žiadne</w:t>
            </w:r>
          </w:p>
        </w:tc>
        <w:tc>
          <w:tcPr>
            <w:tcW w:w="547" w:type="dxa"/>
            <w:gridSpan w:val="2"/>
            <w:tcBorders>
              <w:top w:val="nil"/>
              <w:left w:val="nil"/>
              <w:bottom w:val="nil"/>
              <w:right w:val="nil"/>
            </w:tcBorders>
            <w:shd w:val="clear" w:color="auto" w:fill="auto"/>
          </w:tcPr>
          <w:p w:rsidR="00B53BBB" w:rsidRPr="007451E4" w:rsidRDefault="00B53BBB" w:rsidP="000C238E">
            <w:pPr>
              <w:widowControl/>
              <w:adjustRightInd/>
              <w:spacing w:after="0" w:line="240" w:lineRule="auto"/>
              <w:jc w:val="center"/>
              <w:rPr>
                <w:rFonts w:ascii="Times New Roman" w:hAnsi="Times New Roman" w:cs="Times New Roman"/>
                <w:b/>
                <w:sz w:val="20"/>
                <w:szCs w:val="20"/>
                <w:lang w:eastAsia="sk-SK"/>
              </w:rPr>
            </w:pPr>
            <w:r w:rsidRPr="007451E4">
              <w:rPr>
                <w:rFonts w:ascii="MS Gothic" w:eastAsia="MS Gothic" w:hAnsi="MS Gothic" w:cs="Times New Roman" w:hint="eastAsia"/>
                <w:b/>
                <w:sz w:val="20"/>
                <w:szCs w:val="20"/>
                <w:lang w:eastAsia="sk-SK"/>
              </w:rPr>
              <w:t>☐</w:t>
            </w:r>
          </w:p>
        </w:tc>
        <w:tc>
          <w:tcPr>
            <w:tcW w:w="1297" w:type="dxa"/>
            <w:tcBorders>
              <w:top w:val="nil"/>
              <w:left w:val="nil"/>
              <w:bottom w:val="nil"/>
              <w:right w:val="single" w:sz="4" w:space="0" w:color="auto"/>
            </w:tcBorders>
            <w:shd w:val="clear" w:color="auto" w:fill="auto"/>
          </w:tcPr>
          <w:p w:rsidR="00B53BBB" w:rsidRPr="007451E4" w:rsidRDefault="00B53BBB" w:rsidP="000C238E">
            <w:pPr>
              <w:widowControl/>
              <w:adjustRightInd/>
              <w:spacing w:after="0" w:line="240" w:lineRule="auto"/>
              <w:ind w:left="54"/>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Negatívne</w:t>
            </w:r>
          </w:p>
        </w:tc>
      </w:tr>
      <w:tr w:rsidR="00B53BBB" w:rsidRPr="007451E4" w:rsidTr="000C238E">
        <w:tc>
          <w:tcPr>
            <w:tcW w:w="3812" w:type="dxa"/>
            <w:tcBorders>
              <w:top w:val="nil"/>
              <w:left w:val="single" w:sz="4" w:space="0" w:color="auto"/>
              <w:bottom w:val="single" w:sz="4" w:space="0" w:color="auto"/>
              <w:right w:val="single" w:sz="4" w:space="0" w:color="auto"/>
            </w:tcBorders>
            <w:shd w:val="clear" w:color="auto" w:fill="D9D9D9"/>
          </w:tcPr>
          <w:p w:rsidR="00B53BBB" w:rsidRPr="007451E4" w:rsidRDefault="00B53BBB" w:rsidP="000C238E">
            <w:pPr>
              <w:widowControl/>
              <w:adjustRightInd/>
              <w:spacing w:after="0" w:line="240" w:lineRule="auto"/>
              <w:ind w:left="168" w:hanging="168"/>
              <w:rPr>
                <w:rFonts w:ascii="Times New Roman" w:eastAsia="Calibri" w:hAnsi="Times New Roman" w:cs="Times New Roman"/>
                <w:b/>
                <w:sz w:val="20"/>
                <w:szCs w:val="20"/>
              </w:rPr>
            </w:pPr>
            <w:r w:rsidRPr="007451E4">
              <w:rPr>
                <w:rFonts w:ascii="Times New Roman" w:eastAsia="Calibri" w:hAnsi="Times New Roman" w:cs="Times New Roman"/>
                <w:b/>
                <w:sz w:val="20"/>
                <w:szCs w:val="20"/>
              </w:rPr>
              <w:t>vplyvy na procesy služieb vo verejnej správe</w:t>
            </w:r>
          </w:p>
        </w:tc>
        <w:tc>
          <w:tcPr>
            <w:tcW w:w="541" w:type="dxa"/>
            <w:gridSpan w:val="2"/>
            <w:tcBorders>
              <w:top w:val="nil"/>
              <w:left w:val="single" w:sz="4" w:space="0" w:color="auto"/>
              <w:bottom w:val="single" w:sz="4" w:space="0" w:color="auto"/>
              <w:right w:val="nil"/>
            </w:tcBorders>
            <w:shd w:val="clear" w:color="auto" w:fill="auto"/>
          </w:tcPr>
          <w:p w:rsidR="00B53BBB" w:rsidRPr="007451E4" w:rsidRDefault="00B53BBB" w:rsidP="000C238E">
            <w:pPr>
              <w:widowControl/>
              <w:adjustRightInd/>
              <w:spacing w:after="0" w:line="240" w:lineRule="auto"/>
              <w:jc w:val="center"/>
              <w:rPr>
                <w:rFonts w:ascii="Times New Roman" w:hAnsi="Times New Roman" w:cs="Times New Roman"/>
                <w:b/>
                <w:sz w:val="20"/>
                <w:szCs w:val="20"/>
                <w:lang w:eastAsia="sk-SK"/>
              </w:rPr>
            </w:pPr>
            <w:r w:rsidRPr="007451E4">
              <w:rPr>
                <w:rFonts w:ascii="MS Mincho" w:eastAsia="MS Mincho" w:hAnsi="MS Mincho" w:cs="MS Mincho" w:hint="eastAsia"/>
                <w:b/>
                <w:sz w:val="20"/>
                <w:szCs w:val="20"/>
                <w:lang w:eastAsia="sk-SK"/>
              </w:rPr>
              <w:t>☐</w:t>
            </w:r>
          </w:p>
        </w:tc>
        <w:tc>
          <w:tcPr>
            <w:tcW w:w="1281" w:type="dxa"/>
            <w:gridSpan w:val="2"/>
            <w:tcBorders>
              <w:top w:val="nil"/>
              <w:left w:val="nil"/>
              <w:bottom w:val="single" w:sz="4" w:space="0" w:color="auto"/>
              <w:right w:val="nil"/>
            </w:tcBorders>
            <w:shd w:val="clear" w:color="auto" w:fill="auto"/>
          </w:tcPr>
          <w:p w:rsidR="00B53BBB" w:rsidRPr="007451E4" w:rsidRDefault="00B53BBB" w:rsidP="000C238E">
            <w:pPr>
              <w:widowControl/>
              <w:adjustRightInd/>
              <w:spacing w:after="0" w:line="240" w:lineRule="auto"/>
              <w:ind w:right="-108"/>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Pozitívne</w:t>
            </w:r>
          </w:p>
        </w:tc>
        <w:tc>
          <w:tcPr>
            <w:tcW w:w="569" w:type="dxa"/>
            <w:tcBorders>
              <w:top w:val="nil"/>
              <w:left w:val="nil"/>
              <w:bottom w:val="single" w:sz="4" w:space="0" w:color="auto"/>
              <w:right w:val="nil"/>
            </w:tcBorders>
            <w:shd w:val="clear" w:color="auto" w:fill="auto"/>
          </w:tcPr>
          <w:p w:rsidR="00B53BBB" w:rsidRPr="007451E4" w:rsidRDefault="00B53BBB" w:rsidP="000C238E">
            <w:pPr>
              <w:widowControl/>
              <w:adjustRightInd/>
              <w:spacing w:after="0" w:line="240" w:lineRule="auto"/>
              <w:jc w:val="center"/>
              <w:rPr>
                <w:rFonts w:ascii="Times New Roman" w:hAnsi="Times New Roman" w:cs="Times New Roman"/>
                <w:b/>
                <w:sz w:val="20"/>
                <w:szCs w:val="20"/>
                <w:lang w:eastAsia="sk-SK"/>
              </w:rPr>
            </w:pPr>
            <w:r w:rsidRPr="007451E4">
              <w:rPr>
                <w:rFonts w:ascii="MS Gothic" w:eastAsia="MS Gothic" w:hAnsi="MS Gothic" w:cs="Times New Roman" w:hint="eastAsia"/>
                <w:b/>
                <w:sz w:val="20"/>
                <w:szCs w:val="20"/>
                <w:lang w:eastAsia="sk-SK"/>
              </w:rPr>
              <w:t>☒</w:t>
            </w:r>
          </w:p>
        </w:tc>
        <w:tc>
          <w:tcPr>
            <w:tcW w:w="1133" w:type="dxa"/>
            <w:tcBorders>
              <w:top w:val="nil"/>
              <w:left w:val="nil"/>
              <w:bottom w:val="single" w:sz="4" w:space="0" w:color="auto"/>
              <w:right w:val="nil"/>
            </w:tcBorders>
            <w:shd w:val="clear" w:color="auto" w:fill="auto"/>
          </w:tcPr>
          <w:p w:rsidR="00B53BBB" w:rsidRPr="007451E4" w:rsidRDefault="00B53BBB" w:rsidP="000C238E">
            <w:pPr>
              <w:widowControl/>
              <w:adjustRightInd/>
              <w:spacing w:after="0" w:line="240" w:lineRule="auto"/>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Žiadne</w:t>
            </w:r>
          </w:p>
        </w:tc>
        <w:tc>
          <w:tcPr>
            <w:tcW w:w="547" w:type="dxa"/>
            <w:gridSpan w:val="2"/>
            <w:tcBorders>
              <w:top w:val="nil"/>
              <w:left w:val="nil"/>
              <w:bottom w:val="single" w:sz="4" w:space="0" w:color="auto"/>
              <w:right w:val="nil"/>
            </w:tcBorders>
            <w:shd w:val="clear" w:color="auto" w:fill="auto"/>
          </w:tcPr>
          <w:p w:rsidR="00B53BBB" w:rsidRPr="007451E4" w:rsidRDefault="00B53BBB" w:rsidP="000C238E">
            <w:pPr>
              <w:widowControl/>
              <w:adjustRightInd/>
              <w:spacing w:after="0" w:line="240" w:lineRule="auto"/>
              <w:jc w:val="center"/>
              <w:rPr>
                <w:rFonts w:ascii="Times New Roman" w:hAnsi="Times New Roman" w:cs="Times New Roman"/>
                <w:b/>
                <w:sz w:val="20"/>
                <w:szCs w:val="20"/>
                <w:lang w:eastAsia="sk-SK"/>
              </w:rPr>
            </w:pPr>
            <w:r w:rsidRPr="007451E4">
              <w:rPr>
                <w:rFonts w:ascii="MS Mincho" w:eastAsia="MS Mincho" w:hAnsi="MS Mincho" w:cs="MS Mincho" w:hint="eastAsia"/>
                <w:b/>
                <w:sz w:val="20"/>
                <w:szCs w:val="20"/>
                <w:lang w:eastAsia="sk-SK"/>
              </w:rPr>
              <w:t>☐</w:t>
            </w:r>
          </w:p>
        </w:tc>
        <w:tc>
          <w:tcPr>
            <w:tcW w:w="1297" w:type="dxa"/>
            <w:tcBorders>
              <w:top w:val="nil"/>
              <w:left w:val="nil"/>
              <w:bottom w:val="single" w:sz="4" w:space="0" w:color="auto"/>
              <w:right w:val="single" w:sz="4" w:space="0" w:color="auto"/>
            </w:tcBorders>
            <w:shd w:val="clear" w:color="auto" w:fill="auto"/>
          </w:tcPr>
          <w:p w:rsidR="00B53BBB" w:rsidRPr="007451E4" w:rsidRDefault="00B53BBB" w:rsidP="000C238E">
            <w:pPr>
              <w:widowControl/>
              <w:adjustRightInd/>
              <w:spacing w:after="0" w:line="240" w:lineRule="auto"/>
              <w:ind w:left="54"/>
              <w:rPr>
                <w:rFonts w:ascii="Times New Roman" w:hAnsi="Times New Roman" w:cs="Times New Roman"/>
                <w:b/>
                <w:sz w:val="20"/>
                <w:szCs w:val="20"/>
                <w:lang w:eastAsia="sk-SK"/>
              </w:rPr>
            </w:pPr>
            <w:r w:rsidRPr="007451E4">
              <w:rPr>
                <w:rFonts w:ascii="Times New Roman" w:hAnsi="Times New Roman" w:cs="Times New Roman"/>
                <w:b/>
                <w:sz w:val="20"/>
                <w:szCs w:val="20"/>
                <w:lang w:eastAsia="sk-SK"/>
              </w:rPr>
              <w:t>Negatívne</w:t>
            </w:r>
          </w:p>
        </w:tc>
      </w:tr>
    </w:tbl>
    <w:p w:rsidR="00B53BBB" w:rsidRPr="007451E4" w:rsidRDefault="00B53BBB" w:rsidP="00B53BBB">
      <w:pPr>
        <w:widowControl/>
        <w:adjustRightInd/>
        <w:spacing w:after="0" w:line="240" w:lineRule="auto"/>
        <w:ind w:right="141"/>
        <w:rPr>
          <w:rFonts w:ascii="Times New Roman" w:hAnsi="Times New Roman" w:cs="Times New Roman"/>
          <w:b/>
          <w:sz w:val="20"/>
          <w:szCs w:val="20"/>
          <w:lang w:eastAsia="sk-SK"/>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6"/>
      </w:tblGrid>
      <w:tr w:rsidR="00B53BBB" w:rsidRPr="007451E4" w:rsidTr="000C238E">
        <w:tc>
          <w:tcPr>
            <w:tcW w:w="9176" w:type="dxa"/>
            <w:tcBorders>
              <w:top w:val="single" w:sz="4" w:space="0" w:color="auto"/>
              <w:left w:val="single" w:sz="4" w:space="0" w:color="auto"/>
              <w:bottom w:val="nil"/>
              <w:right w:val="single" w:sz="4" w:space="0" w:color="auto"/>
            </w:tcBorders>
            <w:shd w:val="clear" w:color="auto" w:fill="E2E2E2"/>
          </w:tcPr>
          <w:p w:rsidR="00B53BBB" w:rsidRPr="007451E4" w:rsidRDefault="00B53BBB" w:rsidP="00B53BBB">
            <w:pPr>
              <w:widowControl/>
              <w:numPr>
                <w:ilvl w:val="0"/>
                <w:numId w:val="3"/>
              </w:numPr>
              <w:adjustRightInd/>
              <w:spacing w:after="0" w:line="240" w:lineRule="auto"/>
              <w:ind w:left="426"/>
              <w:contextualSpacing/>
              <w:rPr>
                <w:rFonts w:ascii="Times New Roman" w:eastAsia="Calibri" w:hAnsi="Times New Roman" w:cs="Times New Roman"/>
                <w:b/>
                <w:sz w:val="24"/>
                <w:szCs w:val="24"/>
              </w:rPr>
            </w:pPr>
            <w:r w:rsidRPr="007451E4">
              <w:rPr>
                <w:rFonts w:ascii="Times New Roman" w:eastAsia="Calibri" w:hAnsi="Times New Roman" w:cs="Times New Roman"/>
                <w:b/>
              </w:rPr>
              <w:t>Poznámky</w:t>
            </w:r>
          </w:p>
        </w:tc>
      </w:tr>
      <w:tr w:rsidR="00B53BBB" w:rsidRPr="007451E4" w:rsidTr="000C238E">
        <w:trPr>
          <w:trHeight w:val="713"/>
        </w:trPr>
        <w:tc>
          <w:tcPr>
            <w:tcW w:w="9176" w:type="dxa"/>
            <w:tcBorders>
              <w:top w:val="nil"/>
              <w:left w:val="single" w:sz="4" w:space="0" w:color="auto"/>
              <w:bottom w:val="single" w:sz="4" w:space="0" w:color="FFFFFF"/>
              <w:right w:val="single" w:sz="4" w:space="0" w:color="auto"/>
            </w:tcBorders>
            <w:shd w:val="clear" w:color="auto" w:fill="auto"/>
          </w:tcPr>
          <w:p w:rsidR="00B53BBB" w:rsidRPr="007451E4" w:rsidRDefault="00B53BBB" w:rsidP="000C238E">
            <w:pPr>
              <w:widowControl/>
              <w:adjustRightInd/>
              <w:spacing w:after="0" w:line="240" w:lineRule="auto"/>
              <w:rPr>
                <w:rFonts w:ascii="Times New Roman" w:hAnsi="Times New Roman" w:cs="Times New Roman"/>
                <w:i/>
                <w:sz w:val="20"/>
                <w:szCs w:val="20"/>
                <w:lang w:eastAsia="sk-SK"/>
              </w:rPr>
            </w:pPr>
            <w:r w:rsidRPr="007451E4">
              <w:rPr>
                <w:rFonts w:ascii="Times New Roman" w:hAnsi="Times New Roman" w:cs="Times New Roman"/>
                <w:i/>
                <w:sz w:val="20"/>
                <w:szCs w:val="20"/>
                <w:lang w:eastAsia="sk-SK"/>
              </w:rPr>
              <w:t>V prípade potreby uveďte doplňujúce informácie k návrhu.</w:t>
            </w:r>
          </w:p>
          <w:p w:rsidR="00B53BBB" w:rsidRPr="007451E4" w:rsidRDefault="00B53BBB" w:rsidP="000C238E">
            <w:pPr>
              <w:widowControl/>
              <w:adjustRightInd/>
              <w:spacing w:after="0" w:line="240" w:lineRule="auto"/>
              <w:rPr>
                <w:rFonts w:ascii="Times New Roman" w:hAnsi="Times New Roman" w:cs="Times New Roman"/>
                <w:sz w:val="20"/>
                <w:szCs w:val="20"/>
                <w:lang w:eastAsia="sk-SK"/>
              </w:rPr>
            </w:pPr>
            <w:r w:rsidRPr="007451E4">
              <w:rPr>
                <w:rFonts w:ascii="Times New Roman" w:hAnsi="Times New Roman" w:cs="Times New Roman"/>
                <w:sz w:val="20"/>
                <w:szCs w:val="20"/>
                <w:lang w:eastAsia="sk-SK"/>
              </w:rPr>
              <w:t>Pozitívny vplyv na rozpočet verejnej správy  bude predstavovať  príjem do jadrového fondu.</w:t>
            </w:r>
          </w:p>
          <w:p w:rsidR="00FE2DF1" w:rsidRDefault="00B53BBB">
            <w:pPr>
              <w:widowControl/>
              <w:adjustRightInd/>
              <w:spacing w:after="0" w:line="240" w:lineRule="auto"/>
              <w:jc w:val="both"/>
              <w:rPr>
                <w:rFonts w:ascii="Times New Roman" w:hAnsi="Times New Roman" w:cs="Times New Roman"/>
                <w:sz w:val="20"/>
                <w:szCs w:val="20"/>
                <w:lang w:eastAsia="sk-SK"/>
              </w:rPr>
            </w:pPr>
            <w:r w:rsidRPr="007451E4">
              <w:rPr>
                <w:rFonts w:ascii="Times New Roman" w:hAnsi="Times New Roman" w:cs="Times New Roman"/>
                <w:sz w:val="20"/>
                <w:szCs w:val="20"/>
                <w:lang w:eastAsia="sk-SK"/>
              </w:rPr>
              <w:t>Negatívny vplyv na rozpočet verejnej správy bude predstavovať výdaj spoločnosti JAVYS, a.. s. ktorá je zaradená do sektora verejnej správy,  pričom navrhované zmeny nebudú mať vplyv na výšku dividend.</w:t>
            </w:r>
          </w:p>
          <w:p w:rsidR="00FE2DF1" w:rsidRDefault="004C79C4">
            <w:pPr>
              <w:widowControl/>
              <w:adjustRightInd/>
              <w:spacing w:after="0" w:line="240" w:lineRule="auto"/>
              <w:jc w:val="both"/>
              <w:rPr>
                <w:rFonts w:ascii="Times New Roman" w:hAnsi="Times New Roman" w:cs="Times New Roman"/>
                <w:sz w:val="20"/>
                <w:szCs w:val="20"/>
                <w:lang w:eastAsia="sk-SK"/>
              </w:rPr>
            </w:pPr>
            <w:r w:rsidRPr="004C79C4">
              <w:rPr>
                <w:rFonts w:ascii="Times New Roman" w:hAnsi="Times New Roman" w:cs="Times New Roman"/>
                <w:sz w:val="20"/>
                <w:szCs w:val="20"/>
                <w:lang w:eastAsia="sk-SK"/>
              </w:rPr>
              <w:t>Kvantifikácia uvedená v Analýze vplyvov na rozpočet verejnej správy, na zamestnanosť vo verejnej správe a financovanie návrhu je totožná s vládou schváleným návrhom zákona o Národnom jadrovom fonde a o zmene a doplnení zákona č. 541/2004 Z. z. o mierovom využívaní jadrovej energie (atómový zákon) a o zmene a doplnení niektorých zákonov v znení neskorších predpisov.</w:t>
            </w:r>
          </w:p>
        </w:tc>
      </w:tr>
      <w:tr w:rsidR="00B53BBB" w:rsidRPr="007451E4" w:rsidTr="000C238E">
        <w:tc>
          <w:tcPr>
            <w:tcW w:w="9176" w:type="dxa"/>
            <w:tcBorders>
              <w:top w:val="single" w:sz="4" w:space="0" w:color="auto"/>
              <w:left w:val="single" w:sz="4" w:space="0" w:color="auto"/>
              <w:bottom w:val="single" w:sz="4" w:space="0" w:color="FFFFFF"/>
              <w:right w:val="single" w:sz="4" w:space="0" w:color="auto"/>
            </w:tcBorders>
            <w:shd w:val="clear" w:color="auto" w:fill="E2E2E2"/>
          </w:tcPr>
          <w:p w:rsidR="00B53BBB" w:rsidRPr="007451E4" w:rsidRDefault="00B53BBB" w:rsidP="00B53BBB">
            <w:pPr>
              <w:widowControl/>
              <w:numPr>
                <w:ilvl w:val="0"/>
                <w:numId w:val="3"/>
              </w:numPr>
              <w:adjustRightInd/>
              <w:spacing w:after="0" w:line="240" w:lineRule="auto"/>
              <w:ind w:left="426"/>
              <w:contextualSpacing/>
              <w:rPr>
                <w:rFonts w:ascii="Times New Roman" w:eastAsia="Calibri" w:hAnsi="Times New Roman" w:cs="Times New Roman"/>
                <w:b/>
                <w:sz w:val="24"/>
                <w:szCs w:val="24"/>
              </w:rPr>
            </w:pPr>
            <w:r w:rsidRPr="007451E4">
              <w:rPr>
                <w:rFonts w:ascii="Times New Roman" w:eastAsia="Calibri" w:hAnsi="Times New Roman" w:cs="Times New Roman"/>
                <w:b/>
              </w:rPr>
              <w:t>Kontakt na spracovateľa</w:t>
            </w:r>
          </w:p>
        </w:tc>
      </w:tr>
      <w:tr w:rsidR="00B53BBB" w:rsidRPr="007451E4" w:rsidTr="000C238E">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B53BBB" w:rsidRPr="007451E4" w:rsidRDefault="00B53BBB" w:rsidP="000C238E">
            <w:pPr>
              <w:widowControl/>
              <w:adjustRightInd/>
              <w:spacing w:after="0" w:line="240" w:lineRule="auto"/>
              <w:rPr>
                <w:rFonts w:ascii="Times New Roman" w:hAnsi="Times New Roman" w:cs="Times New Roman"/>
                <w:i/>
                <w:sz w:val="20"/>
                <w:szCs w:val="20"/>
                <w:lang w:eastAsia="sk-SK"/>
              </w:rPr>
            </w:pPr>
            <w:r w:rsidRPr="007451E4">
              <w:rPr>
                <w:rFonts w:ascii="Times New Roman" w:hAnsi="Times New Roman" w:cs="Times New Roman"/>
                <w:i/>
                <w:sz w:val="20"/>
                <w:szCs w:val="20"/>
                <w:lang w:eastAsia="sk-SK"/>
              </w:rPr>
              <w:t>Uveďte údaje na kontaktnú osobu, ktorú je možné kontaktovať v súvislosti s posúdením vybraných vplyvov</w:t>
            </w:r>
          </w:p>
          <w:p w:rsidR="00B53BBB" w:rsidRPr="007451E4" w:rsidRDefault="00B53BBB" w:rsidP="000C238E">
            <w:pPr>
              <w:widowControl/>
              <w:adjustRightInd/>
              <w:spacing w:after="0" w:line="240" w:lineRule="auto"/>
              <w:rPr>
                <w:rFonts w:ascii="Times New Roman" w:hAnsi="Times New Roman" w:cs="Times New Roman"/>
                <w:sz w:val="20"/>
                <w:szCs w:val="20"/>
                <w:lang w:eastAsia="sk-SK"/>
              </w:rPr>
            </w:pPr>
            <w:r w:rsidRPr="007451E4">
              <w:rPr>
                <w:rFonts w:ascii="Times New Roman" w:hAnsi="Times New Roman" w:cs="Times New Roman"/>
                <w:sz w:val="20"/>
                <w:szCs w:val="20"/>
                <w:lang w:eastAsia="sk-SK"/>
              </w:rPr>
              <w:t>Ing. Peter</w:t>
            </w:r>
            <w:r>
              <w:rPr>
                <w:rFonts w:ascii="Times New Roman" w:hAnsi="Times New Roman" w:cs="Times New Roman"/>
                <w:sz w:val="20"/>
                <w:szCs w:val="20"/>
                <w:lang w:eastAsia="sk-SK"/>
              </w:rPr>
              <w:t xml:space="preserve"> </w:t>
            </w:r>
            <w:r w:rsidRPr="007451E4">
              <w:rPr>
                <w:rFonts w:ascii="Times New Roman" w:hAnsi="Times New Roman" w:cs="Times New Roman"/>
                <w:sz w:val="20"/>
                <w:szCs w:val="20"/>
                <w:lang w:eastAsia="sk-SK"/>
              </w:rPr>
              <w:t xml:space="preserve">Neštický, Národný jadrový fond, e-mail: </w:t>
            </w:r>
            <w:hyperlink r:id="rId7" w:history="1">
              <w:r w:rsidRPr="007451E4">
                <w:rPr>
                  <w:rFonts w:ascii="Times New Roman" w:hAnsi="Times New Roman" w:cs="Times New Roman"/>
                  <w:sz w:val="20"/>
                  <w:szCs w:val="20"/>
                  <w:lang w:eastAsia="sk-SK"/>
                </w:rPr>
                <w:t>nesticky@njf.sk</w:t>
              </w:r>
            </w:hyperlink>
            <w:r w:rsidRPr="007451E4">
              <w:rPr>
                <w:rFonts w:ascii="Times New Roman" w:hAnsi="Times New Roman" w:cs="Times New Roman"/>
                <w:sz w:val="20"/>
                <w:szCs w:val="20"/>
                <w:lang w:eastAsia="sk-SK"/>
              </w:rPr>
              <w:t>, tel. 02 48543433</w:t>
            </w:r>
          </w:p>
        </w:tc>
      </w:tr>
      <w:tr w:rsidR="00B53BBB" w:rsidRPr="007451E4" w:rsidTr="000C238E">
        <w:tc>
          <w:tcPr>
            <w:tcW w:w="9176" w:type="dxa"/>
            <w:tcBorders>
              <w:top w:val="single" w:sz="4" w:space="0" w:color="auto"/>
              <w:left w:val="single" w:sz="4" w:space="0" w:color="auto"/>
              <w:bottom w:val="single" w:sz="4" w:space="0" w:color="FFFFFF"/>
              <w:right w:val="single" w:sz="4" w:space="0" w:color="auto"/>
            </w:tcBorders>
            <w:shd w:val="clear" w:color="auto" w:fill="E2E2E2"/>
          </w:tcPr>
          <w:p w:rsidR="00B53BBB" w:rsidRPr="007451E4" w:rsidRDefault="00B53BBB" w:rsidP="00B53BBB">
            <w:pPr>
              <w:widowControl/>
              <w:numPr>
                <w:ilvl w:val="0"/>
                <w:numId w:val="3"/>
              </w:numPr>
              <w:adjustRightInd/>
              <w:spacing w:after="0" w:line="240" w:lineRule="auto"/>
              <w:ind w:left="426"/>
              <w:contextualSpacing/>
              <w:rPr>
                <w:rFonts w:ascii="Times New Roman" w:eastAsia="Calibri" w:hAnsi="Times New Roman" w:cs="Times New Roman"/>
                <w:b/>
                <w:sz w:val="24"/>
                <w:szCs w:val="24"/>
              </w:rPr>
            </w:pPr>
            <w:r w:rsidRPr="007451E4">
              <w:rPr>
                <w:rFonts w:ascii="Times New Roman" w:eastAsia="Calibri" w:hAnsi="Times New Roman" w:cs="Times New Roman"/>
                <w:b/>
              </w:rPr>
              <w:t>Zdroje</w:t>
            </w:r>
          </w:p>
        </w:tc>
      </w:tr>
      <w:tr w:rsidR="00B53BBB" w:rsidRPr="007451E4" w:rsidTr="000C238E">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B53BBB" w:rsidRDefault="00B53BBB" w:rsidP="000C238E">
            <w:pPr>
              <w:widowControl/>
              <w:adjustRightInd/>
              <w:spacing w:after="0" w:line="240" w:lineRule="auto"/>
              <w:rPr>
                <w:rFonts w:ascii="Times New Roman" w:hAnsi="Times New Roman" w:cs="Times New Roman"/>
                <w:i/>
                <w:sz w:val="20"/>
                <w:szCs w:val="20"/>
                <w:lang w:eastAsia="sk-SK"/>
              </w:rPr>
            </w:pPr>
            <w:r w:rsidRPr="007451E4">
              <w:rPr>
                <w:rFonts w:ascii="Times New Roman" w:hAnsi="Times New Roman" w:cs="Times New Roman"/>
                <w:i/>
                <w:sz w:val="20"/>
                <w:szCs w:val="20"/>
                <w:lang w:eastAsia="sk-SK"/>
              </w:rPr>
              <w:t>Uveďte zdroje(štatistiky, prieskumy, spoluprácu s odborníkmi a iné), z ktorých ste pri vypracovávaní doložky, príp. analýz vplyvov vychádzali.</w:t>
            </w:r>
          </w:p>
          <w:p w:rsidR="00B53BBB" w:rsidRPr="00CF4FFC" w:rsidRDefault="00B53BBB" w:rsidP="000C238E">
            <w:pPr>
              <w:widowControl/>
              <w:adjustRightInd/>
              <w:spacing w:after="0" w:line="240" w:lineRule="auto"/>
              <w:rPr>
                <w:rFonts w:ascii="Times New Roman" w:hAnsi="Times New Roman" w:cs="Times New Roman"/>
                <w:sz w:val="20"/>
                <w:szCs w:val="20"/>
                <w:lang w:eastAsia="sk-SK"/>
              </w:rPr>
            </w:pPr>
            <w:r w:rsidRPr="00CF4FFC">
              <w:rPr>
                <w:rFonts w:ascii="Times New Roman" w:hAnsi="Times New Roman" w:cs="Times New Roman"/>
                <w:sz w:val="20"/>
                <w:szCs w:val="20"/>
                <w:lang w:eastAsia="sk-SK"/>
              </w:rPr>
              <w:t>Návrh zákona o NJF predkladaný v roku 2018, obdobné dokumenty predkladané do legislatívneho procesu v</w:t>
            </w:r>
            <w:r>
              <w:rPr>
                <w:rFonts w:ascii="Times New Roman" w:hAnsi="Times New Roman" w:cs="Times New Roman"/>
                <w:sz w:val="20"/>
                <w:szCs w:val="20"/>
                <w:lang w:eastAsia="sk-SK"/>
              </w:rPr>
              <w:t> </w:t>
            </w:r>
            <w:r w:rsidRPr="00CF4FFC">
              <w:rPr>
                <w:rFonts w:ascii="Times New Roman" w:hAnsi="Times New Roman" w:cs="Times New Roman"/>
                <w:sz w:val="20"/>
                <w:szCs w:val="20"/>
                <w:lang w:eastAsia="sk-SK"/>
              </w:rPr>
              <w:t>minulosti</w:t>
            </w:r>
            <w:r>
              <w:rPr>
                <w:rFonts w:ascii="Times New Roman" w:hAnsi="Times New Roman" w:cs="Times New Roman"/>
                <w:sz w:val="20"/>
                <w:szCs w:val="20"/>
                <w:lang w:eastAsia="sk-SK"/>
              </w:rPr>
              <w:t>.</w:t>
            </w:r>
          </w:p>
        </w:tc>
      </w:tr>
      <w:tr w:rsidR="00B53BBB" w:rsidRPr="007451E4" w:rsidTr="000C238E">
        <w:tc>
          <w:tcPr>
            <w:tcW w:w="9176" w:type="dxa"/>
            <w:tcBorders>
              <w:top w:val="single" w:sz="4" w:space="0" w:color="auto"/>
              <w:left w:val="single" w:sz="4" w:space="0" w:color="auto"/>
              <w:bottom w:val="single" w:sz="4" w:space="0" w:color="FFFFFF"/>
              <w:right w:val="single" w:sz="4" w:space="0" w:color="auto"/>
            </w:tcBorders>
            <w:shd w:val="clear" w:color="auto" w:fill="E2E2E2"/>
          </w:tcPr>
          <w:p w:rsidR="00B53BBB" w:rsidRPr="007451E4" w:rsidRDefault="00B53BBB" w:rsidP="00B53BBB">
            <w:pPr>
              <w:widowControl/>
              <w:numPr>
                <w:ilvl w:val="0"/>
                <w:numId w:val="3"/>
              </w:numPr>
              <w:adjustRightInd/>
              <w:spacing w:after="0" w:line="240" w:lineRule="auto"/>
              <w:ind w:left="426"/>
              <w:contextualSpacing/>
              <w:rPr>
                <w:rFonts w:ascii="Times New Roman" w:eastAsia="Calibri" w:hAnsi="Times New Roman" w:cs="Times New Roman"/>
                <w:b/>
                <w:sz w:val="24"/>
                <w:szCs w:val="24"/>
              </w:rPr>
            </w:pPr>
            <w:r w:rsidRPr="007451E4">
              <w:rPr>
                <w:rFonts w:ascii="Times New Roman" w:eastAsia="Calibri" w:hAnsi="Times New Roman" w:cs="Times New Roman"/>
                <w:b/>
              </w:rPr>
              <w:t>Stanovisko Komisie pre posudzovanie vybraných vplyvov z PPK</w:t>
            </w:r>
          </w:p>
        </w:tc>
      </w:tr>
      <w:tr w:rsidR="00B53BBB" w:rsidRPr="007451E4" w:rsidTr="000C238E">
        <w:tc>
          <w:tcPr>
            <w:tcW w:w="9176" w:type="dxa"/>
            <w:tcBorders>
              <w:top w:val="single" w:sz="4" w:space="0" w:color="FFFFFF"/>
              <w:left w:val="single" w:sz="4" w:space="0" w:color="auto"/>
              <w:bottom w:val="single" w:sz="4" w:space="0" w:color="auto"/>
              <w:right w:val="single" w:sz="4" w:space="0" w:color="auto"/>
            </w:tcBorders>
            <w:shd w:val="clear" w:color="auto" w:fill="FFFFFF"/>
          </w:tcPr>
          <w:p w:rsidR="00B53BBB" w:rsidRDefault="00B53BBB" w:rsidP="000C238E">
            <w:pPr>
              <w:widowControl/>
              <w:adjustRightInd/>
              <w:spacing w:after="0" w:line="240" w:lineRule="auto"/>
              <w:rPr>
                <w:rFonts w:ascii="Times New Roman" w:hAnsi="Times New Roman" w:cs="Times New Roman"/>
                <w:i/>
                <w:sz w:val="20"/>
                <w:szCs w:val="20"/>
                <w:lang w:eastAsia="sk-SK"/>
              </w:rPr>
            </w:pPr>
            <w:r w:rsidRPr="007451E4">
              <w:rPr>
                <w:rFonts w:ascii="Times New Roman" w:hAnsi="Times New Roman" w:cs="Times New Roman"/>
                <w:i/>
                <w:sz w:val="20"/>
                <w:szCs w:val="20"/>
                <w:lang w:eastAsia="sk-SK"/>
              </w:rPr>
              <w:t>Uveďte stanovisko Komisie pre posudzovanie vybraných vplyvov, ktoré Vám bolo zaslané v rámci predbežného pripomienkového konania</w:t>
            </w:r>
          </w:p>
          <w:p w:rsidR="006D2D5A" w:rsidRDefault="006D2D5A" w:rsidP="000C238E">
            <w:pPr>
              <w:widowControl/>
              <w:adjustRightInd/>
              <w:spacing w:after="0" w:line="240" w:lineRule="auto"/>
              <w:rPr>
                <w:rFonts w:ascii="Times New Roman" w:hAnsi="Times New Roman" w:cs="Times New Roman"/>
                <w:i/>
                <w:sz w:val="20"/>
                <w:szCs w:val="20"/>
                <w:lang w:eastAsia="sk-SK"/>
              </w:rPr>
            </w:pPr>
          </w:p>
          <w:p w:rsidR="006D2D5A" w:rsidRPr="006D2D5A" w:rsidRDefault="006D2D5A" w:rsidP="006D2D5A">
            <w:pPr>
              <w:tabs>
                <w:tab w:val="center" w:pos="6379"/>
              </w:tabs>
              <w:ind w:right="-2"/>
              <w:jc w:val="both"/>
              <w:rPr>
                <w:rFonts w:ascii="Times New Roman" w:hAnsi="Times New Roman" w:cs="Times New Roman"/>
                <w:sz w:val="20"/>
                <w:szCs w:val="20"/>
                <w:lang w:eastAsia="sk-SK"/>
              </w:rPr>
            </w:pPr>
            <w:r w:rsidRPr="006D2D5A">
              <w:rPr>
                <w:rFonts w:ascii="Times New Roman" w:hAnsi="Times New Roman" w:cs="Times New Roman"/>
                <w:sz w:val="20"/>
                <w:szCs w:val="20"/>
                <w:lang w:eastAsia="sk-SK"/>
              </w:rPr>
              <w:t xml:space="preserve">Stála pracovná komisia na posudzovanie vybraných vplyvov vyjadruje </w:t>
            </w:r>
          </w:p>
          <w:p w:rsidR="006D2D5A" w:rsidRPr="006D2D5A" w:rsidRDefault="006D2D5A" w:rsidP="006D2D5A">
            <w:pPr>
              <w:tabs>
                <w:tab w:val="center" w:pos="6379"/>
              </w:tabs>
              <w:ind w:right="-2"/>
              <w:jc w:val="center"/>
              <w:rPr>
                <w:rFonts w:ascii="Times New Roman" w:hAnsi="Times New Roman" w:cs="Times New Roman"/>
                <w:b/>
                <w:sz w:val="20"/>
                <w:szCs w:val="20"/>
                <w:lang w:eastAsia="sk-SK"/>
              </w:rPr>
            </w:pPr>
            <w:r w:rsidRPr="006D2D5A">
              <w:rPr>
                <w:rFonts w:ascii="Times New Roman" w:hAnsi="Times New Roman" w:cs="Times New Roman"/>
                <w:b/>
                <w:sz w:val="20"/>
                <w:szCs w:val="20"/>
                <w:lang w:eastAsia="sk-SK"/>
              </w:rPr>
              <w:t xml:space="preserve">súhlasné stanovisko </w:t>
            </w:r>
          </w:p>
          <w:p w:rsidR="006D2D5A" w:rsidRPr="006D2D5A" w:rsidRDefault="006D2D5A" w:rsidP="006D2D5A">
            <w:pPr>
              <w:tabs>
                <w:tab w:val="center" w:pos="6379"/>
              </w:tabs>
              <w:ind w:right="-2"/>
              <w:jc w:val="both"/>
              <w:rPr>
                <w:rFonts w:ascii="Times New Roman" w:hAnsi="Times New Roman" w:cs="Times New Roman"/>
                <w:sz w:val="20"/>
                <w:szCs w:val="20"/>
                <w:lang w:eastAsia="sk-SK"/>
              </w:rPr>
            </w:pPr>
            <w:r w:rsidRPr="006D2D5A">
              <w:rPr>
                <w:rFonts w:ascii="Times New Roman" w:hAnsi="Times New Roman" w:cs="Times New Roman"/>
                <w:sz w:val="20"/>
                <w:szCs w:val="20"/>
                <w:lang w:eastAsia="sk-SK"/>
              </w:rPr>
              <w:lastRenderedPageBreak/>
              <w:t>s materiálom predloženým na predbežné pripomienkové konanie.</w:t>
            </w:r>
          </w:p>
          <w:p w:rsidR="00B53BBB" w:rsidRPr="007451E4" w:rsidRDefault="00B53BBB" w:rsidP="000C238E">
            <w:pPr>
              <w:widowControl/>
              <w:tabs>
                <w:tab w:val="center" w:pos="6379"/>
              </w:tabs>
              <w:adjustRightInd/>
              <w:spacing w:after="0" w:line="240" w:lineRule="auto"/>
              <w:ind w:right="-2"/>
              <w:jc w:val="both"/>
              <w:rPr>
                <w:rFonts w:ascii="Times New Roman" w:hAnsi="Times New Roman" w:cs="Times New Roman"/>
                <w:i/>
                <w:sz w:val="20"/>
                <w:szCs w:val="20"/>
                <w:lang w:eastAsia="sk-SK"/>
              </w:rPr>
            </w:pPr>
          </w:p>
        </w:tc>
      </w:tr>
    </w:tbl>
    <w:p w:rsidR="004E7B6D" w:rsidRDefault="004E7B6D" w:rsidP="004E7B6D">
      <w:pPr>
        <w:spacing w:after="0" w:line="240" w:lineRule="auto"/>
        <w:jc w:val="center"/>
        <w:rPr>
          <w:rFonts w:ascii="Times New Roman" w:hAnsi="Times New Roman" w:cs="Times New Roman"/>
          <w:b/>
          <w:bCs/>
          <w:sz w:val="28"/>
          <w:szCs w:val="28"/>
          <w:lang w:eastAsia="sk-SK"/>
        </w:rPr>
      </w:pPr>
      <w:bookmarkStart w:id="0" w:name="_GoBack"/>
      <w:bookmarkEnd w:id="0"/>
    </w:p>
    <w:p w:rsidR="004E7B6D" w:rsidRPr="00D53C96" w:rsidRDefault="004E7B6D" w:rsidP="004E7B6D">
      <w:pPr>
        <w:spacing w:after="0" w:line="240" w:lineRule="auto"/>
        <w:jc w:val="center"/>
        <w:rPr>
          <w:rFonts w:ascii="Times New Roman" w:hAnsi="Times New Roman" w:cs="Times New Roman"/>
          <w:b/>
          <w:bCs/>
          <w:sz w:val="28"/>
          <w:szCs w:val="28"/>
          <w:lang w:eastAsia="sk-SK"/>
        </w:rPr>
      </w:pPr>
      <w:r w:rsidRPr="00D53C96">
        <w:rPr>
          <w:rFonts w:ascii="Times New Roman" w:hAnsi="Times New Roman" w:cs="Times New Roman"/>
          <w:b/>
          <w:bCs/>
          <w:sz w:val="28"/>
          <w:szCs w:val="28"/>
          <w:lang w:eastAsia="sk-SK"/>
        </w:rPr>
        <w:t>Analýza vplyvov na rozpočet verejnej správy,</w:t>
      </w:r>
    </w:p>
    <w:p w:rsidR="004E7B6D" w:rsidRPr="00D53C96" w:rsidRDefault="004E7B6D" w:rsidP="004E7B6D">
      <w:pPr>
        <w:spacing w:after="0" w:line="240" w:lineRule="auto"/>
        <w:jc w:val="center"/>
        <w:rPr>
          <w:rFonts w:ascii="Times New Roman" w:hAnsi="Times New Roman" w:cs="Times New Roman"/>
          <w:b/>
          <w:bCs/>
          <w:sz w:val="28"/>
          <w:szCs w:val="28"/>
          <w:lang w:eastAsia="sk-SK"/>
        </w:rPr>
      </w:pPr>
      <w:r w:rsidRPr="00D53C96">
        <w:rPr>
          <w:rFonts w:ascii="Times New Roman" w:hAnsi="Times New Roman" w:cs="Times New Roman"/>
          <w:b/>
          <w:bCs/>
          <w:sz w:val="28"/>
          <w:szCs w:val="28"/>
          <w:lang w:eastAsia="sk-SK"/>
        </w:rPr>
        <w:t>na zamestnanosť vo verejnej správe a financovanie návrhu</w:t>
      </w:r>
    </w:p>
    <w:p w:rsidR="004E7B6D" w:rsidRPr="00D53C96" w:rsidRDefault="004E7B6D" w:rsidP="004E7B6D">
      <w:pPr>
        <w:spacing w:after="0" w:line="240" w:lineRule="auto"/>
        <w:jc w:val="right"/>
        <w:rPr>
          <w:rFonts w:ascii="Times New Roman" w:hAnsi="Times New Roman" w:cs="Times New Roman"/>
          <w:b/>
          <w:bCs/>
          <w:sz w:val="24"/>
          <w:szCs w:val="24"/>
          <w:lang w:eastAsia="sk-SK"/>
        </w:rPr>
      </w:pPr>
    </w:p>
    <w:p w:rsidR="004E7B6D" w:rsidRPr="00D53C96" w:rsidRDefault="004E7B6D" w:rsidP="004E7B6D">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2.1 Zhrnutie vplyvov na rozpočet verejnej správy v návrhu</w:t>
      </w:r>
    </w:p>
    <w:p w:rsidR="004E7B6D" w:rsidRPr="00D53C96" w:rsidRDefault="004E7B6D" w:rsidP="004E7B6D">
      <w:pPr>
        <w:spacing w:after="0" w:line="240" w:lineRule="auto"/>
        <w:jc w:val="right"/>
        <w:rPr>
          <w:rFonts w:ascii="Times New Roman" w:hAnsi="Times New Roman" w:cs="Times New Roman"/>
          <w:sz w:val="20"/>
          <w:szCs w:val="20"/>
          <w:lang w:eastAsia="sk-SK"/>
        </w:rPr>
      </w:pPr>
    </w:p>
    <w:p w:rsidR="004E7B6D" w:rsidRPr="00D53C96" w:rsidRDefault="004E7B6D" w:rsidP="004E7B6D">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 xml:space="preserve">Tabuľka č. 1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1"/>
        <w:gridCol w:w="740"/>
        <w:gridCol w:w="1418"/>
        <w:gridCol w:w="1417"/>
        <w:gridCol w:w="1382"/>
      </w:tblGrid>
      <w:tr w:rsidR="004E7B6D" w:rsidRPr="00D53C96" w:rsidTr="008A4E1A">
        <w:trPr>
          <w:cantSplit/>
          <w:trHeight w:val="194"/>
          <w:jc w:val="center"/>
        </w:trPr>
        <w:tc>
          <w:tcPr>
            <w:tcW w:w="4961" w:type="dxa"/>
            <w:vMerge w:val="restart"/>
            <w:shd w:val="clear" w:color="auto" w:fill="BFBFBF"/>
            <w:vAlign w:val="center"/>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Vplyvy na rozpočet verejnej správy</w:t>
            </w:r>
          </w:p>
        </w:tc>
        <w:tc>
          <w:tcPr>
            <w:tcW w:w="4957" w:type="dxa"/>
            <w:gridSpan w:val="4"/>
            <w:shd w:val="clear" w:color="auto" w:fill="BFBFBF"/>
            <w:vAlign w:val="center"/>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Vplyv na rozpočet verejnej správy (v eurách)</w:t>
            </w:r>
          </w:p>
        </w:tc>
      </w:tr>
      <w:tr w:rsidR="004E7B6D" w:rsidRPr="00D53C96" w:rsidTr="008A4E1A">
        <w:trPr>
          <w:cantSplit/>
          <w:trHeight w:val="70"/>
          <w:jc w:val="center"/>
        </w:trPr>
        <w:tc>
          <w:tcPr>
            <w:tcW w:w="4961" w:type="dxa"/>
            <w:vMerge/>
            <w:shd w:val="clear" w:color="auto" w:fill="BFBFBF"/>
            <w:vAlign w:val="center"/>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740" w:type="dxa"/>
            <w:shd w:val="clear" w:color="auto" w:fill="BFBFBF"/>
            <w:vAlign w:val="center"/>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2018</w:t>
            </w:r>
          </w:p>
        </w:tc>
        <w:tc>
          <w:tcPr>
            <w:tcW w:w="1418" w:type="dxa"/>
            <w:shd w:val="clear" w:color="auto" w:fill="BFBFBF"/>
            <w:vAlign w:val="center"/>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2019</w:t>
            </w:r>
          </w:p>
        </w:tc>
        <w:tc>
          <w:tcPr>
            <w:tcW w:w="1417" w:type="dxa"/>
            <w:shd w:val="clear" w:color="auto" w:fill="BFBFBF"/>
            <w:vAlign w:val="center"/>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2020</w:t>
            </w:r>
          </w:p>
        </w:tc>
        <w:tc>
          <w:tcPr>
            <w:tcW w:w="1382" w:type="dxa"/>
            <w:shd w:val="clear" w:color="auto" w:fill="BFBFBF"/>
            <w:vAlign w:val="center"/>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2021</w:t>
            </w:r>
          </w:p>
        </w:tc>
      </w:tr>
      <w:tr w:rsidR="004E7B6D" w:rsidRPr="00D53C96" w:rsidTr="008A4E1A">
        <w:trPr>
          <w:trHeight w:val="70"/>
          <w:jc w:val="center"/>
        </w:trPr>
        <w:tc>
          <w:tcPr>
            <w:tcW w:w="4961" w:type="dxa"/>
            <w:shd w:val="clear" w:color="auto" w:fill="C0C0C0"/>
            <w:noWrap/>
            <w:vAlign w:val="center"/>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b/>
                <w:bCs/>
                <w:sz w:val="24"/>
                <w:szCs w:val="24"/>
                <w:lang w:eastAsia="sk-SK"/>
              </w:rPr>
              <w:t>Príjmy verejnej správy celkom</w:t>
            </w:r>
          </w:p>
        </w:tc>
        <w:tc>
          <w:tcPr>
            <w:tcW w:w="740" w:type="dxa"/>
            <w:shd w:val="clear" w:color="auto" w:fill="C0C0C0"/>
            <w:vAlign w:val="center"/>
          </w:tcPr>
          <w:p w:rsidR="004E7B6D" w:rsidRPr="00D53C96" w:rsidRDefault="004E7B6D" w:rsidP="008A4E1A">
            <w:pPr>
              <w:spacing w:after="0" w:line="240" w:lineRule="auto"/>
              <w:jc w:val="right"/>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0</w:t>
            </w:r>
          </w:p>
        </w:tc>
        <w:tc>
          <w:tcPr>
            <w:tcW w:w="1418" w:type="dxa"/>
            <w:shd w:val="clear" w:color="auto" w:fill="C0C0C0"/>
            <w:vAlign w:val="center"/>
          </w:tcPr>
          <w:p w:rsidR="004E7B6D" w:rsidRPr="00D53C96" w:rsidRDefault="004E7B6D" w:rsidP="008A4E1A">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11 719 869</w:t>
            </w:r>
          </w:p>
        </w:tc>
        <w:tc>
          <w:tcPr>
            <w:tcW w:w="1417" w:type="dxa"/>
            <w:shd w:val="clear" w:color="auto" w:fill="C0C0C0"/>
            <w:vAlign w:val="center"/>
          </w:tcPr>
          <w:p w:rsidR="004E7B6D" w:rsidRPr="00D53C96" w:rsidRDefault="004E7B6D" w:rsidP="008A4E1A">
            <w:pPr>
              <w:spacing w:after="0" w:line="240" w:lineRule="auto"/>
              <w:jc w:val="right"/>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10 641 425</w:t>
            </w:r>
          </w:p>
        </w:tc>
        <w:tc>
          <w:tcPr>
            <w:tcW w:w="1382" w:type="dxa"/>
            <w:shd w:val="clear" w:color="auto" w:fill="C0C0C0"/>
            <w:vAlign w:val="center"/>
          </w:tcPr>
          <w:p w:rsidR="004E7B6D" w:rsidRPr="00D53C96" w:rsidRDefault="004E7B6D" w:rsidP="008A4E1A">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8 694 394</w:t>
            </w:r>
          </w:p>
        </w:tc>
      </w:tr>
      <w:tr w:rsidR="004E7B6D" w:rsidRPr="00D53C96" w:rsidTr="008A4E1A">
        <w:trPr>
          <w:trHeight w:val="132"/>
          <w:jc w:val="center"/>
        </w:trPr>
        <w:tc>
          <w:tcPr>
            <w:tcW w:w="4961" w:type="dxa"/>
            <w:noWrap/>
            <w:vAlign w:val="center"/>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v tom: za každý subjekt verejnej správy zvlášť</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bCs/>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bCs/>
                <w:sz w:val="24"/>
                <w:szCs w:val="24"/>
                <w:lang w:eastAsia="sk-SK"/>
              </w:rPr>
              <w:t>0</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bCs/>
                <w:sz w:val="24"/>
                <w:szCs w:val="24"/>
                <w:lang w:eastAsia="sk-SK"/>
              </w:rPr>
              <w:t>0</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bCs/>
                <w:sz w:val="24"/>
                <w:szCs w:val="24"/>
                <w:lang w:eastAsia="sk-SK"/>
              </w:rPr>
              <w:t>0</w:t>
            </w:r>
          </w:p>
        </w:tc>
      </w:tr>
      <w:tr w:rsidR="004E7B6D" w:rsidRPr="00D53C96" w:rsidTr="008A4E1A">
        <w:trPr>
          <w:trHeight w:val="70"/>
          <w:jc w:val="center"/>
        </w:trPr>
        <w:tc>
          <w:tcPr>
            <w:tcW w:w="4961" w:type="dxa"/>
            <w:noWrap/>
            <w:vAlign w:val="center"/>
          </w:tcPr>
          <w:p w:rsidR="004E7B6D" w:rsidRPr="00D53C96" w:rsidRDefault="004E7B6D" w:rsidP="008A4E1A">
            <w:pPr>
              <w:spacing w:after="0" w:line="240" w:lineRule="auto"/>
              <w:rPr>
                <w:rFonts w:ascii="Times New Roman" w:hAnsi="Times New Roman" w:cs="Times New Roman"/>
                <w:b/>
                <w:bCs/>
                <w:i/>
                <w:iCs/>
                <w:sz w:val="24"/>
                <w:szCs w:val="24"/>
                <w:lang w:eastAsia="sk-SK"/>
              </w:rPr>
            </w:pPr>
            <w:r w:rsidRPr="00D53C96">
              <w:rPr>
                <w:rFonts w:ascii="Times New Roman" w:hAnsi="Times New Roman" w:cs="Times New Roman"/>
                <w:b/>
                <w:bCs/>
                <w:i/>
                <w:iCs/>
                <w:sz w:val="24"/>
                <w:szCs w:val="24"/>
                <w:lang w:eastAsia="sk-SK"/>
              </w:rPr>
              <w:t xml:space="preserve">z toho:  </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p>
        </w:tc>
      </w:tr>
      <w:tr w:rsidR="004E7B6D" w:rsidRPr="00D53C96" w:rsidTr="008A4E1A">
        <w:trPr>
          <w:trHeight w:val="125"/>
          <w:jc w:val="center"/>
        </w:trPr>
        <w:tc>
          <w:tcPr>
            <w:tcW w:w="4961" w:type="dxa"/>
            <w:noWrap/>
            <w:vAlign w:val="center"/>
          </w:tcPr>
          <w:p w:rsidR="004E7B6D" w:rsidRPr="00D53C96" w:rsidRDefault="004E7B6D" w:rsidP="008A4E1A">
            <w:pPr>
              <w:spacing w:after="0" w:line="240" w:lineRule="auto"/>
              <w:rPr>
                <w:rFonts w:ascii="Times New Roman" w:hAnsi="Times New Roman" w:cs="Times New Roman"/>
                <w:b/>
                <w:bCs/>
                <w:i/>
                <w:iCs/>
                <w:sz w:val="24"/>
                <w:szCs w:val="24"/>
                <w:lang w:eastAsia="sk-SK"/>
              </w:rPr>
            </w:pPr>
            <w:r w:rsidRPr="00D53C96">
              <w:rPr>
                <w:rFonts w:ascii="Times New Roman" w:hAnsi="Times New Roman" w:cs="Times New Roman"/>
                <w:b/>
                <w:bCs/>
                <w:i/>
                <w:iCs/>
                <w:sz w:val="24"/>
                <w:szCs w:val="24"/>
                <w:lang w:eastAsia="sk-SK"/>
              </w:rPr>
              <w:t>- vplyv na ŠR</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r>
      <w:tr w:rsidR="004E7B6D" w:rsidRPr="00D53C96" w:rsidTr="008A4E1A">
        <w:trPr>
          <w:trHeight w:val="125"/>
          <w:jc w:val="center"/>
        </w:trPr>
        <w:tc>
          <w:tcPr>
            <w:tcW w:w="4961" w:type="dxa"/>
            <w:noWrap/>
            <w:vAlign w:val="center"/>
          </w:tcPr>
          <w:p w:rsidR="004E7B6D" w:rsidRPr="00D53C96" w:rsidRDefault="004E7B6D" w:rsidP="008A4E1A">
            <w:pPr>
              <w:spacing w:after="0" w:line="240" w:lineRule="auto"/>
              <w:ind w:left="259"/>
              <w:rPr>
                <w:rFonts w:ascii="Times New Roman" w:hAnsi="Times New Roman" w:cs="Times New Roman"/>
                <w:b/>
                <w:bCs/>
                <w:i/>
                <w:iCs/>
                <w:sz w:val="24"/>
                <w:szCs w:val="24"/>
                <w:lang w:eastAsia="sk-SK"/>
              </w:rPr>
            </w:pPr>
            <w:r w:rsidRPr="00D53C96">
              <w:rPr>
                <w:rFonts w:ascii="Times New Roman" w:hAnsi="Times New Roman" w:cs="Times New Roman"/>
                <w:bCs/>
                <w:i/>
                <w:iCs/>
                <w:sz w:val="24"/>
                <w:szCs w:val="24"/>
                <w:lang w:eastAsia="sk-SK"/>
              </w:rPr>
              <w:t>Rozpočtové prostriedky</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r>
      <w:tr w:rsidR="004E7B6D" w:rsidRPr="00D53C96" w:rsidTr="008A4E1A">
        <w:trPr>
          <w:trHeight w:val="125"/>
          <w:jc w:val="center"/>
        </w:trPr>
        <w:tc>
          <w:tcPr>
            <w:tcW w:w="4961" w:type="dxa"/>
            <w:noWrap/>
            <w:vAlign w:val="center"/>
          </w:tcPr>
          <w:p w:rsidR="004E7B6D" w:rsidRPr="00D53C96" w:rsidRDefault="004E7B6D" w:rsidP="008A4E1A">
            <w:pPr>
              <w:spacing w:after="0" w:line="240" w:lineRule="auto"/>
              <w:ind w:left="259"/>
              <w:rPr>
                <w:rFonts w:ascii="Times New Roman" w:hAnsi="Times New Roman" w:cs="Times New Roman"/>
                <w:bCs/>
                <w:i/>
                <w:iCs/>
                <w:sz w:val="24"/>
                <w:szCs w:val="24"/>
                <w:lang w:eastAsia="sk-SK"/>
              </w:rPr>
            </w:pPr>
            <w:r w:rsidRPr="00D53C96">
              <w:rPr>
                <w:rFonts w:ascii="Times New Roman" w:hAnsi="Times New Roman" w:cs="Times New Roman"/>
                <w:bCs/>
                <w:i/>
                <w:iCs/>
                <w:sz w:val="24"/>
                <w:szCs w:val="24"/>
                <w:lang w:eastAsia="sk-SK"/>
              </w:rPr>
              <w:t>EÚ zdroje</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r>
      <w:tr w:rsidR="004E7B6D" w:rsidRPr="00D53C96" w:rsidTr="008A4E1A">
        <w:trPr>
          <w:trHeight w:val="125"/>
          <w:jc w:val="center"/>
        </w:trPr>
        <w:tc>
          <w:tcPr>
            <w:tcW w:w="4961" w:type="dxa"/>
            <w:noWrap/>
            <w:vAlign w:val="center"/>
          </w:tcPr>
          <w:p w:rsidR="004E7B6D" w:rsidRPr="00D53C96" w:rsidRDefault="004E7B6D" w:rsidP="008A4E1A">
            <w:pPr>
              <w:spacing w:after="0" w:line="240" w:lineRule="auto"/>
              <w:rPr>
                <w:rFonts w:ascii="Times New Roman" w:hAnsi="Times New Roman" w:cs="Times New Roman"/>
                <w:b/>
                <w:bCs/>
                <w:i/>
                <w:iCs/>
                <w:sz w:val="24"/>
                <w:szCs w:val="24"/>
                <w:lang w:eastAsia="sk-SK"/>
              </w:rPr>
            </w:pPr>
            <w:r w:rsidRPr="00D53C96">
              <w:rPr>
                <w:rFonts w:ascii="Times New Roman" w:hAnsi="Times New Roman" w:cs="Times New Roman"/>
                <w:b/>
                <w:bCs/>
                <w:i/>
                <w:iCs/>
                <w:sz w:val="24"/>
                <w:szCs w:val="24"/>
                <w:lang w:eastAsia="sk-SK"/>
              </w:rPr>
              <w:t>- vplyv na obce</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r>
      <w:tr w:rsidR="004E7B6D" w:rsidRPr="00D53C96" w:rsidTr="008A4E1A">
        <w:trPr>
          <w:trHeight w:val="125"/>
          <w:jc w:val="center"/>
        </w:trPr>
        <w:tc>
          <w:tcPr>
            <w:tcW w:w="4961" w:type="dxa"/>
            <w:noWrap/>
            <w:vAlign w:val="center"/>
          </w:tcPr>
          <w:p w:rsidR="004E7B6D" w:rsidRPr="00D53C96" w:rsidRDefault="004E7B6D" w:rsidP="008A4E1A">
            <w:pPr>
              <w:spacing w:after="0" w:line="240" w:lineRule="auto"/>
              <w:rPr>
                <w:rFonts w:ascii="Times New Roman" w:hAnsi="Times New Roman" w:cs="Times New Roman"/>
                <w:b/>
                <w:bCs/>
                <w:i/>
                <w:iCs/>
                <w:sz w:val="24"/>
                <w:szCs w:val="24"/>
                <w:lang w:eastAsia="sk-SK"/>
              </w:rPr>
            </w:pPr>
            <w:r w:rsidRPr="00D53C96">
              <w:rPr>
                <w:rFonts w:ascii="Times New Roman" w:hAnsi="Times New Roman" w:cs="Times New Roman"/>
                <w:b/>
                <w:bCs/>
                <w:i/>
                <w:iCs/>
                <w:sz w:val="24"/>
                <w:szCs w:val="24"/>
                <w:lang w:eastAsia="sk-SK"/>
              </w:rPr>
              <w:t>- vplyv na vyššie územné celky</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r>
      <w:tr w:rsidR="004E7B6D" w:rsidRPr="00D53C96" w:rsidTr="008A4E1A">
        <w:trPr>
          <w:trHeight w:val="125"/>
          <w:jc w:val="center"/>
        </w:trPr>
        <w:tc>
          <w:tcPr>
            <w:tcW w:w="4961" w:type="dxa"/>
            <w:noWrap/>
            <w:vAlign w:val="center"/>
          </w:tcPr>
          <w:p w:rsidR="004E7B6D" w:rsidRPr="00D53C96" w:rsidRDefault="004E7B6D" w:rsidP="008A4E1A">
            <w:pPr>
              <w:spacing w:after="0" w:line="240" w:lineRule="auto"/>
              <w:rPr>
                <w:rFonts w:ascii="Times New Roman" w:hAnsi="Times New Roman" w:cs="Times New Roman"/>
                <w:b/>
                <w:bCs/>
                <w:i/>
                <w:iCs/>
                <w:sz w:val="24"/>
                <w:szCs w:val="24"/>
                <w:lang w:eastAsia="sk-SK"/>
              </w:rPr>
            </w:pPr>
            <w:r w:rsidRPr="00D53C96">
              <w:rPr>
                <w:rFonts w:ascii="Times New Roman" w:hAnsi="Times New Roman" w:cs="Times New Roman"/>
                <w:b/>
                <w:bCs/>
                <w:i/>
                <w:iCs/>
                <w:sz w:val="24"/>
                <w:szCs w:val="24"/>
                <w:lang w:eastAsia="sk-SK"/>
              </w:rPr>
              <w:t>- vplyv na ostatné subjekty verejnej správy (NJF)</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sz w:val="24"/>
                <w:szCs w:val="24"/>
                <w:lang w:eastAsia="sk-SK"/>
              </w:rPr>
              <w:t>11 719 869</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sz w:val="24"/>
                <w:szCs w:val="24"/>
                <w:lang w:eastAsia="sk-SK"/>
              </w:rPr>
              <w:t>10 641 425</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sz w:val="24"/>
                <w:szCs w:val="24"/>
                <w:lang w:eastAsia="sk-SK"/>
              </w:rPr>
              <w:t>8 694 394</w:t>
            </w:r>
          </w:p>
        </w:tc>
      </w:tr>
      <w:tr w:rsidR="004E7B6D" w:rsidRPr="00D53C96" w:rsidTr="008A4E1A">
        <w:trPr>
          <w:trHeight w:val="125"/>
          <w:jc w:val="center"/>
        </w:trPr>
        <w:tc>
          <w:tcPr>
            <w:tcW w:w="4961" w:type="dxa"/>
            <w:shd w:val="clear" w:color="auto" w:fill="C0C0C0"/>
            <w:noWrap/>
            <w:vAlign w:val="center"/>
          </w:tcPr>
          <w:p w:rsidR="004E7B6D" w:rsidRPr="00D53C96" w:rsidRDefault="004E7B6D" w:rsidP="008A4E1A">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Výdavky verejnej správy celkom</w:t>
            </w:r>
          </w:p>
        </w:tc>
        <w:tc>
          <w:tcPr>
            <w:tcW w:w="740" w:type="dxa"/>
            <w:shd w:val="clear" w:color="auto" w:fill="C0C0C0"/>
            <w:noWrap/>
            <w:vAlign w:val="center"/>
          </w:tcPr>
          <w:p w:rsidR="004E7B6D" w:rsidRPr="00D53C96" w:rsidRDefault="004E7B6D" w:rsidP="008A4E1A">
            <w:pPr>
              <w:spacing w:after="0" w:line="240" w:lineRule="auto"/>
              <w:jc w:val="right"/>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0</w:t>
            </w:r>
          </w:p>
        </w:tc>
        <w:tc>
          <w:tcPr>
            <w:tcW w:w="1418" w:type="dxa"/>
            <w:shd w:val="clear" w:color="auto" w:fill="C0C0C0"/>
            <w:noWrap/>
            <w:vAlign w:val="center"/>
          </w:tcPr>
          <w:p w:rsidR="004E7B6D" w:rsidRPr="00D53C96" w:rsidRDefault="004E7B6D" w:rsidP="008A4E1A">
            <w:pPr>
              <w:spacing w:after="0" w:line="240" w:lineRule="auto"/>
              <w:jc w:val="right"/>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4 365 482</w:t>
            </w:r>
          </w:p>
        </w:tc>
        <w:tc>
          <w:tcPr>
            <w:tcW w:w="1417" w:type="dxa"/>
            <w:shd w:val="clear" w:color="auto" w:fill="C0C0C0"/>
            <w:noWrap/>
            <w:vAlign w:val="center"/>
          </w:tcPr>
          <w:p w:rsidR="004E7B6D" w:rsidRPr="00D53C96" w:rsidRDefault="004E7B6D" w:rsidP="008A4E1A">
            <w:pPr>
              <w:spacing w:after="0" w:line="240" w:lineRule="auto"/>
              <w:jc w:val="right"/>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4 452 792</w:t>
            </w:r>
          </w:p>
        </w:tc>
        <w:tc>
          <w:tcPr>
            <w:tcW w:w="1382" w:type="dxa"/>
            <w:shd w:val="clear" w:color="auto" w:fill="C0C0C0"/>
            <w:noWrap/>
            <w:vAlign w:val="center"/>
          </w:tcPr>
          <w:p w:rsidR="004E7B6D" w:rsidRPr="00D53C96" w:rsidRDefault="004E7B6D" w:rsidP="008A4E1A">
            <w:pPr>
              <w:spacing w:after="0" w:line="240" w:lineRule="auto"/>
              <w:jc w:val="right"/>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4 541 847</w:t>
            </w:r>
          </w:p>
        </w:tc>
      </w:tr>
      <w:tr w:rsidR="004E7B6D" w:rsidRPr="00D53C96" w:rsidTr="008A4E1A">
        <w:trPr>
          <w:trHeight w:val="70"/>
          <w:jc w:val="center"/>
        </w:trPr>
        <w:tc>
          <w:tcPr>
            <w:tcW w:w="4961" w:type="dxa"/>
            <w:noWrap/>
            <w:vAlign w:val="center"/>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v tom: za každý subjekt verejnej správy / program zvlášť</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r>
      <w:tr w:rsidR="004E7B6D" w:rsidRPr="00D53C96" w:rsidTr="008A4E1A">
        <w:trPr>
          <w:trHeight w:val="70"/>
          <w:jc w:val="center"/>
        </w:trPr>
        <w:tc>
          <w:tcPr>
            <w:tcW w:w="4961" w:type="dxa"/>
            <w:noWrap/>
            <w:vAlign w:val="center"/>
          </w:tcPr>
          <w:p w:rsidR="004E7B6D" w:rsidRPr="00D53C96" w:rsidRDefault="004E7B6D" w:rsidP="008A4E1A">
            <w:pPr>
              <w:spacing w:after="0" w:line="240" w:lineRule="auto"/>
              <w:rPr>
                <w:rFonts w:ascii="Times New Roman" w:hAnsi="Times New Roman" w:cs="Times New Roman"/>
                <w:b/>
                <w:bCs/>
                <w:i/>
                <w:iCs/>
                <w:sz w:val="24"/>
                <w:szCs w:val="24"/>
                <w:lang w:eastAsia="sk-SK"/>
              </w:rPr>
            </w:pPr>
            <w:r w:rsidRPr="00D53C96">
              <w:rPr>
                <w:rFonts w:ascii="Times New Roman" w:hAnsi="Times New Roman" w:cs="Times New Roman"/>
                <w:b/>
                <w:bCs/>
                <w:i/>
                <w:iCs/>
                <w:sz w:val="24"/>
                <w:szCs w:val="24"/>
                <w:lang w:eastAsia="sk-SK"/>
              </w:rPr>
              <w:t xml:space="preserve">z toho: </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p>
        </w:tc>
      </w:tr>
      <w:tr w:rsidR="004E7B6D" w:rsidRPr="00D53C96" w:rsidTr="008A4E1A">
        <w:trPr>
          <w:trHeight w:val="70"/>
          <w:jc w:val="center"/>
        </w:trPr>
        <w:tc>
          <w:tcPr>
            <w:tcW w:w="4961" w:type="dxa"/>
            <w:noWrap/>
            <w:vAlign w:val="center"/>
          </w:tcPr>
          <w:p w:rsidR="004E7B6D" w:rsidRPr="00D53C96" w:rsidRDefault="004E7B6D" w:rsidP="008A4E1A">
            <w:pPr>
              <w:spacing w:after="0" w:line="240" w:lineRule="auto"/>
              <w:rPr>
                <w:rFonts w:ascii="Times New Roman" w:hAnsi="Times New Roman" w:cs="Times New Roman"/>
                <w:b/>
                <w:bCs/>
                <w:i/>
                <w:iCs/>
                <w:sz w:val="24"/>
                <w:szCs w:val="24"/>
                <w:lang w:eastAsia="sk-SK"/>
              </w:rPr>
            </w:pPr>
            <w:r w:rsidRPr="00D53C96">
              <w:rPr>
                <w:rFonts w:ascii="Times New Roman" w:hAnsi="Times New Roman" w:cs="Times New Roman"/>
                <w:b/>
                <w:bCs/>
                <w:i/>
                <w:iCs/>
                <w:sz w:val="24"/>
                <w:szCs w:val="24"/>
                <w:lang w:eastAsia="sk-SK"/>
              </w:rPr>
              <w:t>- vplyv na ŠR</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r>
      <w:tr w:rsidR="004E7B6D" w:rsidRPr="00D53C96" w:rsidTr="008A4E1A">
        <w:trPr>
          <w:trHeight w:val="70"/>
          <w:jc w:val="center"/>
        </w:trPr>
        <w:tc>
          <w:tcPr>
            <w:tcW w:w="4961" w:type="dxa"/>
            <w:noWrap/>
            <w:vAlign w:val="center"/>
          </w:tcPr>
          <w:p w:rsidR="004E7B6D" w:rsidRPr="00D53C96" w:rsidRDefault="004E7B6D" w:rsidP="008A4E1A">
            <w:pPr>
              <w:spacing w:after="0" w:line="240" w:lineRule="auto"/>
              <w:ind w:left="259"/>
              <w:rPr>
                <w:rFonts w:ascii="Times New Roman" w:hAnsi="Times New Roman" w:cs="Times New Roman"/>
                <w:b/>
                <w:bCs/>
                <w:i/>
                <w:iCs/>
                <w:sz w:val="24"/>
                <w:szCs w:val="24"/>
                <w:lang w:eastAsia="sk-SK"/>
              </w:rPr>
            </w:pPr>
            <w:r w:rsidRPr="00D53C96">
              <w:rPr>
                <w:rFonts w:ascii="Times New Roman" w:hAnsi="Times New Roman" w:cs="Times New Roman"/>
                <w:bCs/>
                <w:i/>
                <w:iCs/>
                <w:sz w:val="24"/>
                <w:szCs w:val="24"/>
                <w:lang w:eastAsia="sk-SK"/>
              </w:rPr>
              <w:t>Rozpočtové prostriedky</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r>
      <w:tr w:rsidR="004E7B6D" w:rsidRPr="00D53C96" w:rsidTr="008A4E1A">
        <w:trPr>
          <w:trHeight w:val="70"/>
          <w:jc w:val="center"/>
        </w:trPr>
        <w:tc>
          <w:tcPr>
            <w:tcW w:w="4961" w:type="dxa"/>
            <w:noWrap/>
            <w:vAlign w:val="center"/>
          </w:tcPr>
          <w:p w:rsidR="004E7B6D" w:rsidRPr="00D53C96" w:rsidRDefault="004E7B6D" w:rsidP="008A4E1A">
            <w:pPr>
              <w:spacing w:after="0" w:line="240" w:lineRule="auto"/>
              <w:rPr>
                <w:rFonts w:ascii="Times New Roman" w:hAnsi="Times New Roman" w:cs="Times New Roman"/>
                <w:bCs/>
                <w:i/>
                <w:iCs/>
                <w:sz w:val="24"/>
                <w:szCs w:val="24"/>
                <w:lang w:eastAsia="sk-SK"/>
              </w:rPr>
            </w:pPr>
            <w:r w:rsidRPr="00D53C96">
              <w:rPr>
                <w:rFonts w:ascii="Times New Roman" w:hAnsi="Times New Roman" w:cs="Times New Roman"/>
                <w:bCs/>
                <w:i/>
                <w:iCs/>
                <w:sz w:val="24"/>
                <w:szCs w:val="24"/>
                <w:lang w:eastAsia="sk-SK"/>
              </w:rPr>
              <w:t xml:space="preserve">    EÚ zdroje</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r>
      <w:tr w:rsidR="004E7B6D" w:rsidRPr="00D53C96" w:rsidTr="008A4E1A">
        <w:trPr>
          <w:trHeight w:val="70"/>
          <w:jc w:val="center"/>
        </w:trPr>
        <w:tc>
          <w:tcPr>
            <w:tcW w:w="4961" w:type="dxa"/>
            <w:noWrap/>
            <w:vAlign w:val="center"/>
          </w:tcPr>
          <w:p w:rsidR="004E7B6D" w:rsidRPr="00D53C96" w:rsidRDefault="004E7B6D" w:rsidP="008A4E1A">
            <w:pPr>
              <w:spacing w:after="0" w:line="240" w:lineRule="auto"/>
              <w:rPr>
                <w:rFonts w:ascii="Times New Roman" w:hAnsi="Times New Roman" w:cs="Times New Roman"/>
                <w:bCs/>
                <w:i/>
                <w:iCs/>
                <w:sz w:val="24"/>
                <w:szCs w:val="24"/>
                <w:lang w:eastAsia="sk-SK"/>
              </w:rPr>
            </w:pPr>
            <w:r w:rsidRPr="00D53C96">
              <w:rPr>
                <w:rFonts w:ascii="Times New Roman" w:hAnsi="Times New Roman" w:cs="Times New Roman"/>
                <w:bCs/>
                <w:i/>
                <w:iCs/>
                <w:sz w:val="24"/>
                <w:szCs w:val="24"/>
                <w:lang w:eastAsia="sk-SK"/>
              </w:rPr>
              <w:t>Spolufinancovanie</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r>
      <w:tr w:rsidR="004E7B6D" w:rsidRPr="00D53C96" w:rsidTr="008A4E1A">
        <w:trPr>
          <w:trHeight w:val="125"/>
          <w:jc w:val="center"/>
        </w:trPr>
        <w:tc>
          <w:tcPr>
            <w:tcW w:w="4961" w:type="dxa"/>
            <w:noWrap/>
            <w:vAlign w:val="center"/>
          </w:tcPr>
          <w:p w:rsidR="004E7B6D" w:rsidRPr="00D53C96" w:rsidRDefault="004E7B6D" w:rsidP="008A4E1A">
            <w:pPr>
              <w:spacing w:after="0" w:line="240" w:lineRule="auto"/>
              <w:rPr>
                <w:rFonts w:ascii="Times New Roman" w:hAnsi="Times New Roman" w:cs="Times New Roman"/>
                <w:b/>
                <w:bCs/>
                <w:i/>
                <w:iCs/>
                <w:sz w:val="24"/>
                <w:szCs w:val="24"/>
                <w:lang w:eastAsia="sk-SK"/>
              </w:rPr>
            </w:pPr>
            <w:r w:rsidRPr="00D53C96">
              <w:rPr>
                <w:rFonts w:ascii="Times New Roman" w:hAnsi="Times New Roman" w:cs="Times New Roman"/>
                <w:b/>
                <w:bCs/>
                <w:i/>
                <w:iCs/>
                <w:sz w:val="24"/>
                <w:szCs w:val="24"/>
                <w:lang w:eastAsia="sk-SK"/>
              </w:rPr>
              <w:t>- vplyv na obce</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r>
      <w:tr w:rsidR="004E7B6D" w:rsidRPr="00D53C96" w:rsidTr="008A4E1A">
        <w:trPr>
          <w:trHeight w:val="125"/>
          <w:jc w:val="center"/>
        </w:trPr>
        <w:tc>
          <w:tcPr>
            <w:tcW w:w="4961" w:type="dxa"/>
            <w:noWrap/>
            <w:vAlign w:val="center"/>
          </w:tcPr>
          <w:p w:rsidR="004E7B6D" w:rsidRPr="00D53C96" w:rsidRDefault="004E7B6D" w:rsidP="008A4E1A">
            <w:pPr>
              <w:spacing w:after="0" w:line="240" w:lineRule="auto"/>
              <w:rPr>
                <w:rFonts w:ascii="Times New Roman" w:hAnsi="Times New Roman" w:cs="Times New Roman"/>
                <w:b/>
                <w:bCs/>
                <w:i/>
                <w:iCs/>
                <w:sz w:val="24"/>
                <w:szCs w:val="24"/>
                <w:lang w:eastAsia="sk-SK"/>
              </w:rPr>
            </w:pPr>
            <w:r w:rsidRPr="00D53C96">
              <w:rPr>
                <w:rFonts w:ascii="Times New Roman" w:hAnsi="Times New Roman" w:cs="Times New Roman"/>
                <w:b/>
                <w:bCs/>
                <w:i/>
                <w:iCs/>
                <w:sz w:val="24"/>
                <w:szCs w:val="24"/>
                <w:lang w:eastAsia="sk-SK"/>
              </w:rPr>
              <w:t>- vplyv na vyššie územné celky</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r>
      <w:tr w:rsidR="004E7B6D" w:rsidRPr="00D53C96" w:rsidTr="008A4E1A">
        <w:trPr>
          <w:trHeight w:val="70"/>
          <w:jc w:val="center"/>
        </w:trPr>
        <w:tc>
          <w:tcPr>
            <w:tcW w:w="4961" w:type="dxa"/>
            <w:noWrap/>
            <w:vAlign w:val="center"/>
          </w:tcPr>
          <w:p w:rsidR="004E7B6D" w:rsidRPr="00D53C96" w:rsidRDefault="004E7B6D" w:rsidP="008A4E1A">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i/>
                <w:iCs/>
                <w:sz w:val="24"/>
                <w:szCs w:val="24"/>
                <w:lang w:eastAsia="sk-SK"/>
              </w:rPr>
              <w:t>- vplyv na ostatné subjekty verejnej správy (JAVYS, a.s.)</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4 365 482</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4 452 792</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4 541 847</w:t>
            </w:r>
          </w:p>
        </w:tc>
      </w:tr>
      <w:tr w:rsidR="004E7B6D" w:rsidRPr="00D53C96" w:rsidTr="008A4E1A">
        <w:trPr>
          <w:trHeight w:val="70"/>
          <w:jc w:val="center"/>
        </w:trPr>
        <w:tc>
          <w:tcPr>
            <w:tcW w:w="4961" w:type="dxa"/>
            <w:shd w:val="clear" w:color="auto" w:fill="BFBFBF"/>
            <w:noWrap/>
            <w:vAlign w:val="center"/>
          </w:tcPr>
          <w:p w:rsidR="004E7B6D" w:rsidRPr="00D53C96" w:rsidRDefault="004E7B6D" w:rsidP="008A4E1A">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 xml:space="preserve">Vplyv na počet zamestnancov </w:t>
            </w:r>
          </w:p>
        </w:tc>
        <w:tc>
          <w:tcPr>
            <w:tcW w:w="740" w:type="dxa"/>
            <w:shd w:val="clear" w:color="auto" w:fill="BFBFBF"/>
            <w:noWrap/>
            <w:vAlign w:val="center"/>
          </w:tcPr>
          <w:p w:rsidR="004E7B6D" w:rsidRPr="00D53C96" w:rsidRDefault="004E7B6D" w:rsidP="008A4E1A">
            <w:pPr>
              <w:spacing w:after="0" w:line="240" w:lineRule="auto"/>
              <w:jc w:val="right"/>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0</w:t>
            </w:r>
          </w:p>
        </w:tc>
        <w:tc>
          <w:tcPr>
            <w:tcW w:w="1418" w:type="dxa"/>
            <w:shd w:val="clear" w:color="auto" w:fill="BFBFBF"/>
            <w:noWrap/>
            <w:vAlign w:val="center"/>
          </w:tcPr>
          <w:p w:rsidR="004E7B6D" w:rsidRPr="00D53C96" w:rsidRDefault="004E7B6D" w:rsidP="008A4E1A">
            <w:pPr>
              <w:spacing w:after="0" w:line="240" w:lineRule="auto"/>
              <w:jc w:val="right"/>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0</w:t>
            </w:r>
          </w:p>
        </w:tc>
        <w:tc>
          <w:tcPr>
            <w:tcW w:w="1417" w:type="dxa"/>
            <w:shd w:val="clear" w:color="auto" w:fill="BFBFBF"/>
            <w:noWrap/>
            <w:vAlign w:val="center"/>
          </w:tcPr>
          <w:p w:rsidR="004E7B6D" w:rsidRPr="00D53C96" w:rsidRDefault="004E7B6D" w:rsidP="008A4E1A">
            <w:pPr>
              <w:spacing w:after="0" w:line="240" w:lineRule="auto"/>
              <w:jc w:val="right"/>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0</w:t>
            </w:r>
          </w:p>
        </w:tc>
        <w:tc>
          <w:tcPr>
            <w:tcW w:w="1382" w:type="dxa"/>
            <w:shd w:val="clear" w:color="auto" w:fill="BFBFBF"/>
            <w:noWrap/>
            <w:vAlign w:val="center"/>
          </w:tcPr>
          <w:p w:rsidR="004E7B6D" w:rsidRPr="00D53C96" w:rsidRDefault="004E7B6D" w:rsidP="008A4E1A">
            <w:pPr>
              <w:spacing w:after="0" w:line="240" w:lineRule="auto"/>
              <w:jc w:val="right"/>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0</w:t>
            </w:r>
          </w:p>
        </w:tc>
      </w:tr>
      <w:tr w:rsidR="004E7B6D" w:rsidRPr="00D53C96" w:rsidTr="008A4E1A">
        <w:trPr>
          <w:trHeight w:val="70"/>
          <w:jc w:val="center"/>
        </w:trPr>
        <w:tc>
          <w:tcPr>
            <w:tcW w:w="4961" w:type="dxa"/>
            <w:noWrap/>
            <w:vAlign w:val="center"/>
          </w:tcPr>
          <w:p w:rsidR="004E7B6D" w:rsidRPr="00D53C96" w:rsidRDefault="004E7B6D" w:rsidP="008A4E1A">
            <w:pPr>
              <w:spacing w:after="0" w:line="240" w:lineRule="auto"/>
              <w:rPr>
                <w:rFonts w:ascii="Times New Roman" w:hAnsi="Times New Roman" w:cs="Times New Roman"/>
                <w:b/>
                <w:bCs/>
                <w:i/>
                <w:iCs/>
                <w:sz w:val="24"/>
                <w:szCs w:val="24"/>
                <w:lang w:eastAsia="sk-SK"/>
              </w:rPr>
            </w:pPr>
            <w:r w:rsidRPr="00D53C96">
              <w:rPr>
                <w:rFonts w:ascii="Times New Roman" w:hAnsi="Times New Roman" w:cs="Times New Roman"/>
                <w:b/>
                <w:bCs/>
                <w:i/>
                <w:iCs/>
                <w:sz w:val="24"/>
                <w:szCs w:val="24"/>
                <w:lang w:eastAsia="sk-SK"/>
              </w:rPr>
              <w:t>- vplyv na ŠR</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r>
      <w:tr w:rsidR="004E7B6D" w:rsidRPr="00D53C96" w:rsidTr="008A4E1A">
        <w:trPr>
          <w:trHeight w:val="70"/>
          <w:jc w:val="center"/>
        </w:trPr>
        <w:tc>
          <w:tcPr>
            <w:tcW w:w="4961" w:type="dxa"/>
            <w:noWrap/>
            <w:vAlign w:val="center"/>
          </w:tcPr>
          <w:p w:rsidR="004E7B6D" w:rsidRPr="00D53C96" w:rsidRDefault="004E7B6D" w:rsidP="008A4E1A">
            <w:pPr>
              <w:spacing w:after="0" w:line="240" w:lineRule="auto"/>
              <w:rPr>
                <w:rFonts w:ascii="Times New Roman" w:hAnsi="Times New Roman" w:cs="Times New Roman"/>
                <w:b/>
                <w:bCs/>
                <w:i/>
                <w:iCs/>
                <w:sz w:val="24"/>
                <w:szCs w:val="24"/>
                <w:lang w:eastAsia="sk-SK"/>
              </w:rPr>
            </w:pPr>
            <w:r w:rsidRPr="00D53C96">
              <w:rPr>
                <w:rFonts w:ascii="Times New Roman" w:hAnsi="Times New Roman" w:cs="Times New Roman"/>
                <w:b/>
                <w:bCs/>
                <w:i/>
                <w:iCs/>
                <w:sz w:val="24"/>
                <w:szCs w:val="24"/>
                <w:lang w:eastAsia="sk-SK"/>
              </w:rPr>
              <w:t>- vplyv na obce</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r>
      <w:tr w:rsidR="004E7B6D" w:rsidRPr="00D53C96" w:rsidTr="008A4E1A">
        <w:trPr>
          <w:trHeight w:val="70"/>
          <w:jc w:val="center"/>
        </w:trPr>
        <w:tc>
          <w:tcPr>
            <w:tcW w:w="4961" w:type="dxa"/>
            <w:noWrap/>
            <w:vAlign w:val="center"/>
          </w:tcPr>
          <w:p w:rsidR="004E7B6D" w:rsidRPr="00D53C96" w:rsidRDefault="004E7B6D" w:rsidP="008A4E1A">
            <w:pPr>
              <w:spacing w:after="0" w:line="240" w:lineRule="auto"/>
              <w:rPr>
                <w:rFonts w:ascii="Times New Roman" w:hAnsi="Times New Roman" w:cs="Times New Roman"/>
                <w:b/>
                <w:bCs/>
                <w:i/>
                <w:iCs/>
                <w:sz w:val="24"/>
                <w:szCs w:val="24"/>
                <w:lang w:eastAsia="sk-SK"/>
              </w:rPr>
            </w:pPr>
            <w:r w:rsidRPr="00D53C96">
              <w:rPr>
                <w:rFonts w:ascii="Times New Roman" w:hAnsi="Times New Roman" w:cs="Times New Roman"/>
                <w:b/>
                <w:bCs/>
                <w:i/>
                <w:iCs/>
                <w:sz w:val="24"/>
                <w:szCs w:val="24"/>
                <w:lang w:eastAsia="sk-SK"/>
              </w:rPr>
              <w:t>- vplyv na vyššie územné celky</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r>
      <w:tr w:rsidR="004E7B6D" w:rsidRPr="00D53C96" w:rsidTr="008A4E1A">
        <w:trPr>
          <w:trHeight w:val="70"/>
          <w:jc w:val="center"/>
        </w:trPr>
        <w:tc>
          <w:tcPr>
            <w:tcW w:w="4961" w:type="dxa"/>
            <w:noWrap/>
            <w:vAlign w:val="center"/>
          </w:tcPr>
          <w:p w:rsidR="004E7B6D" w:rsidRPr="00D53C96" w:rsidRDefault="004E7B6D" w:rsidP="008A4E1A">
            <w:pPr>
              <w:spacing w:after="0" w:line="240" w:lineRule="auto"/>
              <w:rPr>
                <w:rFonts w:ascii="Times New Roman" w:hAnsi="Times New Roman" w:cs="Times New Roman"/>
                <w:b/>
                <w:bCs/>
                <w:i/>
                <w:iCs/>
                <w:sz w:val="24"/>
                <w:szCs w:val="24"/>
                <w:lang w:eastAsia="sk-SK"/>
              </w:rPr>
            </w:pPr>
            <w:r w:rsidRPr="00D53C96">
              <w:rPr>
                <w:rFonts w:ascii="Times New Roman" w:hAnsi="Times New Roman" w:cs="Times New Roman"/>
                <w:b/>
                <w:bCs/>
                <w:i/>
                <w:iCs/>
                <w:sz w:val="24"/>
                <w:szCs w:val="24"/>
                <w:lang w:eastAsia="sk-SK"/>
              </w:rPr>
              <w:t>- vplyv na ostatné subjekty verejnej správy</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r>
      <w:tr w:rsidR="004E7B6D" w:rsidRPr="00D53C96" w:rsidTr="008A4E1A">
        <w:trPr>
          <w:trHeight w:val="70"/>
          <w:jc w:val="center"/>
        </w:trPr>
        <w:tc>
          <w:tcPr>
            <w:tcW w:w="4961" w:type="dxa"/>
            <w:shd w:val="clear" w:color="auto" w:fill="BFBFBF"/>
            <w:noWrap/>
            <w:vAlign w:val="center"/>
          </w:tcPr>
          <w:p w:rsidR="004E7B6D" w:rsidRPr="00D53C96" w:rsidRDefault="004E7B6D" w:rsidP="008A4E1A">
            <w:pPr>
              <w:spacing w:after="0" w:line="240" w:lineRule="auto"/>
              <w:rPr>
                <w:rFonts w:ascii="Times New Roman" w:hAnsi="Times New Roman" w:cs="Times New Roman"/>
                <w:b/>
                <w:sz w:val="24"/>
                <w:szCs w:val="24"/>
                <w:lang w:eastAsia="sk-SK"/>
              </w:rPr>
            </w:pPr>
            <w:r w:rsidRPr="00D53C96">
              <w:rPr>
                <w:rFonts w:ascii="Times New Roman" w:hAnsi="Times New Roman" w:cs="Times New Roman"/>
                <w:b/>
                <w:sz w:val="24"/>
                <w:szCs w:val="24"/>
                <w:lang w:eastAsia="sk-SK"/>
              </w:rPr>
              <w:t>Vplyv na mzdové výdavky</w:t>
            </w:r>
          </w:p>
        </w:tc>
        <w:tc>
          <w:tcPr>
            <w:tcW w:w="740" w:type="dxa"/>
            <w:shd w:val="clear" w:color="auto" w:fill="BFBFBF"/>
            <w:noWrap/>
            <w:vAlign w:val="center"/>
          </w:tcPr>
          <w:p w:rsidR="004E7B6D" w:rsidRPr="00D53C96" w:rsidRDefault="004E7B6D" w:rsidP="008A4E1A">
            <w:pPr>
              <w:spacing w:after="0" w:line="240" w:lineRule="auto"/>
              <w:jc w:val="right"/>
              <w:rPr>
                <w:rFonts w:ascii="Times New Roman" w:hAnsi="Times New Roman" w:cs="Times New Roman"/>
                <w:b/>
                <w:sz w:val="24"/>
                <w:szCs w:val="24"/>
                <w:lang w:eastAsia="sk-SK"/>
              </w:rPr>
            </w:pPr>
            <w:r w:rsidRPr="00D53C96">
              <w:rPr>
                <w:rFonts w:ascii="Times New Roman" w:hAnsi="Times New Roman" w:cs="Times New Roman"/>
                <w:b/>
                <w:sz w:val="24"/>
                <w:szCs w:val="24"/>
                <w:lang w:eastAsia="sk-SK"/>
              </w:rPr>
              <w:t>0</w:t>
            </w:r>
          </w:p>
        </w:tc>
        <w:tc>
          <w:tcPr>
            <w:tcW w:w="1418" w:type="dxa"/>
            <w:shd w:val="clear" w:color="auto" w:fill="BFBFBF"/>
            <w:noWrap/>
            <w:vAlign w:val="center"/>
          </w:tcPr>
          <w:p w:rsidR="004E7B6D" w:rsidRPr="00D53C96" w:rsidRDefault="004E7B6D" w:rsidP="008A4E1A">
            <w:pPr>
              <w:spacing w:after="0" w:line="240" w:lineRule="auto"/>
              <w:jc w:val="right"/>
              <w:rPr>
                <w:rFonts w:ascii="Times New Roman" w:hAnsi="Times New Roman" w:cs="Times New Roman"/>
                <w:b/>
                <w:sz w:val="24"/>
                <w:szCs w:val="24"/>
                <w:lang w:eastAsia="sk-SK"/>
              </w:rPr>
            </w:pPr>
            <w:r w:rsidRPr="00D53C96">
              <w:rPr>
                <w:rFonts w:ascii="Times New Roman" w:hAnsi="Times New Roman" w:cs="Times New Roman"/>
                <w:b/>
                <w:sz w:val="24"/>
                <w:szCs w:val="24"/>
                <w:lang w:eastAsia="sk-SK"/>
              </w:rPr>
              <w:t>0</w:t>
            </w:r>
          </w:p>
        </w:tc>
        <w:tc>
          <w:tcPr>
            <w:tcW w:w="1417" w:type="dxa"/>
            <w:shd w:val="clear" w:color="auto" w:fill="BFBFBF"/>
            <w:noWrap/>
            <w:vAlign w:val="center"/>
          </w:tcPr>
          <w:p w:rsidR="004E7B6D" w:rsidRPr="00D53C96" w:rsidRDefault="004E7B6D" w:rsidP="008A4E1A">
            <w:pPr>
              <w:spacing w:after="0" w:line="240" w:lineRule="auto"/>
              <w:jc w:val="right"/>
              <w:rPr>
                <w:rFonts w:ascii="Times New Roman" w:hAnsi="Times New Roman" w:cs="Times New Roman"/>
                <w:b/>
                <w:sz w:val="24"/>
                <w:szCs w:val="24"/>
                <w:lang w:eastAsia="sk-SK"/>
              </w:rPr>
            </w:pPr>
            <w:r w:rsidRPr="00D53C96">
              <w:rPr>
                <w:rFonts w:ascii="Times New Roman" w:hAnsi="Times New Roman" w:cs="Times New Roman"/>
                <w:b/>
                <w:sz w:val="24"/>
                <w:szCs w:val="24"/>
                <w:lang w:eastAsia="sk-SK"/>
              </w:rPr>
              <w:t>0</w:t>
            </w:r>
          </w:p>
        </w:tc>
        <w:tc>
          <w:tcPr>
            <w:tcW w:w="1382" w:type="dxa"/>
            <w:shd w:val="clear" w:color="auto" w:fill="BFBFBF"/>
            <w:noWrap/>
            <w:vAlign w:val="center"/>
          </w:tcPr>
          <w:p w:rsidR="004E7B6D" w:rsidRPr="00D53C96" w:rsidRDefault="004E7B6D" w:rsidP="008A4E1A">
            <w:pPr>
              <w:spacing w:after="0" w:line="240" w:lineRule="auto"/>
              <w:jc w:val="right"/>
              <w:rPr>
                <w:rFonts w:ascii="Times New Roman" w:hAnsi="Times New Roman" w:cs="Times New Roman"/>
                <w:b/>
                <w:sz w:val="24"/>
                <w:szCs w:val="24"/>
                <w:lang w:eastAsia="sk-SK"/>
              </w:rPr>
            </w:pPr>
            <w:r w:rsidRPr="00D53C96">
              <w:rPr>
                <w:rFonts w:ascii="Times New Roman" w:hAnsi="Times New Roman" w:cs="Times New Roman"/>
                <w:b/>
                <w:sz w:val="24"/>
                <w:szCs w:val="24"/>
                <w:lang w:eastAsia="sk-SK"/>
              </w:rPr>
              <w:t>0</w:t>
            </w:r>
          </w:p>
        </w:tc>
      </w:tr>
      <w:tr w:rsidR="004E7B6D" w:rsidRPr="00D53C96" w:rsidTr="008A4E1A">
        <w:trPr>
          <w:trHeight w:val="70"/>
          <w:jc w:val="center"/>
        </w:trPr>
        <w:tc>
          <w:tcPr>
            <w:tcW w:w="4961" w:type="dxa"/>
            <w:noWrap/>
            <w:vAlign w:val="center"/>
          </w:tcPr>
          <w:p w:rsidR="004E7B6D" w:rsidRPr="00D53C96" w:rsidRDefault="004E7B6D" w:rsidP="008A4E1A">
            <w:pPr>
              <w:spacing w:after="0" w:line="240" w:lineRule="auto"/>
              <w:rPr>
                <w:rFonts w:ascii="Times New Roman" w:hAnsi="Times New Roman" w:cs="Times New Roman"/>
                <w:b/>
                <w:bCs/>
                <w:i/>
                <w:iCs/>
                <w:sz w:val="24"/>
                <w:szCs w:val="24"/>
                <w:lang w:eastAsia="sk-SK"/>
              </w:rPr>
            </w:pPr>
            <w:r w:rsidRPr="00D53C96">
              <w:rPr>
                <w:rFonts w:ascii="Times New Roman" w:hAnsi="Times New Roman" w:cs="Times New Roman"/>
                <w:b/>
                <w:bCs/>
                <w:i/>
                <w:iCs/>
                <w:sz w:val="24"/>
                <w:szCs w:val="24"/>
                <w:lang w:eastAsia="sk-SK"/>
              </w:rPr>
              <w:t>- vplyv na ŠR</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r>
      <w:tr w:rsidR="004E7B6D" w:rsidRPr="00D53C96" w:rsidTr="008A4E1A">
        <w:trPr>
          <w:trHeight w:val="70"/>
          <w:jc w:val="center"/>
        </w:trPr>
        <w:tc>
          <w:tcPr>
            <w:tcW w:w="4961" w:type="dxa"/>
            <w:noWrap/>
            <w:vAlign w:val="center"/>
          </w:tcPr>
          <w:p w:rsidR="004E7B6D" w:rsidRPr="00D53C96" w:rsidRDefault="004E7B6D" w:rsidP="008A4E1A">
            <w:pPr>
              <w:spacing w:after="0" w:line="240" w:lineRule="auto"/>
              <w:rPr>
                <w:rFonts w:ascii="Times New Roman" w:hAnsi="Times New Roman" w:cs="Times New Roman"/>
                <w:b/>
                <w:bCs/>
                <w:i/>
                <w:iCs/>
                <w:sz w:val="24"/>
                <w:szCs w:val="24"/>
                <w:lang w:eastAsia="sk-SK"/>
              </w:rPr>
            </w:pPr>
            <w:r w:rsidRPr="00D53C96">
              <w:rPr>
                <w:rFonts w:ascii="Times New Roman" w:hAnsi="Times New Roman" w:cs="Times New Roman"/>
                <w:b/>
                <w:bCs/>
                <w:i/>
                <w:iCs/>
                <w:sz w:val="24"/>
                <w:szCs w:val="24"/>
                <w:lang w:eastAsia="sk-SK"/>
              </w:rPr>
              <w:t>- vplyv na obce</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r>
      <w:tr w:rsidR="004E7B6D" w:rsidRPr="00D53C96" w:rsidTr="008A4E1A">
        <w:trPr>
          <w:trHeight w:val="70"/>
          <w:jc w:val="center"/>
        </w:trPr>
        <w:tc>
          <w:tcPr>
            <w:tcW w:w="4961" w:type="dxa"/>
            <w:noWrap/>
            <w:vAlign w:val="center"/>
          </w:tcPr>
          <w:p w:rsidR="004E7B6D" w:rsidRPr="00D53C96" w:rsidRDefault="004E7B6D" w:rsidP="008A4E1A">
            <w:pPr>
              <w:spacing w:after="0" w:line="240" w:lineRule="auto"/>
              <w:rPr>
                <w:rFonts w:ascii="Times New Roman" w:hAnsi="Times New Roman" w:cs="Times New Roman"/>
                <w:b/>
                <w:bCs/>
                <w:i/>
                <w:iCs/>
                <w:sz w:val="24"/>
                <w:szCs w:val="24"/>
                <w:lang w:eastAsia="sk-SK"/>
              </w:rPr>
            </w:pPr>
            <w:r w:rsidRPr="00D53C96">
              <w:rPr>
                <w:rFonts w:ascii="Times New Roman" w:hAnsi="Times New Roman" w:cs="Times New Roman"/>
                <w:b/>
                <w:bCs/>
                <w:i/>
                <w:iCs/>
                <w:sz w:val="24"/>
                <w:szCs w:val="24"/>
                <w:lang w:eastAsia="sk-SK"/>
              </w:rPr>
              <w:t>- vplyv na vyššie územné celky</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r>
      <w:tr w:rsidR="004E7B6D" w:rsidRPr="00D53C96" w:rsidTr="008A4E1A">
        <w:trPr>
          <w:trHeight w:val="70"/>
          <w:jc w:val="center"/>
        </w:trPr>
        <w:tc>
          <w:tcPr>
            <w:tcW w:w="4961" w:type="dxa"/>
            <w:noWrap/>
            <w:vAlign w:val="center"/>
          </w:tcPr>
          <w:p w:rsidR="004E7B6D" w:rsidRPr="00D53C96" w:rsidRDefault="004E7B6D" w:rsidP="008A4E1A">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i/>
                <w:iCs/>
                <w:sz w:val="24"/>
                <w:szCs w:val="24"/>
                <w:lang w:eastAsia="sk-SK"/>
              </w:rPr>
              <w:t>- vplyv na ostatné subjekty verejnej správy</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b/>
                <w:bCs/>
                <w:iCs/>
                <w:sz w:val="24"/>
                <w:szCs w:val="24"/>
                <w:lang w:eastAsia="sk-SK"/>
              </w:rPr>
            </w:pPr>
            <w:r w:rsidRPr="00D53C96">
              <w:rPr>
                <w:rFonts w:ascii="Times New Roman" w:hAnsi="Times New Roman" w:cs="Times New Roman"/>
                <w:b/>
                <w:bCs/>
                <w:iCs/>
                <w:sz w:val="24"/>
                <w:szCs w:val="24"/>
                <w:lang w:eastAsia="sk-SK"/>
              </w:rPr>
              <w:t>0</w:t>
            </w:r>
          </w:p>
        </w:tc>
      </w:tr>
      <w:tr w:rsidR="004E7B6D" w:rsidRPr="00D53C96" w:rsidTr="008A4E1A">
        <w:trPr>
          <w:trHeight w:val="70"/>
          <w:jc w:val="center"/>
        </w:trPr>
        <w:tc>
          <w:tcPr>
            <w:tcW w:w="4961" w:type="dxa"/>
            <w:shd w:val="clear" w:color="auto" w:fill="C0C0C0"/>
            <w:noWrap/>
            <w:vAlign w:val="center"/>
          </w:tcPr>
          <w:p w:rsidR="004E7B6D" w:rsidRPr="00D53C96" w:rsidRDefault="004E7B6D" w:rsidP="008A4E1A">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Financovanie zabezpečené v rozpočte</w:t>
            </w:r>
          </w:p>
        </w:tc>
        <w:tc>
          <w:tcPr>
            <w:tcW w:w="740" w:type="dxa"/>
            <w:shd w:val="clear" w:color="auto" w:fill="C0C0C0"/>
            <w:noWrap/>
            <w:vAlign w:val="center"/>
          </w:tcPr>
          <w:p w:rsidR="004E7B6D" w:rsidRPr="00D53C96" w:rsidRDefault="004E7B6D" w:rsidP="008A4E1A">
            <w:pPr>
              <w:spacing w:after="0" w:line="240" w:lineRule="auto"/>
              <w:jc w:val="right"/>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0</w:t>
            </w:r>
          </w:p>
        </w:tc>
        <w:tc>
          <w:tcPr>
            <w:tcW w:w="1418" w:type="dxa"/>
            <w:shd w:val="clear" w:color="auto" w:fill="C0C0C0"/>
            <w:noWrap/>
            <w:vAlign w:val="center"/>
          </w:tcPr>
          <w:p w:rsidR="004E7B6D" w:rsidRPr="00D53C96" w:rsidRDefault="004E7B6D" w:rsidP="008A4E1A">
            <w:pPr>
              <w:spacing w:after="0" w:line="240" w:lineRule="auto"/>
              <w:jc w:val="right"/>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4 365 482</w:t>
            </w:r>
          </w:p>
        </w:tc>
        <w:tc>
          <w:tcPr>
            <w:tcW w:w="1417" w:type="dxa"/>
            <w:shd w:val="clear" w:color="auto" w:fill="C0C0C0"/>
            <w:noWrap/>
            <w:vAlign w:val="center"/>
          </w:tcPr>
          <w:p w:rsidR="004E7B6D" w:rsidRPr="00D53C96" w:rsidRDefault="004E7B6D" w:rsidP="008A4E1A">
            <w:pPr>
              <w:spacing w:after="0" w:line="240" w:lineRule="auto"/>
              <w:jc w:val="right"/>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4 452 792</w:t>
            </w:r>
          </w:p>
        </w:tc>
        <w:tc>
          <w:tcPr>
            <w:tcW w:w="1382" w:type="dxa"/>
            <w:shd w:val="clear" w:color="auto" w:fill="C0C0C0"/>
            <w:noWrap/>
            <w:vAlign w:val="center"/>
          </w:tcPr>
          <w:p w:rsidR="004E7B6D" w:rsidRPr="00D53C96" w:rsidRDefault="004E7B6D" w:rsidP="008A4E1A">
            <w:pPr>
              <w:spacing w:after="0" w:line="240" w:lineRule="auto"/>
              <w:jc w:val="right"/>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4 541 847</w:t>
            </w:r>
          </w:p>
        </w:tc>
      </w:tr>
      <w:tr w:rsidR="004E7B6D" w:rsidRPr="00D53C96" w:rsidTr="008A4E1A">
        <w:trPr>
          <w:trHeight w:val="70"/>
          <w:jc w:val="center"/>
        </w:trPr>
        <w:tc>
          <w:tcPr>
            <w:tcW w:w="4961" w:type="dxa"/>
            <w:noWrap/>
            <w:vAlign w:val="center"/>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v tom: JAVYS</w:t>
            </w:r>
          </w:p>
        </w:tc>
        <w:tc>
          <w:tcPr>
            <w:tcW w:w="740"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418"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4 365 482</w:t>
            </w:r>
          </w:p>
        </w:tc>
        <w:tc>
          <w:tcPr>
            <w:tcW w:w="1417"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4 452 792</w:t>
            </w:r>
          </w:p>
        </w:tc>
        <w:tc>
          <w:tcPr>
            <w:tcW w:w="1382" w:type="dxa"/>
            <w:noWrap/>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4 541 847</w:t>
            </w:r>
          </w:p>
        </w:tc>
      </w:tr>
      <w:tr w:rsidR="004E7B6D" w:rsidRPr="00D53C96" w:rsidTr="008A4E1A">
        <w:trPr>
          <w:trHeight w:val="70"/>
          <w:jc w:val="center"/>
        </w:trPr>
        <w:tc>
          <w:tcPr>
            <w:tcW w:w="4961" w:type="dxa"/>
            <w:shd w:val="clear" w:color="auto" w:fill="BFBFBF"/>
            <w:noWrap/>
            <w:vAlign w:val="center"/>
          </w:tcPr>
          <w:p w:rsidR="004E7B6D" w:rsidRPr="00D53C96" w:rsidRDefault="004E7B6D" w:rsidP="008A4E1A">
            <w:pPr>
              <w:spacing w:after="0" w:line="240" w:lineRule="auto"/>
              <w:rPr>
                <w:rFonts w:ascii="Times New Roman" w:hAnsi="Times New Roman" w:cs="Times New Roman"/>
                <w:b/>
                <w:sz w:val="24"/>
                <w:szCs w:val="24"/>
                <w:lang w:eastAsia="sk-SK"/>
              </w:rPr>
            </w:pPr>
            <w:r w:rsidRPr="00D53C96">
              <w:rPr>
                <w:rFonts w:ascii="Times New Roman" w:hAnsi="Times New Roman" w:cs="Times New Roman"/>
                <w:b/>
                <w:sz w:val="24"/>
                <w:szCs w:val="24"/>
                <w:lang w:eastAsia="sk-SK"/>
              </w:rPr>
              <w:t>Iné ako rozpočtové zdroje</w:t>
            </w:r>
          </w:p>
        </w:tc>
        <w:tc>
          <w:tcPr>
            <w:tcW w:w="740" w:type="dxa"/>
            <w:shd w:val="clear" w:color="auto" w:fill="BFBFBF"/>
            <w:noWrap/>
            <w:vAlign w:val="center"/>
          </w:tcPr>
          <w:p w:rsidR="004E7B6D" w:rsidRPr="00D53C96" w:rsidRDefault="004E7B6D" w:rsidP="008A4E1A">
            <w:pPr>
              <w:spacing w:after="0" w:line="240" w:lineRule="auto"/>
              <w:jc w:val="right"/>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0</w:t>
            </w:r>
          </w:p>
        </w:tc>
        <w:tc>
          <w:tcPr>
            <w:tcW w:w="1418" w:type="dxa"/>
            <w:shd w:val="clear" w:color="auto" w:fill="BFBFBF"/>
            <w:noWrap/>
            <w:vAlign w:val="center"/>
          </w:tcPr>
          <w:p w:rsidR="004E7B6D" w:rsidRPr="00D53C96" w:rsidRDefault="004E7B6D" w:rsidP="008A4E1A">
            <w:pPr>
              <w:spacing w:after="0" w:line="240" w:lineRule="auto"/>
              <w:jc w:val="right"/>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0</w:t>
            </w:r>
          </w:p>
        </w:tc>
        <w:tc>
          <w:tcPr>
            <w:tcW w:w="1417" w:type="dxa"/>
            <w:shd w:val="clear" w:color="auto" w:fill="BFBFBF"/>
            <w:noWrap/>
            <w:vAlign w:val="center"/>
          </w:tcPr>
          <w:p w:rsidR="004E7B6D" w:rsidRPr="00D53C96" w:rsidRDefault="004E7B6D" w:rsidP="008A4E1A">
            <w:pPr>
              <w:spacing w:after="0" w:line="240" w:lineRule="auto"/>
              <w:jc w:val="right"/>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0</w:t>
            </w:r>
          </w:p>
        </w:tc>
        <w:tc>
          <w:tcPr>
            <w:tcW w:w="1382" w:type="dxa"/>
            <w:shd w:val="clear" w:color="auto" w:fill="BFBFBF"/>
            <w:noWrap/>
            <w:vAlign w:val="center"/>
          </w:tcPr>
          <w:p w:rsidR="004E7B6D" w:rsidRPr="00D53C96" w:rsidRDefault="004E7B6D" w:rsidP="008A4E1A">
            <w:pPr>
              <w:spacing w:after="0" w:line="240" w:lineRule="auto"/>
              <w:jc w:val="right"/>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0</w:t>
            </w:r>
          </w:p>
        </w:tc>
      </w:tr>
      <w:tr w:rsidR="004E7B6D" w:rsidRPr="00D53C96" w:rsidTr="008A4E1A">
        <w:trPr>
          <w:trHeight w:val="70"/>
          <w:jc w:val="center"/>
        </w:trPr>
        <w:tc>
          <w:tcPr>
            <w:tcW w:w="4961" w:type="dxa"/>
            <w:shd w:val="clear" w:color="auto" w:fill="A6A6A6"/>
            <w:noWrap/>
            <w:vAlign w:val="center"/>
          </w:tcPr>
          <w:p w:rsidR="004E7B6D" w:rsidRPr="00D53C96" w:rsidRDefault="004E7B6D" w:rsidP="008A4E1A">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Rozpočtovo nekrytý vplyv / úspora</w:t>
            </w:r>
          </w:p>
        </w:tc>
        <w:tc>
          <w:tcPr>
            <w:tcW w:w="740" w:type="dxa"/>
            <w:shd w:val="clear" w:color="auto" w:fill="A6A6A6"/>
            <w:noWrap/>
            <w:vAlign w:val="center"/>
          </w:tcPr>
          <w:p w:rsidR="004E7B6D" w:rsidRPr="00D53C96" w:rsidRDefault="004E7B6D" w:rsidP="008A4E1A">
            <w:pPr>
              <w:spacing w:after="0" w:line="240" w:lineRule="auto"/>
              <w:jc w:val="right"/>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0</w:t>
            </w:r>
          </w:p>
        </w:tc>
        <w:tc>
          <w:tcPr>
            <w:tcW w:w="1418" w:type="dxa"/>
            <w:shd w:val="clear" w:color="auto" w:fill="A6A6A6"/>
            <w:noWrap/>
            <w:vAlign w:val="center"/>
          </w:tcPr>
          <w:p w:rsidR="004E7B6D" w:rsidRPr="00D53C96" w:rsidRDefault="004E7B6D" w:rsidP="008A4E1A">
            <w:pPr>
              <w:spacing w:after="0" w:line="240" w:lineRule="auto"/>
              <w:jc w:val="right"/>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0</w:t>
            </w:r>
          </w:p>
        </w:tc>
        <w:tc>
          <w:tcPr>
            <w:tcW w:w="1417" w:type="dxa"/>
            <w:shd w:val="clear" w:color="auto" w:fill="A6A6A6"/>
            <w:noWrap/>
            <w:vAlign w:val="center"/>
          </w:tcPr>
          <w:p w:rsidR="004E7B6D" w:rsidRPr="00D53C96" w:rsidRDefault="004E7B6D" w:rsidP="008A4E1A">
            <w:pPr>
              <w:spacing w:after="0" w:line="240" w:lineRule="auto"/>
              <w:jc w:val="right"/>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0</w:t>
            </w:r>
          </w:p>
        </w:tc>
        <w:tc>
          <w:tcPr>
            <w:tcW w:w="1382" w:type="dxa"/>
            <w:shd w:val="clear" w:color="auto" w:fill="A6A6A6"/>
            <w:noWrap/>
            <w:vAlign w:val="center"/>
          </w:tcPr>
          <w:p w:rsidR="004E7B6D" w:rsidRPr="00D53C96" w:rsidRDefault="004E7B6D" w:rsidP="008A4E1A">
            <w:pPr>
              <w:spacing w:after="0" w:line="240" w:lineRule="auto"/>
              <w:jc w:val="right"/>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0</w:t>
            </w:r>
          </w:p>
        </w:tc>
      </w:tr>
    </w:tbl>
    <w:p w:rsidR="004E7B6D" w:rsidRPr="00D53C96" w:rsidRDefault="004E7B6D" w:rsidP="004E7B6D">
      <w:pPr>
        <w:spacing w:after="0" w:line="240" w:lineRule="auto"/>
        <w:rPr>
          <w:rFonts w:ascii="Times New Roman" w:hAnsi="Times New Roman" w:cs="Times New Roman"/>
          <w:b/>
          <w:bCs/>
          <w:sz w:val="24"/>
          <w:szCs w:val="24"/>
          <w:lang w:eastAsia="sk-SK"/>
        </w:rPr>
      </w:pPr>
    </w:p>
    <w:p w:rsidR="004E7B6D" w:rsidRPr="00D53C96" w:rsidRDefault="004E7B6D" w:rsidP="004E7B6D">
      <w:pPr>
        <w:spacing w:after="0" w:line="240" w:lineRule="auto"/>
        <w:jc w:val="both"/>
        <w:rPr>
          <w:rFonts w:ascii="Times New Roman" w:hAnsi="Times New Roman" w:cs="Times New Roman"/>
          <w:b/>
          <w:bCs/>
          <w:sz w:val="24"/>
          <w:szCs w:val="24"/>
          <w:lang w:eastAsia="sk-SK"/>
        </w:rPr>
      </w:pPr>
    </w:p>
    <w:p w:rsidR="004E7B6D" w:rsidRPr="00D53C96" w:rsidRDefault="004E7B6D" w:rsidP="004E7B6D">
      <w:pPr>
        <w:spacing w:after="0" w:line="240" w:lineRule="auto"/>
        <w:jc w:val="both"/>
        <w:rPr>
          <w:rFonts w:ascii="Times New Roman" w:hAnsi="Times New Roman" w:cs="Times New Roman"/>
          <w:b/>
          <w:bCs/>
          <w:sz w:val="24"/>
          <w:szCs w:val="24"/>
          <w:lang w:eastAsia="sk-SK"/>
        </w:rPr>
      </w:pPr>
    </w:p>
    <w:p w:rsidR="004E7B6D" w:rsidRPr="00D53C96" w:rsidRDefault="004E7B6D" w:rsidP="004E7B6D">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rsidR="004E7B6D" w:rsidRPr="00D53C96" w:rsidRDefault="004E7B6D" w:rsidP="004E7B6D">
      <w:pPr>
        <w:spacing w:after="0" w:line="240" w:lineRule="auto"/>
        <w:jc w:val="both"/>
        <w:rPr>
          <w:rFonts w:ascii="Times New Roman" w:hAnsi="Times New Roman" w:cs="Times New Roman"/>
          <w:b/>
          <w:bCs/>
          <w:sz w:val="12"/>
          <w:szCs w:val="24"/>
          <w:lang w:eastAsia="sk-SK"/>
        </w:rPr>
      </w:pPr>
    </w:p>
    <w:p w:rsidR="004E7B6D" w:rsidRPr="00D53C96" w:rsidRDefault="004E7B6D" w:rsidP="004E7B6D">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b/>
          <w:bCs/>
          <w:sz w:val="24"/>
          <w:szCs w:val="24"/>
          <w:lang w:eastAsia="sk-SK"/>
        </w:rPr>
      </w:pPr>
    </w:p>
    <w:p w:rsidR="004E7B6D" w:rsidRPr="00D53C96" w:rsidRDefault="004E7B6D" w:rsidP="004E7B6D">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b/>
          <w:bCs/>
          <w:sz w:val="24"/>
          <w:szCs w:val="24"/>
          <w:lang w:eastAsia="sk-SK"/>
        </w:rPr>
      </w:pPr>
    </w:p>
    <w:p w:rsidR="004E7B6D" w:rsidRPr="00D53C96" w:rsidRDefault="004E7B6D" w:rsidP="004E7B6D">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b/>
          <w:bCs/>
          <w:sz w:val="24"/>
          <w:szCs w:val="24"/>
          <w:lang w:eastAsia="sk-SK"/>
        </w:rPr>
      </w:pPr>
    </w:p>
    <w:p w:rsidR="004E7B6D" w:rsidRPr="00D53C96" w:rsidRDefault="004E7B6D" w:rsidP="004E7B6D">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b/>
          <w:bCs/>
          <w:sz w:val="24"/>
          <w:szCs w:val="24"/>
          <w:lang w:eastAsia="sk-SK"/>
        </w:rPr>
      </w:pPr>
    </w:p>
    <w:p w:rsidR="004E7B6D" w:rsidRPr="00D53C96" w:rsidRDefault="004E7B6D" w:rsidP="004E7B6D">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b/>
          <w:bCs/>
          <w:sz w:val="24"/>
          <w:szCs w:val="24"/>
          <w:lang w:eastAsia="sk-SK"/>
        </w:rPr>
      </w:pPr>
    </w:p>
    <w:p w:rsidR="004E7B6D" w:rsidRPr="00D53C96" w:rsidRDefault="004E7B6D" w:rsidP="004E7B6D">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2.2. Popis a charakteristika návrhu</w:t>
      </w:r>
    </w:p>
    <w:p w:rsidR="004E7B6D" w:rsidRPr="00D53C96" w:rsidRDefault="004E7B6D" w:rsidP="004E7B6D">
      <w:pPr>
        <w:spacing w:after="0" w:line="240" w:lineRule="auto"/>
        <w:rPr>
          <w:rFonts w:ascii="Times New Roman" w:hAnsi="Times New Roman" w:cs="Times New Roman"/>
          <w:sz w:val="24"/>
          <w:szCs w:val="24"/>
          <w:lang w:eastAsia="sk-SK"/>
        </w:rPr>
      </w:pPr>
    </w:p>
    <w:p w:rsidR="004E7B6D" w:rsidRPr="00D53C96" w:rsidRDefault="004E7B6D" w:rsidP="004E7B6D">
      <w:pPr>
        <w:spacing w:after="0" w:line="240" w:lineRule="auto"/>
        <w:jc w:val="both"/>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2.2.1. Popis návrhu:</w:t>
      </w:r>
    </w:p>
    <w:p w:rsidR="004E7B6D" w:rsidRPr="00D53C96" w:rsidRDefault="004E7B6D" w:rsidP="004E7B6D">
      <w:pPr>
        <w:spacing w:after="0" w:line="240" w:lineRule="auto"/>
        <w:jc w:val="both"/>
        <w:rPr>
          <w:rFonts w:ascii="Times New Roman" w:hAnsi="Times New Roman" w:cs="Times New Roman"/>
          <w:b/>
          <w:bCs/>
          <w:sz w:val="24"/>
          <w:szCs w:val="24"/>
          <w:lang w:eastAsia="sk-SK"/>
        </w:rPr>
      </w:pPr>
    </w:p>
    <w:p w:rsidR="004E7B6D" w:rsidRPr="00D53C96" w:rsidRDefault="004E7B6D" w:rsidP="004E7B6D">
      <w:pPr>
        <w:spacing w:after="0" w:line="240" w:lineRule="auto"/>
        <w:ind w:firstLine="708"/>
        <w:jc w:val="both"/>
        <w:rPr>
          <w:rFonts w:ascii="Times New Roman" w:hAnsi="Times New Roman" w:cs="Times New Roman"/>
          <w:sz w:val="24"/>
          <w:szCs w:val="24"/>
          <w:lang w:eastAsia="sk-SK"/>
        </w:rPr>
      </w:pPr>
      <w:r w:rsidRPr="00D53C96">
        <w:rPr>
          <w:rFonts w:ascii="Times New Roman" w:hAnsi="Times New Roman" w:cs="Times New Roman"/>
          <w:sz w:val="24"/>
          <w:szCs w:val="24"/>
          <w:lang w:eastAsia="sk-SK"/>
        </w:rPr>
        <w:t>Akú problematiku návrh rieši? Kto bude návrh implementovať? Kde sa budú služby poskytovať?</w:t>
      </w:r>
    </w:p>
    <w:p w:rsidR="004E7B6D" w:rsidRPr="00D53C96" w:rsidRDefault="004E7B6D" w:rsidP="004E7B6D">
      <w:pPr>
        <w:spacing w:after="0" w:line="240" w:lineRule="auto"/>
        <w:ind w:firstLine="708"/>
        <w:jc w:val="both"/>
        <w:rPr>
          <w:rFonts w:ascii="Times New Roman" w:hAnsi="Times New Roman" w:cs="Times New Roman"/>
          <w:sz w:val="24"/>
          <w:szCs w:val="24"/>
          <w:lang w:eastAsia="sk-SK"/>
        </w:rPr>
      </w:pPr>
    </w:p>
    <w:p w:rsidR="004E7B6D" w:rsidRPr="00D53C96" w:rsidRDefault="004E7B6D" w:rsidP="004E7B6D">
      <w:pPr>
        <w:autoSpaceDE w:val="0"/>
        <w:autoSpaceDN w:val="0"/>
        <w:spacing w:after="0"/>
        <w:jc w:val="both"/>
        <w:rPr>
          <w:rFonts w:ascii="Times New Roman" w:eastAsia="Calibri" w:hAnsi="Times New Roman" w:cs="Times New Roman"/>
          <w:bCs/>
          <w:sz w:val="24"/>
          <w:szCs w:val="24"/>
        </w:rPr>
      </w:pPr>
      <w:r w:rsidRPr="00D53C96">
        <w:rPr>
          <w:rFonts w:ascii="Times New Roman" w:hAnsi="Times New Roman" w:cs="Times New Roman"/>
          <w:sz w:val="24"/>
          <w:szCs w:val="24"/>
          <w:lang w:eastAsia="sk-SK"/>
        </w:rPr>
        <w:t xml:space="preserve">Návrh Nariadenia vlády SR </w:t>
      </w:r>
      <w:r w:rsidRPr="00D53C96">
        <w:rPr>
          <w:rFonts w:ascii="Times New Roman" w:hAnsi="Times New Roman" w:cs="Times New Roman"/>
          <w:color w:val="000000"/>
          <w:sz w:val="24"/>
          <w:szCs w:val="24"/>
          <w:lang w:eastAsia="sk-SK"/>
        </w:rPr>
        <w:t xml:space="preserve">definuje nové pravidlá pri stanovovaní výšky zdrojov, ktoré je potrebné zhromažďovať na činnosti v záverečnej časti jadrovej energetiky a ich úhrady. Implementáciu nariadenia vlády SR bude zabezpečovať jadrový fond. </w:t>
      </w:r>
    </w:p>
    <w:p w:rsidR="004E7B6D" w:rsidRPr="00D53C96" w:rsidRDefault="004E7B6D" w:rsidP="004E7B6D">
      <w:pPr>
        <w:spacing w:after="0" w:line="240" w:lineRule="auto"/>
        <w:rPr>
          <w:rFonts w:ascii="Times New Roman" w:hAnsi="Times New Roman" w:cs="Times New Roman"/>
          <w:sz w:val="24"/>
          <w:szCs w:val="24"/>
          <w:lang w:eastAsia="sk-SK"/>
        </w:rPr>
      </w:pPr>
    </w:p>
    <w:p w:rsidR="004E7B6D" w:rsidRPr="00D53C96" w:rsidRDefault="004E7B6D" w:rsidP="004E7B6D">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2.2.2. Charakteristika návrhu:</w:t>
      </w:r>
    </w:p>
    <w:p w:rsidR="004E7B6D" w:rsidRPr="00D53C96" w:rsidRDefault="004E7B6D" w:rsidP="004E7B6D">
      <w:pPr>
        <w:spacing w:after="0" w:line="240" w:lineRule="auto"/>
        <w:rPr>
          <w:rFonts w:ascii="Times New Roman" w:hAnsi="Times New Roman" w:cs="Times New Roman"/>
          <w:sz w:val="24"/>
          <w:szCs w:val="24"/>
          <w:lang w:eastAsia="sk-SK"/>
        </w:rPr>
      </w:pPr>
    </w:p>
    <w:p w:rsidR="004E7B6D" w:rsidRPr="00D53C96" w:rsidRDefault="004E7B6D" w:rsidP="004E7B6D">
      <w:pPr>
        <w:spacing w:after="0" w:line="240" w:lineRule="auto"/>
        <w:rPr>
          <w:rFonts w:ascii="Times New Roman" w:hAnsi="Times New Roman" w:cs="Times New Roman"/>
          <w:sz w:val="24"/>
          <w:szCs w:val="24"/>
          <w:lang w:eastAsia="sk-SK"/>
        </w:rPr>
      </w:pPr>
    </w:p>
    <w:p w:rsidR="004E7B6D" w:rsidRPr="00D53C96" w:rsidRDefault="004E7B6D" w:rsidP="004E7B6D">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bdr w:val="single" w:sz="4" w:space="0" w:color="auto"/>
          <w:lang w:eastAsia="sk-SK"/>
        </w:rPr>
        <w:t xml:space="preserve"> X</w:t>
      </w:r>
      <w:r w:rsidRPr="00D53C96">
        <w:rPr>
          <w:rFonts w:ascii="Times New Roman" w:hAnsi="Times New Roman" w:cs="Times New Roman"/>
          <w:sz w:val="24"/>
          <w:szCs w:val="24"/>
          <w:lang w:eastAsia="sk-SK"/>
        </w:rPr>
        <w:t xml:space="preserve"> zmena sadzby</w:t>
      </w:r>
    </w:p>
    <w:p w:rsidR="004E7B6D" w:rsidRPr="00D53C96" w:rsidRDefault="004E7B6D" w:rsidP="004E7B6D">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xml:space="preserve">  zmena v nároku</w:t>
      </w:r>
    </w:p>
    <w:p w:rsidR="004E7B6D" w:rsidRPr="00D53C96" w:rsidRDefault="004E7B6D" w:rsidP="004E7B6D">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xml:space="preserve">  nová služba alebo nariadenie (alebo ich zrušenie)</w:t>
      </w:r>
    </w:p>
    <w:p w:rsidR="004E7B6D" w:rsidRPr="00D53C96" w:rsidRDefault="004E7B6D" w:rsidP="004E7B6D">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xml:space="preserve">  kombinovaný návrh</w:t>
      </w:r>
    </w:p>
    <w:p w:rsidR="004E7B6D" w:rsidRPr="00D53C96" w:rsidRDefault="004E7B6D" w:rsidP="004E7B6D">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xml:space="preserve">  iné</w:t>
      </w:r>
    </w:p>
    <w:p w:rsidR="004E7B6D" w:rsidRPr="00D53C96" w:rsidRDefault="004E7B6D" w:rsidP="004E7B6D">
      <w:pPr>
        <w:spacing w:after="0" w:line="240" w:lineRule="auto"/>
        <w:rPr>
          <w:rFonts w:ascii="Times New Roman" w:hAnsi="Times New Roman" w:cs="Times New Roman"/>
          <w:sz w:val="24"/>
          <w:szCs w:val="24"/>
          <w:lang w:eastAsia="sk-SK"/>
        </w:rPr>
      </w:pPr>
    </w:p>
    <w:p w:rsidR="004E7B6D" w:rsidRPr="00D53C96" w:rsidRDefault="004E7B6D" w:rsidP="004E7B6D">
      <w:pPr>
        <w:spacing w:after="0" w:line="240" w:lineRule="auto"/>
        <w:rPr>
          <w:rFonts w:ascii="Times New Roman" w:hAnsi="Times New Roman" w:cs="Times New Roman"/>
          <w:sz w:val="24"/>
          <w:szCs w:val="24"/>
          <w:lang w:eastAsia="sk-SK"/>
        </w:rPr>
      </w:pPr>
    </w:p>
    <w:p w:rsidR="004E7B6D" w:rsidRPr="00D53C96" w:rsidRDefault="004E7B6D" w:rsidP="004E7B6D">
      <w:pPr>
        <w:spacing w:after="0" w:line="240" w:lineRule="auto"/>
        <w:rPr>
          <w:rFonts w:ascii="Times New Roman" w:hAnsi="Times New Roman" w:cs="Times New Roman"/>
          <w:sz w:val="24"/>
          <w:szCs w:val="24"/>
          <w:lang w:eastAsia="sk-SK"/>
        </w:rPr>
      </w:pPr>
      <w:r w:rsidRPr="00D53C96">
        <w:rPr>
          <w:rFonts w:ascii="Times New Roman" w:hAnsi="Times New Roman" w:cs="Times New Roman"/>
          <w:b/>
          <w:bCs/>
          <w:sz w:val="24"/>
          <w:szCs w:val="24"/>
          <w:lang w:eastAsia="sk-SK"/>
        </w:rPr>
        <w:t>2.2.3. Predpoklady vývoja objemu aktivít:</w:t>
      </w:r>
    </w:p>
    <w:p w:rsidR="004E7B6D" w:rsidRPr="00D53C96" w:rsidRDefault="004E7B6D" w:rsidP="004E7B6D">
      <w:pPr>
        <w:spacing w:after="0" w:line="240" w:lineRule="auto"/>
        <w:rPr>
          <w:rFonts w:ascii="Times New Roman" w:hAnsi="Times New Roman" w:cs="Times New Roman"/>
          <w:sz w:val="24"/>
          <w:szCs w:val="24"/>
          <w:lang w:eastAsia="sk-SK"/>
        </w:rPr>
      </w:pPr>
    </w:p>
    <w:p w:rsidR="004E7B6D" w:rsidRPr="00D53C96" w:rsidRDefault="004E7B6D" w:rsidP="004E7B6D">
      <w:pPr>
        <w:spacing w:after="0" w:line="240" w:lineRule="auto"/>
        <w:ind w:firstLine="708"/>
        <w:jc w:val="both"/>
        <w:rPr>
          <w:rFonts w:ascii="Times New Roman" w:hAnsi="Times New Roman" w:cs="Times New Roman"/>
          <w:sz w:val="24"/>
          <w:szCs w:val="24"/>
          <w:lang w:eastAsia="sk-SK"/>
        </w:rPr>
      </w:pPr>
      <w:r w:rsidRPr="00D53C96">
        <w:rPr>
          <w:rFonts w:ascii="Times New Roman" w:hAnsi="Times New Roman" w:cs="Times New Roman"/>
          <w:sz w:val="24"/>
          <w:szCs w:val="24"/>
          <w:lang w:eastAsia="sk-SK"/>
        </w:rPr>
        <w:t>Jasne popíšte, v prípade potreby použite nižšie uvedenú tabuľku. Uveďte aj odhady základov daní a/alebo poplatkov, ak sa ich táto zmena týka.</w:t>
      </w:r>
    </w:p>
    <w:p w:rsidR="004E7B6D" w:rsidRPr="00D53C96" w:rsidRDefault="004E7B6D" w:rsidP="004E7B6D">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0"/>
        <w:gridCol w:w="1134"/>
        <w:gridCol w:w="1134"/>
        <w:gridCol w:w="1134"/>
        <w:gridCol w:w="1134"/>
      </w:tblGrid>
      <w:tr w:rsidR="004E7B6D" w:rsidRPr="00D53C96" w:rsidTr="008A4E1A">
        <w:trPr>
          <w:cantSplit/>
          <w:trHeight w:val="70"/>
        </w:trPr>
        <w:tc>
          <w:tcPr>
            <w:tcW w:w="4530" w:type="dxa"/>
            <w:vMerge w:val="restart"/>
            <w:shd w:val="clear" w:color="auto" w:fill="BFBFBF"/>
            <w:vAlign w:val="center"/>
          </w:tcPr>
          <w:p w:rsidR="004E7B6D" w:rsidRPr="00D53C96" w:rsidRDefault="004E7B6D" w:rsidP="008A4E1A">
            <w:pPr>
              <w:autoSpaceDE w:val="0"/>
              <w:autoSpaceDN w:val="0"/>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Objem aktivít</w:t>
            </w:r>
          </w:p>
        </w:tc>
        <w:tc>
          <w:tcPr>
            <w:tcW w:w="1134" w:type="dxa"/>
            <w:gridSpan w:val="4"/>
            <w:shd w:val="clear" w:color="auto" w:fill="BFBFBF"/>
            <w:vAlign w:val="center"/>
          </w:tcPr>
          <w:p w:rsidR="004E7B6D" w:rsidRPr="00D53C96" w:rsidRDefault="004E7B6D" w:rsidP="008A4E1A">
            <w:pPr>
              <w:autoSpaceDE w:val="0"/>
              <w:autoSpaceDN w:val="0"/>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Odhadované objemy</w:t>
            </w:r>
          </w:p>
        </w:tc>
      </w:tr>
      <w:tr w:rsidR="004E7B6D" w:rsidRPr="00D53C96" w:rsidTr="008A4E1A">
        <w:trPr>
          <w:cantSplit/>
          <w:trHeight w:val="70"/>
        </w:trPr>
        <w:tc>
          <w:tcPr>
            <w:tcW w:w="4530" w:type="dxa"/>
            <w:vMerge/>
            <w:shd w:val="clear" w:color="auto" w:fill="BFBFBF"/>
          </w:tcPr>
          <w:p w:rsidR="004E7B6D" w:rsidRPr="00D53C96" w:rsidRDefault="004E7B6D" w:rsidP="008A4E1A">
            <w:pPr>
              <w:autoSpaceDE w:val="0"/>
              <w:autoSpaceDN w:val="0"/>
              <w:spacing w:after="0" w:line="240" w:lineRule="auto"/>
              <w:jc w:val="center"/>
              <w:rPr>
                <w:rFonts w:ascii="Times New Roman" w:hAnsi="Times New Roman" w:cs="Times New Roman"/>
                <w:b/>
                <w:bCs/>
                <w:sz w:val="24"/>
                <w:szCs w:val="24"/>
                <w:lang w:eastAsia="sk-SK"/>
              </w:rPr>
            </w:pPr>
          </w:p>
        </w:tc>
        <w:tc>
          <w:tcPr>
            <w:tcW w:w="1134" w:type="dxa"/>
            <w:shd w:val="clear" w:color="auto" w:fill="BFBFBF"/>
            <w:vAlign w:val="center"/>
          </w:tcPr>
          <w:p w:rsidR="004E7B6D" w:rsidRPr="00D53C96" w:rsidRDefault="004E7B6D" w:rsidP="008A4E1A">
            <w:pPr>
              <w:autoSpaceDE w:val="0"/>
              <w:autoSpaceDN w:val="0"/>
              <w:spacing w:after="0" w:line="240" w:lineRule="auto"/>
              <w:jc w:val="center"/>
              <w:rPr>
                <w:rFonts w:ascii="Times New Roman" w:hAnsi="Times New Roman" w:cs="Times New Roman"/>
                <w:b/>
                <w:bCs/>
                <w:sz w:val="24"/>
                <w:szCs w:val="24"/>
                <w:lang w:eastAsia="sk-SK"/>
              </w:rPr>
            </w:pPr>
          </w:p>
          <w:p w:rsidR="004E7B6D" w:rsidRPr="00D53C96" w:rsidRDefault="004E7B6D" w:rsidP="008A4E1A">
            <w:pPr>
              <w:autoSpaceDE w:val="0"/>
              <w:autoSpaceDN w:val="0"/>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2017</w:t>
            </w:r>
          </w:p>
        </w:tc>
        <w:tc>
          <w:tcPr>
            <w:tcW w:w="1134" w:type="dxa"/>
            <w:shd w:val="clear" w:color="auto" w:fill="BFBFBF"/>
            <w:vAlign w:val="center"/>
          </w:tcPr>
          <w:p w:rsidR="004E7B6D" w:rsidRPr="00D53C96" w:rsidRDefault="004E7B6D" w:rsidP="008A4E1A">
            <w:pPr>
              <w:autoSpaceDE w:val="0"/>
              <w:autoSpaceDN w:val="0"/>
              <w:spacing w:after="0" w:line="240" w:lineRule="auto"/>
              <w:jc w:val="center"/>
              <w:rPr>
                <w:rFonts w:ascii="Times New Roman" w:hAnsi="Times New Roman" w:cs="Times New Roman"/>
                <w:b/>
                <w:bCs/>
                <w:sz w:val="24"/>
                <w:szCs w:val="24"/>
                <w:lang w:eastAsia="sk-SK"/>
              </w:rPr>
            </w:pPr>
          </w:p>
          <w:p w:rsidR="004E7B6D" w:rsidRPr="00D53C96" w:rsidRDefault="004E7B6D" w:rsidP="008A4E1A">
            <w:pPr>
              <w:autoSpaceDE w:val="0"/>
              <w:autoSpaceDN w:val="0"/>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2018</w:t>
            </w:r>
          </w:p>
        </w:tc>
        <w:tc>
          <w:tcPr>
            <w:tcW w:w="1134" w:type="dxa"/>
            <w:shd w:val="clear" w:color="auto" w:fill="BFBFBF"/>
            <w:vAlign w:val="center"/>
          </w:tcPr>
          <w:p w:rsidR="004E7B6D" w:rsidRPr="00D53C96" w:rsidRDefault="004E7B6D" w:rsidP="008A4E1A">
            <w:pPr>
              <w:autoSpaceDE w:val="0"/>
              <w:autoSpaceDN w:val="0"/>
              <w:spacing w:after="0" w:line="240" w:lineRule="auto"/>
              <w:jc w:val="center"/>
              <w:rPr>
                <w:rFonts w:ascii="Times New Roman" w:hAnsi="Times New Roman" w:cs="Times New Roman"/>
                <w:b/>
                <w:bCs/>
                <w:sz w:val="24"/>
                <w:szCs w:val="24"/>
                <w:lang w:eastAsia="sk-SK"/>
              </w:rPr>
            </w:pPr>
          </w:p>
          <w:p w:rsidR="004E7B6D" w:rsidRPr="00D53C96" w:rsidRDefault="004E7B6D" w:rsidP="008A4E1A">
            <w:pPr>
              <w:autoSpaceDE w:val="0"/>
              <w:autoSpaceDN w:val="0"/>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2019</w:t>
            </w:r>
          </w:p>
        </w:tc>
        <w:tc>
          <w:tcPr>
            <w:tcW w:w="1134" w:type="dxa"/>
            <w:shd w:val="clear" w:color="auto" w:fill="BFBFBF"/>
            <w:vAlign w:val="center"/>
          </w:tcPr>
          <w:p w:rsidR="004E7B6D" w:rsidRPr="00D53C96" w:rsidRDefault="004E7B6D" w:rsidP="008A4E1A">
            <w:pPr>
              <w:autoSpaceDE w:val="0"/>
              <w:autoSpaceDN w:val="0"/>
              <w:spacing w:after="0" w:line="240" w:lineRule="auto"/>
              <w:jc w:val="center"/>
              <w:rPr>
                <w:rFonts w:ascii="Times New Roman" w:hAnsi="Times New Roman" w:cs="Times New Roman"/>
                <w:b/>
                <w:bCs/>
                <w:sz w:val="24"/>
                <w:szCs w:val="24"/>
                <w:lang w:eastAsia="sk-SK"/>
              </w:rPr>
            </w:pPr>
          </w:p>
          <w:p w:rsidR="004E7B6D" w:rsidRPr="00D53C96" w:rsidRDefault="004E7B6D" w:rsidP="008A4E1A">
            <w:pPr>
              <w:autoSpaceDE w:val="0"/>
              <w:autoSpaceDN w:val="0"/>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2020</w:t>
            </w:r>
          </w:p>
        </w:tc>
      </w:tr>
      <w:tr w:rsidR="004E7B6D" w:rsidRPr="00D53C96" w:rsidTr="008A4E1A">
        <w:trPr>
          <w:trHeight w:val="70"/>
        </w:trPr>
        <w:tc>
          <w:tcPr>
            <w:tcW w:w="4530" w:type="dxa"/>
          </w:tcPr>
          <w:p w:rsidR="004E7B6D" w:rsidRPr="00D53C96" w:rsidRDefault="004E7B6D" w:rsidP="008A4E1A">
            <w:pPr>
              <w:autoSpaceDE w:val="0"/>
              <w:autoSpaceDN w:val="0"/>
              <w:spacing w:after="0" w:line="240" w:lineRule="auto"/>
              <w:rPr>
                <w:rFonts w:ascii="Times New Roman" w:hAnsi="Times New Roman" w:cs="Times New Roman"/>
                <w:color w:val="000000"/>
                <w:sz w:val="24"/>
                <w:szCs w:val="24"/>
                <w:lang w:eastAsia="sk-SK"/>
              </w:rPr>
            </w:pPr>
            <w:r w:rsidRPr="00D53C96">
              <w:rPr>
                <w:rFonts w:ascii="Times New Roman" w:hAnsi="Times New Roman" w:cs="Times New Roman"/>
                <w:color w:val="000000"/>
                <w:sz w:val="24"/>
                <w:szCs w:val="24"/>
                <w:lang w:eastAsia="sk-SK"/>
              </w:rPr>
              <w:t>Indikátor ABC</w:t>
            </w:r>
          </w:p>
        </w:tc>
        <w:tc>
          <w:tcPr>
            <w:tcW w:w="1134" w:type="dxa"/>
          </w:tcPr>
          <w:p w:rsidR="004E7B6D" w:rsidRPr="00D53C96" w:rsidRDefault="004E7B6D" w:rsidP="008A4E1A">
            <w:pPr>
              <w:autoSpaceDE w:val="0"/>
              <w:autoSpaceDN w:val="0"/>
              <w:spacing w:after="0" w:line="240" w:lineRule="auto"/>
              <w:jc w:val="right"/>
              <w:rPr>
                <w:rFonts w:ascii="Times New Roman" w:hAnsi="Times New Roman" w:cs="Times New Roman"/>
                <w:color w:val="000000"/>
                <w:sz w:val="24"/>
                <w:szCs w:val="24"/>
                <w:lang w:eastAsia="sk-SK"/>
              </w:rPr>
            </w:pPr>
          </w:p>
        </w:tc>
        <w:tc>
          <w:tcPr>
            <w:tcW w:w="1134" w:type="dxa"/>
          </w:tcPr>
          <w:p w:rsidR="004E7B6D" w:rsidRPr="00D53C96" w:rsidRDefault="004E7B6D" w:rsidP="008A4E1A">
            <w:pPr>
              <w:autoSpaceDE w:val="0"/>
              <w:autoSpaceDN w:val="0"/>
              <w:spacing w:after="0" w:line="240" w:lineRule="auto"/>
              <w:jc w:val="right"/>
              <w:rPr>
                <w:rFonts w:ascii="Times New Roman" w:hAnsi="Times New Roman" w:cs="Times New Roman"/>
                <w:color w:val="000000"/>
                <w:sz w:val="24"/>
                <w:szCs w:val="24"/>
                <w:lang w:eastAsia="sk-SK"/>
              </w:rPr>
            </w:pPr>
          </w:p>
        </w:tc>
        <w:tc>
          <w:tcPr>
            <w:tcW w:w="1134" w:type="dxa"/>
          </w:tcPr>
          <w:p w:rsidR="004E7B6D" w:rsidRPr="00D53C96" w:rsidRDefault="004E7B6D" w:rsidP="008A4E1A">
            <w:pPr>
              <w:autoSpaceDE w:val="0"/>
              <w:autoSpaceDN w:val="0"/>
              <w:spacing w:after="0" w:line="240" w:lineRule="auto"/>
              <w:jc w:val="right"/>
              <w:rPr>
                <w:rFonts w:ascii="Times New Roman" w:hAnsi="Times New Roman" w:cs="Times New Roman"/>
                <w:color w:val="000000"/>
                <w:sz w:val="24"/>
                <w:szCs w:val="24"/>
                <w:lang w:eastAsia="sk-SK"/>
              </w:rPr>
            </w:pPr>
          </w:p>
        </w:tc>
        <w:tc>
          <w:tcPr>
            <w:tcW w:w="1134" w:type="dxa"/>
          </w:tcPr>
          <w:p w:rsidR="004E7B6D" w:rsidRPr="00D53C96" w:rsidRDefault="004E7B6D" w:rsidP="008A4E1A">
            <w:pPr>
              <w:autoSpaceDE w:val="0"/>
              <w:autoSpaceDN w:val="0"/>
              <w:spacing w:after="0" w:line="240" w:lineRule="auto"/>
              <w:jc w:val="right"/>
              <w:rPr>
                <w:rFonts w:ascii="Times New Roman" w:hAnsi="Times New Roman" w:cs="Times New Roman"/>
                <w:color w:val="000000"/>
                <w:sz w:val="24"/>
                <w:szCs w:val="24"/>
                <w:lang w:eastAsia="sk-SK"/>
              </w:rPr>
            </w:pPr>
          </w:p>
        </w:tc>
      </w:tr>
      <w:tr w:rsidR="004E7B6D" w:rsidRPr="00D53C96" w:rsidTr="008A4E1A">
        <w:trPr>
          <w:trHeight w:val="70"/>
        </w:trPr>
        <w:tc>
          <w:tcPr>
            <w:tcW w:w="4530" w:type="dxa"/>
          </w:tcPr>
          <w:p w:rsidR="004E7B6D" w:rsidRPr="00D53C96" w:rsidRDefault="004E7B6D" w:rsidP="008A4E1A">
            <w:pPr>
              <w:autoSpaceDE w:val="0"/>
              <w:autoSpaceDN w:val="0"/>
              <w:spacing w:after="0" w:line="240" w:lineRule="auto"/>
              <w:rPr>
                <w:rFonts w:ascii="Times New Roman" w:hAnsi="Times New Roman" w:cs="Times New Roman"/>
                <w:color w:val="000000"/>
                <w:sz w:val="24"/>
                <w:szCs w:val="24"/>
                <w:lang w:eastAsia="sk-SK"/>
              </w:rPr>
            </w:pPr>
            <w:r w:rsidRPr="00D53C96">
              <w:rPr>
                <w:rFonts w:ascii="Times New Roman" w:hAnsi="Times New Roman" w:cs="Times New Roman"/>
                <w:color w:val="000000"/>
                <w:sz w:val="24"/>
                <w:szCs w:val="24"/>
                <w:lang w:eastAsia="sk-SK"/>
              </w:rPr>
              <w:t>Indikátor KLM</w:t>
            </w:r>
          </w:p>
        </w:tc>
        <w:tc>
          <w:tcPr>
            <w:tcW w:w="1134" w:type="dxa"/>
          </w:tcPr>
          <w:p w:rsidR="004E7B6D" w:rsidRPr="00D53C96" w:rsidRDefault="004E7B6D" w:rsidP="008A4E1A">
            <w:pPr>
              <w:autoSpaceDE w:val="0"/>
              <w:autoSpaceDN w:val="0"/>
              <w:spacing w:after="0" w:line="240" w:lineRule="auto"/>
              <w:jc w:val="right"/>
              <w:rPr>
                <w:rFonts w:ascii="Times New Roman" w:hAnsi="Times New Roman" w:cs="Times New Roman"/>
                <w:color w:val="000000"/>
                <w:sz w:val="24"/>
                <w:szCs w:val="24"/>
                <w:lang w:eastAsia="sk-SK"/>
              </w:rPr>
            </w:pPr>
          </w:p>
        </w:tc>
        <w:tc>
          <w:tcPr>
            <w:tcW w:w="1134" w:type="dxa"/>
          </w:tcPr>
          <w:p w:rsidR="004E7B6D" w:rsidRPr="00D53C96" w:rsidRDefault="004E7B6D" w:rsidP="008A4E1A">
            <w:pPr>
              <w:autoSpaceDE w:val="0"/>
              <w:autoSpaceDN w:val="0"/>
              <w:spacing w:after="0" w:line="240" w:lineRule="auto"/>
              <w:jc w:val="right"/>
              <w:rPr>
                <w:rFonts w:ascii="Times New Roman" w:hAnsi="Times New Roman" w:cs="Times New Roman"/>
                <w:color w:val="000000"/>
                <w:sz w:val="24"/>
                <w:szCs w:val="24"/>
                <w:lang w:eastAsia="sk-SK"/>
              </w:rPr>
            </w:pPr>
          </w:p>
        </w:tc>
        <w:tc>
          <w:tcPr>
            <w:tcW w:w="1134" w:type="dxa"/>
          </w:tcPr>
          <w:p w:rsidR="004E7B6D" w:rsidRPr="00D53C96" w:rsidRDefault="004E7B6D" w:rsidP="008A4E1A">
            <w:pPr>
              <w:autoSpaceDE w:val="0"/>
              <w:autoSpaceDN w:val="0"/>
              <w:spacing w:after="0" w:line="240" w:lineRule="auto"/>
              <w:jc w:val="right"/>
              <w:rPr>
                <w:rFonts w:ascii="Times New Roman" w:hAnsi="Times New Roman" w:cs="Times New Roman"/>
                <w:color w:val="000000"/>
                <w:sz w:val="24"/>
                <w:szCs w:val="24"/>
                <w:lang w:eastAsia="sk-SK"/>
              </w:rPr>
            </w:pPr>
          </w:p>
        </w:tc>
        <w:tc>
          <w:tcPr>
            <w:tcW w:w="1134" w:type="dxa"/>
          </w:tcPr>
          <w:p w:rsidR="004E7B6D" w:rsidRPr="00D53C96" w:rsidRDefault="004E7B6D" w:rsidP="008A4E1A">
            <w:pPr>
              <w:autoSpaceDE w:val="0"/>
              <w:autoSpaceDN w:val="0"/>
              <w:spacing w:after="0" w:line="240" w:lineRule="auto"/>
              <w:jc w:val="right"/>
              <w:rPr>
                <w:rFonts w:ascii="Times New Roman" w:hAnsi="Times New Roman" w:cs="Times New Roman"/>
                <w:color w:val="000000"/>
                <w:sz w:val="24"/>
                <w:szCs w:val="24"/>
                <w:lang w:eastAsia="sk-SK"/>
              </w:rPr>
            </w:pPr>
          </w:p>
        </w:tc>
      </w:tr>
      <w:tr w:rsidR="004E7B6D" w:rsidRPr="00D53C96" w:rsidTr="008A4E1A">
        <w:trPr>
          <w:trHeight w:val="70"/>
        </w:trPr>
        <w:tc>
          <w:tcPr>
            <w:tcW w:w="4530" w:type="dxa"/>
          </w:tcPr>
          <w:p w:rsidR="004E7B6D" w:rsidRPr="00D53C96" w:rsidRDefault="004E7B6D" w:rsidP="008A4E1A">
            <w:pPr>
              <w:autoSpaceDE w:val="0"/>
              <w:autoSpaceDN w:val="0"/>
              <w:spacing w:after="0" w:line="240" w:lineRule="auto"/>
              <w:rPr>
                <w:rFonts w:ascii="Times New Roman" w:hAnsi="Times New Roman" w:cs="Times New Roman"/>
                <w:color w:val="000000"/>
                <w:sz w:val="24"/>
                <w:szCs w:val="24"/>
                <w:lang w:eastAsia="sk-SK"/>
              </w:rPr>
            </w:pPr>
            <w:r w:rsidRPr="00D53C96">
              <w:rPr>
                <w:rFonts w:ascii="Times New Roman" w:hAnsi="Times New Roman" w:cs="Times New Roman"/>
                <w:color w:val="000000"/>
                <w:sz w:val="24"/>
                <w:szCs w:val="24"/>
                <w:lang w:eastAsia="sk-SK"/>
              </w:rPr>
              <w:t>Indikátor XYZ</w:t>
            </w:r>
          </w:p>
        </w:tc>
        <w:tc>
          <w:tcPr>
            <w:tcW w:w="1134" w:type="dxa"/>
          </w:tcPr>
          <w:p w:rsidR="004E7B6D" w:rsidRPr="00D53C96" w:rsidRDefault="004E7B6D" w:rsidP="008A4E1A">
            <w:pPr>
              <w:autoSpaceDE w:val="0"/>
              <w:autoSpaceDN w:val="0"/>
              <w:spacing w:after="0" w:line="240" w:lineRule="auto"/>
              <w:jc w:val="right"/>
              <w:rPr>
                <w:rFonts w:ascii="Times New Roman" w:hAnsi="Times New Roman" w:cs="Times New Roman"/>
                <w:color w:val="000000"/>
                <w:sz w:val="24"/>
                <w:szCs w:val="24"/>
                <w:lang w:eastAsia="sk-SK"/>
              </w:rPr>
            </w:pPr>
          </w:p>
        </w:tc>
        <w:tc>
          <w:tcPr>
            <w:tcW w:w="1134" w:type="dxa"/>
          </w:tcPr>
          <w:p w:rsidR="004E7B6D" w:rsidRPr="00D53C96" w:rsidRDefault="004E7B6D" w:rsidP="008A4E1A">
            <w:pPr>
              <w:autoSpaceDE w:val="0"/>
              <w:autoSpaceDN w:val="0"/>
              <w:spacing w:after="0" w:line="240" w:lineRule="auto"/>
              <w:jc w:val="right"/>
              <w:rPr>
                <w:rFonts w:ascii="Times New Roman" w:hAnsi="Times New Roman" w:cs="Times New Roman"/>
                <w:color w:val="000000"/>
                <w:sz w:val="24"/>
                <w:szCs w:val="24"/>
                <w:lang w:eastAsia="sk-SK"/>
              </w:rPr>
            </w:pPr>
          </w:p>
        </w:tc>
        <w:tc>
          <w:tcPr>
            <w:tcW w:w="1134" w:type="dxa"/>
          </w:tcPr>
          <w:p w:rsidR="004E7B6D" w:rsidRPr="00D53C96" w:rsidRDefault="004E7B6D" w:rsidP="008A4E1A">
            <w:pPr>
              <w:autoSpaceDE w:val="0"/>
              <w:autoSpaceDN w:val="0"/>
              <w:spacing w:after="0" w:line="240" w:lineRule="auto"/>
              <w:jc w:val="right"/>
              <w:rPr>
                <w:rFonts w:ascii="Times New Roman" w:hAnsi="Times New Roman" w:cs="Times New Roman"/>
                <w:color w:val="000000"/>
                <w:sz w:val="24"/>
                <w:szCs w:val="24"/>
                <w:lang w:eastAsia="sk-SK"/>
              </w:rPr>
            </w:pPr>
          </w:p>
        </w:tc>
        <w:tc>
          <w:tcPr>
            <w:tcW w:w="1134" w:type="dxa"/>
          </w:tcPr>
          <w:p w:rsidR="004E7B6D" w:rsidRPr="00D53C96" w:rsidRDefault="004E7B6D" w:rsidP="008A4E1A">
            <w:pPr>
              <w:autoSpaceDE w:val="0"/>
              <w:autoSpaceDN w:val="0"/>
              <w:spacing w:after="0" w:line="240" w:lineRule="auto"/>
              <w:jc w:val="right"/>
              <w:rPr>
                <w:rFonts w:ascii="Times New Roman" w:hAnsi="Times New Roman" w:cs="Times New Roman"/>
                <w:color w:val="000000"/>
                <w:sz w:val="24"/>
                <w:szCs w:val="24"/>
                <w:lang w:eastAsia="sk-SK"/>
              </w:rPr>
            </w:pPr>
          </w:p>
        </w:tc>
      </w:tr>
    </w:tbl>
    <w:p w:rsidR="004E7B6D" w:rsidRPr="00D53C96" w:rsidRDefault="004E7B6D" w:rsidP="004E7B6D">
      <w:pPr>
        <w:spacing w:after="0" w:line="240" w:lineRule="auto"/>
        <w:rPr>
          <w:rFonts w:ascii="Times New Roman" w:hAnsi="Times New Roman" w:cs="Times New Roman"/>
          <w:sz w:val="24"/>
          <w:szCs w:val="24"/>
          <w:lang w:eastAsia="sk-SK"/>
        </w:rPr>
      </w:pPr>
    </w:p>
    <w:p w:rsidR="004E7B6D" w:rsidRPr="00D53C96" w:rsidRDefault="004E7B6D" w:rsidP="004E7B6D">
      <w:pPr>
        <w:spacing w:after="0" w:line="240" w:lineRule="auto"/>
        <w:rPr>
          <w:rFonts w:ascii="Times New Roman" w:hAnsi="Times New Roman" w:cs="Times New Roman"/>
          <w:sz w:val="24"/>
          <w:szCs w:val="24"/>
          <w:lang w:eastAsia="sk-SK"/>
        </w:rPr>
      </w:pPr>
    </w:p>
    <w:p w:rsidR="004E7B6D" w:rsidRPr="00D53C96" w:rsidRDefault="004E7B6D" w:rsidP="004E7B6D">
      <w:pPr>
        <w:spacing w:after="0" w:line="240" w:lineRule="auto"/>
        <w:rPr>
          <w:rFonts w:ascii="Times New Roman" w:hAnsi="Times New Roman" w:cs="Times New Roman"/>
          <w:b/>
          <w:bCs/>
          <w:sz w:val="24"/>
          <w:szCs w:val="24"/>
          <w:lang w:eastAsia="sk-SK"/>
        </w:rPr>
      </w:pPr>
    </w:p>
    <w:p w:rsidR="004E7B6D" w:rsidRPr="00D53C96" w:rsidRDefault="004E7B6D" w:rsidP="004E7B6D">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2.2.4. Výpočty vplyvov na verejné financie</w:t>
      </w:r>
    </w:p>
    <w:p w:rsidR="004E7B6D" w:rsidRPr="00D53C96" w:rsidRDefault="004E7B6D" w:rsidP="004E7B6D">
      <w:pPr>
        <w:spacing w:after="0" w:line="240" w:lineRule="auto"/>
        <w:rPr>
          <w:rFonts w:ascii="Times New Roman" w:hAnsi="Times New Roman" w:cs="Times New Roman"/>
          <w:sz w:val="24"/>
          <w:szCs w:val="24"/>
          <w:lang w:eastAsia="sk-SK"/>
        </w:rPr>
      </w:pPr>
    </w:p>
    <w:p w:rsidR="004E7B6D" w:rsidRPr="00D53C96" w:rsidRDefault="004E7B6D" w:rsidP="004E7B6D">
      <w:pPr>
        <w:spacing w:after="0" w:line="240" w:lineRule="auto"/>
        <w:ind w:firstLine="708"/>
        <w:jc w:val="both"/>
        <w:rPr>
          <w:rFonts w:ascii="Times New Roman" w:hAnsi="Times New Roman" w:cs="Times New Roman"/>
          <w:sz w:val="24"/>
          <w:szCs w:val="24"/>
          <w:lang w:eastAsia="sk-SK"/>
        </w:rPr>
      </w:pPr>
      <w:r w:rsidRPr="00D53C96">
        <w:rPr>
          <w:rFonts w:ascii="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4E7B6D" w:rsidRPr="00D53C96" w:rsidRDefault="004E7B6D" w:rsidP="004E7B6D">
      <w:pPr>
        <w:spacing w:after="0" w:line="240" w:lineRule="auto"/>
        <w:ind w:firstLine="708"/>
        <w:jc w:val="both"/>
        <w:rPr>
          <w:rFonts w:ascii="Times New Roman" w:hAnsi="Times New Roman" w:cs="Times New Roman"/>
          <w:sz w:val="24"/>
          <w:szCs w:val="24"/>
          <w:lang w:eastAsia="sk-SK"/>
        </w:rPr>
      </w:pPr>
    </w:p>
    <w:p w:rsidR="004E7B6D" w:rsidRPr="00D53C96" w:rsidRDefault="004E7B6D" w:rsidP="004E7B6D">
      <w:pPr>
        <w:spacing w:after="0" w:line="240" w:lineRule="auto"/>
        <w:ind w:firstLine="708"/>
        <w:jc w:val="both"/>
        <w:rPr>
          <w:rFonts w:ascii="Times New Roman" w:hAnsi="Times New Roman" w:cs="Times New Roman"/>
          <w:sz w:val="24"/>
          <w:szCs w:val="24"/>
          <w:lang w:eastAsia="sk-SK"/>
        </w:rPr>
      </w:pPr>
      <w:r w:rsidRPr="00D53C96">
        <w:rPr>
          <w:rFonts w:ascii="Times New Roman" w:hAnsi="Times New Roman" w:cs="Times New Roman"/>
          <w:sz w:val="24"/>
          <w:szCs w:val="24"/>
          <w:lang w:eastAsia="sk-SK"/>
        </w:rPr>
        <w:t xml:space="preserve">Pri stanovovaní vplyvov na príjmy rozpočtu verejnej správy na roky 2018 až 2021 sa vychádza z predpokladaných príjmov Národného jadrového fondu z povinných príspevkov od prevádzkovateľov jadrových zariadení na výrobu elektriny, ktoré by títo prevádzkovatelia odviedli podľa teraz platného a účinného nariadenia vlády SR č. 312/2007  Z. z. ktorým sa ustanovujú podrobnosti o spôsobe výberu a platenia povinného príspevku na Národný jadrový fond na vyraďovanie jadrových zariadení a na nakladanie s vyhoretým jadrovým palivom a rádioaktívnymi odpadmi a o zmene a doplnení niektorých zákonov v znení neskorších predpisov. Údaje sú prevzaté z plánu tvorby povinných príspevkov do NJF na roky 2019 - 2023 zaslaného z SE, a. s., ktoré boli implementované do návrhu rozpočtu NJF na rok 2019 schváleného Radou správcov NJF dňa 22. 02. 2018. V príspevkoch sa neuvažuje s príjmom za jadrovú elektráreň EMO 3,4, ktorá je v súčasnosti vo výstavbe a jej začiatok uvádzania do prevádzky je plánovaný SE, a.s. v priebehu roku 2019. </w:t>
      </w:r>
    </w:p>
    <w:p w:rsidR="004E7B6D" w:rsidRPr="00D53C96" w:rsidRDefault="004E7B6D" w:rsidP="004E7B6D">
      <w:pPr>
        <w:spacing w:after="0" w:line="240" w:lineRule="auto"/>
        <w:ind w:firstLine="708"/>
        <w:jc w:val="both"/>
        <w:rPr>
          <w:rFonts w:ascii="Times New Roman" w:hAnsi="Times New Roman" w:cs="Times New Roman"/>
          <w:sz w:val="24"/>
          <w:szCs w:val="24"/>
          <w:lang w:eastAsia="sk-SK"/>
        </w:rPr>
      </w:pPr>
    </w:p>
    <w:p w:rsidR="004E7B6D" w:rsidRPr="00D53C96" w:rsidRDefault="004E7B6D" w:rsidP="004E7B6D">
      <w:pPr>
        <w:spacing w:after="0" w:line="240" w:lineRule="auto"/>
        <w:ind w:firstLine="708"/>
        <w:jc w:val="both"/>
        <w:rPr>
          <w:rFonts w:ascii="Times New Roman" w:hAnsi="Times New Roman" w:cs="Times New Roman"/>
          <w:sz w:val="24"/>
          <w:szCs w:val="24"/>
          <w:lang w:eastAsia="sk-SK"/>
        </w:rPr>
      </w:pPr>
      <w:r w:rsidRPr="00D53C96">
        <w:rPr>
          <w:rFonts w:ascii="Times New Roman" w:hAnsi="Times New Roman" w:cs="Times New Roman"/>
          <w:sz w:val="24"/>
          <w:szCs w:val="24"/>
          <w:lang w:eastAsia="sk-SK"/>
        </w:rPr>
        <w:t>V predkladanom návrhu nariadenia vlády SR, ktorým sa ustanovuje výška povinného príspevku a povinnej platby a podrobnosti o spôsobe výberu a platenia povinného príspevku a povinnej platby na účet Národného jadrového fondu je vytvorený nový, efektívny, transparentný a spravodlivý spôsob stanovovania výšky povinných príspevkov do Národného jadrového fondu, ktorý je nezávislý od aktuálnej situácie na trhu s elektrinou, a zavedený systém povinných platieb od prevádzkovateľov jadrových zariadení iných ako jadrových zariadení na výrobu elektriny.</w:t>
      </w:r>
    </w:p>
    <w:p w:rsidR="004E7B6D" w:rsidRPr="00D53C96" w:rsidRDefault="004E7B6D" w:rsidP="004E7B6D">
      <w:pPr>
        <w:spacing w:after="0" w:line="240" w:lineRule="auto"/>
        <w:ind w:firstLine="708"/>
        <w:jc w:val="both"/>
        <w:rPr>
          <w:rFonts w:ascii="Times New Roman" w:hAnsi="Times New Roman" w:cs="Times New Roman"/>
          <w:sz w:val="24"/>
          <w:szCs w:val="24"/>
          <w:lang w:eastAsia="sk-SK"/>
        </w:rPr>
      </w:pPr>
    </w:p>
    <w:p w:rsidR="004E7B6D" w:rsidRPr="00D53C96" w:rsidRDefault="004E7B6D" w:rsidP="004E7B6D">
      <w:pPr>
        <w:spacing w:after="0" w:line="240" w:lineRule="auto"/>
        <w:ind w:firstLine="708"/>
        <w:jc w:val="both"/>
        <w:rPr>
          <w:rFonts w:ascii="Times New Roman" w:hAnsi="Times New Roman" w:cs="Times New Roman"/>
          <w:bCs/>
          <w:noProof/>
          <w:sz w:val="24"/>
          <w:szCs w:val="24"/>
          <w:lang w:eastAsia="sk-SK"/>
        </w:rPr>
      </w:pPr>
      <w:r w:rsidRPr="00D53C96">
        <w:rPr>
          <w:rFonts w:ascii="Times New Roman" w:hAnsi="Times New Roman" w:cs="Times New Roman"/>
          <w:bCs/>
          <w:noProof/>
          <w:sz w:val="24"/>
          <w:szCs w:val="24"/>
          <w:lang w:eastAsia="sk-SK"/>
        </w:rPr>
        <w:t>Výšku povinných príspevkov a povinných platieb bude navrhovať rada správcov v spolupráci s prevádzkovateľmi jadrových zariadení podľa osobitných pravidiel. V zmysle týchto pravidiel sa bude ich výška určovať podľa medzinárodne aplikovateľných pravidiel, na základe údajov od prevádzkovateľov, ekonomických analýz a samozrejme v súlade s vnútroštátnou politikou a vnútroštátnym programom. Výška povinných príspevkov a povinných platieb  bude vypočítaná na základe očakávaných budúcich nákladov na vyraďovanie jadrového zariadenia, skladovanie vyhoretého jadrového paliva a nákladov na hlbinné úložisko a obdobia prevádzky daného jadrového zariadenia. Povinnosť hradiť príspevky a povinné platby do jadrového fondu zanikne dňom odstavenia príslušného zariadenia na účely jeho vyraďovania.</w:t>
      </w:r>
    </w:p>
    <w:p w:rsidR="004E7B6D" w:rsidRPr="00D53C96" w:rsidRDefault="004E7B6D" w:rsidP="004E7B6D">
      <w:pPr>
        <w:spacing w:after="0" w:line="240" w:lineRule="auto"/>
        <w:ind w:firstLine="708"/>
        <w:jc w:val="both"/>
        <w:rPr>
          <w:rFonts w:ascii="Times New Roman" w:hAnsi="Times New Roman" w:cs="Times New Roman"/>
          <w:sz w:val="24"/>
          <w:szCs w:val="24"/>
          <w:lang w:eastAsia="sk-SK"/>
        </w:rPr>
      </w:pPr>
    </w:p>
    <w:p w:rsidR="004E7B6D" w:rsidRPr="00D53C96" w:rsidRDefault="004E7B6D" w:rsidP="004E7B6D">
      <w:pPr>
        <w:spacing w:after="0" w:line="240" w:lineRule="auto"/>
        <w:ind w:firstLine="708"/>
        <w:jc w:val="both"/>
        <w:rPr>
          <w:rFonts w:ascii="Times New Roman" w:hAnsi="Times New Roman" w:cs="Times New Roman"/>
          <w:sz w:val="24"/>
          <w:szCs w:val="24"/>
          <w:lang w:eastAsia="sk-SK"/>
        </w:rPr>
      </w:pPr>
      <w:r w:rsidRPr="00D53C96">
        <w:rPr>
          <w:rFonts w:ascii="Times New Roman" w:hAnsi="Times New Roman" w:cs="Times New Roman"/>
          <w:sz w:val="24"/>
          <w:szCs w:val="24"/>
          <w:lang w:eastAsia="sk-SK"/>
        </w:rPr>
        <w:t>Príjmy z povinných príspevkov prevádzkovateľa jadrových zariadení podľa nariadenia vlády SR č. 312/2007 Z. z. a príjmy z  povinných príspevkov a povinných platieb prevádzkovateľa jadrových zariadení na účet Národného jadrového fondu, predpokladané v jednotlivých rokoch: </w:t>
      </w:r>
    </w:p>
    <w:p w:rsidR="004E7B6D" w:rsidRPr="00D53C96" w:rsidRDefault="004E7B6D" w:rsidP="004E7B6D">
      <w:pPr>
        <w:spacing w:after="0" w:line="240" w:lineRule="auto"/>
        <w:jc w:val="both"/>
        <w:rPr>
          <w:rFonts w:ascii="Times New Roman" w:hAnsi="Times New Roman" w:cs="Times New Roman"/>
          <w:sz w:val="24"/>
          <w:szCs w:val="24"/>
          <w:lang w:eastAsia="sk-SK"/>
        </w:rPr>
      </w:pPr>
    </w:p>
    <w:tbl>
      <w:tblPr>
        <w:tblW w:w="9794" w:type="dxa"/>
        <w:tblInd w:w="-356" w:type="dxa"/>
        <w:tblLayout w:type="fixed"/>
        <w:tblCellMar>
          <w:left w:w="0" w:type="dxa"/>
          <w:right w:w="0" w:type="dxa"/>
        </w:tblCellMar>
        <w:tblLook w:val="04A0"/>
      </w:tblPr>
      <w:tblGrid>
        <w:gridCol w:w="1071"/>
        <w:gridCol w:w="712"/>
        <w:gridCol w:w="712"/>
        <w:gridCol w:w="199"/>
        <w:gridCol w:w="1276"/>
        <w:gridCol w:w="1418"/>
        <w:gridCol w:w="1417"/>
        <w:gridCol w:w="1460"/>
        <w:gridCol w:w="1529"/>
      </w:tblGrid>
      <w:tr w:rsidR="004E7B6D" w:rsidRPr="00D53C96" w:rsidTr="008A4E1A">
        <w:trPr>
          <w:trHeight w:val="255"/>
        </w:trPr>
        <w:tc>
          <w:tcPr>
            <w:tcW w:w="9794" w:type="dxa"/>
            <w:gridSpan w:val="9"/>
            <w:tcBorders>
              <w:top w:val="single" w:sz="8" w:space="0" w:color="000000"/>
              <w:left w:val="single" w:sz="8" w:space="0" w:color="000000"/>
              <w:right w:val="single" w:sz="8" w:space="0" w:color="000000"/>
            </w:tcBorders>
            <w:tcMar>
              <w:top w:w="0" w:type="dxa"/>
              <w:left w:w="70" w:type="dxa"/>
              <w:bottom w:w="0" w:type="dxa"/>
              <w:right w:w="70" w:type="dxa"/>
            </w:tcMar>
            <w:vAlign w:val="center"/>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b/>
                <w:bCs/>
                <w:sz w:val="24"/>
                <w:szCs w:val="24"/>
                <w:lang w:eastAsia="sk-SK"/>
              </w:rPr>
              <w:t>Povinné príspevky prevádzkovateľov jadrových zariadení podľa platného nariadenia vlády SR č 312/2007 Z. z. (eur)</w:t>
            </w:r>
          </w:p>
        </w:tc>
      </w:tr>
      <w:tr w:rsidR="004E7B6D" w:rsidRPr="00D53C96" w:rsidTr="008A4E1A">
        <w:trPr>
          <w:trHeight w:val="80"/>
        </w:trPr>
        <w:tc>
          <w:tcPr>
            <w:tcW w:w="1071" w:type="dxa"/>
            <w:tcBorders>
              <w:left w:val="single" w:sz="8" w:space="0" w:color="000000"/>
            </w:tcBorders>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p>
        </w:tc>
        <w:tc>
          <w:tcPr>
            <w:tcW w:w="712" w:type="dxa"/>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712" w:type="dxa"/>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199" w:type="dxa"/>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1276" w:type="dxa"/>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1418" w:type="dxa"/>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1417" w:type="dxa"/>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1460" w:type="dxa"/>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1529" w:type="dxa"/>
            <w:tcBorders>
              <w:right w:val="single" w:sz="8" w:space="0" w:color="000000"/>
            </w:tcBorders>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r>
      <w:tr w:rsidR="004E7B6D" w:rsidRPr="00D53C96" w:rsidTr="008A4E1A">
        <w:trPr>
          <w:trHeight w:val="255"/>
        </w:trPr>
        <w:tc>
          <w:tcPr>
            <w:tcW w:w="1071" w:type="dxa"/>
            <w:tcBorders>
              <w:top w:val="single" w:sz="8" w:space="0" w:color="000000"/>
              <w:left w:val="single" w:sz="8" w:space="0" w:color="000000"/>
            </w:tcBorders>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712" w:type="dxa"/>
            <w:tcBorders>
              <w:top w:val="single" w:sz="8" w:space="0" w:color="000000"/>
            </w:tcBorders>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712" w:type="dxa"/>
            <w:tcBorders>
              <w:top w:val="single" w:sz="8" w:space="0" w:color="000000"/>
            </w:tcBorders>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199" w:type="dxa"/>
            <w:tcBorders>
              <w:top w:val="single" w:sz="8" w:space="0" w:color="000000"/>
            </w:tcBorders>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1276" w:type="dxa"/>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4E7B6D" w:rsidRPr="00D53C96" w:rsidRDefault="004E7B6D" w:rsidP="008A4E1A">
            <w:pPr>
              <w:spacing w:after="0" w:line="240" w:lineRule="auto"/>
              <w:jc w:val="center"/>
              <w:rPr>
                <w:rFonts w:ascii="Times New Roman" w:hAnsi="Times New Roman" w:cs="Times New Roman"/>
                <w:sz w:val="24"/>
                <w:szCs w:val="24"/>
                <w:lang w:eastAsia="sk-SK"/>
              </w:rPr>
            </w:pPr>
            <w:r w:rsidRPr="00D53C96">
              <w:rPr>
                <w:rFonts w:ascii="Times New Roman" w:hAnsi="Times New Roman" w:cs="Times New Roman"/>
                <w:sz w:val="24"/>
                <w:szCs w:val="24"/>
                <w:lang w:eastAsia="sk-SK"/>
              </w:rPr>
              <w:t>2018</w:t>
            </w:r>
          </w:p>
        </w:tc>
        <w:tc>
          <w:tcPr>
            <w:tcW w:w="1418" w:type="dxa"/>
            <w:tcBorders>
              <w:top w:val="single" w:sz="8" w:space="0" w:color="000000"/>
              <w:bottom w:val="single" w:sz="4" w:space="0" w:color="000000"/>
              <w:right w:val="single" w:sz="4" w:space="0" w:color="000000"/>
            </w:tcBorders>
            <w:tcMar>
              <w:top w:w="0" w:type="dxa"/>
              <w:left w:w="70" w:type="dxa"/>
              <w:bottom w:w="0" w:type="dxa"/>
              <w:right w:w="70" w:type="dxa"/>
            </w:tcMar>
            <w:vAlign w:val="center"/>
            <w:hideMark/>
          </w:tcPr>
          <w:p w:rsidR="004E7B6D" w:rsidRPr="00D53C96" w:rsidRDefault="004E7B6D" w:rsidP="008A4E1A">
            <w:pPr>
              <w:spacing w:after="0" w:line="240" w:lineRule="auto"/>
              <w:jc w:val="center"/>
              <w:rPr>
                <w:rFonts w:ascii="Times New Roman" w:hAnsi="Times New Roman" w:cs="Times New Roman"/>
                <w:sz w:val="24"/>
                <w:szCs w:val="24"/>
                <w:lang w:eastAsia="sk-SK"/>
              </w:rPr>
            </w:pPr>
            <w:r w:rsidRPr="00D53C96">
              <w:rPr>
                <w:rFonts w:ascii="Times New Roman" w:hAnsi="Times New Roman" w:cs="Times New Roman"/>
                <w:sz w:val="24"/>
                <w:szCs w:val="24"/>
                <w:lang w:eastAsia="sk-SK"/>
              </w:rPr>
              <w:t>2019</w:t>
            </w:r>
          </w:p>
        </w:tc>
        <w:tc>
          <w:tcPr>
            <w:tcW w:w="1417" w:type="dxa"/>
            <w:tcBorders>
              <w:top w:val="single" w:sz="8" w:space="0" w:color="000000"/>
              <w:bottom w:val="single" w:sz="4" w:space="0" w:color="000000"/>
              <w:right w:val="single" w:sz="4" w:space="0" w:color="000000"/>
            </w:tcBorders>
            <w:tcMar>
              <w:top w:w="0" w:type="dxa"/>
              <w:left w:w="70" w:type="dxa"/>
              <w:bottom w:w="0" w:type="dxa"/>
              <w:right w:w="70" w:type="dxa"/>
            </w:tcMar>
            <w:vAlign w:val="center"/>
            <w:hideMark/>
          </w:tcPr>
          <w:p w:rsidR="004E7B6D" w:rsidRPr="00D53C96" w:rsidRDefault="004E7B6D" w:rsidP="008A4E1A">
            <w:pPr>
              <w:spacing w:after="0" w:line="240" w:lineRule="auto"/>
              <w:jc w:val="center"/>
              <w:rPr>
                <w:rFonts w:ascii="Times New Roman" w:hAnsi="Times New Roman" w:cs="Times New Roman"/>
                <w:sz w:val="24"/>
                <w:szCs w:val="24"/>
                <w:lang w:eastAsia="sk-SK"/>
              </w:rPr>
            </w:pPr>
            <w:r w:rsidRPr="00D53C96">
              <w:rPr>
                <w:rFonts w:ascii="Times New Roman" w:hAnsi="Times New Roman" w:cs="Times New Roman"/>
                <w:sz w:val="24"/>
                <w:szCs w:val="24"/>
                <w:lang w:eastAsia="sk-SK"/>
              </w:rPr>
              <w:t>2020</w:t>
            </w:r>
          </w:p>
        </w:tc>
        <w:tc>
          <w:tcPr>
            <w:tcW w:w="1460" w:type="dxa"/>
            <w:tcBorders>
              <w:top w:val="single" w:sz="8" w:space="0" w:color="000000"/>
              <w:bottom w:val="single" w:sz="4" w:space="0" w:color="000000"/>
              <w:right w:val="single" w:sz="4" w:space="0" w:color="000000"/>
            </w:tcBorders>
            <w:tcMar>
              <w:top w:w="0" w:type="dxa"/>
              <w:left w:w="70" w:type="dxa"/>
              <w:bottom w:w="0" w:type="dxa"/>
              <w:right w:w="70" w:type="dxa"/>
            </w:tcMar>
            <w:vAlign w:val="center"/>
            <w:hideMark/>
          </w:tcPr>
          <w:p w:rsidR="004E7B6D" w:rsidRPr="00D53C96" w:rsidRDefault="004E7B6D" w:rsidP="008A4E1A">
            <w:pPr>
              <w:spacing w:after="0" w:line="240" w:lineRule="auto"/>
              <w:jc w:val="center"/>
              <w:rPr>
                <w:rFonts w:ascii="Times New Roman" w:hAnsi="Times New Roman" w:cs="Times New Roman"/>
                <w:sz w:val="24"/>
                <w:szCs w:val="24"/>
                <w:lang w:eastAsia="sk-SK"/>
              </w:rPr>
            </w:pPr>
            <w:r w:rsidRPr="00D53C96">
              <w:rPr>
                <w:rFonts w:ascii="Times New Roman" w:hAnsi="Times New Roman" w:cs="Times New Roman"/>
                <w:sz w:val="24"/>
                <w:szCs w:val="24"/>
                <w:lang w:eastAsia="sk-SK"/>
              </w:rPr>
              <w:t>2021</w:t>
            </w:r>
          </w:p>
        </w:tc>
        <w:tc>
          <w:tcPr>
            <w:tcW w:w="1529" w:type="dxa"/>
            <w:tcBorders>
              <w:top w:val="single" w:sz="8" w:space="0" w:color="000000"/>
              <w:bottom w:val="single" w:sz="4" w:space="0" w:color="000000"/>
              <w:right w:val="single" w:sz="8" w:space="0" w:color="000000"/>
            </w:tcBorders>
            <w:tcMar>
              <w:top w:w="0" w:type="dxa"/>
              <w:left w:w="70" w:type="dxa"/>
              <w:bottom w:w="0" w:type="dxa"/>
              <w:right w:w="70" w:type="dxa"/>
            </w:tcMar>
            <w:vAlign w:val="center"/>
            <w:hideMark/>
          </w:tcPr>
          <w:p w:rsidR="004E7B6D" w:rsidRPr="00D53C96" w:rsidRDefault="004E7B6D" w:rsidP="008A4E1A">
            <w:pPr>
              <w:spacing w:after="0" w:line="240" w:lineRule="auto"/>
              <w:jc w:val="center"/>
              <w:rPr>
                <w:rFonts w:ascii="Times New Roman" w:hAnsi="Times New Roman" w:cs="Times New Roman"/>
                <w:sz w:val="24"/>
                <w:szCs w:val="24"/>
                <w:lang w:eastAsia="sk-SK"/>
              </w:rPr>
            </w:pPr>
            <w:r w:rsidRPr="00D53C96">
              <w:rPr>
                <w:rFonts w:ascii="Times New Roman" w:hAnsi="Times New Roman" w:cs="Times New Roman"/>
                <w:sz w:val="24"/>
                <w:szCs w:val="24"/>
                <w:lang w:eastAsia="sk-SK"/>
              </w:rPr>
              <w:t>Celkom</w:t>
            </w:r>
          </w:p>
        </w:tc>
      </w:tr>
      <w:tr w:rsidR="004E7B6D" w:rsidRPr="00D53C96" w:rsidTr="008A4E1A">
        <w:trPr>
          <w:trHeight w:val="270"/>
        </w:trPr>
        <w:tc>
          <w:tcPr>
            <w:tcW w:w="2694" w:type="dxa"/>
            <w:gridSpan w:val="4"/>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xml:space="preserve">Povinné príspevky do NJF za rok </w:t>
            </w:r>
          </w:p>
        </w:tc>
        <w:tc>
          <w:tcPr>
            <w:tcW w:w="1276" w:type="dxa"/>
            <w:tcBorders>
              <w:bottom w:val="single" w:sz="8" w:space="0" w:color="000000"/>
              <w:right w:val="single" w:sz="4" w:space="0" w:color="000000"/>
            </w:tcBorders>
            <w:tcMar>
              <w:top w:w="0" w:type="dxa"/>
              <w:left w:w="70" w:type="dxa"/>
              <w:bottom w:w="0" w:type="dxa"/>
              <w:right w:w="70" w:type="dxa"/>
            </w:tcMar>
            <w:vAlign w:val="center"/>
            <w:hideMark/>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57 733869</w:t>
            </w:r>
          </w:p>
        </w:tc>
        <w:tc>
          <w:tcPr>
            <w:tcW w:w="1418" w:type="dxa"/>
            <w:tcBorders>
              <w:bottom w:val="single" w:sz="8" w:space="0" w:color="000000"/>
              <w:right w:val="single" w:sz="4" w:space="0" w:color="000000"/>
            </w:tcBorders>
            <w:tcMar>
              <w:top w:w="0" w:type="dxa"/>
              <w:left w:w="70" w:type="dxa"/>
              <w:bottom w:w="0" w:type="dxa"/>
              <w:right w:w="70" w:type="dxa"/>
            </w:tcMar>
            <w:vAlign w:val="center"/>
            <w:hideMark/>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58 573 424</w:t>
            </w:r>
          </w:p>
        </w:tc>
        <w:tc>
          <w:tcPr>
            <w:tcW w:w="1417" w:type="dxa"/>
            <w:tcBorders>
              <w:bottom w:val="single" w:sz="8" w:space="0" w:color="000000"/>
              <w:right w:val="single" w:sz="4"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61 057 734</w:t>
            </w:r>
          </w:p>
        </w:tc>
        <w:tc>
          <w:tcPr>
            <w:tcW w:w="1460" w:type="dxa"/>
            <w:tcBorders>
              <w:bottom w:val="single" w:sz="8" w:space="0" w:color="000000"/>
              <w:right w:val="single" w:sz="4"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64 438 748</w:t>
            </w:r>
          </w:p>
        </w:tc>
        <w:tc>
          <w:tcPr>
            <w:tcW w:w="1529" w:type="dxa"/>
            <w:tcBorders>
              <w:bottom w:val="single" w:sz="8" w:space="0" w:color="000000"/>
              <w:right w:val="single" w:sz="8" w:space="0" w:color="000000"/>
            </w:tcBorders>
            <w:tcMar>
              <w:top w:w="0" w:type="dxa"/>
              <w:left w:w="70" w:type="dxa"/>
              <w:bottom w:w="0" w:type="dxa"/>
              <w:right w:w="70" w:type="dxa"/>
            </w:tcMar>
            <w:vAlign w:val="center"/>
            <w:hideMark/>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 xml:space="preserve"> 241 803 775  </w:t>
            </w:r>
          </w:p>
        </w:tc>
      </w:tr>
      <w:tr w:rsidR="004E7B6D" w:rsidRPr="00D53C96" w:rsidTr="008A4E1A">
        <w:trPr>
          <w:trHeight w:val="270"/>
        </w:trPr>
        <w:tc>
          <w:tcPr>
            <w:tcW w:w="2694" w:type="dxa"/>
            <w:gridSpan w:val="4"/>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vAlign w:val="center"/>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Z toho za 3. a 4 blok EMO</w:t>
            </w:r>
          </w:p>
        </w:tc>
        <w:tc>
          <w:tcPr>
            <w:tcW w:w="1276" w:type="dxa"/>
            <w:tcBorders>
              <w:bottom w:val="single" w:sz="8" w:space="0" w:color="000000"/>
              <w:right w:val="single" w:sz="4" w:space="0" w:color="000000"/>
            </w:tcBorders>
            <w:tcMar>
              <w:top w:w="0" w:type="dxa"/>
              <w:left w:w="70" w:type="dxa"/>
              <w:bottom w:w="0" w:type="dxa"/>
              <w:right w:w="70" w:type="dxa"/>
            </w:tcMar>
            <w:vAlign w:val="center"/>
          </w:tcPr>
          <w:p w:rsidR="004E7B6D" w:rsidRPr="00D53C96" w:rsidDel="008C7FB7"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418" w:type="dxa"/>
            <w:tcBorders>
              <w:bottom w:val="single" w:sz="8" w:space="0" w:color="000000"/>
              <w:right w:val="single" w:sz="4"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417" w:type="dxa"/>
            <w:tcBorders>
              <w:bottom w:val="single" w:sz="8" w:space="0" w:color="000000"/>
              <w:right w:val="single" w:sz="4"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460" w:type="dxa"/>
            <w:tcBorders>
              <w:bottom w:val="single" w:sz="8" w:space="0" w:color="000000"/>
              <w:right w:val="single" w:sz="4"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529" w:type="dxa"/>
            <w:tcBorders>
              <w:bottom w:val="single" w:sz="8" w:space="0" w:color="000000"/>
              <w:right w:val="single" w:sz="8"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r>
    </w:tbl>
    <w:p w:rsidR="004E7B6D" w:rsidRPr="00D53C96" w:rsidRDefault="004E7B6D" w:rsidP="004E7B6D">
      <w:pPr>
        <w:spacing w:after="0" w:line="240" w:lineRule="auto"/>
        <w:rPr>
          <w:rFonts w:ascii="Times New Roman" w:hAnsi="Times New Roman" w:cs="Times New Roman"/>
          <w:sz w:val="20"/>
          <w:szCs w:val="20"/>
          <w:lang w:eastAsia="sk-SK"/>
        </w:rPr>
      </w:pPr>
    </w:p>
    <w:p w:rsidR="004E7B6D" w:rsidRPr="00D53C96" w:rsidRDefault="004E7B6D" w:rsidP="004E7B6D">
      <w:pPr>
        <w:spacing w:after="0" w:line="240" w:lineRule="auto"/>
        <w:rPr>
          <w:rFonts w:ascii="Times New Roman" w:hAnsi="Times New Roman" w:cs="Times New Roman"/>
          <w:sz w:val="20"/>
          <w:szCs w:val="20"/>
          <w:lang w:eastAsia="sk-SK"/>
        </w:rPr>
      </w:pPr>
    </w:p>
    <w:p w:rsidR="004E7B6D" w:rsidRPr="00D53C96" w:rsidRDefault="004E7B6D" w:rsidP="004E7B6D">
      <w:pPr>
        <w:spacing w:after="0" w:line="240" w:lineRule="auto"/>
        <w:rPr>
          <w:rFonts w:ascii="Times New Roman" w:hAnsi="Times New Roman" w:cs="Times New Roman"/>
          <w:sz w:val="20"/>
          <w:szCs w:val="20"/>
          <w:lang w:eastAsia="sk-SK"/>
        </w:rPr>
      </w:pPr>
    </w:p>
    <w:p w:rsidR="004E7B6D" w:rsidRPr="00D53C96" w:rsidRDefault="004E7B6D" w:rsidP="004E7B6D">
      <w:pPr>
        <w:spacing w:after="0" w:line="240" w:lineRule="auto"/>
        <w:rPr>
          <w:rFonts w:ascii="Times New Roman" w:hAnsi="Times New Roman" w:cs="Times New Roman"/>
          <w:sz w:val="20"/>
          <w:szCs w:val="20"/>
          <w:lang w:eastAsia="sk-SK"/>
        </w:rPr>
      </w:pPr>
    </w:p>
    <w:p w:rsidR="004E7B6D" w:rsidRPr="00D53C96" w:rsidRDefault="004E7B6D" w:rsidP="004E7B6D">
      <w:pPr>
        <w:spacing w:after="0" w:line="240" w:lineRule="auto"/>
        <w:rPr>
          <w:rFonts w:ascii="Times New Roman" w:hAnsi="Times New Roman" w:cs="Times New Roman"/>
          <w:sz w:val="20"/>
          <w:szCs w:val="20"/>
          <w:lang w:eastAsia="sk-SK"/>
        </w:rPr>
      </w:pPr>
    </w:p>
    <w:p w:rsidR="004E7B6D" w:rsidRPr="00D53C96" w:rsidRDefault="004E7B6D" w:rsidP="004E7B6D">
      <w:pPr>
        <w:spacing w:after="0" w:line="240" w:lineRule="auto"/>
        <w:rPr>
          <w:rFonts w:ascii="Times New Roman" w:hAnsi="Times New Roman" w:cs="Times New Roman"/>
          <w:sz w:val="20"/>
          <w:szCs w:val="20"/>
          <w:lang w:eastAsia="sk-SK"/>
        </w:rPr>
      </w:pPr>
    </w:p>
    <w:p w:rsidR="004E7B6D" w:rsidRPr="00D53C96" w:rsidRDefault="004E7B6D" w:rsidP="004E7B6D">
      <w:pPr>
        <w:spacing w:after="0" w:line="240" w:lineRule="auto"/>
        <w:rPr>
          <w:rFonts w:ascii="Times New Roman" w:hAnsi="Times New Roman" w:cs="Times New Roman"/>
          <w:sz w:val="20"/>
          <w:szCs w:val="20"/>
          <w:lang w:eastAsia="sk-SK"/>
        </w:rPr>
      </w:pPr>
    </w:p>
    <w:tbl>
      <w:tblPr>
        <w:tblW w:w="9794" w:type="dxa"/>
        <w:tblInd w:w="-356" w:type="dxa"/>
        <w:tblLayout w:type="fixed"/>
        <w:tblCellMar>
          <w:left w:w="0" w:type="dxa"/>
          <w:right w:w="0" w:type="dxa"/>
        </w:tblCellMar>
        <w:tblLook w:val="04A0"/>
      </w:tblPr>
      <w:tblGrid>
        <w:gridCol w:w="1071"/>
        <w:gridCol w:w="712"/>
        <w:gridCol w:w="712"/>
        <w:gridCol w:w="58"/>
        <w:gridCol w:w="102"/>
        <w:gridCol w:w="1315"/>
        <w:gridCol w:w="1418"/>
        <w:gridCol w:w="1417"/>
        <w:gridCol w:w="1460"/>
        <w:gridCol w:w="1529"/>
      </w:tblGrid>
      <w:tr w:rsidR="004E7B6D" w:rsidRPr="00D53C96" w:rsidTr="008A4E1A">
        <w:trPr>
          <w:trHeight w:val="255"/>
        </w:trPr>
        <w:tc>
          <w:tcPr>
            <w:tcW w:w="1071" w:type="dxa"/>
            <w:tcBorders>
              <w:top w:val="single" w:sz="4" w:space="0" w:color="auto"/>
              <w:left w:val="single" w:sz="8" w:space="0" w:color="000000"/>
            </w:tcBorders>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p>
        </w:tc>
        <w:tc>
          <w:tcPr>
            <w:tcW w:w="712" w:type="dxa"/>
            <w:tcBorders>
              <w:top w:val="single" w:sz="4" w:space="0" w:color="auto"/>
            </w:tcBorders>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712" w:type="dxa"/>
            <w:tcBorders>
              <w:top w:val="single" w:sz="4" w:space="0" w:color="auto"/>
            </w:tcBorders>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160" w:type="dxa"/>
            <w:gridSpan w:val="2"/>
            <w:tcBorders>
              <w:top w:val="single" w:sz="4" w:space="0" w:color="auto"/>
            </w:tcBorders>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1315" w:type="dxa"/>
            <w:tcBorders>
              <w:top w:val="single" w:sz="4" w:space="0" w:color="auto"/>
            </w:tcBorders>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1418" w:type="dxa"/>
            <w:tcBorders>
              <w:top w:val="single" w:sz="4" w:space="0" w:color="auto"/>
            </w:tcBorders>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1417" w:type="dxa"/>
            <w:tcBorders>
              <w:top w:val="single" w:sz="4" w:space="0" w:color="auto"/>
            </w:tcBorders>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1460" w:type="dxa"/>
            <w:tcBorders>
              <w:top w:val="single" w:sz="4" w:space="0" w:color="auto"/>
            </w:tcBorders>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1529" w:type="dxa"/>
            <w:tcBorders>
              <w:top w:val="single" w:sz="4" w:space="0" w:color="auto"/>
              <w:right w:val="single" w:sz="8" w:space="0" w:color="000000"/>
            </w:tcBorders>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r>
      <w:tr w:rsidR="004E7B6D" w:rsidRPr="00D53C96" w:rsidTr="008A4E1A">
        <w:trPr>
          <w:trHeight w:val="255"/>
        </w:trPr>
        <w:tc>
          <w:tcPr>
            <w:tcW w:w="9794" w:type="dxa"/>
            <w:gridSpan w:val="10"/>
            <w:tcBorders>
              <w:left w:val="single" w:sz="8" w:space="0" w:color="000000"/>
              <w:right w:val="single" w:sz="8" w:space="0" w:color="000000"/>
            </w:tcBorders>
            <w:tcMar>
              <w:top w:w="0" w:type="dxa"/>
              <w:left w:w="70" w:type="dxa"/>
              <w:bottom w:w="0" w:type="dxa"/>
              <w:right w:w="70" w:type="dxa"/>
            </w:tcMar>
            <w:vAlign w:val="bottom"/>
            <w:hideMark/>
          </w:tcPr>
          <w:p w:rsidR="004E7B6D" w:rsidRPr="00D53C96" w:rsidRDefault="004E7B6D" w:rsidP="008A4E1A">
            <w:pPr>
              <w:spacing w:after="0" w:line="240" w:lineRule="auto"/>
              <w:jc w:val="both"/>
              <w:rPr>
                <w:rFonts w:ascii="Times New Roman" w:hAnsi="Times New Roman" w:cs="Times New Roman"/>
                <w:sz w:val="24"/>
                <w:szCs w:val="24"/>
                <w:lang w:eastAsia="sk-SK"/>
              </w:rPr>
            </w:pPr>
            <w:r w:rsidRPr="00D53C96">
              <w:rPr>
                <w:rFonts w:ascii="Times New Roman" w:hAnsi="Times New Roman" w:cs="Times New Roman"/>
                <w:b/>
                <w:bCs/>
                <w:sz w:val="24"/>
                <w:szCs w:val="24"/>
                <w:lang w:eastAsia="sk-SK"/>
              </w:rPr>
              <w:t>Povinné príspevky a povinné platby prevádzkovateľov jadrových zariadení podľa návrhu nariadenia vlády SR,</w:t>
            </w:r>
            <w:r w:rsidRPr="00D53C96">
              <w:rPr>
                <w:rFonts w:ascii="Times New Roman" w:hAnsi="Times New Roman" w:cs="Times New Roman"/>
                <w:b/>
                <w:sz w:val="24"/>
                <w:szCs w:val="24"/>
                <w:lang w:eastAsia="sk-SK"/>
              </w:rPr>
              <w:t xml:space="preserve"> </w:t>
            </w:r>
            <w:r w:rsidRPr="00D53C96">
              <w:rPr>
                <w:rFonts w:ascii="Times New Roman" w:hAnsi="Times New Roman" w:cs="Times New Roman"/>
                <w:b/>
                <w:bCs/>
                <w:sz w:val="24"/>
                <w:szCs w:val="24"/>
                <w:lang w:eastAsia="sk-SK"/>
              </w:rPr>
              <w:t>ktorým sa ustanovuje výška povinného príspevku a povinnej platby a podrobnosti o spôsobe výberu a platenia povinného príspevku a povinnej platby na účet Národného jadrového fondu (eur)</w:t>
            </w:r>
          </w:p>
        </w:tc>
      </w:tr>
      <w:tr w:rsidR="004E7B6D" w:rsidRPr="00D53C96" w:rsidTr="008A4E1A">
        <w:trPr>
          <w:trHeight w:val="80"/>
        </w:trPr>
        <w:tc>
          <w:tcPr>
            <w:tcW w:w="1071" w:type="dxa"/>
            <w:tcBorders>
              <w:left w:val="single" w:sz="8" w:space="0" w:color="000000"/>
            </w:tcBorders>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p>
        </w:tc>
        <w:tc>
          <w:tcPr>
            <w:tcW w:w="712" w:type="dxa"/>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712" w:type="dxa"/>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160" w:type="dxa"/>
            <w:gridSpan w:val="2"/>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1315" w:type="dxa"/>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1418" w:type="dxa"/>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1417" w:type="dxa"/>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1460" w:type="dxa"/>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c>
          <w:tcPr>
            <w:tcW w:w="1529" w:type="dxa"/>
            <w:tcBorders>
              <w:right w:val="single" w:sz="8" w:space="0" w:color="000000"/>
            </w:tcBorders>
            <w:tcMar>
              <w:top w:w="0" w:type="dxa"/>
              <w:left w:w="70" w:type="dxa"/>
              <w:bottom w:w="0" w:type="dxa"/>
              <w:right w:w="70" w:type="dxa"/>
            </w:tcMar>
            <w:vAlign w:val="bottom"/>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Arial" w:hAnsi="Arial" w:cs="Arial"/>
                <w:sz w:val="20"/>
                <w:szCs w:val="20"/>
                <w:lang w:eastAsia="sk-SK"/>
              </w:rPr>
              <w:t> </w:t>
            </w:r>
          </w:p>
        </w:tc>
      </w:tr>
      <w:tr w:rsidR="004E7B6D" w:rsidRPr="00D53C96" w:rsidTr="008A4E1A">
        <w:trPr>
          <w:trHeight w:val="270"/>
        </w:trPr>
        <w:tc>
          <w:tcPr>
            <w:tcW w:w="2553" w:type="dxa"/>
            <w:gridSpan w:val="4"/>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vAlign w:val="center"/>
          </w:tcPr>
          <w:p w:rsidR="004E7B6D" w:rsidRPr="00D53C96" w:rsidRDefault="004E7B6D" w:rsidP="008A4E1A">
            <w:pPr>
              <w:spacing w:after="0" w:line="240" w:lineRule="auto"/>
              <w:rPr>
                <w:rFonts w:ascii="Times New Roman" w:hAnsi="Times New Roman" w:cs="Times New Roman"/>
                <w:b/>
                <w:sz w:val="24"/>
                <w:szCs w:val="24"/>
                <w:lang w:eastAsia="sk-SK"/>
              </w:rPr>
            </w:pPr>
          </w:p>
        </w:tc>
        <w:tc>
          <w:tcPr>
            <w:tcW w:w="1417" w:type="dxa"/>
            <w:gridSpan w:val="2"/>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2018</w:t>
            </w:r>
          </w:p>
        </w:tc>
        <w:tc>
          <w:tcPr>
            <w:tcW w:w="1418"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2019</w:t>
            </w:r>
          </w:p>
        </w:tc>
        <w:tc>
          <w:tcPr>
            <w:tcW w:w="1417"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2020</w:t>
            </w:r>
          </w:p>
        </w:tc>
        <w:tc>
          <w:tcPr>
            <w:tcW w:w="1460"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2021</w:t>
            </w:r>
          </w:p>
        </w:tc>
        <w:tc>
          <w:tcPr>
            <w:tcW w:w="1529" w:type="dxa"/>
            <w:tcBorders>
              <w:top w:val="single" w:sz="4" w:space="0" w:color="000000"/>
              <w:bottom w:val="single" w:sz="8" w:space="0" w:color="000000"/>
              <w:right w:val="single" w:sz="8"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Celkom</w:t>
            </w:r>
          </w:p>
        </w:tc>
      </w:tr>
      <w:tr w:rsidR="004E7B6D" w:rsidRPr="00D53C96" w:rsidTr="008A4E1A">
        <w:trPr>
          <w:trHeight w:val="270"/>
        </w:trPr>
        <w:tc>
          <w:tcPr>
            <w:tcW w:w="2553" w:type="dxa"/>
            <w:gridSpan w:val="4"/>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rsidR="004E7B6D" w:rsidRPr="00D53C96" w:rsidRDefault="004E7B6D" w:rsidP="008A4E1A">
            <w:pPr>
              <w:spacing w:after="0" w:line="240" w:lineRule="auto"/>
              <w:rPr>
                <w:rFonts w:ascii="Times New Roman" w:hAnsi="Times New Roman" w:cs="Times New Roman"/>
                <w:b/>
                <w:sz w:val="24"/>
                <w:szCs w:val="24"/>
                <w:lang w:eastAsia="sk-SK"/>
              </w:rPr>
            </w:pPr>
            <w:r w:rsidRPr="00D53C96">
              <w:rPr>
                <w:rFonts w:ascii="Times New Roman" w:hAnsi="Times New Roman" w:cs="Times New Roman"/>
                <w:b/>
                <w:sz w:val="24"/>
                <w:szCs w:val="24"/>
                <w:lang w:eastAsia="sk-SK"/>
              </w:rPr>
              <w:t xml:space="preserve">Povinné príspevky a povinné platby do NJF za rok </w:t>
            </w:r>
          </w:p>
        </w:tc>
        <w:tc>
          <w:tcPr>
            <w:tcW w:w="1417" w:type="dxa"/>
            <w:gridSpan w:val="2"/>
            <w:tcBorders>
              <w:top w:val="single" w:sz="4" w:space="0" w:color="000000"/>
              <w:bottom w:val="single" w:sz="8" w:space="0" w:color="000000"/>
              <w:right w:val="single" w:sz="4" w:space="0" w:color="000000"/>
            </w:tcBorders>
            <w:tcMar>
              <w:top w:w="0" w:type="dxa"/>
              <w:left w:w="70" w:type="dxa"/>
              <w:bottom w:w="0" w:type="dxa"/>
              <w:right w:w="70" w:type="dxa"/>
            </w:tcMar>
            <w:vAlign w:val="center"/>
            <w:hideMark/>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418"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70 293293</w:t>
            </w:r>
          </w:p>
        </w:tc>
        <w:tc>
          <w:tcPr>
            <w:tcW w:w="1417"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71 699 159</w:t>
            </w:r>
          </w:p>
        </w:tc>
        <w:tc>
          <w:tcPr>
            <w:tcW w:w="1460"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73 133 142</w:t>
            </w:r>
          </w:p>
        </w:tc>
        <w:tc>
          <w:tcPr>
            <w:tcW w:w="1529" w:type="dxa"/>
            <w:tcBorders>
              <w:top w:val="single" w:sz="4" w:space="0" w:color="000000"/>
              <w:bottom w:val="single" w:sz="8" w:space="0" w:color="000000"/>
              <w:right w:val="single" w:sz="8"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215 125 594</w:t>
            </w:r>
          </w:p>
        </w:tc>
      </w:tr>
      <w:tr w:rsidR="004E7B6D" w:rsidRPr="00D53C96" w:rsidTr="008A4E1A">
        <w:trPr>
          <w:trHeight w:val="270"/>
        </w:trPr>
        <w:tc>
          <w:tcPr>
            <w:tcW w:w="2553" w:type="dxa"/>
            <w:gridSpan w:val="4"/>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-Z toho povinné príspevky od SE, a. s.          do NJF</w:t>
            </w:r>
          </w:p>
        </w:tc>
        <w:tc>
          <w:tcPr>
            <w:tcW w:w="1417" w:type="dxa"/>
            <w:gridSpan w:val="2"/>
            <w:tcBorders>
              <w:top w:val="single" w:sz="4" w:space="0" w:color="000000"/>
              <w:bottom w:val="single" w:sz="8" w:space="0" w:color="000000"/>
              <w:right w:val="single" w:sz="4" w:space="0" w:color="000000"/>
            </w:tcBorders>
            <w:tcMar>
              <w:top w:w="0" w:type="dxa"/>
              <w:left w:w="70" w:type="dxa"/>
              <w:bottom w:w="0" w:type="dxa"/>
              <w:right w:w="70" w:type="dxa"/>
            </w:tcMar>
            <w:vAlign w:val="center"/>
            <w:hideMark/>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418"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65 927 811</w:t>
            </w:r>
          </w:p>
        </w:tc>
        <w:tc>
          <w:tcPr>
            <w:tcW w:w="1417"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67 246 367</w:t>
            </w:r>
          </w:p>
        </w:tc>
        <w:tc>
          <w:tcPr>
            <w:tcW w:w="1460"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68 591 295</w:t>
            </w:r>
          </w:p>
        </w:tc>
        <w:tc>
          <w:tcPr>
            <w:tcW w:w="1529" w:type="dxa"/>
            <w:tcBorders>
              <w:top w:val="single" w:sz="4" w:space="0" w:color="000000"/>
              <w:bottom w:val="single" w:sz="8" w:space="0" w:color="000000"/>
              <w:right w:val="single" w:sz="8" w:space="0" w:color="000000"/>
            </w:tcBorders>
            <w:tcMar>
              <w:top w:w="0" w:type="dxa"/>
              <w:left w:w="70" w:type="dxa"/>
              <w:bottom w:w="0" w:type="dxa"/>
              <w:right w:w="70" w:type="dxa"/>
            </w:tcMar>
            <w:vAlign w:val="center"/>
          </w:tcPr>
          <w:p w:rsidR="004E7B6D" w:rsidRPr="00D53C96" w:rsidDel="00E55D04"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201 765 473</w:t>
            </w:r>
          </w:p>
        </w:tc>
      </w:tr>
      <w:tr w:rsidR="004E7B6D" w:rsidRPr="00D53C96" w:rsidTr="008A4E1A">
        <w:trPr>
          <w:trHeight w:val="270"/>
        </w:trPr>
        <w:tc>
          <w:tcPr>
            <w:tcW w:w="2553" w:type="dxa"/>
            <w:gridSpan w:val="4"/>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xml:space="preserve">    -V tom povinné                  príspevky za rok                        za 3. a 4. blok EMO</w:t>
            </w:r>
          </w:p>
        </w:tc>
        <w:tc>
          <w:tcPr>
            <w:tcW w:w="1417" w:type="dxa"/>
            <w:gridSpan w:val="2"/>
            <w:tcBorders>
              <w:top w:val="single" w:sz="4" w:space="0" w:color="000000"/>
              <w:bottom w:val="single" w:sz="8" w:space="0" w:color="000000"/>
              <w:right w:val="single" w:sz="4" w:space="0" w:color="000000"/>
            </w:tcBorders>
            <w:tcMar>
              <w:top w:w="0" w:type="dxa"/>
              <w:left w:w="70" w:type="dxa"/>
              <w:bottom w:w="0" w:type="dxa"/>
              <w:right w:w="70" w:type="dxa"/>
            </w:tcMar>
            <w:vAlign w:val="center"/>
            <w:hideMark/>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418"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417"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460"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529" w:type="dxa"/>
            <w:tcBorders>
              <w:top w:val="single" w:sz="4" w:space="0" w:color="000000"/>
              <w:bottom w:val="single" w:sz="8" w:space="0" w:color="000000"/>
              <w:right w:val="single" w:sz="8"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r>
      <w:tr w:rsidR="004E7B6D" w:rsidRPr="00D53C96" w:rsidTr="008A4E1A">
        <w:trPr>
          <w:trHeight w:val="270"/>
        </w:trPr>
        <w:tc>
          <w:tcPr>
            <w:tcW w:w="2553" w:type="dxa"/>
            <w:gridSpan w:val="4"/>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vAlign w:val="center"/>
            <w:hideMark/>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-Z toho povinné platby od JAVYS, a. s. do NJF</w:t>
            </w:r>
          </w:p>
        </w:tc>
        <w:tc>
          <w:tcPr>
            <w:tcW w:w="1417" w:type="dxa"/>
            <w:gridSpan w:val="2"/>
            <w:tcBorders>
              <w:top w:val="single" w:sz="4" w:space="0" w:color="000000"/>
              <w:bottom w:val="single" w:sz="8" w:space="0" w:color="000000"/>
              <w:right w:val="single" w:sz="4" w:space="0" w:color="000000"/>
            </w:tcBorders>
            <w:tcMar>
              <w:top w:w="0" w:type="dxa"/>
              <w:left w:w="70" w:type="dxa"/>
              <w:bottom w:w="0" w:type="dxa"/>
              <w:right w:w="70" w:type="dxa"/>
            </w:tcMar>
            <w:vAlign w:val="center"/>
            <w:hideMark/>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0</w:t>
            </w:r>
          </w:p>
        </w:tc>
        <w:tc>
          <w:tcPr>
            <w:tcW w:w="1418"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4 365 482</w:t>
            </w:r>
          </w:p>
        </w:tc>
        <w:tc>
          <w:tcPr>
            <w:tcW w:w="1417"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4 452 792</w:t>
            </w:r>
          </w:p>
        </w:tc>
        <w:tc>
          <w:tcPr>
            <w:tcW w:w="1460" w:type="dxa"/>
            <w:tcBorders>
              <w:top w:val="single" w:sz="4" w:space="0" w:color="000000"/>
              <w:bottom w:val="single" w:sz="8" w:space="0" w:color="000000"/>
              <w:right w:val="single" w:sz="4"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4 541 847</w:t>
            </w:r>
          </w:p>
        </w:tc>
        <w:tc>
          <w:tcPr>
            <w:tcW w:w="1529" w:type="dxa"/>
            <w:tcBorders>
              <w:top w:val="single" w:sz="4" w:space="0" w:color="000000"/>
              <w:bottom w:val="single" w:sz="8" w:space="0" w:color="000000"/>
              <w:right w:val="single" w:sz="8" w:space="0" w:color="000000"/>
            </w:tcBorders>
            <w:tcMar>
              <w:top w:w="0" w:type="dxa"/>
              <w:left w:w="70" w:type="dxa"/>
              <w:bottom w:w="0" w:type="dxa"/>
              <w:right w:w="70" w:type="dxa"/>
            </w:tcMar>
            <w:vAlign w:val="center"/>
          </w:tcPr>
          <w:p w:rsidR="004E7B6D" w:rsidRPr="00D53C96" w:rsidRDefault="004E7B6D" w:rsidP="008A4E1A">
            <w:pPr>
              <w:spacing w:after="0" w:line="240" w:lineRule="auto"/>
              <w:jc w:val="right"/>
              <w:rPr>
                <w:rFonts w:ascii="Times New Roman" w:hAnsi="Times New Roman" w:cs="Times New Roman"/>
                <w:sz w:val="24"/>
                <w:szCs w:val="24"/>
                <w:lang w:eastAsia="sk-SK"/>
              </w:rPr>
            </w:pPr>
            <w:r w:rsidRPr="00D53C96">
              <w:rPr>
                <w:rFonts w:ascii="Times New Roman" w:hAnsi="Times New Roman" w:cs="Times New Roman"/>
                <w:sz w:val="24"/>
                <w:szCs w:val="24"/>
                <w:lang w:eastAsia="sk-SK"/>
              </w:rPr>
              <w:t>13 360 121</w:t>
            </w:r>
          </w:p>
        </w:tc>
      </w:tr>
      <w:tr w:rsidR="004E7B6D" w:rsidRPr="00D53C96" w:rsidTr="008A4E1A">
        <w:tc>
          <w:tcPr>
            <w:tcW w:w="1071" w:type="dxa"/>
            <w:tcBorders>
              <w:top w:val="nil"/>
              <w:left w:val="nil"/>
              <w:bottom w:val="nil"/>
              <w:right w:val="nil"/>
            </w:tcBorders>
            <w:vAlign w:val="center"/>
            <w:hideMark/>
          </w:tcPr>
          <w:p w:rsidR="004E7B6D" w:rsidRPr="00D53C96" w:rsidRDefault="004E7B6D" w:rsidP="008A4E1A">
            <w:pPr>
              <w:spacing w:after="0" w:line="240" w:lineRule="auto"/>
              <w:rPr>
                <w:rFonts w:ascii="Times New Roman" w:hAnsi="Times New Roman" w:cs="Times New Roman"/>
                <w:sz w:val="1"/>
                <w:szCs w:val="24"/>
                <w:lang w:eastAsia="sk-SK"/>
              </w:rPr>
            </w:pPr>
          </w:p>
        </w:tc>
        <w:tc>
          <w:tcPr>
            <w:tcW w:w="712" w:type="dxa"/>
            <w:tcBorders>
              <w:top w:val="nil"/>
              <w:left w:val="nil"/>
              <w:bottom w:val="nil"/>
              <w:right w:val="nil"/>
            </w:tcBorders>
            <w:vAlign w:val="center"/>
            <w:hideMark/>
          </w:tcPr>
          <w:p w:rsidR="004E7B6D" w:rsidRPr="00D53C96" w:rsidRDefault="004E7B6D" w:rsidP="008A4E1A">
            <w:pPr>
              <w:spacing w:after="0" w:line="240" w:lineRule="auto"/>
              <w:rPr>
                <w:rFonts w:ascii="Times New Roman" w:hAnsi="Times New Roman" w:cs="Times New Roman"/>
                <w:sz w:val="1"/>
                <w:szCs w:val="24"/>
                <w:lang w:eastAsia="sk-SK"/>
              </w:rPr>
            </w:pPr>
          </w:p>
        </w:tc>
        <w:tc>
          <w:tcPr>
            <w:tcW w:w="712" w:type="dxa"/>
            <w:tcBorders>
              <w:top w:val="nil"/>
              <w:left w:val="nil"/>
              <w:bottom w:val="nil"/>
              <w:right w:val="nil"/>
            </w:tcBorders>
            <w:vAlign w:val="center"/>
            <w:hideMark/>
          </w:tcPr>
          <w:p w:rsidR="004E7B6D" w:rsidRPr="00D53C96" w:rsidRDefault="004E7B6D" w:rsidP="008A4E1A">
            <w:pPr>
              <w:spacing w:after="0" w:line="240" w:lineRule="auto"/>
              <w:rPr>
                <w:rFonts w:ascii="Times New Roman" w:hAnsi="Times New Roman" w:cs="Times New Roman"/>
                <w:sz w:val="1"/>
                <w:szCs w:val="24"/>
                <w:lang w:eastAsia="sk-SK"/>
              </w:rPr>
            </w:pPr>
          </w:p>
        </w:tc>
        <w:tc>
          <w:tcPr>
            <w:tcW w:w="58" w:type="dxa"/>
            <w:tcBorders>
              <w:top w:val="nil"/>
              <w:left w:val="nil"/>
              <w:bottom w:val="nil"/>
              <w:right w:val="nil"/>
            </w:tcBorders>
            <w:vAlign w:val="center"/>
            <w:hideMark/>
          </w:tcPr>
          <w:p w:rsidR="004E7B6D" w:rsidRPr="00D53C96" w:rsidRDefault="004E7B6D" w:rsidP="008A4E1A">
            <w:pPr>
              <w:spacing w:after="0" w:line="240" w:lineRule="auto"/>
              <w:rPr>
                <w:rFonts w:ascii="Times New Roman" w:hAnsi="Times New Roman" w:cs="Times New Roman"/>
                <w:sz w:val="1"/>
                <w:szCs w:val="24"/>
                <w:lang w:eastAsia="sk-SK"/>
              </w:rPr>
            </w:pPr>
          </w:p>
        </w:tc>
        <w:tc>
          <w:tcPr>
            <w:tcW w:w="1417" w:type="dxa"/>
            <w:gridSpan w:val="2"/>
            <w:tcBorders>
              <w:top w:val="nil"/>
              <w:left w:val="nil"/>
              <w:bottom w:val="nil"/>
              <w:right w:val="nil"/>
            </w:tcBorders>
            <w:vAlign w:val="center"/>
            <w:hideMark/>
          </w:tcPr>
          <w:p w:rsidR="004E7B6D" w:rsidRPr="00D53C96" w:rsidRDefault="004E7B6D" w:rsidP="008A4E1A">
            <w:pPr>
              <w:spacing w:after="0" w:line="240" w:lineRule="auto"/>
              <w:rPr>
                <w:rFonts w:ascii="Times New Roman" w:hAnsi="Times New Roman" w:cs="Times New Roman"/>
                <w:sz w:val="1"/>
                <w:szCs w:val="24"/>
                <w:lang w:eastAsia="sk-SK"/>
              </w:rPr>
            </w:pPr>
          </w:p>
        </w:tc>
        <w:tc>
          <w:tcPr>
            <w:tcW w:w="1418" w:type="dxa"/>
            <w:tcBorders>
              <w:top w:val="nil"/>
              <w:left w:val="nil"/>
              <w:bottom w:val="nil"/>
              <w:right w:val="nil"/>
            </w:tcBorders>
            <w:vAlign w:val="center"/>
            <w:hideMark/>
          </w:tcPr>
          <w:p w:rsidR="004E7B6D" w:rsidRPr="00D53C96" w:rsidRDefault="004E7B6D" w:rsidP="008A4E1A">
            <w:pPr>
              <w:spacing w:after="0" w:line="240" w:lineRule="auto"/>
              <w:rPr>
                <w:rFonts w:ascii="Times New Roman" w:hAnsi="Times New Roman" w:cs="Times New Roman"/>
                <w:sz w:val="1"/>
                <w:szCs w:val="24"/>
                <w:lang w:eastAsia="sk-SK"/>
              </w:rPr>
            </w:pPr>
          </w:p>
        </w:tc>
        <w:tc>
          <w:tcPr>
            <w:tcW w:w="1417" w:type="dxa"/>
            <w:tcBorders>
              <w:top w:val="nil"/>
              <w:left w:val="nil"/>
              <w:bottom w:val="nil"/>
              <w:right w:val="nil"/>
            </w:tcBorders>
            <w:vAlign w:val="center"/>
            <w:hideMark/>
          </w:tcPr>
          <w:p w:rsidR="004E7B6D" w:rsidRPr="00D53C96" w:rsidRDefault="004E7B6D" w:rsidP="008A4E1A">
            <w:pPr>
              <w:spacing w:after="0" w:line="240" w:lineRule="auto"/>
              <w:rPr>
                <w:rFonts w:ascii="Times New Roman" w:hAnsi="Times New Roman" w:cs="Times New Roman"/>
                <w:sz w:val="1"/>
                <w:szCs w:val="24"/>
                <w:lang w:eastAsia="sk-SK"/>
              </w:rPr>
            </w:pPr>
          </w:p>
        </w:tc>
        <w:tc>
          <w:tcPr>
            <w:tcW w:w="1460" w:type="dxa"/>
            <w:tcBorders>
              <w:top w:val="nil"/>
              <w:left w:val="nil"/>
              <w:bottom w:val="nil"/>
              <w:right w:val="nil"/>
            </w:tcBorders>
            <w:vAlign w:val="center"/>
            <w:hideMark/>
          </w:tcPr>
          <w:p w:rsidR="004E7B6D" w:rsidRPr="00D53C96" w:rsidRDefault="004E7B6D" w:rsidP="008A4E1A">
            <w:pPr>
              <w:spacing w:after="0" w:line="240" w:lineRule="auto"/>
              <w:rPr>
                <w:rFonts w:ascii="Times New Roman" w:hAnsi="Times New Roman" w:cs="Times New Roman"/>
                <w:sz w:val="1"/>
                <w:szCs w:val="24"/>
                <w:lang w:eastAsia="sk-SK"/>
              </w:rPr>
            </w:pPr>
          </w:p>
        </w:tc>
        <w:tc>
          <w:tcPr>
            <w:tcW w:w="1529" w:type="dxa"/>
            <w:tcBorders>
              <w:top w:val="nil"/>
              <w:left w:val="nil"/>
              <w:bottom w:val="nil"/>
              <w:right w:val="nil"/>
            </w:tcBorders>
            <w:vAlign w:val="center"/>
            <w:hideMark/>
          </w:tcPr>
          <w:p w:rsidR="004E7B6D" w:rsidRPr="00D53C96" w:rsidRDefault="004E7B6D" w:rsidP="008A4E1A">
            <w:pPr>
              <w:spacing w:after="0" w:line="240" w:lineRule="auto"/>
              <w:rPr>
                <w:rFonts w:ascii="Times New Roman" w:hAnsi="Times New Roman" w:cs="Times New Roman"/>
                <w:sz w:val="1"/>
                <w:szCs w:val="24"/>
                <w:lang w:eastAsia="sk-SK"/>
              </w:rPr>
            </w:pPr>
          </w:p>
        </w:tc>
      </w:tr>
    </w:tbl>
    <w:p w:rsidR="004E7B6D" w:rsidRPr="00D53C96" w:rsidRDefault="004E7B6D" w:rsidP="004E7B6D">
      <w:pPr>
        <w:spacing w:after="0" w:line="240" w:lineRule="auto"/>
        <w:jc w:val="both"/>
        <w:rPr>
          <w:rFonts w:ascii="Times New Roman" w:hAnsi="Times New Roman" w:cs="Times New Roman"/>
          <w:bCs/>
          <w:sz w:val="24"/>
          <w:szCs w:val="24"/>
          <w:lang w:eastAsia="sk-SK"/>
        </w:rPr>
      </w:pPr>
      <w:r w:rsidRPr="00D53C96">
        <w:rPr>
          <w:rFonts w:ascii="Times New Roman" w:hAnsi="Times New Roman" w:cs="Times New Roman"/>
          <w:bCs/>
          <w:sz w:val="24"/>
          <w:szCs w:val="24"/>
          <w:lang w:eastAsia="sk-SK"/>
        </w:rPr>
        <w:t>Príjmy rozpočtu verejnej správy v rokoch 2018 až 2021 sú stanovené ako rozdiel medzi príjmami Národného jadrového fondu podľa tohto návrhu nariadenia vlády SR a podľa doteraz platného nariadenia vlády SR č. 312/2007 Z. z.</w:t>
      </w:r>
    </w:p>
    <w:p w:rsidR="004E7B6D" w:rsidRPr="00D53C96" w:rsidRDefault="004E7B6D" w:rsidP="004E7B6D">
      <w:pPr>
        <w:tabs>
          <w:tab w:val="num" w:pos="1080"/>
        </w:tabs>
        <w:spacing w:after="0" w:line="240" w:lineRule="auto"/>
        <w:jc w:val="both"/>
        <w:rPr>
          <w:rFonts w:ascii="Times New Roman" w:hAnsi="Times New Roman" w:cs="Times New Roman"/>
          <w:bCs/>
          <w:sz w:val="24"/>
          <w:szCs w:val="20"/>
          <w:lang w:eastAsia="sk-SK"/>
        </w:rPr>
      </w:pPr>
    </w:p>
    <w:p w:rsidR="004E7B6D" w:rsidRPr="00D53C96" w:rsidRDefault="004E7B6D" w:rsidP="004E7B6D">
      <w:pPr>
        <w:tabs>
          <w:tab w:val="num" w:pos="1080"/>
        </w:tabs>
        <w:spacing w:after="0" w:line="240" w:lineRule="auto"/>
        <w:jc w:val="both"/>
        <w:rPr>
          <w:rFonts w:ascii="Times New Roman" w:hAnsi="Times New Roman" w:cs="Times New Roman"/>
          <w:sz w:val="24"/>
          <w:szCs w:val="24"/>
          <w:lang w:eastAsia="sk-SK"/>
        </w:rPr>
      </w:pPr>
      <w:r w:rsidRPr="00D53C96">
        <w:rPr>
          <w:rFonts w:ascii="Times New Roman" w:hAnsi="Times New Roman" w:cs="Times New Roman"/>
          <w:sz w:val="24"/>
          <w:szCs w:val="24"/>
          <w:lang w:eastAsia="sk-SK"/>
        </w:rPr>
        <w:t>Doteraz alokované finančné prostriedky na krytie budúcich nákladov na vyraďovanie jadrových zariadení iných ako sú jadrové zariadenia na výrobu elektriny budú ponechané v súvahe JAVYS, a. s.. JAVYS, a. s. tieto finančné prostriedky postupne prevedie na účet NJF vo výške vypočítaných povinných platieb. Na uvažovanom podúčte NJF sa budú kumulovať finančné prostriedky od začiatku (od nuly).</w:t>
      </w:r>
    </w:p>
    <w:p w:rsidR="004E7B6D" w:rsidRPr="00D53C96" w:rsidRDefault="004E7B6D" w:rsidP="004E7B6D">
      <w:pPr>
        <w:tabs>
          <w:tab w:val="num" w:pos="1080"/>
        </w:tabs>
        <w:spacing w:after="0" w:line="240" w:lineRule="auto"/>
        <w:jc w:val="both"/>
        <w:rPr>
          <w:rFonts w:ascii="Times New Roman" w:hAnsi="Times New Roman" w:cs="Times New Roman"/>
          <w:sz w:val="24"/>
          <w:szCs w:val="24"/>
          <w:lang w:eastAsia="sk-SK"/>
        </w:rPr>
      </w:pPr>
    </w:p>
    <w:p w:rsidR="004E7B6D" w:rsidRPr="00D53C96" w:rsidRDefault="004E7B6D" w:rsidP="004E7B6D">
      <w:pPr>
        <w:tabs>
          <w:tab w:val="num" w:pos="1080"/>
        </w:tabs>
        <w:spacing w:after="0" w:line="240" w:lineRule="auto"/>
        <w:jc w:val="both"/>
        <w:rPr>
          <w:rFonts w:ascii="Times New Roman" w:hAnsi="Times New Roman" w:cs="Times New Roman"/>
          <w:bCs/>
          <w:sz w:val="24"/>
          <w:szCs w:val="24"/>
          <w:lang w:eastAsia="sk-SK"/>
        </w:rPr>
        <w:sectPr w:rsidR="004E7B6D" w:rsidRPr="00D53C96" w:rsidSect="008C7FB7">
          <w:footerReference w:type="default" r:id="rId8"/>
          <w:pgSz w:w="11906" w:h="16838"/>
          <w:pgMar w:top="1417" w:right="1417" w:bottom="1276" w:left="1417" w:header="708" w:footer="708" w:gutter="0"/>
          <w:pgNumType w:start="1"/>
          <w:cols w:space="708"/>
          <w:docGrid w:linePitch="360"/>
        </w:sectPr>
      </w:pPr>
    </w:p>
    <w:p w:rsidR="004E7B6D" w:rsidRPr="00D53C96" w:rsidRDefault="004E7B6D" w:rsidP="004E7B6D">
      <w:pPr>
        <w:tabs>
          <w:tab w:val="num" w:pos="1080"/>
        </w:tabs>
        <w:spacing w:after="0" w:line="240" w:lineRule="auto"/>
        <w:jc w:val="right"/>
        <w:rPr>
          <w:rFonts w:ascii="Times New Roman" w:hAnsi="Times New Roman" w:cs="Times New Roman"/>
          <w:bCs/>
          <w:sz w:val="24"/>
          <w:szCs w:val="24"/>
          <w:lang w:eastAsia="sk-SK"/>
        </w:rPr>
      </w:pPr>
      <w:r w:rsidRPr="00D53C96">
        <w:rPr>
          <w:rFonts w:ascii="Times New Roman" w:hAnsi="Times New Roman" w:cs="Times New Roman"/>
          <w:bCs/>
          <w:sz w:val="24"/>
          <w:szCs w:val="24"/>
          <w:lang w:eastAsia="sk-SK"/>
        </w:rPr>
        <w:lastRenderedPageBreak/>
        <w:t xml:space="preserve">Tabuľka č. 3 </w:t>
      </w:r>
    </w:p>
    <w:p w:rsidR="004E7B6D" w:rsidRPr="00D53C96" w:rsidRDefault="004E7B6D" w:rsidP="004E7B6D">
      <w:pPr>
        <w:tabs>
          <w:tab w:val="num" w:pos="1080"/>
        </w:tabs>
        <w:spacing w:after="0" w:line="240" w:lineRule="auto"/>
        <w:jc w:val="both"/>
        <w:rPr>
          <w:rFonts w:ascii="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tblPr>
      <w:tblGrid>
        <w:gridCol w:w="4950"/>
        <w:gridCol w:w="1500"/>
        <w:gridCol w:w="1500"/>
        <w:gridCol w:w="1500"/>
        <w:gridCol w:w="1500"/>
        <w:gridCol w:w="3000"/>
      </w:tblGrid>
      <w:tr w:rsidR="004E7B6D" w:rsidRPr="00D53C96" w:rsidTr="008A4E1A">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poznámka</w:t>
            </w:r>
          </w:p>
        </w:tc>
      </w:tr>
      <w:tr w:rsidR="004E7B6D" w:rsidRPr="00D53C96" w:rsidTr="008A4E1A">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4E7B6D" w:rsidRPr="00D53C96" w:rsidRDefault="004E7B6D" w:rsidP="008A4E1A">
            <w:pPr>
              <w:spacing w:after="0" w:line="240" w:lineRule="auto"/>
              <w:rPr>
                <w:rFonts w:ascii="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2021</w:t>
            </w:r>
          </w:p>
        </w:tc>
        <w:tc>
          <w:tcPr>
            <w:tcW w:w="3000" w:type="dxa"/>
            <w:vMerge/>
            <w:tcBorders>
              <w:top w:val="single" w:sz="4" w:space="0" w:color="auto"/>
              <w:left w:val="single" w:sz="4" w:space="0" w:color="auto"/>
              <w:bottom w:val="single" w:sz="4" w:space="0" w:color="auto"/>
              <w:right w:val="single" w:sz="4" w:space="0" w:color="auto"/>
            </w:tcBorders>
            <w:vAlign w:val="center"/>
          </w:tcPr>
          <w:p w:rsidR="004E7B6D" w:rsidRPr="00D53C96" w:rsidRDefault="004E7B6D" w:rsidP="008A4E1A">
            <w:pPr>
              <w:spacing w:after="0" w:line="240" w:lineRule="auto"/>
              <w:rPr>
                <w:rFonts w:ascii="Times New Roman" w:hAnsi="Times New Roman" w:cs="Times New Roman"/>
                <w:b/>
                <w:bCs/>
                <w:color w:val="FFFFFF"/>
                <w:sz w:val="24"/>
                <w:szCs w:val="24"/>
                <w:lang w:eastAsia="sk-SK"/>
              </w:rPr>
            </w:pPr>
          </w:p>
        </w:tc>
      </w:tr>
      <w:tr w:rsidR="004E7B6D" w:rsidRPr="00D53C96" w:rsidTr="008A4E1A">
        <w:trPr>
          <w:trHeight w:val="255"/>
        </w:trPr>
        <w:tc>
          <w:tcPr>
            <w:tcW w:w="4950" w:type="dxa"/>
            <w:tcBorders>
              <w:top w:val="nil"/>
              <w:left w:val="single" w:sz="4" w:space="0" w:color="auto"/>
              <w:bottom w:val="single" w:sz="4" w:space="0" w:color="auto"/>
              <w:right w:val="single" w:sz="4" w:space="0" w:color="auto"/>
            </w:tcBorders>
          </w:tcPr>
          <w:p w:rsidR="004E7B6D" w:rsidRPr="00D53C96" w:rsidRDefault="004E7B6D" w:rsidP="008A4E1A">
            <w:pPr>
              <w:spacing w:after="0" w:line="240" w:lineRule="auto"/>
              <w:rPr>
                <w:rFonts w:ascii="Times New Roman" w:hAnsi="Times New Roman" w:cs="Times New Roman"/>
                <w:b/>
                <w:bCs/>
                <w:sz w:val="24"/>
                <w:szCs w:val="24"/>
                <w:vertAlign w:val="superscript"/>
                <w:lang w:eastAsia="sk-SK"/>
              </w:rPr>
            </w:pPr>
            <w:r w:rsidRPr="00D53C96">
              <w:rPr>
                <w:rFonts w:ascii="Times New Roman" w:hAnsi="Times New Roman" w:cs="Times New Roman"/>
                <w:b/>
                <w:bCs/>
                <w:sz w:val="24"/>
                <w:szCs w:val="24"/>
                <w:lang w:eastAsia="sk-SK"/>
              </w:rPr>
              <w:t>Daňové príjmy (100)</w:t>
            </w:r>
            <w:r w:rsidRPr="00D53C96">
              <w:rPr>
                <w:rFonts w:ascii="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r>
      <w:tr w:rsidR="004E7B6D" w:rsidRPr="00D53C96" w:rsidTr="008A4E1A">
        <w:trPr>
          <w:trHeight w:val="255"/>
        </w:trPr>
        <w:tc>
          <w:tcPr>
            <w:tcW w:w="4950" w:type="dxa"/>
            <w:tcBorders>
              <w:top w:val="nil"/>
              <w:left w:val="single" w:sz="4" w:space="0" w:color="auto"/>
              <w:bottom w:val="single" w:sz="4" w:space="0" w:color="auto"/>
              <w:right w:val="single" w:sz="4" w:space="0" w:color="auto"/>
            </w:tcBorders>
          </w:tcPr>
          <w:p w:rsidR="004E7B6D" w:rsidRPr="00D53C96" w:rsidRDefault="004E7B6D" w:rsidP="008A4E1A">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Nedaňové príjmy (292)</w:t>
            </w:r>
            <w:r w:rsidRPr="00D53C96">
              <w:rPr>
                <w:rFonts w:ascii="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7 354 387</w:t>
            </w:r>
          </w:p>
        </w:tc>
        <w:tc>
          <w:tcPr>
            <w:tcW w:w="150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6 188 633</w:t>
            </w:r>
          </w:p>
        </w:tc>
        <w:tc>
          <w:tcPr>
            <w:tcW w:w="150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4 152547</w:t>
            </w:r>
          </w:p>
        </w:tc>
        <w:tc>
          <w:tcPr>
            <w:tcW w:w="3000" w:type="dxa"/>
            <w:tcBorders>
              <w:top w:val="nil"/>
              <w:left w:val="nil"/>
              <w:bottom w:val="single" w:sz="4" w:space="0" w:color="auto"/>
              <w:right w:val="single" w:sz="4" w:space="0" w:color="auto"/>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r>
      <w:tr w:rsidR="004E7B6D" w:rsidRPr="00D53C96" w:rsidTr="008A4E1A">
        <w:trPr>
          <w:trHeight w:val="255"/>
        </w:trPr>
        <w:tc>
          <w:tcPr>
            <w:tcW w:w="4950" w:type="dxa"/>
            <w:tcBorders>
              <w:top w:val="nil"/>
              <w:left w:val="single" w:sz="4" w:space="0" w:color="auto"/>
              <w:bottom w:val="single" w:sz="4" w:space="0" w:color="auto"/>
              <w:right w:val="single" w:sz="4" w:space="0" w:color="auto"/>
            </w:tcBorders>
          </w:tcPr>
          <w:p w:rsidR="004E7B6D" w:rsidRPr="00D53C96" w:rsidRDefault="004E7B6D" w:rsidP="008A4E1A">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Granty a transfery (312)</w:t>
            </w:r>
            <w:r w:rsidRPr="00D53C96">
              <w:rPr>
                <w:rFonts w:ascii="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4 365 482</w:t>
            </w:r>
          </w:p>
        </w:tc>
        <w:tc>
          <w:tcPr>
            <w:tcW w:w="150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4 452 792</w:t>
            </w:r>
          </w:p>
        </w:tc>
        <w:tc>
          <w:tcPr>
            <w:tcW w:w="150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4 541 847</w:t>
            </w:r>
          </w:p>
        </w:tc>
        <w:tc>
          <w:tcPr>
            <w:tcW w:w="3000" w:type="dxa"/>
            <w:tcBorders>
              <w:top w:val="nil"/>
              <w:left w:val="nil"/>
              <w:bottom w:val="single" w:sz="4" w:space="0" w:color="auto"/>
              <w:right w:val="single" w:sz="4" w:space="0" w:color="auto"/>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r>
      <w:tr w:rsidR="004E7B6D" w:rsidRPr="00D53C96" w:rsidTr="008A4E1A">
        <w:trPr>
          <w:trHeight w:val="255"/>
        </w:trPr>
        <w:tc>
          <w:tcPr>
            <w:tcW w:w="4950" w:type="dxa"/>
            <w:tcBorders>
              <w:top w:val="nil"/>
              <w:left w:val="single" w:sz="4" w:space="0" w:color="auto"/>
              <w:bottom w:val="single" w:sz="4" w:space="0" w:color="auto"/>
              <w:right w:val="single" w:sz="4" w:space="0" w:color="auto"/>
            </w:tcBorders>
          </w:tcPr>
          <w:p w:rsidR="004E7B6D" w:rsidRPr="00D53C96" w:rsidRDefault="004E7B6D" w:rsidP="008A4E1A">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r>
      <w:tr w:rsidR="004E7B6D" w:rsidRPr="00D53C96" w:rsidTr="008A4E1A">
        <w:trPr>
          <w:trHeight w:val="255"/>
        </w:trPr>
        <w:tc>
          <w:tcPr>
            <w:tcW w:w="4950" w:type="dxa"/>
            <w:tcBorders>
              <w:top w:val="nil"/>
              <w:left w:val="single" w:sz="4" w:space="0" w:color="auto"/>
              <w:bottom w:val="single" w:sz="4" w:space="0" w:color="auto"/>
              <w:right w:val="single" w:sz="4" w:space="0" w:color="auto"/>
            </w:tcBorders>
          </w:tcPr>
          <w:p w:rsidR="004E7B6D" w:rsidRPr="00D53C96" w:rsidRDefault="004E7B6D" w:rsidP="008A4E1A">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r>
      <w:tr w:rsidR="004E7B6D" w:rsidRPr="00D53C96" w:rsidTr="008A4E1A">
        <w:trPr>
          <w:trHeight w:val="255"/>
        </w:trPr>
        <w:tc>
          <w:tcPr>
            <w:tcW w:w="4950" w:type="dxa"/>
            <w:tcBorders>
              <w:top w:val="nil"/>
              <w:left w:val="single" w:sz="4" w:space="0" w:color="auto"/>
              <w:bottom w:val="single" w:sz="4" w:space="0" w:color="auto"/>
              <w:right w:val="single" w:sz="4" w:space="0" w:color="auto"/>
            </w:tcBorders>
            <w:shd w:val="clear" w:color="auto" w:fill="BFBFBF"/>
          </w:tcPr>
          <w:p w:rsidR="004E7B6D" w:rsidRPr="00D53C96" w:rsidRDefault="004E7B6D" w:rsidP="008A4E1A">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11 719 869</w:t>
            </w:r>
          </w:p>
        </w:tc>
        <w:tc>
          <w:tcPr>
            <w:tcW w:w="1500" w:type="dxa"/>
            <w:tcBorders>
              <w:top w:val="nil"/>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10 641 425</w:t>
            </w:r>
          </w:p>
        </w:tc>
        <w:tc>
          <w:tcPr>
            <w:tcW w:w="1500" w:type="dxa"/>
            <w:tcBorders>
              <w:top w:val="nil"/>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8 694 394</w:t>
            </w:r>
          </w:p>
        </w:tc>
        <w:tc>
          <w:tcPr>
            <w:tcW w:w="3000" w:type="dxa"/>
            <w:tcBorders>
              <w:top w:val="nil"/>
              <w:left w:val="nil"/>
              <w:bottom w:val="single" w:sz="4" w:space="0" w:color="auto"/>
              <w:right w:val="single" w:sz="4" w:space="0" w:color="auto"/>
            </w:tcBorders>
            <w:shd w:val="clear" w:color="auto" w:fill="BFBFBF"/>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r>
    </w:tbl>
    <w:p w:rsidR="004E7B6D" w:rsidRPr="00D53C96" w:rsidRDefault="004E7B6D" w:rsidP="004E7B6D">
      <w:pPr>
        <w:tabs>
          <w:tab w:val="num" w:pos="1080"/>
        </w:tabs>
        <w:spacing w:after="0" w:line="240" w:lineRule="auto"/>
        <w:jc w:val="both"/>
        <w:rPr>
          <w:rFonts w:ascii="Times New Roman" w:hAnsi="Times New Roman" w:cs="Times New Roman"/>
          <w:bCs/>
          <w:sz w:val="20"/>
          <w:szCs w:val="20"/>
          <w:lang w:eastAsia="sk-SK"/>
        </w:rPr>
      </w:pPr>
      <w:r w:rsidRPr="00D53C96">
        <w:rPr>
          <w:rFonts w:ascii="Times New Roman" w:hAnsi="Times New Roman" w:cs="Times New Roman"/>
          <w:bCs/>
          <w:sz w:val="20"/>
          <w:szCs w:val="20"/>
          <w:lang w:eastAsia="sk-SK"/>
        </w:rPr>
        <w:t>1 –  príjmy rozpísať až do položiek platnej ekonomickej klasifikácie</w:t>
      </w:r>
    </w:p>
    <w:p w:rsidR="004E7B6D" w:rsidRPr="00D53C96" w:rsidRDefault="004E7B6D" w:rsidP="004E7B6D">
      <w:pPr>
        <w:tabs>
          <w:tab w:val="num" w:pos="1080"/>
        </w:tabs>
        <w:spacing w:after="0" w:line="240" w:lineRule="auto"/>
        <w:jc w:val="both"/>
        <w:rPr>
          <w:rFonts w:ascii="Times New Roman" w:hAnsi="Times New Roman" w:cs="Times New Roman"/>
          <w:bCs/>
          <w:sz w:val="24"/>
          <w:szCs w:val="20"/>
          <w:lang w:eastAsia="sk-SK"/>
        </w:rPr>
      </w:pPr>
    </w:p>
    <w:p w:rsidR="004E7B6D" w:rsidRPr="00D53C96" w:rsidRDefault="004E7B6D" w:rsidP="004E7B6D">
      <w:pPr>
        <w:tabs>
          <w:tab w:val="num" w:pos="1080"/>
        </w:tabs>
        <w:spacing w:after="0" w:line="240" w:lineRule="auto"/>
        <w:jc w:val="both"/>
        <w:rPr>
          <w:rFonts w:ascii="Times New Roman" w:hAnsi="Times New Roman" w:cs="Times New Roman"/>
          <w:b/>
          <w:bCs/>
          <w:sz w:val="24"/>
          <w:szCs w:val="20"/>
          <w:lang w:eastAsia="sk-SK"/>
        </w:rPr>
      </w:pPr>
      <w:r w:rsidRPr="00D53C96">
        <w:rPr>
          <w:rFonts w:ascii="Times New Roman" w:hAnsi="Times New Roman" w:cs="Times New Roman"/>
          <w:b/>
          <w:bCs/>
          <w:sz w:val="24"/>
          <w:szCs w:val="20"/>
          <w:lang w:eastAsia="sk-SK"/>
        </w:rPr>
        <w:t>Poznámka:</w:t>
      </w:r>
    </w:p>
    <w:p w:rsidR="004E7B6D" w:rsidRPr="00D53C96" w:rsidRDefault="004E7B6D" w:rsidP="004E7B6D">
      <w:pPr>
        <w:tabs>
          <w:tab w:val="num" w:pos="1080"/>
        </w:tabs>
        <w:spacing w:after="0" w:line="240" w:lineRule="auto"/>
        <w:jc w:val="both"/>
        <w:rPr>
          <w:rFonts w:ascii="Times New Roman" w:hAnsi="Times New Roman" w:cs="Times New Roman"/>
          <w:bCs/>
          <w:sz w:val="24"/>
          <w:szCs w:val="20"/>
          <w:lang w:eastAsia="sk-SK"/>
        </w:rPr>
      </w:pPr>
      <w:r w:rsidRPr="00D53C96">
        <w:rPr>
          <w:rFonts w:ascii="Times New Roman" w:hAnsi="Times New Roman" w:cs="Times New Roman"/>
          <w:bCs/>
          <w:sz w:val="24"/>
          <w:szCs w:val="20"/>
          <w:lang w:eastAsia="sk-SK"/>
        </w:rPr>
        <w:t>Ak sa vplyv týka viacerých subjektov verejnej správy, vypĺňa sa samostatná tabuľka za každý subjekt.</w:t>
      </w:r>
    </w:p>
    <w:p w:rsidR="004E7B6D" w:rsidRPr="00D53C96" w:rsidRDefault="004E7B6D" w:rsidP="004E7B6D">
      <w:pPr>
        <w:tabs>
          <w:tab w:val="num" w:pos="1080"/>
        </w:tabs>
        <w:spacing w:after="0" w:line="240" w:lineRule="auto"/>
        <w:ind w:right="-578"/>
        <w:jc w:val="right"/>
        <w:rPr>
          <w:rFonts w:ascii="Times New Roman" w:hAnsi="Times New Roman" w:cs="Times New Roman"/>
          <w:bCs/>
          <w:sz w:val="24"/>
          <w:szCs w:val="24"/>
          <w:lang w:eastAsia="sk-SK"/>
        </w:rPr>
      </w:pPr>
    </w:p>
    <w:p w:rsidR="004E7B6D" w:rsidRPr="00D53C96" w:rsidRDefault="004E7B6D" w:rsidP="004E7B6D">
      <w:pPr>
        <w:tabs>
          <w:tab w:val="num" w:pos="1080"/>
        </w:tabs>
        <w:spacing w:after="0" w:line="240" w:lineRule="auto"/>
        <w:ind w:right="-578"/>
        <w:jc w:val="right"/>
        <w:rPr>
          <w:rFonts w:ascii="Times New Roman" w:hAnsi="Times New Roman" w:cs="Times New Roman"/>
          <w:bCs/>
          <w:sz w:val="24"/>
          <w:szCs w:val="24"/>
          <w:lang w:eastAsia="sk-SK"/>
        </w:rPr>
      </w:pPr>
    </w:p>
    <w:p w:rsidR="004E7B6D" w:rsidRPr="00D53C96" w:rsidRDefault="004E7B6D" w:rsidP="004E7B6D">
      <w:pPr>
        <w:tabs>
          <w:tab w:val="num" w:pos="1080"/>
        </w:tabs>
        <w:spacing w:after="0" w:line="240" w:lineRule="auto"/>
        <w:ind w:right="-578"/>
        <w:jc w:val="right"/>
        <w:rPr>
          <w:rFonts w:ascii="Times New Roman" w:hAnsi="Times New Roman" w:cs="Times New Roman"/>
          <w:bCs/>
          <w:sz w:val="24"/>
          <w:szCs w:val="24"/>
          <w:lang w:eastAsia="sk-SK"/>
        </w:rPr>
      </w:pPr>
    </w:p>
    <w:p w:rsidR="004E7B6D" w:rsidRPr="00D53C96" w:rsidRDefault="004E7B6D" w:rsidP="004E7B6D">
      <w:pPr>
        <w:tabs>
          <w:tab w:val="num" w:pos="1080"/>
        </w:tabs>
        <w:spacing w:after="0" w:line="240" w:lineRule="auto"/>
        <w:ind w:right="-578"/>
        <w:jc w:val="right"/>
        <w:rPr>
          <w:rFonts w:ascii="Times New Roman" w:hAnsi="Times New Roman" w:cs="Times New Roman"/>
          <w:bCs/>
          <w:sz w:val="24"/>
          <w:szCs w:val="24"/>
          <w:lang w:eastAsia="sk-SK"/>
        </w:rPr>
      </w:pPr>
    </w:p>
    <w:p w:rsidR="004E7B6D" w:rsidRPr="00D53C96" w:rsidRDefault="004E7B6D" w:rsidP="004E7B6D">
      <w:pPr>
        <w:tabs>
          <w:tab w:val="num" w:pos="1080"/>
        </w:tabs>
        <w:spacing w:after="0" w:line="240" w:lineRule="auto"/>
        <w:ind w:right="-578"/>
        <w:jc w:val="right"/>
        <w:rPr>
          <w:rFonts w:ascii="Times New Roman" w:hAnsi="Times New Roman" w:cs="Times New Roman"/>
          <w:bCs/>
          <w:sz w:val="24"/>
          <w:szCs w:val="24"/>
          <w:lang w:eastAsia="sk-SK"/>
        </w:rPr>
      </w:pPr>
    </w:p>
    <w:p w:rsidR="004E7B6D" w:rsidRPr="00D53C96" w:rsidRDefault="004E7B6D" w:rsidP="004E7B6D">
      <w:pPr>
        <w:tabs>
          <w:tab w:val="num" w:pos="1080"/>
        </w:tabs>
        <w:spacing w:after="0" w:line="240" w:lineRule="auto"/>
        <w:ind w:right="-578"/>
        <w:jc w:val="right"/>
        <w:rPr>
          <w:rFonts w:ascii="Times New Roman" w:hAnsi="Times New Roman" w:cs="Times New Roman"/>
          <w:bCs/>
          <w:sz w:val="24"/>
          <w:szCs w:val="24"/>
          <w:lang w:eastAsia="sk-SK"/>
        </w:rPr>
      </w:pPr>
    </w:p>
    <w:p w:rsidR="004E7B6D" w:rsidRPr="00D53C96" w:rsidRDefault="004E7B6D" w:rsidP="004E7B6D">
      <w:pPr>
        <w:tabs>
          <w:tab w:val="num" w:pos="1080"/>
        </w:tabs>
        <w:spacing w:after="0" w:line="240" w:lineRule="auto"/>
        <w:ind w:right="-578"/>
        <w:jc w:val="right"/>
        <w:rPr>
          <w:rFonts w:ascii="Times New Roman" w:hAnsi="Times New Roman" w:cs="Times New Roman"/>
          <w:bCs/>
          <w:sz w:val="24"/>
          <w:szCs w:val="24"/>
          <w:lang w:eastAsia="sk-SK"/>
        </w:rPr>
      </w:pPr>
    </w:p>
    <w:p w:rsidR="004E7B6D" w:rsidRPr="00D53C96" w:rsidRDefault="004E7B6D" w:rsidP="004E7B6D">
      <w:pPr>
        <w:tabs>
          <w:tab w:val="num" w:pos="1080"/>
        </w:tabs>
        <w:spacing w:after="0" w:line="240" w:lineRule="auto"/>
        <w:ind w:right="-578"/>
        <w:jc w:val="right"/>
        <w:rPr>
          <w:rFonts w:ascii="Times New Roman" w:hAnsi="Times New Roman" w:cs="Times New Roman"/>
          <w:bCs/>
          <w:sz w:val="24"/>
          <w:szCs w:val="24"/>
          <w:lang w:eastAsia="sk-SK"/>
        </w:rPr>
      </w:pPr>
    </w:p>
    <w:p w:rsidR="004E7B6D" w:rsidRPr="00D53C96" w:rsidRDefault="004E7B6D" w:rsidP="004E7B6D">
      <w:pPr>
        <w:tabs>
          <w:tab w:val="num" w:pos="1080"/>
        </w:tabs>
        <w:spacing w:after="0" w:line="240" w:lineRule="auto"/>
        <w:ind w:right="-578"/>
        <w:jc w:val="right"/>
        <w:rPr>
          <w:rFonts w:ascii="Times New Roman" w:hAnsi="Times New Roman" w:cs="Times New Roman"/>
          <w:bCs/>
          <w:sz w:val="24"/>
          <w:szCs w:val="24"/>
          <w:lang w:eastAsia="sk-SK"/>
        </w:rPr>
      </w:pPr>
    </w:p>
    <w:p w:rsidR="004E7B6D" w:rsidRPr="00D53C96" w:rsidRDefault="004E7B6D" w:rsidP="004E7B6D">
      <w:pPr>
        <w:tabs>
          <w:tab w:val="num" w:pos="1080"/>
        </w:tabs>
        <w:spacing w:after="0" w:line="240" w:lineRule="auto"/>
        <w:ind w:right="-578"/>
        <w:jc w:val="right"/>
        <w:rPr>
          <w:rFonts w:ascii="Times New Roman" w:hAnsi="Times New Roman" w:cs="Times New Roman"/>
          <w:bCs/>
          <w:sz w:val="24"/>
          <w:szCs w:val="24"/>
          <w:lang w:eastAsia="sk-SK"/>
        </w:rPr>
      </w:pPr>
    </w:p>
    <w:p w:rsidR="004E7B6D" w:rsidRPr="00D53C96" w:rsidRDefault="004E7B6D" w:rsidP="004E7B6D">
      <w:pPr>
        <w:tabs>
          <w:tab w:val="num" w:pos="1080"/>
        </w:tabs>
        <w:spacing w:after="0" w:line="240" w:lineRule="auto"/>
        <w:ind w:right="-578"/>
        <w:jc w:val="right"/>
        <w:rPr>
          <w:rFonts w:ascii="Times New Roman" w:hAnsi="Times New Roman" w:cs="Times New Roman"/>
          <w:bCs/>
          <w:sz w:val="24"/>
          <w:szCs w:val="24"/>
          <w:lang w:eastAsia="sk-SK"/>
        </w:rPr>
      </w:pPr>
    </w:p>
    <w:p w:rsidR="004E7B6D" w:rsidRPr="00D53C96" w:rsidRDefault="004E7B6D" w:rsidP="004E7B6D">
      <w:pPr>
        <w:tabs>
          <w:tab w:val="num" w:pos="1080"/>
        </w:tabs>
        <w:spacing w:after="0" w:line="240" w:lineRule="auto"/>
        <w:ind w:right="-578"/>
        <w:jc w:val="right"/>
        <w:rPr>
          <w:rFonts w:ascii="Times New Roman" w:hAnsi="Times New Roman" w:cs="Times New Roman"/>
          <w:bCs/>
          <w:sz w:val="24"/>
          <w:szCs w:val="24"/>
          <w:lang w:eastAsia="sk-SK"/>
        </w:rPr>
      </w:pPr>
    </w:p>
    <w:p w:rsidR="004E7B6D" w:rsidRPr="00D53C96" w:rsidRDefault="004E7B6D" w:rsidP="004E7B6D">
      <w:pPr>
        <w:tabs>
          <w:tab w:val="num" w:pos="1080"/>
        </w:tabs>
        <w:spacing w:after="0" w:line="240" w:lineRule="auto"/>
        <w:ind w:right="-578"/>
        <w:jc w:val="right"/>
        <w:rPr>
          <w:rFonts w:ascii="Times New Roman" w:hAnsi="Times New Roman" w:cs="Times New Roman"/>
          <w:bCs/>
          <w:sz w:val="24"/>
          <w:szCs w:val="24"/>
          <w:lang w:eastAsia="sk-SK"/>
        </w:rPr>
      </w:pPr>
    </w:p>
    <w:p w:rsidR="004E7B6D" w:rsidRPr="00D53C96" w:rsidRDefault="004E7B6D" w:rsidP="004E7B6D">
      <w:pPr>
        <w:tabs>
          <w:tab w:val="num" w:pos="1080"/>
        </w:tabs>
        <w:spacing w:after="0" w:line="240" w:lineRule="auto"/>
        <w:ind w:right="-578"/>
        <w:jc w:val="right"/>
        <w:rPr>
          <w:rFonts w:ascii="Times New Roman" w:hAnsi="Times New Roman" w:cs="Times New Roman"/>
          <w:bCs/>
          <w:sz w:val="24"/>
          <w:szCs w:val="24"/>
          <w:lang w:eastAsia="sk-SK"/>
        </w:rPr>
      </w:pPr>
    </w:p>
    <w:p w:rsidR="004E7B6D" w:rsidRPr="00D53C96" w:rsidRDefault="004E7B6D" w:rsidP="004E7B6D">
      <w:pPr>
        <w:tabs>
          <w:tab w:val="num" w:pos="1080"/>
        </w:tabs>
        <w:spacing w:after="0" w:line="240" w:lineRule="auto"/>
        <w:ind w:right="-32"/>
        <w:jc w:val="right"/>
        <w:rPr>
          <w:rFonts w:ascii="Times New Roman" w:hAnsi="Times New Roman" w:cs="Times New Roman"/>
          <w:bCs/>
          <w:sz w:val="24"/>
          <w:szCs w:val="24"/>
          <w:lang w:eastAsia="sk-SK"/>
        </w:rPr>
      </w:pPr>
      <w:r w:rsidRPr="00D53C96">
        <w:rPr>
          <w:rFonts w:ascii="Times New Roman" w:hAnsi="Times New Roman" w:cs="Times New Roman"/>
          <w:bCs/>
          <w:sz w:val="24"/>
          <w:szCs w:val="24"/>
          <w:lang w:eastAsia="sk-SK"/>
        </w:rPr>
        <w:lastRenderedPageBreak/>
        <w:t xml:space="preserve">Tabuľka č. 4 </w:t>
      </w:r>
    </w:p>
    <w:p w:rsidR="004E7B6D" w:rsidRPr="00D53C96" w:rsidRDefault="004E7B6D" w:rsidP="004E7B6D">
      <w:pPr>
        <w:tabs>
          <w:tab w:val="num" w:pos="1080"/>
        </w:tabs>
        <w:spacing w:after="0" w:line="240" w:lineRule="auto"/>
        <w:jc w:val="both"/>
        <w:rPr>
          <w:rFonts w:ascii="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tblPr>
      <w:tblGrid>
        <w:gridCol w:w="7070"/>
        <w:gridCol w:w="1540"/>
        <w:gridCol w:w="1540"/>
        <w:gridCol w:w="1540"/>
        <w:gridCol w:w="1540"/>
        <w:gridCol w:w="2220"/>
      </w:tblGrid>
      <w:tr w:rsidR="004E7B6D" w:rsidRPr="00D53C96" w:rsidTr="008A4E1A">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4E7B6D" w:rsidRPr="00D53C96" w:rsidRDefault="004E7B6D" w:rsidP="008A4E1A">
            <w:pPr>
              <w:spacing w:after="0" w:line="240" w:lineRule="auto"/>
              <w:jc w:val="center"/>
              <w:rPr>
                <w:rFonts w:ascii="Times New Roman" w:hAnsi="Times New Roman" w:cs="Times New Roman"/>
                <w:b/>
                <w:bCs/>
                <w:sz w:val="20"/>
                <w:szCs w:val="20"/>
                <w:lang w:eastAsia="sk-SK"/>
              </w:rPr>
            </w:pPr>
            <w:r w:rsidRPr="00D53C96">
              <w:rPr>
                <w:rFonts w:ascii="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0"/>
                <w:szCs w:val="20"/>
                <w:lang w:eastAsia="sk-SK"/>
              </w:rPr>
            </w:pPr>
            <w:r w:rsidRPr="00D53C96">
              <w:rPr>
                <w:rFonts w:ascii="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4E7B6D" w:rsidRPr="00D53C96" w:rsidRDefault="004E7B6D" w:rsidP="008A4E1A">
            <w:pPr>
              <w:spacing w:after="0" w:line="240" w:lineRule="auto"/>
              <w:jc w:val="center"/>
              <w:rPr>
                <w:rFonts w:ascii="Times New Roman" w:hAnsi="Times New Roman" w:cs="Times New Roman"/>
                <w:b/>
                <w:bCs/>
                <w:sz w:val="20"/>
                <w:szCs w:val="20"/>
                <w:lang w:eastAsia="sk-SK"/>
              </w:rPr>
            </w:pPr>
            <w:r w:rsidRPr="00D53C96">
              <w:rPr>
                <w:rFonts w:ascii="Times New Roman" w:hAnsi="Times New Roman" w:cs="Times New Roman"/>
                <w:b/>
                <w:bCs/>
                <w:sz w:val="20"/>
                <w:szCs w:val="20"/>
                <w:lang w:eastAsia="sk-SK"/>
              </w:rPr>
              <w:t>poznámka</w:t>
            </w:r>
          </w:p>
        </w:tc>
      </w:tr>
      <w:tr w:rsidR="004E7B6D" w:rsidRPr="00D53C96" w:rsidTr="008A4E1A">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4E7B6D" w:rsidRPr="00D53C96" w:rsidRDefault="004E7B6D" w:rsidP="008A4E1A">
            <w:pPr>
              <w:spacing w:after="0" w:line="240" w:lineRule="auto"/>
              <w:rPr>
                <w:rFonts w:ascii="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0"/>
                <w:szCs w:val="20"/>
                <w:lang w:eastAsia="sk-SK"/>
              </w:rPr>
            </w:pPr>
            <w:r w:rsidRPr="00D53C96">
              <w:rPr>
                <w:rFonts w:ascii="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0"/>
                <w:szCs w:val="20"/>
                <w:lang w:eastAsia="sk-SK"/>
              </w:rPr>
            </w:pPr>
            <w:r w:rsidRPr="00D53C96">
              <w:rPr>
                <w:rFonts w:ascii="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0"/>
                <w:szCs w:val="20"/>
                <w:lang w:eastAsia="sk-SK"/>
              </w:rPr>
            </w:pPr>
            <w:r w:rsidRPr="00D53C96">
              <w:rPr>
                <w:rFonts w:ascii="Times New Roman" w:hAnsi="Times New Roman" w:cs="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0"/>
                <w:szCs w:val="20"/>
                <w:lang w:eastAsia="sk-SK"/>
              </w:rPr>
            </w:pPr>
            <w:r w:rsidRPr="00D53C96">
              <w:rPr>
                <w:rFonts w:ascii="Times New Roman" w:hAnsi="Times New Roman" w:cs="Times New Roman"/>
                <w:b/>
                <w:bCs/>
                <w:sz w:val="20"/>
                <w:szCs w:val="20"/>
                <w:lang w:eastAsia="sk-SK"/>
              </w:rPr>
              <w:t>2021</w:t>
            </w:r>
          </w:p>
        </w:tc>
        <w:tc>
          <w:tcPr>
            <w:tcW w:w="2220" w:type="dxa"/>
            <w:vMerge/>
            <w:tcBorders>
              <w:top w:val="single" w:sz="4" w:space="0" w:color="auto"/>
              <w:left w:val="single" w:sz="4" w:space="0" w:color="auto"/>
              <w:bottom w:val="single" w:sz="4" w:space="0" w:color="auto"/>
              <w:right w:val="single" w:sz="4" w:space="0" w:color="auto"/>
            </w:tcBorders>
            <w:vAlign w:val="center"/>
          </w:tcPr>
          <w:p w:rsidR="004E7B6D" w:rsidRPr="00D53C96" w:rsidRDefault="004E7B6D" w:rsidP="008A4E1A">
            <w:pPr>
              <w:spacing w:after="0" w:line="240" w:lineRule="auto"/>
              <w:rPr>
                <w:rFonts w:ascii="Times New Roman" w:hAnsi="Times New Roman" w:cs="Times New Roman"/>
                <w:b/>
                <w:bCs/>
                <w:color w:val="FFFFFF"/>
                <w:sz w:val="24"/>
                <w:szCs w:val="24"/>
                <w:lang w:eastAsia="sk-SK"/>
              </w:rPr>
            </w:pPr>
          </w:p>
        </w:tc>
      </w:tr>
      <w:tr w:rsidR="004E7B6D" w:rsidRPr="00D53C96" w:rsidTr="008A4E1A">
        <w:trPr>
          <w:trHeight w:val="255"/>
        </w:trPr>
        <w:tc>
          <w:tcPr>
            <w:tcW w:w="7070" w:type="dxa"/>
            <w:tcBorders>
              <w:top w:val="nil"/>
              <w:left w:val="single" w:sz="4" w:space="0" w:color="auto"/>
              <w:bottom w:val="single" w:sz="4" w:space="0" w:color="auto"/>
              <w:right w:val="single" w:sz="4" w:space="0" w:color="auto"/>
            </w:tcBorders>
          </w:tcPr>
          <w:p w:rsidR="004E7B6D" w:rsidRPr="00D53C96" w:rsidRDefault="004E7B6D" w:rsidP="008A4E1A">
            <w:pPr>
              <w:spacing w:after="0" w:line="240" w:lineRule="auto"/>
              <w:rPr>
                <w:rFonts w:ascii="Times New Roman" w:hAnsi="Times New Roman" w:cs="Times New Roman"/>
                <w:b/>
                <w:bCs/>
                <w:sz w:val="20"/>
                <w:szCs w:val="20"/>
                <w:lang w:eastAsia="sk-SK"/>
              </w:rPr>
            </w:pPr>
            <w:r w:rsidRPr="00D53C96">
              <w:rPr>
                <w:rFonts w:ascii="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r>
      <w:tr w:rsidR="004E7B6D" w:rsidRPr="00D53C96" w:rsidTr="008A4E1A">
        <w:trPr>
          <w:trHeight w:val="255"/>
        </w:trPr>
        <w:tc>
          <w:tcPr>
            <w:tcW w:w="7070" w:type="dxa"/>
            <w:tcBorders>
              <w:top w:val="nil"/>
              <w:left w:val="single" w:sz="4" w:space="0" w:color="auto"/>
              <w:bottom w:val="single" w:sz="4" w:space="0" w:color="auto"/>
              <w:right w:val="single" w:sz="4" w:space="0" w:color="auto"/>
            </w:tcBorders>
          </w:tcPr>
          <w:p w:rsidR="004E7B6D" w:rsidRPr="00D53C96" w:rsidRDefault="004E7B6D" w:rsidP="008A4E1A">
            <w:pPr>
              <w:spacing w:after="0" w:line="240" w:lineRule="auto"/>
              <w:rPr>
                <w:rFonts w:ascii="Times New Roman" w:hAnsi="Times New Roman" w:cs="Times New Roman"/>
                <w:sz w:val="20"/>
                <w:szCs w:val="20"/>
                <w:lang w:eastAsia="sk-SK"/>
              </w:rPr>
            </w:pPr>
            <w:r w:rsidRPr="00D53C96">
              <w:rPr>
                <w:rFonts w:ascii="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r>
      <w:tr w:rsidR="004E7B6D" w:rsidRPr="00D53C96" w:rsidTr="008A4E1A">
        <w:trPr>
          <w:trHeight w:val="255"/>
        </w:trPr>
        <w:tc>
          <w:tcPr>
            <w:tcW w:w="7070" w:type="dxa"/>
            <w:tcBorders>
              <w:top w:val="nil"/>
              <w:left w:val="single" w:sz="4" w:space="0" w:color="auto"/>
              <w:bottom w:val="single" w:sz="4" w:space="0" w:color="auto"/>
              <w:right w:val="single" w:sz="4" w:space="0" w:color="auto"/>
            </w:tcBorders>
          </w:tcPr>
          <w:p w:rsidR="004E7B6D" w:rsidRPr="00D53C96" w:rsidRDefault="004E7B6D" w:rsidP="008A4E1A">
            <w:pPr>
              <w:spacing w:after="0" w:line="240" w:lineRule="auto"/>
              <w:rPr>
                <w:rFonts w:ascii="Times New Roman" w:hAnsi="Times New Roman" w:cs="Times New Roman"/>
                <w:sz w:val="20"/>
                <w:szCs w:val="20"/>
                <w:vertAlign w:val="superscript"/>
                <w:lang w:eastAsia="sk-SK"/>
              </w:rPr>
            </w:pPr>
            <w:r w:rsidRPr="00D53C96">
              <w:rPr>
                <w:rFonts w:ascii="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r>
      <w:tr w:rsidR="004E7B6D" w:rsidRPr="00D53C96" w:rsidTr="008A4E1A">
        <w:trPr>
          <w:trHeight w:val="255"/>
        </w:trPr>
        <w:tc>
          <w:tcPr>
            <w:tcW w:w="7070" w:type="dxa"/>
            <w:tcBorders>
              <w:top w:val="nil"/>
              <w:left w:val="single" w:sz="4" w:space="0" w:color="auto"/>
              <w:bottom w:val="single" w:sz="4" w:space="0" w:color="auto"/>
              <w:right w:val="single" w:sz="4" w:space="0" w:color="auto"/>
            </w:tcBorders>
          </w:tcPr>
          <w:p w:rsidR="004E7B6D" w:rsidRPr="00D53C96" w:rsidRDefault="004E7B6D" w:rsidP="008A4E1A">
            <w:pPr>
              <w:spacing w:after="0" w:line="240" w:lineRule="auto"/>
              <w:rPr>
                <w:rFonts w:ascii="Times New Roman" w:hAnsi="Times New Roman" w:cs="Times New Roman"/>
                <w:sz w:val="20"/>
                <w:szCs w:val="20"/>
                <w:vertAlign w:val="superscript"/>
                <w:lang w:eastAsia="sk-SK"/>
              </w:rPr>
            </w:pPr>
            <w:r w:rsidRPr="00D53C96">
              <w:rPr>
                <w:rFonts w:ascii="Times New Roman" w:hAnsi="Times New Roman" w:cs="Times New Roman"/>
                <w:sz w:val="20"/>
                <w:szCs w:val="20"/>
                <w:lang w:eastAsia="sk-SK"/>
              </w:rPr>
              <w:t xml:space="preserve">  Tovary a služby (630)</w:t>
            </w:r>
            <w:r w:rsidRPr="00D53C96">
              <w:rPr>
                <w:rFonts w:ascii="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r>
      <w:tr w:rsidR="004E7B6D" w:rsidRPr="00D53C96" w:rsidTr="008A4E1A">
        <w:trPr>
          <w:trHeight w:val="255"/>
        </w:trPr>
        <w:tc>
          <w:tcPr>
            <w:tcW w:w="7070" w:type="dxa"/>
            <w:tcBorders>
              <w:top w:val="nil"/>
              <w:left w:val="single" w:sz="4" w:space="0" w:color="auto"/>
              <w:bottom w:val="single" w:sz="4" w:space="0" w:color="auto"/>
              <w:right w:val="single" w:sz="4" w:space="0" w:color="auto"/>
            </w:tcBorders>
          </w:tcPr>
          <w:p w:rsidR="004E7B6D" w:rsidRPr="00D53C96" w:rsidRDefault="004E7B6D" w:rsidP="008A4E1A">
            <w:pPr>
              <w:spacing w:after="0" w:line="240" w:lineRule="auto"/>
              <w:rPr>
                <w:rFonts w:ascii="Times New Roman" w:hAnsi="Times New Roman" w:cs="Times New Roman"/>
                <w:sz w:val="20"/>
                <w:szCs w:val="20"/>
                <w:lang w:eastAsia="sk-SK"/>
              </w:rPr>
            </w:pPr>
            <w:r w:rsidRPr="00D53C96">
              <w:rPr>
                <w:rFonts w:ascii="Times New Roman" w:hAnsi="Times New Roman" w:cs="Times New Roman"/>
                <w:sz w:val="20"/>
                <w:szCs w:val="20"/>
                <w:lang w:eastAsia="sk-SK"/>
              </w:rPr>
              <w:t xml:space="preserve">  Bežné transfery (640)</w:t>
            </w:r>
            <w:r w:rsidRPr="00D53C96">
              <w:rPr>
                <w:rFonts w:ascii="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r w:rsidRPr="00D53C96">
              <w:rPr>
                <w:rFonts w:ascii="Times New Roman" w:hAnsi="Times New Roman" w:cs="Times New Roman"/>
                <w:sz w:val="20"/>
                <w:szCs w:val="20"/>
                <w:lang w:eastAsia="sk-SK"/>
              </w:rPr>
              <w:t>4 365 482</w:t>
            </w: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r w:rsidRPr="00D53C96">
              <w:rPr>
                <w:rFonts w:ascii="Times New Roman" w:hAnsi="Times New Roman" w:cs="Times New Roman"/>
                <w:sz w:val="20"/>
                <w:szCs w:val="20"/>
                <w:lang w:eastAsia="sk-SK"/>
              </w:rPr>
              <w:t>4 452 792</w:t>
            </w: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r w:rsidRPr="00D53C96">
              <w:rPr>
                <w:rFonts w:ascii="Times New Roman" w:hAnsi="Times New Roman" w:cs="Times New Roman"/>
                <w:sz w:val="20"/>
                <w:szCs w:val="20"/>
                <w:lang w:eastAsia="sk-SK"/>
              </w:rPr>
              <w:t>4 451 847</w:t>
            </w:r>
          </w:p>
        </w:tc>
        <w:tc>
          <w:tcPr>
            <w:tcW w:w="2220" w:type="dxa"/>
            <w:tcBorders>
              <w:top w:val="nil"/>
              <w:left w:val="nil"/>
              <w:bottom w:val="single" w:sz="4" w:space="0" w:color="auto"/>
              <w:right w:val="single" w:sz="4" w:space="0" w:color="auto"/>
            </w:tcBorders>
            <w:noWrap/>
            <w:vAlign w:val="bottom"/>
          </w:tcPr>
          <w:p w:rsidR="004E7B6D" w:rsidRPr="00D53C96" w:rsidRDefault="004E7B6D" w:rsidP="008A4E1A">
            <w:pPr>
              <w:spacing w:after="0" w:line="240" w:lineRule="auto"/>
              <w:rPr>
                <w:rFonts w:ascii="Times New Roman" w:hAnsi="Times New Roman" w:cs="Times New Roman"/>
                <w:sz w:val="20"/>
                <w:szCs w:val="20"/>
                <w:lang w:eastAsia="sk-SK"/>
              </w:rPr>
            </w:pPr>
            <w:r w:rsidRPr="00D53C96">
              <w:rPr>
                <w:rFonts w:ascii="Times New Roman" w:hAnsi="Times New Roman" w:cs="Times New Roman"/>
                <w:sz w:val="20"/>
                <w:szCs w:val="20"/>
                <w:lang w:eastAsia="sk-SK"/>
              </w:rPr>
              <w:t>JAVYS, a. s. </w:t>
            </w:r>
          </w:p>
        </w:tc>
      </w:tr>
      <w:tr w:rsidR="004E7B6D" w:rsidRPr="00D53C96" w:rsidTr="008A4E1A">
        <w:trPr>
          <w:trHeight w:val="255"/>
        </w:trPr>
        <w:tc>
          <w:tcPr>
            <w:tcW w:w="7070" w:type="dxa"/>
            <w:tcBorders>
              <w:top w:val="nil"/>
              <w:left w:val="single" w:sz="4" w:space="0" w:color="auto"/>
              <w:bottom w:val="single" w:sz="4" w:space="0" w:color="auto"/>
              <w:right w:val="single" w:sz="4" w:space="0" w:color="auto"/>
            </w:tcBorders>
            <w:vAlign w:val="center"/>
          </w:tcPr>
          <w:p w:rsidR="004E7B6D" w:rsidRPr="00D53C96" w:rsidRDefault="004E7B6D" w:rsidP="008A4E1A">
            <w:pPr>
              <w:spacing w:after="0" w:line="240" w:lineRule="auto"/>
              <w:rPr>
                <w:rFonts w:ascii="Times New Roman" w:hAnsi="Times New Roman" w:cs="Times New Roman"/>
                <w:sz w:val="20"/>
                <w:szCs w:val="20"/>
                <w:lang w:eastAsia="sk-SK"/>
              </w:rPr>
            </w:pPr>
            <w:r w:rsidRPr="00D53C96">
              <w:rPr>
                <w:rFonts w:ascii="Times New Roman" w:hAnsi="Times New Roman" w:cs="Times New Roman"/>
                <w:sz w:val="20"/>
                <w:szCs w:val="20"/>
                <w:lang w:eastAsia="sk-SK"/>
              </w:rPr>
              <w:t xml:space="preserve">  Splácanie úrokov a ostatné platby súvisiace s úverom, pôžičkou, návratnou finančnou výpomocou a finančným prenájmom (650)</w:t>
            </w:r>
            <w:r w:rsidRPr="00D53C96">
              <w:rPr>
                <w:rFonts w:ascii="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p>
        </w:tc>
      </w:tr>
      <w:tr w:rsidR="004E7B6D" w:rsidRPr="00D53C96" w:rsidTr="008A4E1A">
        <w:trPr>
          <w:trHeight w:val="255"/>
        </w:trPr>
        <w:tc>
          <w:tcPr>
            <w:tcW w:w="7070" w:type="dxa"/>
            <w:tcBorders>
              <w:top w:val="nil"/>
              <w:left w:val="single" w:sz="4" w:space="0" w:color="auto"/>
              <w:bottom w:val="single" w:sz="4" w:space="0" w:color="auto"/>
              <w:right w:val="single" w:sz="4" w:space="0" w:color="auto"/>
            </w:tcBorders>
          </w:tcPr>
          <w:p w:rsidR="004E7B6D" w:rsidRPr="00D53C96" w:rsidRDefault="004E7B6D" w:rsidP="008A4E1A">
            <w:pPr>
              <w:spacing w:after="0" w:line="240" w:lineRule="auto"/>
              <w:rPr>
                <w:rFonts w:ascii="Times New Roman" w:hAnsi="Times New Roman" w:cs="Times New Roman"/>
                <w:b/>
                <w:bCs/>
                <w:sz w:val="20"/>
                <w:szCs w:val="20"/>
                <w:lang w:eastAsia="sk-SK"/>
              </w:rPr>
            </w:pPr>
            <w:r w:rsidRPr="00D53C96">
              <w:rPr>
                <w:rFonts w:ascii="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r>
      <w:tr w:rsidR="004E7B6D" w:rsidRPr="00D53C96" w:rsidTr="008A4E1A">
        <w:trPr>
          <w:trHeight w:val="255"/>
        </w:trPr>
        <w:tc>
          <w:tcPr>
            <w:tcW w:w="7070" w:type="dxa"/>
            <w:tcBorders>
              <w:top w:val="nil"/>
              <w:left w:val="single" w:sz="4" w:space="0" w:color="auto"/>
              <w:bottom w:val="single" w:sz="4" w:space="0" w:color="auto"/>
              <w:right w:val="single" w:sz="4" w:space="0" w:color="auto"/>
            </w:tcBorders>
          </w:tcPr>
          <w:p w:rsidR="004E7B6D" w:rsidRPr="00D53C96" w:rsidRDefault="004E7B6D" w:rsidP="008A4E1A">
            <w:pPr>
              <w:spacing w:after="0" w:line="240" w:lineRule="auto"/>
              <w:rPr>
                <w:rFonts w:ascii="Times New Roman" w:hAnsi="Times New Roman" w:cs="Times New Roman"/>
                <w:sz w:val="20"/>
                <w:szCs w:val="20"/>
                <w:lang w:eastAsia="sk-SK"/>
              </w:rPr>
            </w:pPr>
            <w:r w:rsidRPr="00D53C96">
              <w:rPr>
                <w:rFonts w:ascii="Times New Roman" w:hAnsi="Times New Roman" w:cs="Times New Roman"/>
                <w:sz w:val="20"/>
                <w:szCs w:val="20"/>
                <w:lang w:eastAsia="sk-SK"/>
              </w:rPr>
              <w:t xml:space="preserve">  Obstarávanie kapitálových aktív (710)</w:t>
            </w:r>
            <w:r w:rsidRPr="00D53C96">
              <w:rPr>
                <w:rFonts w:ascii="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r>
      <w:tr w:rsidR="004E7B6D" w:rsidRPr="00D53C96" w:rsidTr="008A4E1A">
        <w:trPr>
          <w:trHeight w:val="255"/>
        </w:trPr>
        <w:tc>
          <w:tcPr>
            <w:tcW w:w="7070" w:type="dxa"/>
            <w:tcBorders>
              <w:top w:val="nil"/>
              <w:left w:val="single" w:sz="4" w:space="0" w:color="auto"/>
              <w:bottom w:val="single" w:sz="4" w:space="0" w:color="auto"/>
              <w:right w:val="single" w:sz="4" w:space="0" w:color="auto"/>
            </w:tcBorders>
          </w:tcPr>
          <w:p w:rsidR="004E7B6D" w:rsidRPr="00D53C96" w:rsidRDefault="004E7B6D" w:rsidP="008A4E1A">
            <w:pPr>
              <w:spacing w:after="0" w:line="240" w:lineRule="auto"/>
              <w:rPr>
                <w:rFonts w:ascii="Times New Roman" w:hAnsi="Times New Roman" w:cs="Times New Roman"/>
                <w:sz w:val="20"/>
                <w:szCs w:val="20"/>
                <w:lang w:eastAsia="sk-SK"/>
              </w:rPr>
            </w:pPr>
            <w:r w:rsidRPr="00D53C96">
              <w:rPr>
                <w:rFonts w:ascii="Times New Roman" w:hAnsi="Times New Roman" w:cs="Times New Roman"/>
                <w:sz w:val="20"/>
                <w:szCs w:val="20"/>
                <w:lang w:eastAsia="sk-SK"/>
              </w:rPr>
              <w:t xml:space="preserve">  Kapitálové transfery (720)</w:t>
            </w:r>
            <w:r w:rsidRPr="00D53C96">
              <w:rPr>
                <w:rFonts w:ascii="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r>
      <w:tr w:rsidR="004E7B6D" w:rsidRPr="00D53C96" w:rsidTr="008A4E1A">
        <w:trPr>
          <w:trHeight w:val="255"/>
        </w:trPr>
        <w:tc>
          <w:tcPr>
            <w:tcW w:w="7070" w:type="dxa"/>
            <w:tcBorders>
              <w:top w:val="nil"/>
              <w:left w:val="single" w:sz="4" w:space="0" w:color="auto"/>
              <w:bottom w:val="single" w:sz="4" w:space="0" w:color="auto"/>
              <w:right w:val="single" w:sz="4" w:space="0" w:color="auto"/>
            </w:tcBorders>
          </w:tcPr>
          <w:p w:rsidR="004E7B6D" w:rsidRPr="00D53C96" w:rsidRDefault="004E7B6D" w:rsidP="008A4E1A">
            <w:pPr>
              <w:spacing w:after="0" w:line="240" w:lineRule="auto"/>
              <w:rPr>
                <w:rFonts w:ascii="Times New Roman" w:hAnsi="Times New Roman" w:cs="Times New Roman"/>
                <w:b/>
                <w:bCs/>
                <w:sz w:val="20"/>
                <w:szCs w:val="20"/>
                <w:lang w:eastAsia="sk-SK"/>
              </w:rPr>
            </w:pPr>
            <w:r w:rsidRPr="00D53C96">
              <w:rPr>
                <w:rFonts w:ascii="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4E7B6D" w:rsidRPr="00D53C96" w:rsidRDefault="004E7B6D" w:rsidP="008A4E1A">
            <w:pPr>
              <w:spacing w:after="0" w:line="240" w:lineRule="auto"/>
              <w:jc w:val="center"/>
              <w:rPr>
                <w:rFonts w:ascii="Times New Roman" w:hAnsi="Times New Roman" w:cs="Times New Roman"/>
                <w:b/>
                <w:bCs/>
                <w:sz w:val="20"/>
                <w:szCs w:val="20"/>
                <w:lang w:eastAsia="sk-SK"/>
              </w:rPr>
            </w:pPr>
            <w:r w:rsidRPr="00D53C96">
              <w:rPr>
                <w:rFonts w:ascii="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4E7B6D" w:rsidRPr="00D53C96" w:rsidRDefault="004E7B6D" w:rsidP="008A4E1A">
            <w:pPr>
              <w:spacing w:after="0" w:line="240" w:lineRule="auto"/>
              <w:jc w:val="center"/>
              <w:rPr>
                <w:rFonts w:ascii="Times New Roman" w:hAnsi="Times New Roman" w:cs="Times New Roman"/>
                <w:b/>
                <w:bCs/>
                <w:sz w:val="20"/>
                <w:szCs w:val="20"/>
                <w:lang w:eastAsia="sk-SK"/>
              </w:rPr>
            </w:pPr>
            <w:r w:rsidRPr="00D53C96">
              <w:rPr>
                <w:rFonts w:ascii="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4E7B6D" w:rsidRPr="00D53C96" w:rsidRDefault="004E7B6D" w:rsidP="008A4E1A">
            <w:pPr>
              <w:spacing w:after="0" w:line="240" w:lineRule="auto"/>
              <w:jc w:val="center"/>
              <w:rPr>
                <w:rFonts w:ascii="Times New Roman" w:hAnsi="Times New Roman" w:cs="Times New Roman"/>
                <w:b/>
                <w:bCs/>
                <w:sz w:val="20"/>
                <w:szCs w:val="20"/>
                <w:lang w:eastAsia="sk-SK"/>
              </w:rPr>
            </w:pPr>
            <w:r w:rsidRPr="00D53C96">
              <w:rPr>
                <w:rFonts w:ascii="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4E7B6D" w:rsidRPr="00D53C96" w:rsidRDefault="004E7B6D" w:rsidP="008A4E1A">
            <w:pPr>
              <w:spacing w:after="0" w:line="240" w:lineRule="auto"/>
              <w:jc w:val="center"/>
              <w:rPr>
                <w:rFonts w:ascii="Times New Roman" w:hAnsi="Times New Roman" w:cs="Times New Roman"/>
                <w:b/>
                <w:bCs/>
                <w:sz w:val="20"/>
                <w:szCs w:val="20"/>
                <w:lang w:eastAsia="sk-SK"/>
              </w:rPr>
            </w:pPr>
            <w:r w:rsidRPr="00D53C96">
              <w:rPr>
                <w:rFonts w:ascii="Times New Roman" w:hAnsi="Times New Roman" w:cs="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r>
      <w:tr w:rsidR="004E7B6D" w:rsidRPr="00D53C96" w:rsidTr="008A4E1A">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4E7B6D" w:rsidRPr="00D53C96" w:rsidRDefault="004E7B6D" w:rsidP="008A4E1A">
            <w:pPr>
              <w:spacing w:after="0" w:line="240" w:lineRule="auto"/>
              <w:rPr>
                <w:rFonts w:ascii="Times New Roman" w:hAnsi="Times New Roman" w:cs="Times New Roman"/>
                <w:b/>
                <w:bCs/>
                <w:sz w:val="20"/>
                <w:szCs w:val="20"/>
                <w:lang w:eastAsia="sk-SK"/>
              </w:rPr>
            </w:pPr>
            <w:r w:rsidRPr="00D53C96">
              <w:rPr>
                <w:rFonts w:ascii="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0"/>
                <w:szCs w:val="20"/>
                <w:lang w:eastAsia="sk-SK"/>
              </w:rPr>
            </w:pPr>
            <w:r w:rsidRPr="00D53C96">
              <w:rPr>
                <w:rFonts w:ascii="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0"/>
                <w:szCs w:val="20"/>
                <w:lang w:eastAsia="sk-SK"/>
              </w:rPr>
            </w:pPr>
            <w:r w:rsidRPr="00D53C96">
              <w:rPr>
                <w:rFonts w:ascii="Times New Roman" w:hAnsi="Times New Roman" w:cs="Times New Roman"/>
                <w:b/>
                <w:bCs/>
                <w:sz w:val="20"/>
                <w:szCs w:val="20"/>
                <w:lang w:eastAsia="sk-SK"/>
              </w:rPr>
              <w:t>4 365 482</w:t>
            </w:r>
          </w:p>
        </w:tc>
        <w:tc>
          <w:tcPr>
            <w:tcW w:w="1540" w:type="dxa"/>
            <w:tcBorders>
              <w:top w:val="single" w:sz="4" w:space="0" w:color="auto"/>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0"/>
                <w:szCs w:val="20"/>
                <w:lang w:eastAsia="sk-SK"/>
              </w:rPr>
            </w:pPr>
            <w:r w:rsidRPr="00D53C96">
              <w:rPr>
                <w:rFonts w:ascii="Times New Roman" w:hAnsi="Times New Roman" w:cs="Times New Roman"/>
                <w:b/>
                <w:bCs/>
                <w:sz w:val="20"/>
                <w:szCs w:val="20"/>
                <w:lang w:eastAsia="sk-SK"/>
              </w:rPr>
              <w:t>4 452 792</w:t>
            </w:r>
          </w:p>
        </w:tc>
        <w:tc>
          <w:tcPr>
            <w:tcW w:w="1540" w:type="dxa"/>
            <w:tcBorders>
              <w:top w:val="single" w:sz="4" w:space="0" w:color="auto"/>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0"/>
                <w:szCs w:val="20"/>
                <w:lang w:eastAsia="sk-SK"/>
              </w:rPr>
            </w:pPr>
            <w:r w:rsidRPr="00D53C96">
              <w:rPr>
                <w:rFonts w:ascii="Times New Roman" w:hAnsi="Times New Roman" w:cs="Times New Roman"/>
                <w:b/>
                <w:bCs/>
                <w:sz w:val="20"/>
                <w:szCs w:val="20"/>
                <w:lang w:eastAsia="sk-SK"/>
              </w:rPr>
              <w:t>4 451 847</w:t>
            </w:r>
          </w:p>
        </w:tc>
        <w:tc>
          <w:tcPr>
            <w:tcW w:w="2220" w:type="dxa"/>
            <w:tcBorders>
              <w:top w:val="single" w:sz="4" w:space="0" w:color="auto"/>
              <w:left w:val="nil"/>
              <w:bottom w:val="single" w:sz="4" w:space="0" w:color="auto"/>
              <w:right w:val="single" w:sz="4" w:space="0" w:color="auto"/>
            </w:tcBorders>
            <w:shd w:val="clear" w:color="auto" w:fill="BFBFBF"/>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r>
    </w:tbl>
    <w:p w:rsidR="004E7B6D" w:rsidRPr="00D53C96" w:rsidRDefault="004E7B6D" w:rsidP="004E7B6D">
      <w:pPr>
        <w:tabs>
          <w:tab w:val="num" w:pos="1080"/>
        </w:tabs>
        <w:spacing w:after="0" w:line="240" w:lineRule="auto"/>
        <w:ind w:left="-900"/>
        <w:jc w:val="both"/>
        <w:rPr>
          <w:rFonts w:ascii="Times New Roman" w:hAnsi="Times New Roman" w:cs="Times New Roman"/>
          <w:bCs/>
          <w:sz w:val="20"/>
          <w:szCs w:val="20"/>
          <w:lang w:eastAsia="sk-SK"/>
        </w:rPr>
      </w:pPr>
      <w:r w:rsidRPr="00D53C96">
        <w:rPr>
          <w:rFonts w:ascii="Times New Roman" w:hAnsi="Times New Roman" w:cs="Times New Roman"/>
          <w:bCs/>
          <w:sz w:val="20"/>
          <w:szCs w:val="20"/>
          <w:lang w:eastAsia="sk-SK"/>
        </w:rPr>
        <w:t>2 –  výdavky rozpísať až do položiek platnej ekonomickej klasifikácie</w:t>
      </w:r>
    </w:p>
    <w:p w:rsidR="004E7B6D" w:rsidRPr="00D53C96" w:rsidRDefault="004E7B6D" w:rsidP="004E7B6D">
      <w:pPr>
        <w:tabs>
          <w:tab w:val="num" w:pos="1080"/>
        </w:tabs>
        <w:spacing w:after="0" w:line="240" w:lineRule="auto"/>
        <w:ind w:left="-900"/>
        <w:jc w:val="both"/>
        <w:rPr>
          <w:rFonts w:ascii="Times New Roman" w:hAnsi="Times New Roman" w:cs="Times New Roman"/>
          <w:bCs/>
          <w:sz w:val="24"/>
          <w:szCs w:val="20"/>
          <w:lang w:eastAsia="sk-SK"/>
        </w:rPr>
      </w:pPr>
    </w:p>
    <w:p w:rsidR="004E7B6D" w:rsidRPr="00D53C96" w:rsidRDefault="004E7B6D" w:rsidP="004E7B6D">
      <w:pPr>
        <w:tabs>
          <w:tab w:val="num" w:pos="1080"/>
        </w:tabs>
        <w:spacing w:after="0" w:line="240" w:lineRule="auto"/>
        <w:ind w:left="-900"/>
        <w:jc w:val="both"/>
        <w:rPr>
          <w:rFonts w:ascii="Times New Roman" w:hAnsi="Times New Roman" w:cs="Times New Roman"/>
          <w:b/>
          <w:bCs/>
          <w:sz w:val="20"/>
          <w:szCs w:val="20"/>
          <w:lang w:eastAsia="sk-SK"/>
        </w:rPr>
      </w:pPr>
      <w:r w:rsidRPr="00D53C96">
        <w:rPr>
          <w:rFonts w:ascii="Times New Roman" w:hAnsi="Times New Roman" w:cs="Times New Roman"/>
          <w:b/>
          <w:bCs/>
          <w:sz w:val="24"/>
          <w:szCs w:val="20"/>
          <w:lang w:eastAsia="sk-SK"/>
        </w:rPr>
        <w:t>Poznámka:</w:t>
      </w:r>
    </w:p>
    <w:p w:rsidR="004E7B6D" w:rsidRPr="00D53C96" w:rsidRDefault="004E7B6D" w:rsidP="004E7B6D">
      <w:pPr>
        <w:tabs>
          <w:tab w:val="num" w:pos="1080"/>
        </w:tabs>
        <w:spacing w:after="0" w:line="240" w:lineRule="auto"/>
        <w:ind w:left="-900"/>
        <w:jc w:val="both"/>
        <w:rPr>
          <w:rFonts w:ascii="Times New Roman" w:hAnsi="Times New Roman" w:cs="Times New Roman"/>
          <w:bCs/>
          <w:sz w:val="20"/>
          <w:szCs w:val="20"/>
          <w:lang w:eastAsia="sk-SK"/>
        </w:rPr>
      </w:pPr>
      <w:r w:rsidRPr="00D53C96">
        <w:rPr>
          <w:rFonts w:ascii="Times New Roman" w:hAnsi="Times New Roman" w:cs="Times New Roman"/>
          <w:bCs/>
          <w:sz w:val="24"/>
          <w:szCs w:val="20"/>
          <w:lang w:eastAsia="sk-SK"/>
        </w:rPr>
        <w:t>Ak sa vplyv týka viacerých subjektov verejnej správy, vypĺňa sa samostatná tabuľka za každý subjekt.</w:t>
      </w:r>
    </w:p>
    <w:p w:rsidR="004E7B6D" w:rsidRPr="00D53C96" w:rsidRDefault="004E7B6D" w:rsidP="004E7B6D">
      <w:pPr>
        <w:tabs>
          <w:tab w:val="num" w:pos="1080"/>
        </w:tabs>
        <w:spacing w:after="0" w:line="240" w:lineRule="auto"/>
        <w:ind w:left="-900"/>
        <w:jc w:val="both"/>
        <w:rPr>
          <w:rFonts w:ascii="Times New Roman" w:hAnsi="Times New Roman" w:cs="Times New Roman"/>
          <w:bCs/>
          <w:sz w:val="20"/>
          <w:szCs w:val="20"/>
          <w:lang w:eastAsia="sk-SK"/>
        </w:rPr>
      </w:pPr>
    </w:p>
    <w:p w:rsidR="004E7B6D" w:rsidRPr="00D53C96" w:rsidRDefault="004E7B6D" w:rsidP="004E7B6D">
      <w:pPr>
        <w:tabs>
          <w:tab w:val="num" w:pos="1080"/>
        </w:tabs>
        <w:spacing w:after="0" w:line="240" w:lineRule="auto"/>
        <w:ind w:left="-900"/>
        <w:jc w:val="both"/>
        <w:rPr>
          <w:rFonts w:ascii="Times New Roman" w:hAnsi="Times New Roman" w:cs="Times New Roman"/>
          <w:bCs/>
          <w:sz w:val="20"/>
          <w:szCs w:val="20"/>
          <w:lang w:eastAsia="sk-SK"/>
        </w:rPr>
      </w:pPr>
    </w:p>
    <w:p w:rsidR="004E7B6D" w:rsidRPr="00D53C96" w:rsidRDefault="004E7B6D" w:rsidP="004E7B6D">
      <w:pPr>
        <w:tabs>
          <w:tab w:val="num" w:pos="1080"/>
        </w:tabs>
        <w:spacing w:after="0" w:line="240" w:lineRule="auto"/>
        <w:ind w:left="-900"/>
        <w:jc w:val="both"/>
        <w:rPr>
          <w:rFonts w:ascii="Times New Roman" w:hAnsi="Times New Roman" w:cs="Times New Roman"/>
          <w:bCs/>
          <w:sz w:val="20"/>
          <w:szCs w:val="20"/>
          <w:lang w:eastAsia="sk-SK"/>
        </w:rPr>
      </w:pPr>
    </w:p>
    <w:p w:rsidR="004E7B6D" w:rsidRPr="00D53C96" w:rsidRDefault="004E7B6D" w:rsidP="004E7B6D">
      <w:pPr>
        <w:tabs>
          <w:tab w:val="num" w:pos="1080"/>
        </w:tabs>
        <w:spacing w:after="0" w:line="240" w:lineRule="auto"/>
        <w:ind w:left="-900"/>
        <w:jc w:val="both"/>
        <w:rPr>
          <w:rFonts w:ascii="Times New Roman" w:hAnsi="Times New Roman" w:cs="Times New Roman"/>
          <w:bCs/>
          <w:sz w:val="20"/>
          <w:szCs w:val="20"/>
          <w:lang w:eastAsia="sk-SK"/>
        </w:rPr>
      </w:pPr>
    </w:p>
    <w:p w:rsidR="004E7B6D" w:rsidRPr="00D53C96" w:rsidRDefault="004E7B6D" w:rsidP="004E7B6D">
      <w:pPr>
        <w:tabs>
          <w:tab w:val="num" w:pos="1080"/>
        </w:tabs>
        <w:spacing w:after="0" w:line="240" w:lineRule="auto"/>
        <w:ind w:left="-900"/>
        <w:jc w:val="both"/>
        <w:rPr>
          <w:rFonts w:ascii="Times New Roman" w:hAnsi="Times New Roman" w:cs="Times New Roman"/>
          <w:bCs/>
          <w:sz w:val="20"/>
          <w:szCs w:val="20"/>
          <w:lang w:eastAsia="sk-SK"/>
        </w:rPr>
      </w:pPr>
    </w:p>
    <w:p w:rsidR="004E7B6D" w:rsidRPr="00D53C96" w:rsidRDefault="004E7B6D" w:rsidP="004E7B6D">
      <w:pPr>
        <w:tabs>
          <w:tab w:val="num" w:pos="1080"/>
        </w:tabs>
        <w:spacing w:after="0" w:line="240" w:lineRule="auto"/>
        <w:ind w:left="-900"/>
        <w:jc w:val="both"/>
        <w:rPr>
          <w:rFonts w:ascii="Times New Roman" w:hAnsi="Times New Roman" w:cs="Times New Roman"/>
          <w:bCs/>
          <w:sz w:val="20"/>
          <w:szCs w:val="20"/>
          <w:lang w:eastAsia="sk-SK"/>
        </w:rPr>
      </w:pPr>
    </w:p>
    <w:p w:rsidR="004E7B6D" w:rsidRPr="00D53C96" w:rsidRDefault="004E7B6D" w:rsidP="004E7B6D">
      <w:pPr>
        <w:tabs>
          <w:tab w:val="num" w:pos="1080"/>
        </w:tabs>
        <w:spacing w:after="0" w:line="240" w:lineRule="auto"/>
        <w:ind w:left="-900"/>
        <w:jc w:val="both"/>
        <w:rPr>
          <w:rFonts w:ascii="Times New Roman" w:hAnsi="Times New Roman" w:cs="Times New Roman"/>
          <w:bCs/>
          <w:sz w:val="20"/>
          <w:szCs w:val="20"/>
          <w:lang w:eastAsia="sk-SK"/>
        </w:rPr>
      </w:pPr>
    </w:p>
    <w:p w:rsidR="004E7B6D" w:rsidRPr="00D53C96" w:rsidRDefault="004E7B6D" w:rsidP="004E7B6D">
      <w:pPr>
        <w:tabs>
          <w:tab w:val="num" w:pos="1080"/>
        </w:tabs>
        <w:spacing w:after="0" w:line="240" w:lineRule="auto"/>
        <w:ind w:left="-900"/>
        <w:jc w:val="both"/>
        <w:rPr>
          <w:rFonts w:ascii="Times New Roman" w:hAnsi="Times New Roman" w:cs="Times New Roman"/>
          <w:bCs/>
          <w:sz w:val="20"/>
          <w:szCs w:val="20"/>
          <w:lang w:eastAsia="sk-SK"/>
        </w:rPr>
      </w:pPr>
    </w:p>
    <w:p w:rsidR="004E7B6D" w:rsidRPr="00D53C96" w:rsidRDefault="004E7B6D" w:rsidP="004E7B6D">
      <w:pPr>
        <w:tabs>
          <w:tab w:val="num" w:pos="1080"/>
        </w:tabs>
        <w:spacing w:after="0" w:line="240" w:lineRule="auto"/>
        <w:ind w:left="-900"/>
        <w:jc w:val="both"/>
        <w:rPr>
          <w:rFonts w:ascii="Times New Roman" w:hAnsi="Times New Roman" w:cs="Times New Roman"/>
          <w:bCs/>
          <w:sz w:val="20"/>
          <w:szCs w:val="20"/>
          <w:lang w:eastAsia="sk-SK"/>
        </w:rPr>
      </w:pPr>
    </w:p>
    <w:p w:rsidR="004E7B6D" w:rsidRPr="00D53C96" w:rsidRDefault="004E7B6D" w:rsidP="004E7B6D">
      <w:pPr>
        <w:tabs>
          <w:tab w:val="num" w:pos="1080"/>
        </w:tabs>
        <w:spacing w:after="0" w:line="240" w:lineRule="auto"/>
        <w:ind w:left="-900"/>
        <w:jc w:val="both"/>
        <w:rPr>
          <w:rFonts w:ascii="Times New Roman" w:hAnsi="Times New Roman" w:cs="Times New Roman"/>
          <w:bCs/>
          <w:sz w:val="20"/>
          <w:szCs w:val="20"/>
          <w:lang w:eastAsia="sk-SK"/>
        </w:rPr>
      </w:pPr>
    </w:p>
    <w:p w:rsidR="004E7B6D" w:rsidRPr="00D53C96" w:rsidRDefault="004E7B6D" w:rsidP="004E7B6D">
      <w:pPr>
        <w:tabs>
          <w:tab w:val="num" w:pos="1080"/>
        </w:tabs>
        <w:spacing w:after="0" w:line="240" w:lineRule="auto"/>
        <w:ind w:left="-900"/>
        <w:jc w:val="both"/>
        <w:rPr>
          <w:rFonts w:ascii="Times New Roman" w:hAnsi="Times New Roman" w:cs="Times New Roman"/>
          <w:bCs/>
          <w:sz w:val="20"/>
          <w:szCs w:val="20"/>
          <w:lang w:eastAsia="sk-SK"/>
        </w:rPr>
      </w:pPr>
    </w:p>
    <w:p w:rsidR="004E7B6D" w:rsidRPr="00D53C96" w:rsidRDefault="004E7B6D" w:rsidP="004E7B6D">
      <w:pPr>
        <w:tabs>
          <w:tab w:val="num" w:pos="1080"/>
        </w:tabs>
        <w:spacing w:after="0" w:line="240" w:lineRule="auto"/>
        <w:ind w:left="-900"/>
        <w:jc w:val="both"/>
        <w:rPr>
          <w:rFonts w:ascii="Times New Roman" w:hAnsi="Times New Roman" w:cs="Times New Roman"/>
          <w:bCs/>
          <w:sz w:val="20"/>
          <w:szCs w:val="20"/>
          <w:lang w:eastAsia="sk-SK"/>
        </w:rPr>
      </w:pPr>
    </w:p>
    <w:p w:rsidR="004E7B6D" w:rsidRPr="00D53C96" w:rsidRDefault="004E7B6D" w:rsidP="004E7B6D">
      <w:pPr>
        <w:tabs>
          <w:tab w:val="num" w:pos="1080"/>
        </w:tabs>
        <w:spacing w:after="0" w:line="240" w:lineRule="auto"/>
        <w:ind w:left="-900"/>
        <w:jc w:val="both"/>
        <w:rPr>
          <w:rFonts w:ascii="Times New Roman" w:hAnsi="Times New Roman" w:cs="Times New Roman"/>
          <w:bCs/>
          <w:sz w:val="20"/>
          <w:szCs w:val="20"/>
          <w:lang w:eastAsia="sk-SK"/>
        </w:rPr>
      </w:pPr>
    </w:p>
    <w:p w:rsidR="004E7B6D" w:rsidRPr="00D53C96" w:rsidRDefault="004E7B6D" w:rsidP="004E7B6D">
      <w:pPr>
        <w:tabs>
          <w:tab w:val="num" w:pos="1080"/>
        </w:tabs>
        <w:spacing w:after="0" w:line="240" w:lineRule="auto"/>
        <w:ind w:left="-900"/>
        <w:jc w:val="both"/>
        <w:rPr>
          <w:rFonts w:ascii="Times New Roman" w:hAnsi="Times New Roman" w:cs="Times New Roman"/>
          <w:bCs/>
          <w:sz w:val="20"/>
          <w:szCs w:val="20"/>
          <w:lang w:eastAsia="sk-SK"/>
        </w:rPr>
      </w:pPr>
    </w:p>
    <w:p w:rsidR="004E7B6D" w:rsidRPr="00D53C96" w:rsidRDefault="004E7B6D" w:rsidP="004E7B6D">
      <w:pPr>
        <w:tabs>
          <w:tab w:val="num" w:pos="1080"/>
        </w:tabs>
        <w:spacing w:after="0" w:line="240" w:lineRule="auto"/>
        <w:jc w:val="both"/>
        <w:rPr>
          <w:rFonts w:ascii="Times New Roman" w:hAnsi="Times New Roman" w:cs="Times New Roman"/>
          <w:bCs/>
          <w:sz w:val="20"/>
          <w:szCs w:val="20"/>
          <w:lang w:eastAsia="sk-SK"/>
        </w:rPr>
      </w:pPr>
    </w:p>
    <w:p w:rsidR="004E7B6D" w:rsidRPr="00D53C96" w:rsidRDefault="004E7B6D" w:rsidP="004E7B6D">
      <w:pPr>
        <w:tabs>
          <w:tab w:val="num" w:pos="1080"/>
        </w:tabs>
        <w:spacing w:after="0" w:line="240" w:lineRule="auto"/>
        <w:jc w:val="right"/>
        <w:rPr>
          <w:rFonts w:ascii="Times New Roman" w:hAnsi="Times New Roman" w:cs="Times New Roman"/>
          <w:bCs/>
          <w:sz w:val="24"/>
          <w:szCs w:val="24"/>
          <w:lang w:eastAsia="sk-SK"/>
        </w:rPr>
      </w:pPr>
      <w:r w:rsidRPr="00D53C96">
        <w:rPr>
          <w:rFonts w:ascii="Times New Roman" w:hAnsi="Times New Roman" w:cs="Times New Roman"/>
          <w:bCs/>
          <w:sz w:val="24"/>
          <w:szCs w:val="24"/>
          <w:lang w:eastAsia="sk-SK"/>
        </w:rPr>
        <w:lastRenderedPageBreak/>
        <w:t xml:space="preserve">                 Tabuľka č. 5 </w:t>
      </w:r>
    </w:p>
    <w:p w:rsidR="004E7B6D" w:rsidRPr="00D53C96" w:rsidRDefault="004E7B6D" w:rsidP="004E7B6D">
      <w:pPr>
        <w:tabs>
          <w:tab w:val="num" w:pos="1080"/>
        </w:tabs>
        <w:spacing w:after="0" w:line="240" w:lineRule="auto"/>
        <w:jc w:val="both"/>
        <w:rPr>
          <w:rFonts w:ascii="Times New Roman" w:hAnsi="Times New Roman" w:cs="Times New Roman"/>
          <w:bCs/>
          <w:sz w:val="24"/>
          <w:szCs w:val="20"/>
          <w:lang w:eastAsia="sk-SK"/>
        </w:rPr>
      </w:pPr>
    </w:p>
    <w:tbl>
      <w:tblPr>
        <w:tblW w:w="15434" w:type="dxa"/>
        <w:tblInd w:w="-784" w:type="dxa"/>
        <w:tblCellMar>
          <w:left w:w="70" w:type="dxa"/>
          <w:right w:w="70" w:type="dxa"/>
        </w:tblCellMar>
        <w:tblLook w:val="0000"/>
      </w:tblPr>
      <w:tblGrid>
        <w:gridCol w:w="6188"/>
        <w:gridCol w:w="1698"/>
        <w:gridCol w:w="1788"/>
        <w:gridCol w:w="720"/>
        <w:gridCol w:w="1698"/>
        <w:gridCol w:w="1722"/>
        <w:gridCol w:w="630"/>
        <w:gridCol w:w="990"/>
      </w:tblGrid>
      <w:tr w:rsidR="004E7B6D" w:rsidRPr="00D53C96" w:rsidTr="008A4E1A">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poznámka</w:t>
            </w:r>
          </w:p>
        </w:tc>
      </w:tr>
      <w:tr w:rsidR="004E7B6D" w:rsidRPr="00D53C96" w:rsidTr="008A4E1A">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4E7B6D" w:rsidRPr="00D53C96" w:rsidRDefault="004E7B6D" w:rsidP="008A4E1A">
            <w:pPr>
              <w:spacing w:after="0" w:line="240" w:lineRule="auto"/>
              <w:rPr>
                <w:rFonts w:ascii="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2018</w:t>
            </w:r>
          </w:p>
        </w:tc>
        <w:tc>
          <w:tcPr>
            <w:tcW w:w="1788" w:type="dxa"/>
            <w:tcBorders>
              <w:top w:val="nil"/>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2019</w:t>
            </w:r>
          </w:p>
        </w:tc>
        <w:tc>
          <w:tcPr>
            <w:tcW w:w="2418" w:type="dxa"/>
            <w:gridSpan w:val="2"/>
            <w:tcBorders>
              <w:top w:val="nil"/>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2020</w:t>
            </w:r>
          </w:p>
        </w:tc>
        <w:tc>
          <w:tcPr>
            <w:tcW w:w="1722" w:type="dxa"/>
            <w:tcBorders>
              <w:top w:val="nil"/>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2021</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4E7B6D" w:rsidRPr="00D53C96" w:rsidRDefault="004E7B6D" w:rsidP="008A4E1A">
            <w:pPr>
              <w:spacing w:after="0" w:line="240" w:lineRule="auto"/>
              <w:rPr>
                <w:rFonts w:ascii="Times New Roman" w:hAnsi="Times New Roman" w:cs="Times New Roman"/>
                <w:b/>
                <w:bCs/>
                <w:color w:val="FFFFFF"/>
                <w:sz w:val="24"/>
                <w:szCs w:val="24"/>
                <w:lang w:eastAsia="sk-SK"/>
              </w:rPr>
            </w:pPr>
          </w:p>
        </w:tc>
      </w:tr>
      <w:tr w:rsidR="004E7B6D" w:rsidRPr="00D53C96" w:rsidTr="008A4E1A">
        <w:trPr>
          <w:trHeight w:val="255"/>
        </w:trPr>
        <w:tc>
          <w:tcPr>
            <w:tcW w:w="6188" w:type="dxa"/>
            <w:tcBorders>
              <w:top w:val="nil"/>
              <w:left w:val="single" w:sz="4" w:space="0" w:color="auto"/>
              <w:bottom w:val="single" w:sz="4" w:space="0" w:color="auto"/>
              <w:right w:val="single" w:sz="4" w:space="0" w:color="auto"/>
            </w:tcBorders>
          </w:tcPr>
          <w:p w:rsidR="004E7B6D" w:rsidRPr="00D53C96" w:rsidRDefault="004E7B6D" w:rsidP="008A4E1A">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r>
      <w:tr w:rsidR="004E7B6D" w:rsidRPr="00D53C96" w:rsidTr="008A4E1A">
        <w:trPr>
          <w:trHeight w:val="255"/>
        </w:trPr>
        <w:tc>
          <w:tcPr>
            <w:tcW w:w="6188" w:type="dxa"/>
            <w:tcBorders>
              <w:top w:val="nil"/>
              <w:left w:val="single" w:sz="4" w:space="0" w:color="auto"/>
              <w:bottom w:val="single" w:sz="4" w:space="0" w:color="auto"/>
              <w:right w:val="single" w:sz="4" w:space="0" w:color="auto"/>
            </w:tcBorders>
          </w:tcPr>
          <w:p w:rsidR="004E7B6D" w:rsidRPr="00D53C96" w:rsidRDefault="004E7B6D" w:rsidP="008A4E1A">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p>
        </w:tc>
      </w:tr>
      <w:tr w:rsidR="004E7B6D" w:rsidRPr="00D53C96" w:rsidTr="008A4E1A">
        <w:trPr>
          <w:trHeight w:val="255"/>
        </w:trPr>
        <w:tc>
          <w:tcPr>
            <w:tcW w:w="6188" w:type="dxa"/>
            <w:tcBorders>
              <w:top w:val="nil"/>
              <w:left w:val="single" w:sz="4" w:space="0" w:color="auto"/>
              <w:bottom w:val="single" w:sz="4" w:space="0" w:color="auto"/>
              <w:right w:val="single" w:sz="4" w:space="0" w:color="auto"/>
            </w:tcBorders>
          </w:tcPr>
          <w:p w:rsidR="004E7B6D" w:rsidRPr="00D53C96" w:rsidRDefault="004E7B6D" w:rsidP="008A4E1A">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r>
      <w:tr w:rsidR="004E7B6D" w:rsidRPr="00D53C96" w:rsidTr="008A4E1A">
        <w:trPr>
          <w:trHeight w:val="255"/>
        </w:trPr>
        <w:tc>
          <w:tcPr>
            <w:tcW w:w="6188" w:type="dxa"/>
            <w:tcBorders>
              <w:top w:val="nil"/>
              <w:left w:val="single" w:sz="4" w:space="0" w:color="auto"/>
              <w:bottom w:val="single" w:sz="4" w:space="0" w:color="auto"/>
              <w:right w:val="single" w:sz="4" w:space="0" w:color="auto"/>
            </w:tcBorders>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r>
      <w:tr w:rsidR="004E7B6D" w:rsidRPr="00D53C96" w:rsidTr="008A4E1A">
        <w:trPr>
          <w:trHeight w:val="255"/>
        </w:trPr>
        <w:tc>
          <w:tcPr>
            <w:tcW w:w="6188" w:type="dxa"/>
            <w:tcBorders>
              <w:top w:val="nil"/>
              <w:left w:val="single" w:sz="4" w:space="0" w:color="auto"/>
              <w:bottom w:val="single" w:sz="4" w:space="0" w:color="auto"/>
              <w:right w:val="single" w:sz="4" w:space="0" w:color="auto"/>
            </w:tcBorders>
            <w:shd w:val="clear" w:color="auto" w:fill="BFBFBF"/>
          </w:tcPr>
          <w:p w:rsidR="004E7B6D" w:rsidRPr="00D53C96" w:rsidRDefault="004E7B6D" w:rsidP="008A4E1A">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cPr>
          <w:p w:rsidR="004E7B6D" w:rsidRPr="00D53C96" w:rsidRDefault="004E7B6D" w:rsidP="008A4E1A">
            <w:pPr>
              <w:spacing w:after="0" w:line="240" w:lineRule="auto"/>
              <w:jc w:val="center"/>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noWrap/>
            <w:vAlign w:val="bottom"/>
          </w:tcPr>
          <w:p w:rsidR="004E7B6D" w:rsidRPr="00D53C96" w:rsidRDefault="004E7B6D" w:rsidP="008A4E1A">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 </w:t>
            </w:r>
          </w:p>
        </w:tc>
      </w:tr>
      <w:tr w:rsidR="004E7B6D" w:rsidRPr="00D53C96" w:rsidTr="008A4E1A">
        <w:trPr>
          <w:trHeight w:val="255"/>
        </w:trPr>
        <w:tc>
          <w:tcPr>
            <w:tcW w:w="6188" w:type="dxa"/>
            <w:tcBorders>
              <w:top w:val="nil"/>
              <w:left w:val="single" w:sz="4" w:space="0" w:color="auto"/>
              <w:bottom w:val="single" w:sz="4" w:space="0" w:color="auto"/>
              <w:right w:val="single" w:sz="4" w:space="0" w:color="auto"/>
            </w:tcBorders>
          </w:tcPr>
          <w:p w:rsidR="004E7B6D" w:rsidRPr="00D53C96" w:rsidRDefault="004E7B6D" w:rsidP="008A4E1A">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4E7B6D" w:rsidRPr="00D53C96" w:rsidRDefault="004E7B6D" w:rsidP="008A4E1A">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 </w:t>
            </w:r>
          </w:p>
        </w:tc>
      </w:tr>
      <w:tr w:rsidR="004E7B6D" w:rsidRPr="00D53C96" w:rsidTr="008A4E1A">
        <w:trPr>
          <w:trHeight w:val="255"/>
        </w:trPr>
        <w:tc>
          <w:tcPr>
            <w:tcW w:w="6188" w:type="dxa"/>
            <w:tcBorders>
              <w:top w:val="nil"/>
              <w:left w:val="single" w:sz="4" w:space="0" w:color="auto"/>
              <w:bottom w:val="single" w:sz="4" w:space="0" w:color="auto"/>
              <w:right w:val="single" w:sz="4" w:space="0" w:color="auto"/>
            </w:tcBorders>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r>
      <w:tr w:rsidR="004E7B6D" w:rsidRPr="00D53C96" w:rsidTr="008A4E1A">
        <w:trPr>
          <w:trHeight w:val="255"/>
        </w:trPr>
        <w:tc>
          <w:tcPr>
            <w:tcW w:w="6188" w:type="dxa"/>
            <w:tcBorders>
              <w:top w:val="nil"/>
              <w:left w:val="single" w:sz="4" w:space="0" w:color="auto"/>
              <w:bottom w:val="single" w:sz="4" w:space="0" w:color="auto"/>
              <w:right w:val="single" w:sz="4" w:space="0" w:color="auto"/>
            </w:tcBorders>
          </w:tcPr>
          <w:p w:rsidR="004E7B6D" w:rsidRPr="00D53C96" w:rsidRDefault="004E7B6D" w:rsidP="008A4E1A">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4E7B6D" w:rsidRPr="00D53C96" w:rsidRDefault="004E7B6D" w:rsidP="008A4E1A">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 </w:t>
            </w:r>
          </w:p>
        </w:tc>
      </w:tr>
      <w:tr w:rsidR="004E7B6D" w:rsidRPr="00D53C96" w:rsidTr="008A4E1A">
        <w:trPr>
          <w:trHeight w:val="255"/>
        </w:trPr>
        <w:tc>
          <w:tcPr>
            <w:tcW w:w="6188" w:type="dxa"/>
            <w:tcBorders>
              <w:top w:val="nil"/>
              <w:left w:val="single" w:sz="4" w:space="0" w:color="auto"/>
              <w:bottom w:val="single" w:sz="4" w:space="0" w:color="auto"/>
              <w:right w:val="single" w:sz="4" w:space="0" w:color="auto"/>
            </w:tcBorders>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4E7B6D" w:rsidRPr="00D53C96" w:rsidRDefault="004E7B6D" w:rsidP="008A4E1A">
            <w:pPr>
              <w:spacing w:after="0" w:line="240" w:lineRule="auto"/>
              <w:jc w:val="center"/>
              <w:rPr>
                <w:rFonts w:ascii="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 </w:t>
            </w:r>
          </w:p>
        </w:tc>
      </w:tr>
      <w:tr w:rsidR="004E7B6D" w:rsidRPr="00D53C96" w:rsidTr="008A4E1A">
        <w:trPr>
          <w:trHeight w:val="255"/>
        </w:trPr>
        <w:tc>
          <w:tcPr>
            <w:tcW w:w="6188" w:type="dxa"/>
            <w:tcBorders>
              <w:top w:val="nil"/>
              <w:left w:val="nil"/>
              <w:bottom w:val="nil"/>
              <w:right w:val="nil"/>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p>
        </w:tc>
        <w:tc>
          <w:tcPr>
            <w:tcW w:w="1698" w:type="dxa"/>
            <w:tcBorders>
              <w:top w:val="nil"/>
              <w:left w:val="nil"/>
              <w:bottom w:val="nil"/>
              <w:right w:val="nil"/>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p>
        </w:tc>
        <w:tc>
          <w:tcPr>
            <w:tcW w:w="1788" w:type="dxa"/>
            <w:tcBorders>
              <w:top w:val="nil"/>
              <w:left w:val="nil"/>
              <w:bottom w:val="nil"/>
              <w:right w:val="nil"/>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p>
        </w:tc>
        <w:tc>
          <w:tcPr>
            <w:tcW w:w="1722" w:type="dxa"/>
            <w:tcBorders>
              <w:top w:val="nil"/>
              <w:left w:val="nil"/>
              <w:bottom w:val="nil"/>
              <w:right w:val="nil"/>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p>
        </w:tc>
      </w:tr>
      <w:tr w:rsidR="004E7B6D" w:rsidRPr="00D53C96" w:rsidTr="008A4E1A">
        <w:trPr>
          <w:trHeight w:val="255"/>
        </w:trPr>
        <w:tc>
          <w:tcPr>
            <w:tcW w:w="6188" w:type="dxa"/>
            <w:tcBorders>
              <w:top w:val="nil"/>
              <w:left w:val="nil"/>
              <w:bottom w:val="nil"/>
              <w:right w:val="nil"/>
            </w:tcBorders>
          </w:tcPr>
          <w:p w:rsidR="004E7B6D" w:rsidRPr="00D53C96" w:rsidRDefault="004E7B6D" w:rsidP="008A4E1A">
            <w:pPr>
              <w:spacing w:after="0" w:line="240" w:lineRule="auto"/>
              <w:rPr>
                <w:rFonts w:ascii="Times New Roman" w:hAnsi="Times New Roman" w:cs="Times New Roman"/>
                <w:b/>
                <w:bCs/>
                <w:sz w:val="24"/>
                <w:szCs w:val="24"/>
                <w:lang w:eastAsia="sk-SK"/>
              </w:rPr>
            </w:pPr>
            <w:r w:rsidRPr="00D53C96">
              <w:rPr>
                <w:rFonts w:ascii="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p>
        </w:tc>
        <w:tc>
          <w:tcPr>
            <w:tcW w:w="1788" w:type="dxa"/>
            <w:tcBorders>
              <w:top w:val="nil"/>
              <w:left w:val="nil"/>
              <w:bottom w:val="nil"/>
              <w:right w:val="nil"/>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p>
        </w:tc>
        <w:tc>
          <w:tcPr>
            <w:tcW w:w="1722" w:type="dxa"/>
            <w:tcBorders>
              <w:top w:val="nil"/>
              <w:left w:val="nil"/>
              <w:bottom w:val="nil"/>
              <w:right w:val="nil"/>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p>
        </w:tc>
      </w:tr>
      <w:tr w:rsidR="004E7B6D" w:rsidRPr="00D53C96" w:rsidTr="008A4E1A">
        <w:trPr>
          <w:trHeight w:val="255"/>
        </w:trPr>
        <w:tc>
          <w:tcPr>
            <w:tcW w:w="13814" w:type="dxa"/>
            <w:gridSpan w:val="6"/>
            <w:tcBorders>
              <w:top w:val="nil"/>
              <w:left w:val="nil"/>
              <w:bottom w:val="nil"/>
              <w:right w:val="nil"/>
            </w:tcBorders>
            <w:noWrap/>
          </w:tcPr>
          <w:p w:rsidR="004E7B6D" w:rsidRPr="00D53C96" w:rsidRDefault="004E7B6D" w:rsidP="008A4E1A">
            <w:pPr>
              <w:tabs>
                <w:tab w:val="num" w:pos="1080"/>
              </w:tabs>
              <w:spacing w:after="0" w:line="240" w:lineRule="auto"/>
              <w:jc w:val="both"/>
              <w:rPr>
                <w:rFonts w:ascii="Times New Roman" w:hAnsi="Times New Roman" w:cs="Times New Roman"/>
                <w:bCs/>
                <w:sz w:val="24"/>
                <w:szCs w:val="20"/>
                <w:lang w:eastAsia="sk-SK"/>
              </w:rPr>
            </w:pPr>
            <w:r w:rsidRPr="00D53C96">
              <w:rPr>
                <w:rFonts w:ascii="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p>
        </w:tc>
      </w:tr>
      <w:tr w:rsidR="004E7B6D" w:rsidRPr="00D53C96" w:rsidTr="008A4E1A">
        <w:trPr>
          <w:trHeight w:val="255"/>
        </w:trPr>
        <w:tc>
          <w:tcPr>
            <w:tcW w:w="10394" w:type="dxa"/>
            <w:gridSpan w:val="4"/>
            <w:tcBorders>
              <w:top w:val="nil"/>
              <w:left w:val="nil"/>
              <w:bottom w:val="nil"/>
              <w:right w:val="nil"/>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r w:rsidRPr="00D53C96">
              <w:rPr>
                <w:rFonts w:ascii="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p>
        </w:tc>
        <w:tc>
          <w:tcPr>
            <w:tcW w:w="990" w:type="dxa"/>
            <w:tcBorders>
              <w:top w:val="nil"/>
              <w:left w:val="nil"/>
              <w:bottom w:val="nil"/>
              <w:right w:val="nil"/>
            </w:tcBorders>
            <w:noWrap/>
            <w:vAlign w:val="bottom"/>
          </w:tcPr>
          <w:p w:rsidR="004E7B6D" w:rsidRPr="00D53C96" w:rsidRDefault="004E7B6D" w:rsidP="008A4E1A">
            <w:pPr>
              <w:spacing w:after="0" w:line="240" w:lineRule="auto"/>
              <w:rPr>
                <w:rFonts w:ascii="Times New Roman" w:hAnsi="Times New Roman" w:cs="Times New Roman"/>
                <w:sz w:val="24"/>
                <w:szCs w:val="24"/>
                <w:lang w:eastAsia="sk-SK"/>
              </w:rPr>
            </w:pPr>
          </w:p>
        </w:tc>
      </w:tr>
    </w:tbl>
    <w:p w:rsidR="004E7B6D" w:rsidRPr="00D53C96" w:rsidRDefault="004E7B6D" w:rsidP="004E7B6D">
      <w:pPr>
        <w:spacing w:after="0" w:line="240" w:lineRule="auto"/>
        <w:rPr>
          <w:rFonts w:ascii="Times New Roman" w:hAnsi="Times New Roman" w:cs="Times New Roman"/>
          <w:sz w:val="20"/>
          <w:szCs w:val="20"/>
          <w:lang w:eastAsia="sk-SK"/>
        </w:rPr>
      </w:pPr>
    </w:p>
    <w:p w:rsidR="004E7B6D" w:rsidRPr="00D53C96" w:rsidRDefault="004E7B6D" w:rsidP="004E7B6D">
      <w:pPr>
        <w:spacing w:after="0" w:line="240" w:lineRule="auto"/>
        <w:rPr>
          <w:rFonts w:ascii="Times New Roman" w:hAnsi="Times New Roman" w:cs="Times New Roman"/>
          <w:sz w:val="20"/>
          <w:szCs w:val="20"/>
          <w:lang w:eastAsia="sk-SK"/>
        </w:rPr>
      </w:pPr>
    </w:p>
    <w:p w:rsidR="004E7B6D" w:rsidRPr="00D53C96" w:rsidRDefault="004E7B6D" w:rsidP="004E7B6D">
      <w:pPr>
        <w:spacing w:after="0" w:line="240" w:lineRule="auto"/>
        <w:rPr>
          <w:rFonts w:ascii="Times New Roman" w:hAnsi="Times New Roman" w:cs="Times New Roman"/>
          <w:sz w:val="20"/>
          <w:szCs w:val="20"/>
          <w:lang w:eastAsia="sk-SK"/>
        </w:rPr>
      </w:pPr>
    </w:p>
    <w:p w:rsidR="004E7B6D" w:rsidRPr="00D53C96" w:rsidRDefault="004E7B6D" w:rsidP="004E7B6D">
      <w:pPr>
        <w:spacing w:after="0" w:line="240" w:lineRule="auto"/>
        <w:rPr>
          <w:rFonts w:ascii="Times New Roman" w:hAnsi="Times New Roman" w:cs="Times New Roman"/>
          <w:sz w:val="20"/>
          <w:szCs w:val="20"/>
          <w:lang w:eastAsia="sk-SK"/>
        </w:rPr>
      </w:pPr>
    </w:p>
    <w:p w:rsidR="004E7B6D" w:rsidRPr="00D53C96" w:rsidRDefault="004E7B6D" w:rsidP="004E7B6D">
      <w:pPr>
        <w:spacing w:after="0" w:line="240" w:lineRule="auto"/>
        <w:rPr>
          <w:rFonts w:ascii="Times New Roman" w:hAnsi="Times New Roman" w:cs="Times New Roman"/>
          <w:sz w:val="20"/>
          <w:szCs w:val="20"/>
          <w:lang w:eastAsia="sk-SK"/>
        </w:rPr>
      </w:pPr>
    </w:p>
    <w:p w:rsidR="004E7B6D" w:rsidRPr="00D53C96" w:rsidRDefault="004E7B6D" w:rsidP="004E7B6D">
      <w:pPr>
        <w:spacing w:after="0" w:line="240" w:lineRule="auto"/>
        <w:rPr>
          <w:rFonts w:ascii="Times New Roman" w:hAnsi="Times New Roman" w:cs="Times New Roman"/>
          <w:sz w:val="20"/>
          <w:szCs w:val="20"/>
          <w:lang w:eastAsia="sk-SK"/>
        </w:rPr>
      </w:pPr>
    </w:p>
    <w:p w:rsidR="004E7B6D" w:rsidRPr="00D53C96" w:rsidRDefault="004E7B6D" w:rsidP="004E7B6D">
      <w:pPr>
        <w:spacing w:after="0" w:line="240" w:lineRule="auto"/>
        <w:rPr>
          <w:rFonts w:ascii="Times New Roman" w:hAnsi="Times New Roman" w:cs="Times New Roman"/>
          <w:sz w:val="20"/>
          <w:szCs w:val="20"/>
          <w:lang w:eastAsia="sk-SK"/>
        </w:rPr>
      </w:pPr>
    </w:p>
    <w:p w:rsidR="004E7B6D" w:rsidRPr="00D53C96" w:rsidRDefault="004E7B6D" w:rsidP="004E7B6D">
      <w:pPr>
        <w:spacing w:after="0" w:line="240" w:lineRule="auto"/>
        <w:rPr>
          <w:rFonts w:ascii="Times New Roman" w:hAnsi="Times New Roman" w:cs="Times New Roman"/>
          <w:sz w:val="20"/>
          <w:szCs w:val="20"/>
          <w:lang w:eastAsia="sk-SK"/>
        </w:rPr>
      </w:pPr>
    </w:p>
    <w:p w:rsidR="004E7B6D" w:rsidRPr="00D53C96" w:rsidRDefault="004E7B6D" w:rsidP="004E7B6D">
      <w:pPr>
        <w:spacing w:after="0" w:line="240" w:lineRule="auto"/>
        <w:rPr>
          <w:rFonts w:ascii="Times New Roman" w:hAnsi="Times New Roman" w:cs="Times New Roman"/>
          <w:sz w:val="20"/>
          <w:szCs w:val="20"/>
          <w:lang w:eastAsia="sk-SK"/>
        </w:rPr>
      </w:pPr>
    </w:p>
    <w:p w:rsidR="004E7B6D" w:rsidRPr="00D53C96" w:rsidRDefault="004E7B6D" w:rsidP="004E7B6D">
      <w:pPr>
        <w:spacing w:after="0" w:line="240" w:lineRule="auto"/>
        <w:rPr>
          <w:rFonts w:ascii="Times New Roman" w:hAnsi="Times New Roman" w:cs="Times New Roman"/>
          <w:sz w:val="20"/>
          <w:szCs w:val="20"/>
          <w:lang w:eastAsia="sk-SK"/>
        </w:rPr>
      </w:pPr>
    </w:p>
    <w:p w:rsidR="004E7B6D" w:rsidRPr="00D53C96" w:rsidRDefault="004E7B6D" w:rsidP="004E7B6D">
      <w:pPr>
        <w:spacing w:after="0" w:line="240" w:lineRule="auto"/>
        <w:rPr>
          <w:rFonts w:ascii="Times New Roman" w:hAnsi="Times New Roman" w:cs="Times New Roman"/>
          <w:sz w:val="20"/>
          <w:szCs w:val="20"/>
          <w:lang w:eastAsia="sk-SK"/>
        </w:rPr>
      </w:pPr>
    </w:p>
    <w:p w:rsidR="004E7B6D" w:rsidRPr="00D53C96" w:rsidRDefault="004E7B6D" w:rsidP="004E7B6D">
      <w:pPr>
        <w:spacing w:after="0" w:line="240" w:lineRule="auto"/>
        <w:rPr>
          <w:rFonts w:ascii="Times New Roman" w:hAnsi="Times New Roman" w:cs="Times New Roman"/>
          <w:sz w:val="20"/>
          <w:szCs w:val="20"/>
          <w:lang w:eastAsia="sk-SK"/>
        </w:rPr>
      </w:pPr>
    </w:p>
    <w:p w:rsidR="004E7B6D" w:rsidRPr="00D53C96" w:rsidRDefault="004E7B6D" w:rsidP="004E7B6D">
      <w:pPr>
        <w:spacing w:after="0" w:line="240" w:lineRule="auto"/>
        <w:rPr>
          <w:rFonts w:ascii="Times New Roman" w:hAnsi="Times New Roman" w:cs="Times New Roman"/>
          <w:sz w:val="20"/>
          <w:szCs w:val="20"/>
          <w:lang w:eastAsia="sk-SK"/>
        </w:rPr>
        <w:sectPr w:rsidR="004E7B6D" w:rsidRPr="00D53C96" w:rsidSect="008C7FB7">
          <w:pgSz w:w="16838" w:h="11906" w:orient="landscape"/>
          <w:pgMar w:top="1417" w:right="1134"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4E7B6D" w:rsidTr="008A4E1A">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4E7B6D" w:rsidRDefault="004E7B6D" w:rsidP="008A4E1A">
            <w:pPr>
              <w:spacing w:after="0" w:line="240" w:lineRule="auto"/>
              <w:jc w:val="center"/>
              <w:rPr>
                <w:rFonts w:ascii="Times New Roman" w:hAnsi="Times New Roman" w:cs="Times New Roman"/>
                <w:b/>
                <w:sz w:val="24"/>
                <w:szCs w:val="20"/>
                <w:lang w:eastAsia="sk-SK"/>
              </w:rPr>
            </w:pPr>
            <w:r>
              <w:rPr>
                <w:rFonts w:ascii="Times New Roman" w:hAnsi="Times New Roman" w:cs="Times New Roman"/>
                <w:b/>
                <w:sz w:val="28"/>
                <w:szCs w:val="20"/>
                <w:lang w:eastAsia="sk-SK"/>
              </w:rPr>
              <w:lastRenderedPageBreak/>
              <w:t xml:space="preserve">Analýza vplyvov na podnikateľské prostredie </w:t>
            </w:r>
          </w:p>
          <w:p w:rsidR="004E7B6D" w:rsidRDefault="004E7B6D" w:rsidP="008A4E1A">
            <w:pPr>
              <w:spacing w:after="0" w:line="240" w:lineRule="auto"/>
              <w:jc w:val="center"/>
              <w:rPr>
                <w:rFonts w:ascii="Times New Roman" w:hAnsi="Times New Roman" w:cs="Times New Roman"/>
                <w:b/>
                <w:sz w:val="20"/>
                <w:szCs w:val="20"/>
                <w:lang w:eastAsia="sk-SK"/>
              </w:rPr>
            </w:pPr>
            <w:r>
              <w:rPr>
                <w:rFonts w:ascii="Times New Roman" w:hAnsi="Times New Roman" w:cs="Times New Roman"/>
                <w:b/>
                <w:sz w:val="24"/>
                <w:szCs w:val="20"/>
                <w:lang w:eastAsia="sk-SK"/>
              </w:rPr>
              <w:t>(vrátane testu MSP)</w:t>
            </w:r>
          </w:p>
        </w:tc>
      </w:tr>
      <w:tr w:rsidR="004E7B6D" w:rsidTr="008A4E1A">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4E7B6D" w:rsidRDefault="004E7B6D" w:rsidP="008A4E1A">
            <w:pPr>
              <w:spacing w:after="0" w:line="240" w:lineRule="auto"/>
              <w:rPr>
                <w:rFonts w:ascii="Times New Roman" w:hAnsi="Times New Roman" w:cs="Times New Roman"/>
                <w:b/>
                <w:sz w:val="24"/>
                <w:szCs w:val="20"/>
                <w:lang w:eastAsia="sk-SK"/>
              </w:rPr>
            </w:pPr>
            <w:r>
              <w:rPr>
                <w:rFonts w:ascii="Times New Roman" w:hAnsi="Times New Roman" w:cs="Times New Roman"/>
                <w:b/>
                <w:sz w:val="24"/>
                <w:szCs w:val="20"/>
                <w:lang w:eastAsia="sk-SK"/>
              </w:rPr>
              <w:t>Materiál bude mať vplyv s ohľadom na veľkostnú kategóriu podnikov:</w:t>
            </w:r>
          </w:p>
        </w:tc>
      </w:tr>
      <w:tr w:rsidR="004E7B6D" w:rsidTr="008A4E1A">
        <w:trPr>
          <w:trHeight w:val="567"/>
        </w:trPr>
        <w:tc>
          <w:tcPr>
            <w:tcW w:w="9212"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456"/>
              <w:gridCol w:w="8540"/>
            </w:tblGrid>
            <w:tr w:rsidR="004E7B6D" w:rsidTr="008A4E1A">
              <w:tc>
                <w:tcPr>
                  <w:tcW w:w="436" w:type="dxa"/>
                  <w:hideMark/>
                </w:tcPr>
                <w:p w:rsidR="004E7B6D" w:rsidRDefault="004E7B6D" w:rsidP="008A4E1A">
                  <w:pPr>
                    <w:spacing w:after="0" w:line="240" w:lineRule="auto"/>
                    <w:jc w:val="center"/>
                    <w:rPr>
                      <w:rFonts w:ascii="Times New Roman" w:hAnsi="Times New Roman" w:cs="Times New Roman"/>
                      <w:sz w:val="20"/>
                      <w:szCs w:val="20"/>
                      <w:lang w:eastAsia="sk-SK"/>
                    </w:rPr>
                  </w:pPr>
                  <w:r>
                    <w:rPr>
                      <w:rFonts w:ascii="MS Mincho" w:eastAsia="MS Mincho" w:hAnsi="MS Mincho" w:cs="MS Mincho" w:hint="eastAsia"/>
                      <w:sz w:val="20"/>
                      <w:szCs w:val="20"/>
                      <w:lang w:eastAsia="sk-SK"/>
                    </w:rPr>
                    <w:t>☐</w:t>
                  </w:r>
                </w:p>
              </w:tc>
              <w:tc>
                <w:tcPr>
                  <w:tcW w:w="8545" w:type="dxa"/>
                  <w:hideMark/>
                </w:tcPr>
                <w:p w:rsidR="004E7B6D" w:rsidRDefault="004E7B6D" w:rsidP="008A4E1A">
                  <w:pPr>
                    <w:spacing w:after="0" w:line="240" w:lineRule="auto"/>
                    <w:rPr>
                      <w:rFonts w:ascii="Times New Roman" w:hAnsi="Times New Roman" w:cs="Times New Roman"/>
                      <w:b/>
                      <w:sz w:val="20"/>
                      <w:szCs w:val="20"/>
                      <w:lang w:eastAsia="sk-SK"/>
                    </w:rPr>
                  </w:pPr>
                  <w:r>
                    <w:rPr>
                      <w:rFonts w:ascii="Times New Roman" w:hAnsi="Times New Roman" w:cs="Times New Roman"/>
                      <w:b/>
                      <w:sz w:val="20"/>
                      <w:szCs w:val="20"/>
                      <w:lang w:eastAsia="sk-SK"/>
                    </w:rPr>
                    <w:t xml:space="preserve">iba na MSP (0 - 249 zamestnancov) </w:t>
                  </w:r>
                </w:p>
              </w:tc>
            </w:tr>
            <w:tr w:rsidR="004E7B6D" w:rsidTr="008A4E1A">
              <w:tc>
                <w:tcPr>
                  <w:tcW w:w="436" w:type="dxa"/>
                  <w:hideMark/>
                </w:tcPr>
                <w:p w:rsidR="004E7B6D" w:rsidRDefault="004E7B6D" w:rsidP="008A4E1A">
                  <w:pPr>
                    <w:spacing w:after="0" w:line="240" w:lineRule="auto"/>
                    <w:jc w:val="center"/>
                    <w:rPr>
                      <w:rFonts w:ascii="Times New Roman" w:hAnsi="Times New Roman" w:cs="Times New Roman"/>
                      <w:sz w:val="20"/>
                      <w:szCs w:val="20"/>
                      <w:lang w:eastAsia="sk-SK"/>
                    </w:rPr>
                  </w:pPr>
                  <w:r>
                    <w:rPr>
                      <w:rFonts w:ascii="MS Mincho" w:eastAsia="MS Mincho" w:hAnsi="MS Mincho" w:cs="MS Mincho" w:hint="eastAsia"/>
                      <w:sz w:val="24"/>
                      <w:szCs w:val="24"/>
                      <w:lang w:eastAsia="sk-SK"/>
                    </w:rPr>
                    <w:t>☒</w:t>
                  </w:r>
                </w:p>
              </w:tc>
              <w:tc>
                <w:tcPr>
                  <w:tcW w:w="8545" w:type="dxa"/>
                  <w:hideMark/>
                </w:tcPr>
                <w:p w:rsidR="004E7B6D" w:rsidRDefault="004E7B6D" w:rsidP="008A4E1A">
                  <w:pPr>
                    <w:spacing w:after="0" w:line="240" w:lineRule="auto"/>
                    <w:rPr>
                      <w:rFonts w:ascii="Times New Roman" w:hAnsi="Times New Roman" w:cs="Times New Roman"/>
                      <w:b/>
                      <w:sz w:val="20"/>
                      <w:szCs w:val="20"/>
                      <w:lang w:eastAsia="sk-SK"/>
                    </w:rPr>
                  </w:pPr>
                  <w:r>
                    <w:rPr>
                      <w:rFonts w:ascii="Times New Roman" w:hAnsi="Times New Roman" w:cs="Times New Roman"/>
                      <w:b/>
                      <w:sz w:val="20"/>
                      <w:szCs w:val="20"/>
                      <w:lang w:eastAsia="sk-SK"/>
                    </w:rPr>
                    <w:t>iba na veľké podniky (250 a viac zamestnancov)</w:t>
                  </w:r>
                </w:p>
              </w:tc>
            </w:tr>
            <w:tr w:rsidR="004E7B6D" w:rsidTr="008A4E1A">
              <w:tc>
                <w:tcPr>
                  <w:tcW w:w="436" w:type="dxa"/>
                  <w:hideMark/>
                </w:tcPr>
                <w:p w:rsidR="004E7B6D" w:rsidRDefault="004E7B6D" w:rsidP="008A4E1A">
                  <w:pPr>
                    <w:spacing w:after="0" w:line="240" w:lineRule="auto"/>
                    <w:jc w:val="center"/>
                    <w:rPr>
                      <w:rFonts w:ascii="Times New Roman" w:hAnsi="Times New Roman" w:cs="Times New Roman"/>
                      <w:sz w:val="20"/>
                      <w:szCs w:val="20"/>
                      <w:lang w:eastAsia="sk-SK"/>
                    </w:rPr>
                  </w:pPr>
                  <w:r>
                    <w:rPr>
                      <w:rFonts w:ascii="MS Mincho" w:eastAsia="MS Mincho" w:hAnsi="MS Mincho" w:cs="MS Mincho" w:hint="eastAsia"/>
                      <w:sz w:val="20"/>
                      <w:szCs w:val="20"/>
                      <w:lang w:eastAsia="sk-SK"/>
                    </w:rPr>
                    <w:t>☐</w:t>
                  </w:r>
                </w:p>
              </w:tc>
              <w:tc>
                <w:tcPr>
                  <w:tcW w:w="8545" w:type="dxa"/>
                  <w:hideMark/>
                </w:tcPr>
                <w:p w:rsidR="004E7B6D" w:rsidRDefault="004E7B6D" w:rsidP="008A4E1A">
                  <w:pPr>
                    <w:spacing w:after="0" w:line="240" w:lineRule="auto"/>
                    <w:rPr>
                      <w:rFonts w:ascii="Times New Roman" w:hAnsi="Times New Roman" w:cs="Times New Roman"/>
                      <w:sz w:val="20"/>
                      <w:szCs w:val="20"/>
                      <w:lang w:eastAsia="sk-SK"/>
                    </w:rPr>
                  </w:pPr>
                  <w:r>
                    <w:rPr>
                      <w:rFonts w:ascii="Times New Roman" w:hAnsi="Times New Roman" w:cs="Times New Roman"/>
                      <w:b/>
                      <w:sz w:val="20"/>
                      <w:szCs w:val="20"/>
                      <w:lang w:eastAsia="sk-SK"/>
                    </w:rPr>
                    <w:t>na všetky kategórie podnikov</w:t>
                  </w:r>
                </w:p>
              </w:tc>
            </w:tr>
          </w:tbl>
          <w:p w:rsidR="004E7B6D" w:rsidRDefault="004E7B6D" w:rsidP="008A4E1A">
            <w:pPr>
              <w:spacing w:after="0" w:line="240" w:lineRule="auto"/>
              <w:rPr>
                <w:rFonts w:ascii="Times New Roman" w:hAnsi="Times New Roman" w:cs="Times New Roman"/>
                <w:b/>
                <w:sz w:val="20"/>
                <w:szCs w:val="20"/>
                <w:lang w:eastAsia="sk-SK"/>
              </w:rPr>
            </w:pPr>
          </w:p>
        </w:tc>
      </w:tr>
      <w:tr w:rsidR="004E7B6D" w:rsidTr="008A4E1A">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4E7B6D" w:rsidRDefault="004E7B6D" w:rsidP="008A4E1A">
            <w:pPr>
              <w:spacing w:after="0" w:line="240" w:lineRule="auto"/>
              <w:rPr>
                <w:rFonts w:ascii="Times New Roman" w:hAnsi="Times New Roman" w:cs="Times New Roman"/>
                <w:b/>
                <w:sz w:val="24"/>
                <w:szCs w:val="20"/>
                <w:lang w:eastAsia="sk-SK"/>
              </w:rPr>
            </w:pPr>
            <w:r>
              <w:rPr>
                <w:rFonts w:ascii="Times New Roman" w:hAnsi="Times New Roman" w:cs="Times New Roman"/>
                <w:b/>
                <w:sz w:val="24"/>
                <w:szCs w:val="20"/>
                <w:lang w:eastAsia="sk-SK"/>
              </w:rPr>
              <w:t>3.1 Dotknuté podnikateľské subjekty</w:t>
            </w:r>
          </w:p>
          <w:p w:rsidR="004E7B6D" w:rsidRDefault="004E7B6D" w:rsidP="008A4E1A">
            <w:pPr>
              <w:spacing w:after="0" w:line="240" w:lineRule="auto"/>
              <w:ind w:left="284"/>
              <w:rPr>
                <w:rFonts w:ascii="Times New Roman" w:hAnsi="Times New Roman" w:cs="Times New Roman"/>
                <w:b/>
                <w:sz w:val="20"/>
                <w:szCs w:val="20"/>
                <w:lang w:eastAsia="sk-SK"/>
              </w:rPr>
            </w:pPr>
            <w:r>
              <w:rPr>
                <w:rFonts w:ascii="Times New Roman" w:hAnsi="Times New Roman" w:cs="Times New Roman"/>
                <w:sz w:val="24"/>
                <w:szCs w:val="20"/>
                <w:lang w:eastAsia="sk-SK"/>
              </w:rPr>
              <w:t xml:space="preserve"> - </w:t>
            </w:r>
            <w:r>
              <w:rPr>
                <w:rFonts w:ascii="Times New Roman" w:hAnsi="Times New Roman" w:cs="Times New Roman"/>
                <w:b/>
                <w:sz w:val="24"/>
                <w:szCs w:val="20"/>
                <w:lang w:eastAsia="sk-SK"/>
              </w:rPr>
              <w:t>z toho MSP</w:t>
            </w:r>
          </w:p>
        </w:tc>
      </w:tr>
      <w:tr w:rsidR="004E7B6D" w:rsidTr="008A4E1A">
        <w:tc>
          <w:tcPr>
            <w:tcW w:w="9212" w:type="dxa"/>
            <w:tcBorders>
              <w:top w:val="single" w:sz="4" w:space="0" w:color="auto"/>
              <w:left w:val="single" w:sz="4" w:space="0" w:color="auto"/>
              <w:bottom w:val="single" w:sz="4" w:space="0" w:color="auto"/>
              <w:right w:val="single" w:sz="4" w:space="0" w:color="auto"/>
            </w:tcBorders>
            <w:hideMark/>
          </w:tcPr>
          <w:p w:rsidR="004E7B6D" w:rsidRDefault="004E7B6D" w:rsidP="008A4E1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Uveďte, aké podnikateľské subjekty budú predkladaným návrhom ovplyvnené.</w:t>
            </w:r>
          </w:p>
          <w:p w:rsidR="004E7B6D" w:rsidRDefault="004E7B6D" w:rsidP="008A4E1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Aký je ich počet?</w:t>
            </w:r>
          </w:p>
        </w:tc>
      </w:tr>
      <w:tr w:rsidR="004E7B6D" w:rsidTr="008A4E1A">
        <w:trPr>
          <w:trHeight w:val="1440"/>
        </w:trPr>
        <w:tc>
          <w:tcPr>
            <w:tcW w:w="9212" w:type="dxa"/>
            <w:tcBorders>
              <w:top w:val="single" w:sz="4" w:space="0" w:color="auto"/>
              <w:left w:val="single" w:sz="4" w:space="0" w:color="auto"/>
              <w:bottom w:val="single" w:sz="4" w:space="0" w:color="auto"/>
              <w:right w:val="single" w:sz="4" w:space="0" w:color="auto"/>
            </w:tcBorders>
            <w:hideMark/>
          </w:tcPr>
          <w:p w:rsidR="004E7B6D" w:rsidRDefault="004E7B6D" w:rsidP="008A4E1A">
            <w:pPr>
              <w:spacing w:after="0"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 xml:space="preserve">Slovenské elektrárne, a. s. (SE, a. s.), ako prevádzkovateľ </w:t>
            </w:r>
            <w:proofErr w:type="spellStart"/>
            <w:r>
              <w:rPr>
                <w:rFonts w:ascii="Times New Roman" w:hAnsi="Times New Roman" w:cs="Times New Roman"/>
                <w:sz w:val="20"/>
                <w:szCs w:val="20"/>
                <w:lang w:eastAsia="sk-SK"/>
              </w:rPr>
              <w:t>Jaslovské</w:t>
            </w:r>
            <w:proofErr w:type="spellEnd"/>
            <w:r>
              <w:rPr>
                <w:rFonts w:ascii="Times New Roman" w:hAnsi="Times New Roman" w:cs="Times New Roman"/>
                <w:sz w:val="20"/>
                <w:szCs w:val="20"/>
                <w:lang w:eastAsia="sk-SK"/>
              </w:rPr>
              <w:t xml:space="preserve"> Bohunice JE V2  a JE </w:t>
            </w:r>
            <w:proofErr w:type="spellStart"/>
            <w:r>
              <w:rPr>
                <w:rFonts w:ascii="Times New Roman" w:hAnsi="Times New Roman" w:cs="Times New Roman"/>
                <w:sz w:val="20"/>
                <w:szCs w:val="20"/>
                <w:lang w:eastAsia="sk-SK"/>
              </w:rPr>
              <w:t>Mochovce</w:t>
            </w:r>
            <w:proofErr w:type="spellEnd"/>
            <w:r>
              <w:rPr>
                <w:rFonts w:ascii="Times New Roman" w:hAnsi="Times New Roman" w:cs="Times New Roman"/>
                <w:sz w:val="20"/>
                <w:szCs w:val="20"/>
                <w:lang w:eastAsia="sk-SK"/>
              </w:rPr>
              <w:t xml:space="preserve"> 1 ,2. </w:t>
            </w:r>
          </w:p>
          <w:p w:rsidR="004E7B6D" w:rsidRDefault="004E7B6D" w:rsidP="008A4E1A">
            <w:pPr>
              <w:spacing w:after="0"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Jadrová a vyraďovacia spoločnosť, a. s. (JAVYS, a. s.) ako prevádzkovateľ jadrových zariadení iných ako na výrobu elektriny.</w:t>
            </w:r>
          </w:p>
        </w:tc>
      </w:tr>
      <w:tr w:rsidR="004E7B6D" w:rsidTr="008A4E1A">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4E7B6D" w:rsidRDefault="004E7B6D" w:rsidP="008A4E1A">
            <w:pPr>
              <w:spacing w:after="0" w:line="240" w:lineRule="auto"/>
              <w:rPr>
                <w:rFonts w:ascii="Times New Roman" w:hAnsi="Times New Roman" w:cs="Times New Roman"/>
                <w:b/>
                <w:sz w:val="24"/>
                <w:szCs w:val="20"/>
                <w:lang w:eastAsia="sk-SK"/>
              </w:rPr>
            </w:pPr>
            <w:r>
              <w:rPr>
                <w:rFonts w:ascii="Times New Roman" w:hAnsi="Times New Roman" w:cs="Times New Roman"/>
                <w:b/>
                <w:sz w:val="24"/>
                <w:szCs w:val="20"/>
                <w:lang w:eastAsia="sk-SK"/>
              </w:rPr>
              <w:t>3.2 Vyhodnotenie konzultácií</w:t>
            </w:r>
          </w:p>
          <w:p w:rsidR="004E7B6D" w:rsidRDefault="004E7B6D" w:rsidP="008A4E1A">
            <w:pPr>
              <w:spacing w:after="0" w:line="240" w:lineRule="auto"/>
              <w:rPr>
                <w:rFonts w:ascii="Times New Roman" w:hAnsi="Times New Roman" w:cs="Times New Roman"/>
                <w:b/>
                <w:sz w:val="20"/>
                <w:szCs w:val="20"/>
                <w:lang w:eastAsia="sk-SK"/>
              </w:rPr>
            </w:pPr>
            <w:r>
              <w:rPr>
                <w:rFonts w:ascii="Times New Roman" w:hAnsi="Times New Roman" w:cs="Times New Roman"/>
                <w:sz w:val="24"/>
                <w:szCs w:val="20"/>
                <w:lang w:eastAsia="sk-SK"/>
              </w:rPr>
              <w:t xml:space="preserve">       - </w:t>
            </w:r>
            <w:r>
              <w:rPr>
                <w:rFonts w:ascii="Times New Roman" w:hAnsi="Times New Roman" w:cs="Times New Roman"/>
                <w:b/>
                <w:sz w:val="24"/>
                <w:szCs w:val="20"/>
                <w:lang w:eastAsia="sk-SK"/>
              </w:rPr>
              <w:t>z toho MSP</w:t>
            </w:r>
          </w:p>
        </w:tc>
      </w:tr>
      <w:tr w:rsidR="004E7B6D" w:rsidTr="008A4E1A">
        <w:trPr>
          <w:trHeight w:val="557"/>
        </w:trPr>
        <w:tc>
          <w:tcPr>
            <w:tcW w:w="9212" w:type="dxa"/>
            <w:tcBorders>
              <w:top w:val="single" w:sz="4" w:space="0" w:color="auto"/>
              <w:left w:val="single" w:sz="4" w:space="0" w:color="auto"/>
              <w:bottom w:val="single" w:sz="4" w:space="0" w:color="auto"/>
              <w:right w:val="single" w:sz="4" w:space="0" w:color="auto"/>
            </w:tcBorders>
            <w:hideMark/>
          </w:tcPr>
          <w:p w:rsidR="004E7B6D" w:rsidRDefault="004E7B6D" w:rsidP="008A4E1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Uveďte, akou formou (verejné alebo cielené konzultácie a prečo) a s kým bol návrh konzultovaný.</w:t>
            </w:r>
          </w:p>
          <w:p w:rsidR="004E7B6D" w:rsidRDefault="004E7B6D" w:rsidP="008A4E1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Ako dlho trvali konzultácie?</w:t>
            </w:r>
          </w:p>
          <w:p w:rsidR="004E7B6D" w:rsidRDefault="004E7B6D" w:rsidP="008A4E1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 xml:space="preserve">Uveďte hlavné body konzultácií a výsledky konzultácií. </w:t>
            </w:r>
          </w:p>
        </w:tc>
      </w:tr>
      <w:tr w:rsidR="004E7B6D" w:rsidTr="008A4E1A">
        <w:trPr>
          <w:trHeight w:val="1440"/>
        </w:trPr>
        <w:tc>
          <w:tcPr>
            <w:tcW w:w="9212" w:type="dxa"/>
            <w:tcBorders>
              <w:top w:val="single" w:sz="4" w:space="0" w:color="auto"/>
              <w:left w:val="single" w:sz="4" w:space="0" w:color="auto"/>
              <w:bottom w:val="single" w:sz="4" w:space="0" w:color="auto"/>
              <w:right w:val="single" w:sz="4" w:space="0" w:color="auto"/>
            </w:tcBorders>
            <w:hideMark/>
          </w:tcPr>
          <w:p w:rsidR="004E7B6D" w:rsidRDefault="004E7B6D" w:rsidP="008A4E1A">
            <w:pPr>
              <w:autoSpaceDE w:val="0"/>
              <w:autoSpaceDN w:val="0"/>
              <w:spacing w:after="0" w:line="240" w:lineRule="auto"/>
              <w:jc w:val="both"/>
              <w:rPr>
                <w:rFonts w:ascii="Times New Roman" w:hAnsi="Times New Roman" w:cs="Times New Roman"/>
                <w:b/>
                <w:sz w:val="20"/>
                <w:szCs w:val="20"/>
                <w:lang w:eastAsia="sk-SK"/>
              </w:rPr>
            </w:pPr>
            <w:r>
              <w:rPr>
                <w:rFonts w:ascii="Times New Roman" w:hAnsi="Times New Roman" w:cs="Times New Roman"/>
                <w:sz w:val="20"/>
                <w:szCs w:val="20"/>
                <w:lang w:eastAsia="sk-SK"/>
              </w:rPr>
              <w:t xml:space="preserve">Menovaní zástupcovia dotknutých podnikateľských subjektov boli členmi pracovnej skupiny, ktorá spracovala návrh nariadenia vlády SR, ktorým sa ustanovuje výška povinného príspevku a povinnej platby a podrobnosti                  o spôsobe výberu a platenia povinného príspevku a povinnej platby na účet Národného jadrového fondu. Pracovnú skupinu tvorili zástupcovia MH SR, SE, a.s., JAVYS, a.s., a  Národného jadrového fondu (ako aj zástupca ÚJD SR). Celkom sa uskutočnilo 9 stretnutí pracovnej skupiny. Verejné konzultácie sa neuskutočnili. </w:t>
            </w:r>
          </w:p>
        </w:tc>
      </w:tr>
      <w:tr w:rsidR="004E7B6D" w:rsidTr="008A4E1A">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4E7B6D" w:rsidRDefault="004E7B6D" w:rsidP="008A4E1A">
            <w:pPr>
              <w:spacing w:after="0" w:line="240" w:lineRule="auto"/>
              <w:rPr>
                <w:rFonts w:ascii="Times New Roman" w:hAnsi="Times New Roman" w:cs="Times New Roman"/>
                <w:b/>
                <w:sz w:val="24"/>
                <w:szCs w:val="20"/>
                <w:lang w:eastAsia="sk-SK"/>
              </w:rPr>
            </w:pPr>
            <w:r>
              <w:rPr>
                <w:rFonts w:ascii="Times New Roman" w:hAnsi="Times New Roman" w:cs="Times New Roman"/>
                <w:b/>
                <w:sz w:val="24"/>
                <w:szCs w:val="20"/>
                <w:lang w:eastAsia="sk-SK"/>
              </w:rPr>
              <w:t>3.3 Náklady regulácie</w:t>
            </w:r>
          </w:p>
          <w:p w:rsidR="004E7B6D" w:rsidRDefault="004E7B6D" w:rsidP="008A4E1A">
            <w:pPr>
              <w:spacing w:after="0" w:line="240" w:lineRule="auto"/>
              <w:rPr>
                <w:rFonts w:ascii="Times New Roman" w:hAnsi="Times New Roman" w:cs="Times New Roman"/>
                <w:b/>
                <w:sz w:val="20"/>
                <w:szCs w:val="20"/>
                <w:lang w:eastAsia="sk-SK"/>
              </w:rPr>
            </w:pPr>
            <w:r>
              <w:rPr>
                <w:rFonts w:ascii="Times New Roman" w:hAnsi="Times New Roman" w:cs="Times New Roman"/>
                <w:sz w:val="24"/>
                <w:szCs w:val="20"/>
                <w:lang w:eastAsia="sk-SK"/>
              </w:rPr>
              <w:t xml:space="preserve">      - </w:t>
            </w:r>
            <w:r>
              <w:rPr>
                <w:rFonts w:ascii="Times New Roman" w:hAnsi="Times New Roman" w:cs="Times New Roman"/>
                <w:b/>
                <w:sz w:val="24"/>
                <w:szCs w:val="20"/>
                <w:lang w:eastAsia="sk-SK"/>
              </w:rPr>
              <w:t>z toho MSP</w:t>
            </w:r>
          </w:p>
        </w:tc>
      </w:tr>
      <w:tr w:rsidR="004E7B6D" w:rsidTr="008A4E1A">
        <w:tc>
          <w:tcPr>
            <w:tcW w:w="9212" w:type="dxa"/>
            <w:tcBorders>
              <w:top w:val="single" w:sz="4" w:space="0" w:color="auto"/>
              <w:left w:val="single" w:sz="4" w:space="0" w:color="auto"/>
              <w:bottom w:val="single" w:sz="4" w:space="0" w:color="auto"/>
              <w:right w:val="single" w:sz="4" w:space="0" w:color="auto"/>
            </w:tcBorders>
            <w:hideMark/>
          </w:tcPr>
          <w:p w:rsidR="004E7B6D" w:rsidRDefault="004E7B6D" w:rsidP="008A4E1A">
            <w:pPr>
              <w:spacing w:after="0" w:line="240" w:lineRule="auto"/>
              <w:rPr>
                <w:rFonts w:ascii="Times New Roman" w:hAnsi="Times New Roman" w:cs="Times New Roman"/>
                <w:b/>
                <w:i/>
                <w:sz w:val="20"/>
                <w:szCs w:val="20"/>
                <w:lang w:eastAsia="sk-SK"/>
              </w:rPr>
            </w:pPr>
            <w:r>
              <w:rPr>
                <w:rFonts w:ascii="Times New Roman" w:hAnsi="Times New Roman" w:cs="Times New Roman"/>
                <w:b/>
                <w:i/>
                <w:sz w:val="20"/>
                <w:szCs w:val="20"/>
                <w:lang w:eastAsia="sk-SK"/>
              </w:rPr>
              <w:t>3.3.1 Priame finančné náklady</w:t>
            </w:r>
          </w:p>
          <w:p w:rsidR="004E7B6D" w:rsidRDefault="004E7B6D" w:rsidP="008A4E1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 xml:space="preserve">Dochádza k zvýšeniu/zníženiu priamych finančných nákladov (poplatky, odvody, dane clá...)? Ak áno, popíšte a vyčíslite ich. Uveďte tiež spôsob ich výpočtu. </w:t>
            </w:r>
          </w:p>
        </w:tc>
      </w:tr>
      <w:tr w:rsidR="004E7B6D" w:rsidTr="008A4E1A">
        <w:tc>
          <w:tcPr>
            <w:tcW w:w="9212" w:type="dxa"/>
            <w:tcBorders>
              <w:top w:val="single" w:sz="4" w:space="0" w:color="auto"/>
              <w:left w:val="single" w:sz="4" w:space="0" w:color="auto"/>
              <w:bottom w:val="single" w:sz="4" w:space="0" w:color="auto"/>
              <w:right w:val="single" w:sz="4" w:space="0" w:color="auto"/>
            </w:tcBorders>
            <w:hideMark/>
          </w:tcPr>
          <w:p w:rsidR="004E7B6D" w:rsidRDefault="004E7B6D" w:rsidP="008A4E1A">
            <w:pPr>
              <w:spacing w:after="0" w:line="240" w:lineRule="auto"/>
              <w:jc w:val="both"/>
              <w:rPr>
                <w:rFonts w:ascii="Times New Roman" w:hAnsi="Times New Roman" w:cs="Times New Roman"/>
                <w:b/>
                <w:i/>
                <w:sz w:val="20"/>
                <w:szCs w:val="20"/>
                <w:lang w:eastAsia="sk-SK"/>
              </w:rPr>
            </w:pPr>
            <w:r>
              <w:rPr>
                <w:rFonts w:ascii="Times New Roman" w:hAnsi="Times New Roman" w:cs="Times New Roman"/>
                <w:sz w:val="20"/>
                <w:szCs w:val="20"/>
                <w:lang w:eastAsia="sk-SK"/>
              </w:rPr>
              <w:t xml:space="preserve">Dochádza k zvýšeniu povinných príspevkov (SE, a. s.)  za jadrové zariadenia na výrobu elektriny a  zavedeniu povinných platieb (JAVYS, a. s.) za jadrové zariadenia iné ako jadrové zariadenia na výrobu elektriny. Ich výška je vypočítaná podľa „Metodiky stanovenia povinných príspevkov za reaktorové jadrové zariadenia a povinných platieb za </w:t>
            </w:r>
            <w:proofErr w:type="spellStart"/>
            <w:r>
              <w:rPr>
                <w:rFonts w:ascii="Times New Roman" w:hAnsi="Times New Roman" w:cs="Times New Roman"/>
                <w:sz w:val="20"/>
                <w:szCs w:val="20"/>
                <w:lang w:eastAsia="sk-SK"/>
              </w:rPr>
              <w:t>nereaktorové</w:t>
            </w:r>
            <w:proofErr w:type="spellEnd"/>
            <w:r>
              <w:rPr>
                <w:rFonts w:ascii="Times New Roman" w:hAnsi="Times New Roman" w:cs="Times New Roman"/>
                <w:sz w:val="20"/>
                <w:szCs w:val="20"/>
                <w:lang w:eastAsia="sk-SK"/>
              </w:rPr>
              <w:t xml:space="preserve"> jadrové zariadenia do NJF“ dostupnej na webovej stránke </w:t>
            </w:r>
            <w:hyperlink r:id="rId9" w:history="1">
              <w:r>
                <w:rPr>
                  <w:rStyle w:val="Hypertextovprepojenie"/>
                  <w:rFonts w:ascii="Times New Roman" w:hAnsi="Times New Roman" w:cs="Times New Roman"/>
                  <w:sz w:val="20"/>
                  <w:szCs w:val="20"/>
                  <w:lang w:eastAsia="sk-SK"/>
                </w:rPr>
                <w:t>www.njf.sk</w:t>
              </w:r>
            </w:hyperlink>
            <w:r>
              <w:rPr>
                <w:rFonts w:ascii="Times New Roman" w:hAnsi="Times New Roman" w:cs="Times New Roman"/>
                <w:sz w:val="20"/>
                <w:szCs w:val="20"/>
                <w:lang w:eastAsia="sk-SK"/>
              </w:rPr>
              <w:t xml:space="preserve">, číselné hodnoty boli prevzaté z kapitoly 7 tejto metodiky a porovnané s hodnotami povinných príspevkov, aké by boli vypočítané podľa doterajšieho postupu pre výpočet povinných príspevkov v zmysle Nariadenia vlády SR č. 312/2007 Z. z.. </w:t>
            </w:r>
          </w:p>
        </w:tc>
      </w:tr>
      <w:tr w:rsidR="004E7B6D" w:rsidTr="008A4E1A">
        <w:tc>
          <w:tcPr>
            <w:tcW w:w="9212" w:type="dxa"/>
            <w:tcBorders>
              <w:top w:val="single" w:sz="4" w:space="0" w:color="auto"/>
              <w:left w:val="single" w:sz="4" w:space="0" w:color="auto"/>
              <w:bottom w:val="single" w:sz="4" w:space="0" w:color="auto"/>
              <w:right w:val="single" w:sz="4" w:space="0" w:color="auto"/>
            </w:tcBorders>
            <w:hideMark/>
          </w:tcPr>
          <w:p w:rsidR="004E7B6D" w:rsidRDefault="004E7B6D" w:rsidP="008A4E1A">
            <w:pPr>
              <w:spacing w:after="0" w:line="240" w:lineRule="auto"/>
              <w:rPr>
                <w:rFonts w:ascii="Times New Roman" w:hAnsi="Times New Roman" w:cs="Times New Roman"/>
                <w:b/>
                <w:i/>
                <w:sz w:val="20"/>
                <w:szCs w:val="20"/>
                <w:lang w:eastAsia="sk-SK"/>
              </w:rPr>
            </w:pPr>
            <w:r>
              <w:rPr>
                <w:rFonts w:ascii="Times New Roman" w:hAnsi="Times New Roman" w:cs="Times New Roman"/>
                <w:b/>
                <w:i/>
                <w:sz w:val="20"/>
                <w:szCs w:val="20"/>
                <w:lang w:eastAsia="sk-SK"/>
              </w:rPr>
              <w:t>3.3.2 Nepriame finančné náklady</w:t>
            </w:r>
          </w:p>
          <w:p w:rsidR="004E7B6D" w:rsidRDefault="004E7B6D" w:rsidP="008A4E1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Vyžaduje si predkladaný návrh dodatočné náklady na nákup tovarov alebo služieb? Zvyšuje predkladaný návrh náklady súvisiace so zamestnávaním? Ak áno, popíšte a vyčíslite ich. Uveďte tiež spôsob ich výpočtu.</w:t>
            </w:r>
          </w:p>
        </w:tc>
      </w:tr>
      <w:tr w:rsidR="004E7B6D" w:rsidTr="008A4E1A">
        <w:tc>
          <w:tcPr>
            <w:tcW w:w="9212" w:type="dxa"/>
            <w:tcBorders>
              <w:top w:val="single" w:sz="4" w:space="0" w:color="auto"/>
              <w:left w:val="single" w:sz="4" w:space="0" w:color="auto"/>
              <w:bottom w:val="single" w:sz="4" w:space="0" w:color="auto"/>
              <w:right w:val="single" w:sz="4" w:space="0" w:color="auto"/>
            </w:tcBorders>
          </w:tcPr>
          <w:p w:rsidR="004E7B6D" w:rsidRDefault="004E7B6D" w:rsidP="008A4E1A">
            <w:pPr>
              <w:spacing w:after="0"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Nevznikajú</w:t>
            </w:r>
          </w:p>
          <w:p w:rsidR="004E7B6D" w:rsidRDefault="004E7B6D" w:rsidP="008A4E1A">
            <w:pPr>
              <w:spacing w:after="0" w:line="240" w:lineRule="auto"/>
              <w:rPr>
                <w:rFonts w:ascii="Times New Roman" w:hAnsi="Times New Roman" w:cs="Times New Roman"/>
                <w:b/>
                <w:i/>
                <w:sz w:val="20"/>
                <w:szCs w:val="20"/>
                <w:lang w:eastAsia="sk-SK"/>
              </w:rPr>
            </w:pPr>
          </w:p>
        </w:tc>
      </w:tr>
      <w:tr w:rsidR="004E7B6D" w:rsidTr="008A4E1A">
        <w:tc>
          <w:tcPr>
            <w:tcW w:w="9212" w:type="dxa"/>
            <w:tcBorders>
              <w:top w:val="single" w:sz="4" w:space="0" w:color="auto"/>
              <w:left w:val="single" w:sz="4" w:space="0" w:color="auto"/>
              <w:bottom w:val="single" w:sz="4" w:space="0" w:color="auto"/>
              <w:right w:val="single" w:sz="4" w:space="0" w:color="auto"/>
            </w:tcBorders>
            <w:hideMark/>
          </w:tcPr>
          <w:p w:rsidR="004E7B6D" w:rsidRDefault="004E7B6D" w:rsidP="008A4E1A">
            <w:pPr>
              <w:spacing w:after="0" w:line="240" w:lineRule="auto"/>
              <w:rPr>
                <w:rFonts w:ascii="Times New Roman" w:hAnsi="Times New Roman" w:cs="Times New Roman"/>
                <w:b/>
                <w:i/>
                <w:sz w:val="20"/>
                <w:szCs w:val="20"/>
                <w:lang w:eastAsia="sk-SK"/>
              </w:rPr>
            </w:pPr>
            <w:r>
              <w:rPr>
                <w:rFonts w:ascii="Times New Roman" w:hAnsi="Times New Roman" w:cs="Times New Roman"/>
                <w:b/>
                <w:i/>
                <w:sz w:val="20"/>
                <w:szCs w:val="20"/>
                <w:lang w:eastAsia="sk-SK"/>
              </w:rPr>
              <w:t>3.3.3 Administratívne náklady</w:t>
            </w:r>
          </w:p>
          <w:p w:rsidR="004E7B6D" w:rsidRDefault="004E7B6D" w:rsidP="008A4E1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4E7B6D" w:rsidTr="008A4E1A">
        <w:tc>
          <w:tcPr>
            <w:tcW w:w="9212" w:type="dxa"/>
            <w:tcBorders>
              <w:top w:val="single" w:sz="4" w:space="0" w:color="auto"/>
              <w:left w:val="single" w:sz="4" w:space="0" w:color="auto"/>
              <w:bottom w:val="single" w:sz="4" w:space="0" w:color="auto"/>
              <w:right w:val="single" w:sz="4" w:space="0" w:color="auto"/>
            </w:tcBorders>
          </w:tcPr>
          <w:p w:rsidR="004E7B6D" w:rsidRDefault="004E7B6D" w:rsidP="008A4E1A">
            <w:pPr>
              <w:spacing w:after="0" w:line="240" w:lineRule="auto"/>
              <w:rPr>
                <w:rFonts w:ascii="Times New Roman" w:hAnsi="Times New Roman" w:cs="Times New Roman"/>
                <w:sz w:val="20"/>
                <w:szCs w:val="20"/>
                <w:lang w:eastAsia="sk-SK"/>
              </w:rPr>
            </w:pPr>
            <w:r>
              <w:rPr>
                <w:rFonts w:ascii="Times New Roman" w:hAnsi="Times New Roman" w:cs="Times New Roman"/>
                <w:sz w:val="20"/>
                <w:szCs w:val="20"/>
                <w:lang w:eastAsia="sk-SK"/>
              </w:rPr>
              <w:t>Nevznikajú</w:t>
            </w:r>
          </w:p>
          <w:p w:rsidR="004E7B6D" w:rsidRDefault="004E7B6D" w:rsidP="008A4E1A">
            <w:pPr>
              <w:spacing w:after="0" w:line="240" w:lineRule="auto"/>
              <w:rPr>
                <w:rFonts w:ascii="Times New Roman" w:hAnsi="Times New Roman" w:cs="Times New Roman"/>
                <w:b/>
                <w:i/>
                <w:sz w:val="20"/>
                <w:szCs w:val="20"/>
                <w:lang w:eastAsia="sk-SK"/>
              </w:rPr>
            </w:pPr>
          </w:p>
        </w:tc>
      </w:tr>
      <w:tr w:rsidR="004E7B6D" w:rsidTr="008A4E1A">
        <w:trPr>
          <w:trHeight w:val="2975"/>
        </w:trPr>
        <w:tc>
          <w:tcPr>
            <w:tcW w:w="9212" w:type="dxa"/>
            <w:tcBorders>
              <w:top w:val="single" w:sz="4" w:space="0" w:color="auto"/>
              <w:left w:val="single" w:sz="4" w:space="0" w:color="auto"/>
              <w:bottom w:val="single" w:sz="4" w:space="0" w:color="auto"/>
              <w:right w:val="single" w:sz="4" w:space="0" w:color="auto"/>
            </w:tcBorders>
          </w:tcPr>
          <w:p w:rsidR="004E7B6D" w:rsidRDefault="004E7B6D" w:rsidP="008A4E1A">
            <w:pPr>
              <w:spacing w:after="0" w:line="240" w:lineRule="auto"/>
              <w:rPr>
                <w:rFonts w:ascii="Times New Roman" w:hAnsi="Times New Roman" w:cs="Times New Roman"/>
                <w:i/>
                <w:sz w:val="20"/>
                <w:szCs w:val="20"/>
                <w:lang w:eastAsia="sk-SK"/>
              </w:rPr>
            </w:pPr>
          </w:p>
          <w:p w:rsidR="004E7B6D" w:rsidRDefault="004E7B6D" w:rsidP="008A4E1A">
            <w:pPr>
              <w:spacing w:after="0" w:line="240" w:lineRule="auto"/>
              <w:rPr>
                <w:rFonts w:ascii="Times New Roman" w:hAnsi="Times New Roman" w:cs="Times New Roman"/>
                <w:i/>
                <w:sz w:val="20"/>
                <w:szCs w:val="20"/>
                <w:lang w:eastAsia="sk-SK"/>
              </w:rPr>
            </w:pPr>
            <w:r>
              <w:rPr>
                <w:rFonts w:ascii="Times New Roman" w:hAnsi="Times New Roman" w:cs="Times New Roman"/>
                <w:b/>
                <w:i/>
                <w:sz w:val="20"/>
                <w:szCs w:val="20"/>
                <w:lang w:eastAsia="sk-SK"/>
              </w:rPr>
              <w:t>3.3.4 Súhrnná tabuľka nákladov regulácie za roky 2019  až 2021</w:t>
            </w: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1928"/>
              <w:gridCol w:w="1928"/>
              <w:gridCol w:w="2608"/>
            </w:tblGrid>
            <w:tr w:rsidR="004E7B6D" w:rsidTr="008A4E1A">
              <w:tc>
                <w:tcPr>
                  <w:tcW w:w="2370" w:type="dxa"/>
                  <w:tcBorders>
                    <w:top w:val="single" w:sz="4" w:space="0" w:color="auto"/>
                    <w:left w:val="single" w:sz="4" w:space="0" w:color="auto"/>
                    <w:bottom w:val="single" w:sz="4" w:space="0" w:color="auto"/>
                    <w:right w:val="single" w:sz="4" w:space="0" w:color="auto"/>
                  </w:tcBorders>
                </w:tcPr>
                <w:p w:rsidR="004E7B6D" w:rsidRDefault="004E7B6D" w:rsidP="008A4E1A">
                  <w:pPr>
                    <w:spacing w:after="0" w:line="240" w:lineRule="auto"/>
                    <w:rPr>
                      <w:rFonts w:ascii="Times New Roman" w:hAnsi="Times New Roman" w:cs="Times New Roman"/>
                      <w:i/>
                      <w:sz w:val="20"/>
                      <w:szCs w:val="20"/>
                      <w:lang w:eastAsia="sk-SK"/>
                    </w:rPr>
                  </w:pPr>
                </w:p>
              </w:tc>
              <w:tc>
                <w:tcPr>
                  <w:tcW w:w="1928" w:type="dxa"/>
                  <w:tcBorders>
                    <w:top w:val="single" w:sz="4" w:space="0" w:color="auto"/>
                    <w:left w:val="single" w:sz="4" w:space="0" w:color="auto"/>
                    <w:bottom w:val="single" w:sz="4" w:space="0" w:color="auto"/>
                    <w:right w:val="single" w:sz="4" w:space="0" w:color="auto"/>
                  </w:tcBorders>
                  <w:hideMark/>
                </w:tcPr>
                <w:p w:rsidR="004E7B6D" w:rsidRDefault="004E7B6D" w:rsidP="008A4E1A">
                  <w:pPr>
                    <w:spacing w:after="0" w:line="240" w:lineRule="auto"/>
                    <w:jc w:val="center"/>
                    <w:rPr>
                      <w:rFonts w:ascii="Times New Roman" w:hAnsi="Times New Roman" w:cs="Times New Roman"/>
                      <w:i/>
                      <w:sz w:val="20"/>
                      <w:szCs w:val="20"/>
                      <w:lang w:eastAsia="sk-SK"/>
                    </w:rPr>
                  </w:pPr>
                  <w:r>
                    <w:rPr>
                      <w:rFonts w:ascii="Times New Roman" w:hAnsi="Times New Roman" w:cs="Times New Roman"/>
                      <w:i/>
                      <w:sz w:val="20"/>
                      <w:szCs w:val="20"/>
                      <w:lang w:eastAsia="sk-SK"/>
                    </w:rPr>
                    <w:t xml:space="preserve">Náklady </w:t>
                  </w:r>
                </w:p>
                <w:p w:rsidR="004E7B6D" w:rsidRDefault="004E7B6D" w:rsidP="008A4E1A">
                  <w:pPr>
                    <w:spacing w:after="0" w:line="240" w:lineRule="auto"/>
                    <w:jc w:val="center"/>
                    <w:rPr>
                      <w:rFonts w:ascii="Times New Roman" w:hAnsi="Times New Roman" w:cs="Times New Roman"/>
                      <w:i/>
                      <w:sz w:val="20"/>
                      <w:szCs w:val="20"/>
                      <w:lang w:eastAsia="sk-SK"/>
                    </w:rPr>
                  </w:pPr>
                  <w:r>
                    <w:rPr>
                      <w:rFonts w:ascii="Times New Roman" w:hAnsi="Times New Roman" w:cs="Times New Roman"/>
                      <w:i/>
                      <w:sz w:val="20"/>
                      <w:szCs w:val="20"/>
                      <w:lang w:eastAsia="sk-SK"/>
                    </w:rPr>
                    <w:t>na SE, a. s.</w:t>
                  </w:r>
                </w:p>
              </w:tc>
              <w:tc>
                <w:tcPr>
                  <w:tcW w:w="1928" w:type="dxa"/>
                  <w:tcBorders>
                    <w:top w:val="single" w:sz="4" w:space="0" w:color="auto"/>
                    <w:left w:val="single" w:sz="4" w:space="0" w:color="auto"/>
                    <w:bottom w:val="single" w:sz="4" w:space="0" w:color="auto"/>
                    <w:right w:val="single" w:sz="4" w:space="0" w:color="auto"/>
                  </w:tcBorders>
                  <w:hideMark/>
                </w:tcPr>
                <w:p w:rsidR="004E7B6D" w:rsidRDefault="004E7B6D" w:rsidP="008A4E1A">
                  <w:pPr>
                    <w:spacing w:after="0" w:line="240" w:lineRule="auto"/>
                    <w:jc w:val="center"/>
                    <w:rPr>
                      <w:rFonts w:ascii="Times New Roman" w:hAnsi="Times New Roman" w:cs="Times New Roman"/>
                      <w:i/>
                      <w:sz w:val="20"/>
                      <w:szCs w:val="20"/>
                      <w:lang w:eastAsia="sk-SK"/>
                    </w:rPr>
                  </w:pPr>
                  <w:r>
                    <w:rPr>
                      <w:rFonts w:ascii="Times New Roman" w:hAnsi="Times New Roman" w:cs="Times New Roman"/>
                      <w:i/>
                      <w:sz w:val="20"/>
                      <w:szCs w:val="20"/>
                      <w:lang w:eastAsia="sk-SK"/>
                    </w:rPr>
                    <w:t xml:space="preserve">Náklady </w:t>
                  </w:r>
                </w:p>
                <w:p w:rsidR="004E7B6D" w:rsidRDefault="004E7B6D" w:rsidP="008A4E1A">
                  <w:pPr>
                    <w:spacing w:after="0" w:line="240" w:lineRule="auto"/>
                    <w:jc w:val="center"/>
                    <w:rPr>
                      <w:rFonts w:ascii="Times New Roman" w:hAnsi="Times New Roman" w:cs="Times New Roman"/>
                      <w:i/>
                      <w:sz w:val="20"/>
                      <w:szCs w:val="20"/>
                      <w:lang w:eastAsia="sk-SK"/>
                    </w:rPr>
                  </w:pPr>
                  <w:r>
                    <w:rPr>
                      <w:rFonts w:ascii="Times New Roman" w:hAnsi="Times New Roman" w:cs="Times New Roman"/>
                      <w:i/>
                      <w:sz w:val="20"/>
                      <w:szCs w:val="20"/>
                      <w:lang w:eastAsia="sk-SK"/>
                    </w:rPr>
                    <w:t>na JAVYS, a. s.</w:t>
                  </w:r>
                </w:p>
              </w:tc>
              <w:tc>
                <w:tcPr>
                  <w:tcW w:w="2608" w:type="dxa"/>
                  <w:tcBorders>
                    <w:top w:val="single" w:sz="4" w:space="0" w:color="auto"/>
                    <w:left w:val="single" w:sz="4" w:space="0" w:color="auto"/>
                    <w:bottom w:val="single" w:sz="4" w:space="0" w:color="auto"/>
                    <w:right w:val="single" w:sz="4" w:space="0" w:color="auto"/>
                  </w:tcBorders>
                  <w:hideMark/>
                </w:tcPr>
                <w:p w:rsidR="004E7B6D" w:rsidRDefault="004E7B6D" w:rsidP="008A4E1A">
                  <w:pPr>
                    <w:spacing w:after="0" w:line="240" w:lineRule="auto"/>
                    <w:jc w:val="center"/>
                    <w:rPr>
                      <w:rFonts w:ascii="Times New Roman" w:hAnsi="Times New Roman" w:cs="Times New Roman"/>
                      <w:i/>
                      <w:sz w:val="20"/>
                      <w:szCs w:val="20"/>
                      <w:lang w:eastAsia="sk-SK"/>
                    </w:rPr>
                  </w:pPr>
                  <w:r>
                    <w:rPr>
                      <w:rFonts w:ascii="Times New Roman" w:hAnsi="Times New Roman" w:cs="Times New Roman"/>
                      <w:i/>
                      <w:sz w:val="20"/>
                      <w:szCs w:val="20"/>
                      <w:lang w:eastAsia="sk-SK"/>
                    </w:rPr>
                    <w:t>Náklady na celé podnikateľské prostredie</w:t>
                  </w:r>
                </w:p>
              </w:tc>
            </w:tr>
            <w:tr w:rsidR="004E7B6D" w:rsidTr="008A4E1A">
              <w:tc>
                <w:tcPr>
                  <w:tcW w:w="2370" w:type="dxa"/>
                  <w:tcBorders>
                    <w:top w:val="single" w:sz="4" w:space="0" w:color="auto"/>
                    <w:left w:val="single" w:sz="4" w:space="0" w:color="auto"/>
                    <w:bottom w:val="single" w:sz="4" w:space="0" w:color="auto"/>
                    <w:right w:val="single" w:sz="4" w:space="0" w:color="auto"/>
                  </w:tcBorders>
                  <w:hideMark/>
                </w:tcPr>
                <w:p w:rsidR="004E7B6D" w:rsidRDefault="004E7B6D" w:rsidP="008A4E1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Priame finančné náklady</w:t>
                  </w:r>
                </w:p>
              </w:tc>
              <w:tc>
                <w:tcPr>
                  <w:tcW w:w="1928" w:type="dxa"/>
                  <w:tcBorders>
                    <w:top w:val="single" w:sz="4" w:space="0" w:color="auto"/>
                    <w:left w:val="single" w:sz="4" w:space="0" w:color="auto"/>
                    <w:bottom w:val="single" w:sz="4" w:space="0" w:color="auto"/>
                    <w:right w:val="single" w:sz="4" w:space="0" w:color="auto"/>
                  </w:tcBorders>
                  <w:vAlign w:val="center"/>
                  <w:hideMark/>
                </w:tcPr>
                <w:p w:rsidR="004E7B6D" w:rsidRDefault="004E7B6D" w:rsidP="008A4E1A">
                  <w:pPr>
                    <w:spacing w:after="0" w:line="240" w:lineRule="auto"/>
                    <w:jc w:val="center"/>
                    <w:rPr>
                      <w:rFonts w:ascii="Times New Roman" w:hAnsi="Times New Roman" w:cs="Times New Roman"/>
                      <w:i/>
                      <w:sz w:val="20"/>
                      <w:szCs w:val="20"/>
                      <w:lang w:eastAsia="sk-SK"/>
                    </w:rPr>
                  </w:pPr>
                  <w:r>
                    <w:rPr>
                      <w:rFonts w:ascii="Times New Roman" w:hAnsi="Times New Roman" w:cs="Times New Roman"/>
                      <w:i/>
                      <w:sz w:val="20"/>
                      <w:szCs w:val="20"/>
                      <w:lang w:eastAsia="sk-SK"/>
                    </w:rPr>
                    <w:t>17 695 567</w:t>
                  </w:r>
                </w:p>
              </w:tc>
              <w:tc>
                <w:tcPr>
                  <w:tcW w:w="1928" w:type="dxa"/>
                  <w:tcBorders>
                    <w:top w:val="single" w:sz="4" w:space="0" w:color="auto"/>
                    <w:left w:val="single" w:sz="4" w:space="0" w:color="auto"/>
                    <w:bottom w:val="single" w:sz="4" w:space="0" w:color="auto"/>
                    <w:right w:val="single" w:sz="4" w:space="0" w:color="auto"/>
                  </w:tcBorders>
                  <w:vAlign w:val="center"/>
                  <w:hideMark/>
                </w:tcPr>
                <w:p w:rsidR="004E7B6D" w:rsidRDefault="004E7B6D" w:rsidP="008A4E1A">
                  <w:pPr>
                    <w:spacing w:after="0" w:line="240" w:lineRule="auto"/>
                    <w:jc w:val="center"/>
                    <w:rPr>
                      <w:rFonts w:ascii="Times New Roman" w:hAnsi="Times New Roman" w:cs="Times New Roman"/>
                      <w:i/>
                      <w:sz w:val="20"/>
                      <w:szCs w:val="20"/>
                      <w:lang w:eastAsia="sk-SK"/>
                    </w:rPr>
                  </w:pPr>
                  <w:r>
                    <w:rPr>
                      <w:rFonts w:ascii="Times New Roman" w:hAnsi="Times New Roman" w:cs="Times New Roman"/>
                      <w:i/>
                      <w:sz w:val="20"/>
                      <w:szCs w:val="20"/>
                      <w:lang w:eastAsia="sk-SK"/>
                    </w:rPr>
                    <w:t>13 360 121</w:t>
                  </w:r>
                </w:p>
              </w:tc>
              <w:tc>
                <w:tcPr>
                  <w:tcW w:w="2608" w:type="dxa"/>
                  <w:tcBorders>
                    <w:top w:val="single" w:sz="4" w:space="0" w:color="auto"/>
                    <w:left w:val="single" w:sz="4" w:space="0" w:color="auto"/>
                    <w:bottom w:val="single" w:sz="4" w:space="0" w:color="auto"/>
                    <w:right w:val="single" w:sz="4" w:space="0" w:color="auto"/>
                  </w:tcBorders>
                  <w:vAlign w:val="center"/>
                  <w:hideMark/>
                </w:tcPr>
                <w:p w:rsidR="004E7B6D" w:rsidRDefault="004E7B6D" w:rsidP="008A4E1A">
                  <w:pPr>
                    <w:spacing w:after="0" w:line="240" w:lineRule="auto"/>
                    <w:jc w:val="center"/>
                    <w:rPr>
                      <w:rFonts w:ascii="Times New Roman" w:hAnsi="Times New Roman" w:cs="Times New Roman"/>
                      <w:i/>
                      <w:sz w:val="20"/>
                      <w:szCs w:val="20"/>
                      <w:lang w:eastAsia="sk-SK"/>
                    </w:rPr>
                  </w:pPr>
                  <w:r>
                    <w:rPr>
                      <w:rFonts w:ascii="Times New Roman" w:hAnsi="Times New Roman" w:cs="Times New Roman"/>
                      <w:i/>
                      <w:sz w:val="20"/>
                      <w:szCs w:val="20"/>
                      <w:lang w:eastAsia="sk-SK"/>
                    </w:rPr>
                    <w:t>31 055 688</w:t>
                  </w:r>
                </w:p>
              </w:tc>
            </w:tr>
            <w:tr w:rsidR="004E7B6D" w:rsidTr="008A4E1A">
              <w:tc>
                <w:tcPr>
                  <w:tcW w:w="2370" w:type="dxa"/>
                  <w:tcBorders>
                    <w:top w:val="single" w:sz="4" w:space="0" w:color="auto"/>
                    <w:left w:val="single" w:sz="4" w:space="0" w:color="auto"/>
                    <w:bottom w:val="single" w:sz="4" w:space="0" w:color="auto"/>
                    <w:right w:val="single" w:sz="4" w:space="0" w:color="auto"/>
                  </w:tcBorders>
                  <w:hideMark/>
                </w:tcPr>
                <w:p w:rsidR="004E7B6D" w:rsidRDefault="004E7B6D" w:rsidP="008A4E1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Nepriame finančné náklady</w:t>
                  </w:r>
                </w:p>
              </w:tc>
              <w:tc>
                <w:tcPr>
                  <w:tcW w:w="1928" w:type="dxa"/>
                  <w:tcBorders>
                    <w:top w:val="single" w:sz="4" w:space="0" w:color="auto"/>
                    <w:left w:val="single" w:sz="4" w:space="0" w:color="auto"/>
                    <w:bottom w:val="single" w:sz="4" w:space="0" w:color="auto"/>
                    <w:right w:val="single" w:sz="4" w:space="0" w:color="auto"/>
                  </w:tcBorders>
                  <w:vAlign w:val="center"/>
                  <w:hideMark/>
                </w:tcPr>
                <w:p w:rsidR="004E7B6D" w:rsidRDefault="004E7B6D" w:rsidP="008A4E1A">
                  <w:pPr>
                    <w:spacing w:after="0" w:line="240" w:lineRule="auto"/>
                    <w:jc w:val="center"/>
                    <w:rPr>
                      <w:rFonts w:ascii="Times New Roman" w:hAnsi="Times New Roman" w:cs="Times New Roman"/>
                      <w:i/>
                      <w:sz w:val="20"/>
                      <w:szCs w:val="20"/>
                      <w:lang w:eastAsia="sk-SK"/>
                    </w:rPr>
                  </w:pPr>
                  <w:r>
                    <w:rPr>
                      <w:rFonts w:ascii="Times New Roman" w:hAnsi="Times New Roman" w:cs="Times New Roman"/>
                      <w:i/>
                      <w:sz w:val="20"/>
                      <w:szCs w:val="20"/>
                      <w:lang w:eastAsia="sk-SK"/>
                    </w:rPr>
                    <w:t>0</w:t>
                  </w:r>
                </w:p>
              </w:tc>
              <w:tc>
                <w:tcPr>
                  <w:tcW w:w="1928" w:type="dxa"/>
                  <w:tcBorders>
                    <w:top w:val="single" w:sz="4" w:space="0" w:color="auto"/>
                    <w:left w:val="single" w:sz="4" w:space="0" w:color="auto"/>
                    <w:bottom w:val="single" w:sz="4" w:space="0" w:color="auto"/>
                    <w:right w:val="single" w:sz="4" w:space="0" w:color="auto"/>
                  </w:tcBorders>
                  <w:vAlign w:val="center"/>
                  <w:hideMark/>
                </w:tcPr>
                <w:p w:rsidR="004E7B6D" w:rsidRDefault="004E7B6D" w:rsidP="008A4E1A">
                  <w:pPr>
                    <w:spacing w:after="0" w:line="240" w:lineRule="auto"/>
                    <w:jc w:val="center"/>
                    <w:rPr>
                      <w:rFonts w:ascii="Times New Roman" w:hAnsi="Times New Roman" w:cs="Times New Roman"/>
                      <w:i/>
                      <w:sz w:val="20"/>
                      <w:szCs w:val="20"/>
                      <w:lang w:eastAsia="sk-SK"/>
                    </w:rPr>
                  </w:pPr>
                  <w:r>
                    <w:rPr>
                      <w:rFonts w:ascii="Times New Roman" w:hAnsi="Times New Roman" w:cs="Times New Roman"/>
                      <w:i/>
                      <w:sz w:val="20"/>
                      <w:szCs w:val="20"/>
                      <w:lang w:eastAsia="sk-SK"/>
                    </w:rPr>
                    <w:t>0</w:t>
                  </w:r>
                </w:p>
              </w:tc>
              <w:tc>
                <w:tcPr>
                  <w:tcW w:w="2608" w:type="dxa"/>
                  <w:tcBorders>
                    <w:top w:val="single" w:sz="4" w:space="0" w:color="auto"/>
                    <w:left w:val="single" w:sz="4" w:space="0" w:color="auto"/>
                    <w:bottom w:val="single" w:sz="4" w:space="0" w:color="auto"/>
                    <w:right w:val="single" w:sz="4" w:space="0" w:color="auto"/>
                  </w:tcBorders>
                  <w:vAlign w:val="center"/>
                  <w:hideMark/>
                </w:tcPr>
                <w:p w:rsidR="004E7B6D" w:rsidRDefault="004E7B6D" w:rsidP="008A4E1A">
                  <w:pPr>
                    <w:spacing w:after="0" w:line="240" w:lineRule="auto"/>
                    <w:jc w:val="center"/>
                    <w:rPr>
                      <w:rFonts w:ascii="Times New Roman" w:hAnsi="Times New Roman" w:cs="Times New Roman"/>
                      <w:i/>
                      <w:sz w:val="20"/>
                      <w:szCs w:val="20"/>
                      <w:lang w:eastAsia="sk-SK"/>
                    </w:rPr>
                  </w:pPr>
                  <w:r>
                    <w:rPr>
                      <w:rFonts w:ascii="Times New Roman" w:hAnsi="Times New Roman" w:cs="Times New Roman"/>
                      <w:i/>
                      <w:sz w:val="20"/>
                      <w:szCs w:val="20"/>
                      <w:lang w:eastAsia="sk-SK"/>
                    </w:rPr>
                    <w:t>0</w:t>
                  </w:r>
                </w:p>
              </w:tc>
            </w:tr>
            <w:tr w:rsidR="004E7B6D" w:rsidTr="008A4E1A">
              <w:tc>
                <w:tcPr>
                  <w:tcW w:w="2370" w:type="dxa"/>
                  <w:tcBorders>
                    <w:top w:val="single" w:sz="4" w:space="0" w:color="auto"/>
                    <w:left w:val="single" w:sz="4" w:space="0" w:color="auto"/>
                    <w:bottom w:val="single" w:sz="4" w:space="0" w:color="auto"/>
                    <w:right w:val="single" w:sz="4" w:space="0" w:color="auto"/>
                  </w:tcBorders>
                  <w:hideMark/>
                </w:tcPr>
                <w:p w:rsidR="004E7B6D" w:rsidRDefault="004E7B6D" w:rsidP="008A4E1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Administratívne náklady</w:t>
                  </w:r>
                </w:p>
              </w:tc>
              <w:tc>
                <w:tcPr>
                  <w:tcW w:w="1928" w:type="dxa"/>
                  <w:tcBorders>
                    <w:top w:val="single" w:sz="4" w:space="0" w:color="auto"/>
                    <w:left w:val="single" w:sz="4" w:space="0" w:color="auto"/>
                    <w:bottom w:val="single" w:sz="4" w:space="0" w:color="auto"/>
                    <w:right w:val="single" w:sz="4" w:space="0" w:color="auto"/>
                  </w:tcBorders>
                  <w:vAlign w:val="center"/>
                  <w:hideMark/>
                </w:tcPr>
                <w:p w:rsidR="004E7B6D" w:rsidRDefault="004E7B6D" w:rsidP="008A4E1A">
                  <w:pPr>
                    <w:spacing w:after="0" w:line="240" w:lineRule="auto"/>
                    <w:jc w:val="center"/>
                    <w:rPr>
                      <w:rFonts w:ascii="Times New Roman" w:hAnsi="Times New Roman" w:cs="Times New Roman"/>
                      <w:i/>
                      <w:sz w:val="20"/>
                      <w:szCs w:val="20"/>
                      <w:lang w:eastAsia="sk-SK"/>
                    </w:rPr>
                  </w:pPr>
                  <w:r>
                    <w:rPr>
                      <w:rFonts w:ascii="Times New Roman" w:hAnsi="Times New Roman" w:cs="Times New Roman"/>
                      <w:i/>
                      <w:sz w:val="20"/>
                      <w:szCs w:val="20"/>
                      <w:lang w:eastAsia="sk-SK"/>
                    </w:rPr>
                    <w:t>0</w:t>
                  </w:r>
                </w:p>
              </w:tc>
              <w:tc>
                <w:tcPr>
                  <w:tcW w:w="1928" w:type="dxa"/>
                  <w:tcBorders>
                    <w:top w:val="single" w:sz="4" w:space="0" w:color="auto"/>
                    <w:left w:val="single" w:sz="4" w:space="0" w:color="auto"/>
                    <w:bottom w:val="single" w:sz="4" w:space="0" w:color="auto"/>
                    <w:right w:val="single" w:sz="4" w:space="0" w:color="auto"/>
                  </w:tcBorders>
                  <w:vAlign w:val="center"/>
                  <w:hideMark/>
                </w:tcPr>
                <w:p w:rsidR="004E7B6D" w:rsidRDefault="004E7B6D" w:rsidP="008A4E1A">
                  <w:pPr>
                    <w:spacing w:after="0" w:line="240" w:lineRule="auto"/>
                    <w:jc w:val="center"/>
                    <w:rPr>
                      <w:rFonts w:ascii="Times New Roman" w:hAnsi="Times New Roman" w:cs="Times New Roman"/>
                      <w:i/>
                      <w:sz w:val="20"/>
                      <w:szCs w:val="20"/>
                      <w:lang w:eastAsia="sk-SK"/>
                    </w:rPr>
                  </w:pPr>
                  <w:r>
                    <w:rPr>
                      <w:rFonts w:ascii="Times New Roman" w:hAnsi="Times New Roman" w:cs="Times New Roman"/>
                      <w:i/>
                      <w:sz w:val="20"/>
                      <w:szCs w:val="20"/>
                      <w:lang w:eastAsia="sk-SK"/>
                    </w:rPr>
                    <w:t>0</w:t>
                  </w:r>
                </w:p>
              </w:tc>
              <w:tc>
                <w:tcPr>
                  <w:tcW w:w="2608" w:type="dxa"/>
                  <w:tcBorders>
                    <w:top w:val="single" w:sz="4" w:space="0" w:color="auto"/>
                    <w:left w:val="single" w:sz="4" w:space="0" w:color="auto"/>
                    <w:bottom w:val="single" w:sz="4" w:space="0" w:color="auto"/>
                    <w:right w:val="single" w:sz="4" w:space="0" w:color="auto"/>
                  </w:tcBorders>
                  <w:vAlign w:val="center"/>
                  <w:hideMark/>
                </w:tcPr>
                <w:p w:rsidR="004E7B6D" w:rsidRDefault="004E7B6D" w:rsidP="008A4E1A">
                  <w:pPr>
                    <w:spacing w:after="0" w:line="240" w:lineRule="auto"/>
                    <w:jc w:val="center"/>
                    <w:rPr>
                      <w:rFonts w:ascii="Times New Roman" w:hAnsi="Times New Roman" w:cs="Times New Roman"/>
                      <w:i/>
                      <w:sz w:val="20"/>
                      <w:szCs w:val="20"/>
                      <w:lang w:eastAsia="sk-SK"/>
                    </w:rPr>
                  </w:pPr>
                  <w:r>
                    <w:rPr>
                      <w:rFonts w:ascii="Times New Roman" w:hAnsi="Times New Roman" w:cs="Times New Roman"/>
                      <w:i/>
                      <w:sz w:val="20"/>
                      <w:szCs w:val="20"/>
                      <w:lang w:eastAsia="sk-SK"/>
                    </w:rPr>
                    <w:t>0</w:t>
                  </w:r>
                </w:p>
              </w:tc>
            </w:tr>
            <w:tr w:rsidR="004E7B6D" w:rsidTr="008A4E1A">
              <w:trPr>
                <w:trHeight w:val="60"/>
              </w:trPr>
              <w:tc>
                <w:tcPr>
                  <w:tcW w:w="2370" w:type="dxa"/>
                  <w:tcBorders>
                    <w:top w:val="single" w:sz="4" w:space="0" w:color="auto"/>
                    <w:left w:val="single" w:sz="4" w:space="0" w:color="auto"/>
                    <w:bottom w:val="single" w:sz="4" w:space="0" w:color="auto"/>
                    <w:right w:val="single" w:sz="4" w:space="0" w:color="auto"/>
                  </w:tcBorders>
                  <w:hideMark/>
                </w:tcPr>
                <w:p w:rsidR="004E7B6D" w:rsidRDefault="004E7B6D" w:rsidP="008A4E1A">
                  <w:pPr>
                    <w:spacing w:after="0" w:line="240" w:lineRule="auto"/>
                    <w:rPr>
                      <w:rFonts w:ascii="Times New Roman" w:hAnsi="Times New Roman" w:cs="Times New Roman"/>
                      <w:b/>
                      <w:i/>
                      <w:sz w:val="20"/>
                      <w:szCs w:val="20"/>
                      <w:lang w:eastAsia="sk-SK"/>
                    </w:rPr>
                  </w:pPr>
                  <w:r>
                    <w:rPr>
                      <w:rFonts w:ascii="Times New Roman" w:hAnsi="Times New Roman" w:cs="Times New Roman"/>
                      <w:b/>
                      <w:i/>
                      <w:sz w:val="20"/>
                      <w:szCs w:val="20"/>
                      <w:lang w:eastAsia="sk-SK"/>
                    </w:rPr>
                    <w:t>Celkové náklady regulácie</w:t>
                  </w:r>
                </w:p>
              </w:tc>
              <w:tc>
                <w:tcPr>
                  <w:tcW w:w="1928" w:type="dxa"/>
                  <w:tcBorders>
                    <w:top w:val="single" w:sz="4" w:space="0" w:color="auto"/>
                    <w:left w:val="single" w:sz="4" w:space="0" w:color="auto"/>
                    <w:bottom w:val="single" w:sz="4" w:space="0" w:color="auto"/>
                    <w:right w:val="single" w:sz="4" w:space="0" w:color="auto"/>
                  </w:tcBorders>
                  <w:vAlign w:val="center"/>
                  <w:hideMark/>
                </w:tcPr>
                <w:p w:rsidR="004E7B6D" w:rsidRDefault="004E7B6D" w:rsidP="008A4E1A">
                  <w:pPr>
                    <w:spacing w:after="0" w:line="240" w:lineRule="auto"/>
                    <w:jc w:val="center"/>
                    <w:rPr>
                      <w:rFonts w:ascii="Times New Roman" w:hAnsi="Times New Roman" w:cs="Times New Roman"/>
                      <w:b/>
                      <w:i/>
                      <w:sz w:val="20"/>
                      <w:szCs w:val="20"/>
                      <w:lang w:eastAsia="sk-SK"/>
                    </w:rPr>
                  </w:pPr>
                  <w:r>
                    <w:rPr>
                      <w:rFonts w:ascii="Times New Roman" w:hAnsi="Times New Roman" w:cs="Times New Roman"/>
                      <w:i/>
                      <w:sz w:val="20"/>
                      <w:szCs w:val="20"/>
                      <w:lang w:eastAsia="sk-SK"/>
                    </w:rPr>
                    <w:t>17 695 567</w:t>
                  </w:r>
                </w:p>
              </w:tc>
              <w:tc>
                <w:tcPr>
                  <w:tcW w:w="1928" w:type="dxa"/>
                  <w:tcBorders>
                    <w:top w:val="single" w:sz="4" w:space="0" w:color="auto"/>
                    <w:left w:val="single" w:sz="4" w:space="0" w:color="auto"/>
                    <w:bottom w:val="single" w:sz="4" w:space="0" w:color="auto"/>
                    <w:right w:val="single" w:sz="4" w:space="0" w:color="auto"/>
                  </w:tcBorders>
                  <w:vAlign w:val="center"/>
                  <w:hideMark/>
                </w:tcPr>
                <w:p w:rsidR="004E7B6D" w:rsidRDefault="004E7B6D" w:rsidP="008A4E1A">
                  <w:pPr>
                    <w:spacing w:after="0" w:line="240" w:lineRule="auto"/>
                    <w:jc w:val="center"/>
                    <w:rPr>
                      <w:rFonts w:ascii="Times New Roman" w:hAnsi="Times New Roman" w:cs="Times New Roman"/>
                      <w:b/>
                      <w:i/>
                      <w:sz w:val="20"/>
                      <w:szCs w:val="20"/>
                      <w:lang w:eastAsia="sk-SK"/>
                    </w:rPr>
                  </w:pPr>
                  <w:r>
                    <w:rPr>
                      <w:rFonts w:ascii="Times New Roman" w:hAnsi="Times New Roman" w:cs="Times New Roman"/>
                      <w:i/>
                      <w:sz w:val="20"/>
                      <w:szCs w:val="20"/>
                      <w:lang w:eastAsia="sk-SK"/>
                    </w:rPr>
                    <w:t>13 360 121</w:t>
                  </w:r>
                </w:p>
              </w:tc>
              <w:tc>
                <w:tcPr>
                  <w:tcW w:w="2608" w:type="dxa"/>
                  <w:tcBorders>
                    <w:top w:val="single" w:sz="4" w:space="0" w:color="auto"/>
                    <w:left w:val="single" w:sz="4" w:space="0" w:color="auto"/>
                    <w:bottom w:val="single" w:sz="4" w:space="0" w:color="auto"/>
                    <w:right w:val="single" w:sz="4" w:space="0" w:color="auto"/>
                  </w:tcBorders>
                  <w:vAlign w:val="center"/>
                  <w:hideMark/>
                </w:tcPr>
                <w:p w:rsidR="004E7B6D" w:rsidRDefault="004E7B6D" w:rsidP="008A4E1A">
                  <w:pPr>
                    <w:spacing w:after="0" w:line="240" w:lineRule="auto"/>
                    <w:jc w:val="center"/>
                    <w:rPr>
                      <w:rFonts w:ascii="Times New Roman" w:hAnsi="Times New Roman" w:cs="Times New Roman"/>
                      <w:b/>
                      <w:i/>
                      <w:sz w:val="20"/>
                      <w:szCs w:val="20"/>
                      <w:lang w:eastAsia="sk-SK"/>
                    </w:rPr>
                  </w:pPr>
                  <w:r>
                    <w:rPr>
                      <w:rFonts w:ascii="Times New Roman" w:hAnsi="Times New Roman" w:cs="Times New Roman"/>
                      <w:i/>
                      <w:sz w:val="20"/>
                      <w:szCs w:val="20"/>
                      <w:lang w:eastAsia="sk-SK"/>
                    </w:rPr>
                    <w:t>31 055 688</w:t>
                  </w:r>
                </w:p>
              </w:tc>
            </w:tr>
          </w:tbl>
          <w:p w:rsidR="004E7B6D" w:rsidRDefault="004E7B6D" w:rsidP="008A4E1A">
            <w:pPr>
              <w:spacing w:after="0" w:line="240" w:lineRule="auto"/>
              <w:jc w:val="both"/>
              <w:rPr>
                <w:rFonts w:ascii="Times New Roman" w:hAnsi="Times New Roman" w:cs="Times New Roman"/>
                <w:sz w:val="20"/>
                <w:szCs w:val="20"/>
                <w:lang w:eastAsia="sk-SK"/>
              </w:rPr>
            </w:pPr>
            <w:r>
              <w:rPr>
                <w:rFonts w:ascii="Times New Roman" w:hAnsi="Times New Roman" w:cs="Times New Roman"/>
                <w:bCs/>
                <w:sz w:val="20"/>
                <w:szCs w:val="20"/>
                <w:lang w:eastAsia="sk-SK"/>
              </w:rPr>
              <w:t>Vyčíslené náklady ovplyvnených subjektov za roky 2019 až 2021 sú stanovené ako rozdiel medzi nákladmi týchto subjektov podľa tohto návrhu nariadenia vlády SR a podľa Nariadenia vlády SR č. 312/2007 Z. z.</w:t>
            </w:r>
          </w:p>
        </w:tc>
      </w:tr>
      <w:tr w:rsidR="004E7B6D" w:rsidTr="008A4E1A">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4E7B6D" w:rsidRDefault="004E7B6D" w:rsidP="008A4E1A">
            <w:pPr>
              <w:spacing w:after="0" w:line="240" w:lineRule="auto"/>
              <w:rPr>
                <w:rFonts w:ascii="Times New Roman" w:hAnsi="Times New Roman" w:cs="Times New Roman"/>
                <w:b/>
                <w:sz w:val="24"/>
                <w:szCs w:val="20"/>
                <w:lang w:eastAsia="sk-SK"/>
              </w:rPr>
            </w:pPr>
            <w:r>
              <w:rPr>
                <w:rFonts w:ascii="Times New Roman" w:hAnsi="Times New Roman" w:cs="Times New Roman"/>
                <w:b/>
                <w:sz w:val="24"/>
                <w:szCs w:val="20"/>
                <w:lang w:eastAsia="sk-SK"/>
              </w:rPr>
              <w:t>3.4 Konkurencieschopnosť a správanie sa podnikov na trhu</w:t>
            </w:r>
          </w:p>
          <w:p w:rsidR="004E7B6D" w:rsidRDefault="004E7B6D" w:rsidP="008A4E1A">
            <w:pPr>
              <w:spacing w:after="0" w:line="240" w:lineRule="auto"/>
              <w:rPr>
                <w:rFonts w:ascii="Times New Roman" w:hAnsi="Times New Roman" w:cs="Times New Roman"/>
                <w:sz w:val="20"/>
                <w:szCs w:val="20"/>
                <w:lang w:eastAsia="sk-SK"/>
              </w:rPr>
            </w:pPr>
            <w:r>
              <w:rPr>
                <w:rFonts w:ascii="Times New Roman" w:hAnsi="Times New Roman" w:cs="Times New Roman"/>
                <w:sz w:val="24"/>
                <w:szCs w:val="20"/>
                <w:lang w:eastAsia="sk-SK"/>
              </w:rPr>
              <w:t xml:space="preserve">- </w:t>
            </w:r>
            <w:r>
              <w:rPr>
                <w:rFonts w:ascii="Times New Roman" w:hAnsi="Times New Roman" w:cs="Times New Roman"/>
                <w:b/>
                <w:sz w:val="24"/>
                <w:szCs w:val="20"/>
                <w:lang w:eastAsia="sk-SK"/>
              </w:rPr>
              <w:t>z toho MSP</w:t>
            </w:r>
          </w:p>
        </w:tc>
      </w:tr>
      <w:tr w:rsidR="004E7B6D" w:rsidTr="008A4E1A">
        <w:tc>
          <w:tcPr>
            <w:tcW w:w="9212" w:type="dxa"/>
            <w:tcBorders>
              <w:top w:val="single" w:sz="4" w:space="0" w:color="auto"/>
              <w:left w:val="single" w:sz="4" w:space="0" w:color="auto"/>
              <w:bottom w:val="single" w:sz="4" w:space="0" w:color="auto"/>
              <w:right w:val="single" w:sz="4" w:space="0" w:color="auto"/>
            </w:tcBorders>
            <w:hideMark/>
          </w:tcPr>
          <w:p w:rsidR="004E7B6D" w:rsidRDefault="004E7B6D" w:rsidP="008A4E1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Pr>
                <w:rFonts w:ascii="Times New Roman" w:hAnsi="Times New Roman" w:cs="Times New Roman"/>
                <w:i/>
                <w:sz w:val="20"/>
                <w:szCs w:val="20"/>
                <w:lang w:eastAsia="sk-SK"/>
              </w:rPr>
              <w:t>mikro</w:t>
            </w:r>
            <w:proofErr w:type="spellEnd"/>
            <w:r>
              <w:rPr>
                <w:rFonts w:ascii="Times New Roman" w:hAnsi="Times New Roman" w:cs="Times New Roman"/>
                <w:i/>
                <w:sz w:val="20"/>
                <w:szCs w:val="20"/>
                <w:lang w:eastAsia="sk-SK"/>
              </w:rPr>
              <w:t>, malé a stredné podniky tzv. MSP)? Ak áno, popíšte.</w:t>
            </w:r>
          </w:p>
          <w:p w:rsidR="004E7B6D" w:rsidRDefault="004E7B6D" w:rsidP="008A4E1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Aký vplyv bude mať navrhovaná zmena na obchodné bariéry? Bude mať vplyv na vyvolanie cezhraničných investícií (príliv /odliv zahraničných investícií resp. uplatnenie slovenských podnikov na zahraničných trhoch)? Ak áno, popíšte.</w:t>
            </w:r>
          </w:p>
          <w:p w:rsidR="004E7B6D" w:rsidRDefault="004E7B6D" w:rsidP="008A4E1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Ako ovplyvní cenu alebo dostupnosť základných zdrojov (suroviny, mechanizmy, pracovná sila, energie atď.)?</w:t>
            </w:r>
          </w:p>
          <w:p w:rsidR="004E7B6D" w:rsidRDefault="004E7B6D" w:rsidP="008A4E1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Ovplyvňuje prístup k financiám? Ak áno, ako?</w:t>
            </w:r>
          </w:p>
        </w:tc>
      </w:tr>
      <w:tr w:rsidR="004E7B6D" w:rsidTr="008A4E1A">
        <w:trPr>
          <w:trHeight w:val="1282"/>
        </w:trPr>
        <w:tc>
          <w:tcPr>
            <w:tcW w:w="9212" w:type="dxa"/>
            <w:tcBorders>
              <w:top w:val="single" w:sz="4" w:space="0" w:color="auto"/>
              <w:left w:val="single" w:sz="4" w:space="0" w:color="auto"/>
              <w:bottom w:val="single" w:sz="4" w:space="0" w:color="auto"/>
              <w:right w:val="single" w:sz="4" w:space="0" w:color="auto"/>
            </w:tcBorders>
            <w:hideMark/>
          </w:tcPr>
          <w:p w:rsidR="004E7B6D" w:rsidRDefault="004E7B6D" w:rsidP="008A4E1A">
            <w:pPr>
              <w:spacing w:after="0"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Prijatie nariadenia vlády SR bude mať negatívny vplyv na konkurencieschopnosť SE, a. s. ako majoritného výrobcu elektriny v SR. Zvýšenie povinných príspevkov do NJF o cca 10% sa negatívne odzrkadlí na hospodárení spoločnosti, keďže tieto náklady vzhľadom na voľný obchod s elektrickou energiou nemôžu byť prenesené na koncových spotrebiteľov. </w:t>
            </w:r>
          </w:p>
          <w:p w:rsidR="004E7B6D" w:rsidRDefault="004E7B6D" w:rsidP="008A4E1A">
            <w:pPr>
              <w:spacing w:after="0" w:line="240" w:lineRule="auto"/>
              <w:jc w:val="both"/>
              <w:rPr>
                <w:rFonts w:ascii="Times New Roman" w:hAnsi="Times New Roman" w:cs="Times New Roman"/>
                <w:i/>
                <w:sz w:val="20"/>
                <w:szCs w:val="20"/>
                <w:lang w:eastAsia="sk-SK"/>
              </w:rPr>
            </w:pPr>
            <w:r>
              <w:rPr>
                <w:rFonts w:ascii="Times New Roman" w:hAnsi="Times New Roman" w:cs="Times New Roman"/>
                <w:sz w:val="20"/>
                <w:szCs w:val="20"/>
                <w:lang w:eastAsia="sk-SK"/>
              </w:rPr>
              <w:t>Prijatie nariadenia vlády SR bude mať negatívny vplyv na konkurencieschopnosť JAVYS, a. s. ako poskytovateľa služieb nakladania s RAO a VJP, či už v SR alebo v medzinárodných komerčných tendroch. Zavedenie povinných príspevkov do NJF vo výške viac ako 4 mil. eur ročne sa negatívne odzrkadlí na hospodárení spoločnosti, keďže tieto náklady budú musieť byť prenesené do cenových kalkulácií za poskytované služby nakladania s RAO.</w:t>
            </w:r>
          </w:p>
        </w:tc>
      </w:tr>
      <w:tr w:rsidR="004E7B6D" w:rsidTr="008A4E1A">
        <w:tc>
          <w:tcPr>
            <w:tcW w:w="9212" w:type="dxa"/>
            <w:tcBorders>
              <w:top w:val="single" w:sz="4" w:space="0" w:color="auto"/>
              <w:left w:val="single" w:sz="4" w:space="0" w:color="auto"/>
              <w:bottom w:val="single" w:sz="4" w:space="0" w:color="auto"/>
              <w:right w:val="single" w:sz="4" w:space="0" w:color="auto"/>
            </w:tcBorders>
            <w:shd w:val="clear" w:color="auto" w:fill="D9D9D9"/>
            <w:hideMark/>
          </w:tcPr>
          <w:p w:rsidR="004E7B6D" w:rsidRDefault="004E7B6D" w:rsidP="008A4E1A">
            <w:pPr>
              <w:spacing w:after="0" w:line="240" w:lineRule="auto"/>
              <w:rPr>
                <w:rFonts w:ascii="Times New Roman" w:hAnsi="Times New Roman" w:cs="Times New Roman"/>
                <w:b/>
                <w:sz w:val="24"/>
                <w:szCs w:val="20"/>
                <w:lang w:eastAsia="sk-SK"/>
              </w:rPr>
            </w:pPr>
            <w:r>
              <w:rPr>
                <w:rFonts w:ascii="Times New Roman" w:hAnsi="Times New Roman" w:cs="Times New Roman"/>
                <w:b/>
                <w:sz w:val="24"/>
                <w:szCs w:val="20"/>
                <w:lang w:eastAsia="sk-SK"/>
              </w:rPr>
              <w:t xml:space="preserve">3.5 Inovácie </w:t>
            </w:r>
          </w:p>
          <w:p w:rsidR="004E7B6D" w:rsidRDefault="004E7B6D" w:rsidP="008A4E1A">
            <w:pPr>
              <w:spacing w:after="0" w:line="240" w:lineRule="auto"/>
              <w:rPr>
                <w:rFonts w:ascii="Times New Roman" w:hAnsi="Times New Roman" w:cs="Times New Roman"/>
                <w:b/>
                <w:sz w:val="20"/>
                <w:szCs w:val="20"/>
                <w:lang w:eastAsia="sk-SK"/>
              </w:rPr>
            </w:pPr>
            <w:r>
              <w:rPr>
                <w:rFonts w:ascii="Times New Roman" w:hAnsi="Times New Roman" w:cs="Times New Roman"/>
                <w:sz w:val="24"/>
                <w:szCs w:val="20"/>
                <w:lang w:eastAsia="sk-SK"/>
              </w:rPr>
              <w:t xml:space="preserve">       - </w:t>
            </w:r>
            <w:r>
              <w:rPr>
                <w:rFonts w:ascii="Times New Roman" w:hAnsi="Times New Roman" w:cs="Times New Roman"/>
                <w:b/>
                <w:sz w:val="24"/>
                <w:szCs w:val="20"/>
                <w:lang w:eastAsia="sk-SK"/>
              </w:rPr>
              <w:t>z toho MSP</w:t>
            </w:r>
          </w:p>
        </w:tc>
      </w:tr>
      <w:tr w:rsidR="004E7B6D" w:rsidTr="008A4E1A">
        <w:tc>
          <w:tcPr>
            <w:tcW w:w="9212" w:type="dxa"/>
            <w:tcBorders>
              <w:top w:val="single" w:sz="4" w:space="0" w:color="auto"/>
              <w:left w:val="single" w:sz="4" w:space="0" w:color="auto"/>
              <w:bottom w:val="single" w:sz="4" w:space="0" w:color="auto"/>
              <w:right w:val="single" w:sz="4" w:space="0" w:color="auto"/>
            </w:tcBorders>
            <w:hideMark/>
          </w:tcPr>
          <w:p w:rsidR="004E7B6D" w:rsidRDefault="004E7B6D" w:rsidP="008A4E1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Uveďte, ako podporuje navrhovaná zmena inovácie.</w:t>
            </w:r>
          </w:p>
          <w:p w:rsidR="004E7B6D" w:rsidRDefault="004E7B6D" w:rsidP="008A4E1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Zjednodušuje uvedenie alebo rozšírenie nových výrobných metód, technológií a výrobkov na trh?</w:t>
            </w:r>
          </w:p>
          <w:p w:rsidR="004E7B6D" w:rsidRDefault="004E7B6D" w:rsidP="008A4E1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 xml:space="preserve">Uveďte, ako vplýva navrhovaná zmena na jednotlivé práva duševného vlastníctva (napr. patenty, ochranné známky, autorské práva, vlastníctvo </w:t>
            </w:r>
            <w:proofErr w:type="spellStart"/>
            <w:r>
              <w:rPr>
                <w:rFonts w:ascii="Times New Roman" w:hAnsi="Times New Roman" w:cs="Times New Roman"/>
                <w:i/>
                <w:sz w:val="20"/>
                <w:szCs w:val="20"/>
                <w:lang w:eastAsia="sk-SK"/>
              </w:rPr>
              <w:t>know-how</w:t>
            </w:r>
            <w:proofErr w:type="spellEnd"/>
            <w:r>
              <w:rPr>
                <w:rFonts w:ascii="Times New Roman" w:hAnsi="Times New Roman" w:cs="Times New Roman"/>
                <w:i/>
                <w:sz w:val="20"/>
                <w:szCs w:val="20"/>
                <w:lang w:eastAsia="sk-SK"/>
              </w:rPr>
              <w:t>).</w:t>
            </w:r>
          </w:p>
          <w:p w:rsidR="004E7B6D" w:rsidRDefault="004E7B6D" w:rsidP="008A4E1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Podporuje vyššiu efektivitu výroby/využívania zdrojov? Ak áno, ako?</w:t>
            </w:r>
          </w:p>
          <w:p w:rsidR="004E7B6D" w:rsidRDefault="004E7B6D" w:rsidP="008A4E1A">
            <w:pPr>
              <w:spacing w:after="0" w:line="240" w:lineRule="auto"/>
              <w:rPr>
                <w:rFonts w:ascii="Times New Roman" w:hAnsi="Times New Roman" w:cs="Times New Roman"/>
                <w:sz w:val="20"/>
                <w:szCs w:val="20"/>
                <w:lang w:eastAsia="sk-SK"/>
              </w:rPr>
            </w:pPr>
            <w:r>
              <w:rPr>
                <w:rFonts w:ascii="Times New Roman" w:hAnsi="Times New Roman" w:cs="Times New Roman"/>
                <w:i/>
                <w:sz w:val="20"/>
                <w:szCs w:val="20"/>
                <w:lang w:eastAsia="sk-SK"/>
              </w:rPr>
              <w:t>Vytvorí zmena nové pracovné miesta pre zamestnancov výskumu a vývoja v SR?</w:t>
            </w:r>
          </w:p>
        </w:tc>
      </w:tr>
    </w:tbl>
    <w:p w:rsidR="004E7B6D" w:rsidRDefault="004E7B6D" w:rsidP="004E7B6D">
      <w:pPr>
        <w:spacing w:after="0" w:line="240" w:lineRule="auto"/>
        <w:rPr>
          <w:rFonts w:ascii="Times New Roman" w:hAnsi="Times New Roman" w:cs="Times New Roman"/>
          <w:sz w:val="24"/>
          <w:szCs w:val="24"/>
          <w:lang w:eastAsia="sk-SK"/>
        </w:rPr>
      </w:pPr>
    </w:p>
    <w:p w:rsidR="004E7B6D" w:rsidRDefault="004E7B6D" w:rsidP="004E7B6D">
      <w:pPr>
        <w:spacing w:after="0" w:line="240" w:lineRule="auto"/>
        <w:rPr>
          <w:rFonts w:ascii="Times New Roman" w:hAnsi="Times New Roman" w:cs="Times New Roman"/>
          <w:sz w:val="24"/>
          <w:szCs w:val="24"/>
          <w:lang w:eastAsia="sk-SK"/>
        </w:rPr>
      </w:pPr>
    </w:p>
    <w:p w:rsidR="004E7B6D" w:rsidRDefault="004E7B6D" w:rsidP="004E7B6D">
      <w:pPr>
        <w:spacing w:after="0" w:line="240" w:lineRule="auto"/>
        <w:rPr>
          <w:rFonts w:ascii="Times New Roman" w:hAnsi="Times New Roman" w:cs="Times New Roman"/>
          <w:sz w:val="24"/>
          <w:szCs w:val="24"/>
          <w:lang w:eastAsia="sk-SK"/>
        </w:rPr>
      </w:pPr>
    </w:p>
    <w:p w:rsidR="004E7B6D" w:rsidRDefault="004E7B6D" w:rsidP="004E7B6D">
      <w:pPr>
        <w:spacing w:after="0" w:line="240" w:lineRule="auto"/>
        <w:rPr>
          <w:rFonts w:ascii="Times New Roman" w:hAnsi="Times New Roman" w:cs="Times New Roman"/>
          <w:sz w:val="24"/>
          <w:szCs w:val="24"/>
          <w:lang w:eastAsia="sk-SK"/>
        </w:rPr>
      </w:pPr>
    </w:p>
    <w:p w:rsidR="004E7B6D" w:rsidRDefault="004E7B6D" w:rsidP="004E7B6D"/>
    <w:p w:rsidR="004E7B6D" w:rsidRPr="00D53C96" w:rsidRDefault="004E7B6D" w:rsidP="004E7B6D">
      <w:pPr>
        <w:spacing w:after="0" w:line="240" w:lineRule="auto"/>
        <w:rPr>
          <w:rFonts w:ascii="Times New Roman" w:hAnsi="Times New Roman" w:cs="Times New Roman"/>
          <w:sz w:val="24"/>
          <w:szCs w:val="24"/>
          <w:lang w:eastAsia="sk-SK"/>
        </w:rPr>
      </w:pPr>
    </w:p>
    <w:p w:rsidR="004E7B6D" w:rsidRPr="00D53C96" w:rsidRDefault="004E7B6D" w:rsidP="004E7B6D">
      <w:pPr>
        <w:spacing w:after="0" w:line="240" w:lineRule="auto"/>
        <w:rPr>
          <w:rFonts w:ascii="Times New Roman" w:hAnsi="Times New Roman" w:cs="Times New Roman"/>
          <w:sz w:val="24"/>
          <w:szCs w:val="24"/>
          <w:lang w:eastAsia="sk-SK"/>
        </w:rPr>
      </w:pPr>
    </w:p>
    <w:p w:rsidR="004E7B6D" w:rsidRPr="00D53C96" w:rsidRDefault="004E7B6D" w:rsidP="004E7B6D">
      <w:pPr>
        <w:spacing w:after="0" w:line="240" w:lineRule="auto"/>
        <w:rPr>
          <w:rFonts w:ascii="Times New Roman" w:hAnsi="Times New Roman" w:cs="Times New Roman"/>
          <w:sz w:val="24"/>
          <w:szCs w:val="24"/>
          <w:lang w:eastAsia="sk-SK"/>
        </w:rPr>
      </w:pPr>
    </w:p>
    <w:p w:rsidR="004E7B6D" w:rsidRPr="00D53C96" w:rsidRDefault="004E7B6D" w:rsidP="004E7B6D">
      <w:pPr>
        <w:spacing w:after="0" w:line="240" w:lineRule="auto"/>
        <w:rPr>
          <w:rFonts w:ascii="Times New Roman" w:hAnsi="Times New Roman" w:cs="Times New Roman"/>
          <w:sz w:val="24"/>
          <w:szCs w:val="24"/>
          <w:lang w:eastAsia="sk-SK"/>
        </w:rPr>
      </w:pPr>
    </w:p>
    <w:p w:rsidR="004E7B6D" w:rsidRPr="00D53C96" w:rsidRDefault="004E7B6D" w:rsidP="004E7B6D">
      <w:pPr>
        <w:spacing w:after="0" w:line="240" w:lineRule="auto"/>
        <w:rPr>
          <w:rFonts w:ascii="Times New Roman" w:hAnsi="Times New Roman" w:cs="Times New Roman"/>
          <w:sz w:val="24"/>
          <w:szCs w:val="24"/>
          <w:lang w:eastAsia="sk-SK"/>
        </w:rPr>
      </w:pPr>
    </w:p>
    <w:p w:rsidR="004E7B6D" w:rsidRPr="00D53C96" w:rsidRDefault="004E7B6D" w:rsidP="004E7B6D">
      <w:pPr>
        <w:spacing w:after="0" w:line="240" w:lineRule="auto"/>
        <w:rPr>
          <w:rFonts w:ascii="Times New Roman" w:hAnsi="Times New Roman" w:cs="Times New Roman"/>
          <w:sz w:val="24"/>
          <w:szCs w:val="24"/>
          <w:lang w:eastAsia="sk-SK"/>
        </w:rPr>
      </w:pPr>
    </w:p>
    <w:p w:rsidR="004E7B6D" w:rsidRPr="00D53C96" w:rsidRDefault="004E7B6D" w:rsidP="004E7B6D">
      <w:pPr>
        <w:spacing w:after="0" w:line="240" w:lineRule="auto"/>
        <w:rPr>
          <w:rFonts w:ascii="Times New Roman" w:hAnsi="Times New Roman" w:cs="Times New Roman"/>
          <w:sz w:val="24"/>
          <w:szCs w:val="24"/>
          <w:lang w:eastAsia="sk-SK"/>
        </w:rPr>
      </w:pPr>
    </w:p>
    <w:p w:rsidR="004E7B6D" w:rsidRPr="00D53C96" w:rsidRDefault="004E7B6D" w:rsidP="004E7B6D">
      <w:pPr>
        <w:spacing w:after="0" w:line="240" w:lineRule="auto"/>
        <w:rPr>
          <w:rFonts w:ascii="Times New Roman" w:hAnsi="Times New Roman" w:cs="Times New Roman"/>
          <w:sz w:val="24"/>
          <w:szCs w:val="24"/>
          <w:lang w:eastAsia="sk-SK"/>
        </w:rPr>
      </w:pPr>
    </w:p>
    <w:p w:rsidR="004E7B6D" w:rsidRPr="00D53C96" w:rsidRDefault="004E7B6D" w:rsidP="004E7B6D">
      <w:pPr>
        <w:spacing w:after="0" w:line="240" w:lineRule="auto"/>
        <w:rPr>
          <w:rFonts w:ascii="Times New Roman" w:hAnsi="Times New Roman" w:cs="Times New Roman"/>
          <w:sz w:val="24"/>
          <w:szCs w:val="24"/>
          <w:lang w:eastAsia="sk-SK"/>
        </w:rPr>
      </w:pPr>
    </w:p>
    <w:sectPr w:rsidR="004E7B6D" w:rsidRPr="00D53C96" w:rsidSect="00831EE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7DB" w:rsidRDefault="004E07DB" w:rsidP="00B5323E">
      <w:pPr>
        <w:spacing w:after="0" w:line="240" w:lineRule="auto"/>
      </w:pPr>
      <w:r>
        <w:separator/>
      </w:r>
    </w:p>
  </w:endnote>
  <w:endnote w:type="continuationSeparator" w:id="0">
    <w:p w:rsidR="004E07DB" w:rsidRDefault="004E07DB" w:rsidP="00B53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8692"/>
      <w:docPartObj>
        <w:docPartGallery w:val="Page Numbers (Bottom of Page)"/>
        <w:docPartUnique/>
      </w:docPartObj>
    </w:sdtPr>
    <w:sdtContent>
      <w:p w:rsidR="00506E06" w:rsidRDefault="00FE2DF1">
        <w:pPr>
          <w:pStyle w:val="Pta"/>
          <w:jc w:val="center"/>
        </w:pPr>
        <w:fldSimple w:instr=" PAGE   \* MERGEFORMAT ">
          <w:r w:rsidR="00945F56">
            <w:rPr>
              <w:noProof/>
            </w:rPr>
            <w:t>11</w:t>
          </w:r>
        </w:fldSimple>
      </w:p>
    </w:sdtContent>
  </w:sdt>
  <w:p w:rsidR="00360591" w:rsidRDefault="00945F5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7DB" w:rsidRDefault="004E07DB" w:rsidP="00B5323E">
      <w:pPr>
        <w:spacing w:after="0" w:line="240" w:lineRule="auto"/>
      </w:pPr>
      <w:r>
        <w:separator/>
      </w:r>
    </w:p>
  </w:footnote>
  <w:footnote w:type="continuationSeparator" w:id="0">
    <w:p w:rsidR="004E07DB" w:rsidRDefault="004E07DB" w:rsidP="00B532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73F35"/>
    <w:multiLevelType w:val="hybridMultilevel"/>
    <w:tmpl w:val="58C0131C"/>
    <w:lvl w:ilvl="0" w:tplc="60144AA6">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6E754BC4"/>
    <w:multiLevelType w:val="hybridMultilevel"/>
    <w:tmpl w:val="A67C5C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53BBB"/>
    <w:rsid w:val="001061A7"/>
    <w:rsid w:val="004C79C4"/>
    <w:rsid w:val="004E07DB"/>
    <w:rsid w:val="004E7B6D"/>
    <w:rsid w:val="00506E06"/>
    <w:rsid w:val="006D2D5A"/>
    <w:rsid w:val="00831EE7"/>
    <w:rsid w:val="00945F56"/>
    <w:rsid w:val="00AE573E"/>
    <w:rsid w:val="00B5323E"/>
    <w:rsid w:val="00B536F9"/>
    <w:rsid w:val="00B53BBB"/>
    <w:rsid w:val="00CB404B"/>
    <w:rsid w:val="00DD4CE5"/>
    <w:rsid w:val="00F62B93"/>
    <w:rsid w:val="00FE2DF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3BBB"/>
    <w:pPr>
      <w:widowControl w:val="0"/>
      <w:adjustRightInd w:val="0"/>
    </w:pPr>
    <w:rPr>
      <w:rFonts w:ascii="Calibri" w:eastAsia="Times New Roman"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4E7B6D"/>
    <w:pPr>
      <w:widowControl/>
      <w:tabs>
        <w:tab w:val="center" w:pos="4536"/>
        <w:tab w:val="right" w:pos="9072"/>
      </w:tabs>
      <w:adjustRightInd/>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4E7B6D"/>
  </w:style>
  <w:style w:type="character" w:styleId="Hypertextovprepojenie">
    <w:name w:val="Hyperlink"/>
    <w:basedOn w:val="Predvolenpsmoodseku"/>
    <w:uiPriority w:val="99"/>
    <w:semiHidden/>
    <w:unhideWhenUsed/>
    <w:rsid w:val="004E7B6D"/>
    <w:rPr>
      <w:color w:val="0000FF"/>
      <w:u w:val="single"/>
    </w:rPr>
  </w:style>
  <w:style w:type="paragraph" w:styleId="Hlavika">
    <w:name w:val="header"/>
    <w:basedOn w:val="Normlny"/>
    <w:link w:val="HlavikaChar"/>
    <w:uiPriority w:val="99"/>
    <w:semiHidden/>
    <w:unhideWhenUsed/>
    <w:rsid w:val="00506E0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06E06"/>
    <w:rPr>
      <w:rFonts w:ascii="Calibri" w:eastAsia="Times New Roman" w:hAnsi="Calibri" w:cs="Calibri"/>
    </w:rPr>
  </w:style>
  <w:style w:type="paragraph" w:styleId="Textbubliny">
    <w:name w:val="Balloon Text"/>
    <w:basedOn w:val="Normlny"/>
    <w:link w:val="TextbublinyChar"/>
    <w:uiPriority w:val="99"/>
    <w:semiHidden/>
    <w:unhideWhenUsed/>
    <w:rsid w:val="00AE573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E57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3BBB"/>
    <w:pPr>
      <w:widowControl w:val="0"/>
      <w:adjustRightInd w:val="0"/>
    </w:pPr>
    <w:rPr>
      <w:rFonts w:ascii="Calibri" w:eastAsia="Times New Roman"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sticky@njf.s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jf.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3258</Words>
  <Characters>18577</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franczel</cp:lastModifiedBy>
  <cp:revision>9</cp:revision>
  <cp:lastPrinted>2018-12-06T09:34:00Z</cp:lastPrinted>
  <dcterms:created xsi:type="dcterms:W3CDTF">2018-10-18T08:23:00Z</dcterms:created>
  <dcterms:modified xsi:type="dcterms:W3CDTF">2018-12-06T09:34:00Z</dcterms:modified>
</cp:coreProperties>
</file>