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463272FA" w:rsidR="0081708C" w:rsidRPr="00CA6E29" w:rsidRDefault="004059FF" w:rsidP="004059FF">
                  <w:pPr>
                    <w:spacing w:line="276" w:lineRule="auto"/>
                    <w:jc w:val="center"/>
                    <w:rPr>
                      <w:rFonts w:ascii="Times New Roman" w:hAnsi="Times New Roman" w:cs="Times New Roman"/>
                      <w:b/>
                      <w:sz w:val="28"/>
                      <w:szCs w:val="28"/>
                    </w:rPr>
                  </w:pPr>
                  <w:r>
                    <w:rPr>
                      <w:rFonts w:ascii="Times" w:hAnsi="Times" w:cs="Times"/>
                      <w:b/>
                      <w:bCs/>
                      <w:sz w:val="28"/>
                      <w:szCs w:val="28"/>
                    </w:rPr>
                    <w:t>Návrh poslancov Národnej rady Slovenskej republiky Štefana Vavreka a Ladislava Balódiho na vydanie zákona, ktorým sa mení zákon č. 597/2003 Z. z. o financovaní základných škôl, stredných škôl a školských zariadení v znení neskorších predpisov (tlač 1157)</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4059FF"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0D1770D7" w14:textId="19E6EBED" w:rsidR="004059FF" w:rsidRDefault="004059FF"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4059FF" w14:paraId="2D42D968" w14:textId="77777777">
        <w:trPr>
          <w:divId w:val="1228998111"/>
          <w:trHeight w:val="450"/>
          <w:jc w:val="center"/>
        </w:trPr>
        <w:tc>
          <w:tcPr>
            <w:tcW w:w="400" w:type="pct"/>
            <w:tcBorders>
              <w:top w:val="nil"/>
              <w:left w:val="nil"/>
              <w:bottom w:val="nil"/>
              <w:right w:val="nil"/>
            </w:tcBorders>
            <w:hideMark/>
          </w:tcPr>
          <w:p w14:paraId="2E9C9C37" w14:textId="77777777" w:rsidR="004059FF" w:rsidRDefault="004059FF">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4921B5A8" w14:textId="77777777" w:rsidR="004059FF" w:rsidRDefault="004059FF">
            <w:pPr>
              <w:rPr>
                <w:rFonts w:ascii="Times" w:hAnsi="Times" w:cs="Times"/>
                <w:b/>
                <w:bCs/>
                <w:sz w:val="28"/>
                <w:szCs w:val="28"/>
              </w:rPr>
            </w:pPr>
            <w:r>
              <w:rPr>
                <w:rFonts w:ascii="Times" w:hAnsi="Times" w:cs="Times"/>
                <w:b/>
                <w:bCs/>
                <w:sz w:val="28"/>
                <w:szCs w:val="28"/>
              </w:rPr>
              <w:t>súhlasí</w:t>
            </w:r>
          </w:p>
        </w:tc>
      </w:tr>
      <w:tr w:rsidR="004059FF" w14:paraId="54ABF10C" w14:textId="77777777">
        <w:trPr>
          <w:divId w:val="1228998111"/>
          <w:trHeight w:val="450"/>
          <w:jc w:val="center"/>
        </w:trPr>
        <w:tc>
          <w:tcPr>
            <w:tcW w:w="400" w:type="pct"/>
            <w:tcBorders>
              <w:top w:val="nil"/>
              <w:left w:val="nil"/>
              <w:bottom w:val="nil"/>
              <w:right w:val="nil"/>
            </w:tcBorders>
            <w:hideMark/>
          </w:tcPr>
          <w:p w14:paraId="789B296B" w14:textId="77777777" w:rsidR="004059FF" w:rsidRDefault="004059FF">
            <w:pPr>
              <w:rPr>
                <w:rFonts w:ascii="Times" w:hAnsi="Times" w:cs="Times"/>
                <w:b/>
                <w:bCs/>
                <w:sz w:val="28"/>
                <w:szCs w:val="28"/>
              </w:rPr>
            </w:pPr>
          </w:p>
        </w:tc>
        <w:tc>
          <w:tcPr>
            <w:tcW w:w="400" w:type="pct"/>
            <w:tcBorders>
              <w:top w:val="nil"/>
              <w:left w:val="nil"/>
              <w:bottom w:val="nil"/>
              <w:right w:val="nil"/>
            </w:tcBorders>
            <w:hideMark/>
          </w:tcPr>
          <w:p w14:paraId="7390E860" w14:textId="77777777" w:rsidR="004059FF" w:rsidRDefault="004059FF">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192FAA7B" w14:textId="77777777" w:rsidR="004059FF" w:rsidRDefault="004059FF">
            <w:pPr>
              <w:rPr>
                <w:rFonts w:ascii="Times" w:hAnsi="Times" w:cs="Times"/>
                <w:sz w:val="25"/>
                <w:szCs w:val="25"/>
              </w:rPr>
            </w:pPr>
            <w:r>
              <w:rPr>
                <w:rFonts w:ascii="Times" w:hAnsi="Times" w:cs="Times"/>
                <w:sz w:val="25"/>
                <w:szCs w:val="25"/>
              </w:rPr>
              <w:t>s návrhom poslancov Národnej rady Slovenskej republiky Štefana Vavreka a Ladislava Balódiho na vydanie zákona, ktorým sa mení zákon č. 597/2003 Z. z. o financovaní základných škôl, stredných škôl a školských zariadení v znení neskorších predpisov (tlač 1157) s pripomienkami uvedenými v stanovisku vlády;</w:t>
            </w:r>
          </w:p>
        </w:tc>
      </w:tr>
      <w:tr w:rsidR="004059FF" w14:paraId="57231B42" w14:textId="77777777">
        <w:trPr>
          <w:divId w:val="1228998111"/>
          <w:trHeight w:val="450"/>
          <w:jc w:val="center"/>
        </w:trPr>
        <w:tc>
          <w:tcPr>
            <w:tcW w:w="5000" w:type="pct"/>
            <w:gridSpan w:val="3"/>
            <w:tcBorders>
              <w:top w:val="nil"/>
              <w:left w:val="nil"/>
              <w:bottom w:val="nil"/>
              <w:right w:val="nil"/>
            </w:tcBorders>
            <w:vAlign w:val="center"/>
            <w:hideMark/>
          </w:tcPr>
          <w:p w14:paraId="634B3452" w14:textId="77777777" w:rsidR="004059FF" w:rsidRDefault="004059FF">
            <w:pPr>
              <w:rPr>
                <w:rFonts w:ascii="Times" w:hAnsi="Times" w:cs="Times"/>
                <w:sz w:val="25"/>
                <w:szCs w:val="25"/>
              </w:rPr>
            </w:pPr>
          </w:p>
        </w:tc>
      </w:tr>
      <w:tr w:rsidR="004059FF" w14:paraId="1D9F3EF2" w14:textId="77777777">
        <w:trPr>
          <w:divId w:val="1228998111"/>
          <w:trHeight w:val="450"/>
          <w:jc w:val="center"/>
        </w:trPr>
        <w:tc>
          <w:tcPr>
            <w:tcW w:w="400" w:type="pct"/>
            <w:tcBorders>
              <w:top w:val="nil"/>
              <w:left w:val="nil"/>
              <w:bottom w:val="nil"/>
              <w:right w:val="nil"/>
            </w:tcBorders>
            <w:hideMark/>
          </w:tcPr>
          <w:p w14:paraId="78D99B46" w14:textId="77777777" w:rsidR="004059FF" w:rsidRDefault="004059FF">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4F26C6A3" w14:textId="77777777" w:rsidR="004059FF" w:rsidRDefault="004059FF">
            <w:pPr>
              <w:rPr>
                <w:rFonts w:ascii="Times" w:hAnsi="Times" w:cs="Times"/>
                <w:b/>
                <w:bCs/>
                <w:sz w:val="28"/>
                <w:szCs w:val="28"/>
              </w:rPr>
            </w:pPr>
            <w:r>
              <w:rPr>
                <w:rFonts w:ascii="Times" w:hAnsi="Times" w:cs="Times"/>
                <w:b/>
                <w:bCs/>
                <w:sz w:val="28"/>
                <w:szCs w:val="28"/>
              </w:rPr>
              <w:t>poveruje</w:t>
            </w:r>
          </w:p>
        </w:tc>
      </w:tr>
      <w:tr w:rsidR="004059FF" w14:paraId="619F8FA3" w14:textId="77777777">
        <w:trPr>
          <w:divId w:val="1228998111"/>
          <w:trHeight w:val="450"/>
          <w:jc w:val="center"/>
        </w:trPr>
        <w:tc>
          <w:tcPr>
            <w:tcW w:w="400" w:type="pct"/>
            <w:tcBorders>
              <w:top w:val="nil"/>
              <w:left w:val="nil"/>
              <w:bottom w:val="nil"/>
              <w:right w:val="nil"/>
            </w:tcBorders>
            <w:hideMark/>
          </w:tcPr>
          <w:p w14:paraId="013E9AB1" w14:textId="77777777" w:rsidR="004059FF" w:rsidRDefault="004059FF">
            <w:pPr>
              <w:rPr>
                <w:rFonts w:ascii="Times" w:hAnsi="Times" w:cs="Times"/>
                <w:b/>
                <w:bCs/>
                <w:sz w:val="28"/>
                <w:szCs w:val="28"/>
              </w:rPr>
            </w:pPr>
          </w:p>
        </w:tc>
        <w:tc>
          <w:tcPr>
            <w:tcW w:w="4600" w:type="pct"/>
            <w:gridSpan w:val="2"/>
            <w:tcBorders>
              <w:top w:val="nil"/>
              <w:left w:val="nil"/>
              <w:bottom w:val="nil"/>
              <w:right w:val="nil"/>
            </w:tcBorders>
            <w:hideMark/>
          </w:tcPr>
          <w:p w14:paraId="59C1246F" w14:textId="77777777" w:rsidR="004059FF" w:rsidRDefault="004059FF">
            <w:pPr>
              <w:rPr>
                <w:rFonts w:ascii="Times" w:hAnsi="Times" w:cs="Times"/>
                <w:b/>
                <w:bCs/>
                <w:sz w:val="25"/>
                <w:szCs w:val="25"/>
              </w:rPr>
            </w:pPr>
            <w:r>
              <w:rPr>
                <w:rFonts w:ascii="Times" w:hAnsi="Times" w:cs="Times"/>
                <w:b/>
                <w:bCs/>
                <w:sz w:val="25"/>
                <w:szCs w:val="25"/>
              </w:rPr>
              <w:t>predsedu vlády Slovenskej republiky</w:t>
            </w:r>
          </w:p>
        </w:tc>
      </w:tr>
      <w:tr w:rsidR="004059FF" w14:paraId="5B0FF26D" w14:textId="77777777">
        <w:trPr>
          <w:divId w:val="1228998111"/>
          <w:trHeight w:val="450"/>
          <w:jc w:val="center"/>
        </w:trPr>
        <w:tc>
          <w:tcPr>
            <w:tcW w:w="400" w:type="pct"/>
            <w:tcBorders>
              <w:top w:val="nil"/>
              <w:left w:val="nil"/>
              <w:bottom w:val="nil"/>
              <w:right w:val="nil"/>
            </w:tcBorders>
            <w:hideMark/>
          </w:tcPr>
          <w:p w14:paraId="4156594D" w14:textId="77777777" w:rsidR="004059FF" w:rsidRDefault="004059FF">
            <w:pPr>
              <w:rPr>
                <w:rFonts w:ascii="Times" w:hAnsi="Times" w:cs="Times"/>
                <w:b/>
                <w:bCs/>
                <w:sz w:val="25"/>
                <w:szCs w:val="25"/>
              </w:rPr>
            </w:pPr>
          </w:p>
        </w:tc>
        <w:tc>
          <w:tcPr>
            <w:tcW w:w="400" w:type="pct"/>
            <w:tcBorders>
              <w:top w:val="nil"/>
              <w:left w:val="nil"/>
              <w:bottom w:val="nil"/>
              <w:right w:val="nil"/>
            </w:tcBorders>
            <w:hideMark/>
          </w:tcPr>
          <w:p w14:paraId="28ACA6D5" w14:textId="77777777" w:rsidR="004059FF" w:rsidRDefault="004059FF">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0288F447" w14:textId="77777777" w:rsidR="004059FF" w:rsidRDefault="004059FF">
            <w:pPr>
              <w:rPr>
                <w:rFonts w:ascii="Times" w:hAnsi="Times" w:cs="Times"/>
                <w:sz w:val="25"/>
                <w:szCs w:val="25"/>
              </w:rPr>
            </w:pPr>
            <w:r>
              <w:rPr>
                <w:rFonts w:ascii="Times" w:hAnsi="Times" w:cs="Times"/>
                <w:sz w:val="25"/>
                <w:szCs w:val="25"/>
              </w:rPr>
              <w:t>oznámiť stanovisko vlády predsedovi Národnej rady Slovenskej republiky.</w:t>
            </w:r>
          </w:p>
        </w:tc>
      </w:tr>
      <w:tr w:rsidR="004059FF" w14:paraId="1EE90EF5" w14:textId="77777777">
        <w:trPr>
          <w:divId w:val="1228998111"/>
          <w:trHeight w:val="450"/>
          <w:jc w:val="center"/>
        </w:trPr>
        <w:tc>
          <w:tcPr>
            <w:tcW w:w="5000" w:type="pct"/>
            <w:gridSpan w:val="3"/>
            <w:tcBorders>
              <w:top w:val="nil"/>
              <w:left w:val="nil"/>
              <w:bottom w:val="nil"/>
              <w:right w:val="nil"/>
            </w:tcBorders>
            <w:vAlign w:val="center"/>
            <w:hideMark/>
          </w:tcPr>
          <w:p w14:paraId="0DD42701" w14:textId="77777777" w:rsidR="004059FF" w:rsidRDefault="004059FF">
            <w:pPr>
              <w:rPr>
                <w:rFonts w:ascii="Times" w:hAnsi="Times" w:cs="Times"/>
                <w:sz w:val="25"/>
                <w:szCs w:val="25"/>
              </w:rPr>
            </w:pPr>
          </w:p>
        </w:tc>
      </w:tr>
    </w:tbl>
    <w:p w14:paraId="58EF137F" w14:textId="4AF5972C"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B9DFC7F" w14:textId="46D2A6E1" w:rsidR="00557779" w:rsidRPr="00557779" w:rsidRDefault="004059FF" w:rsidP="004059FF">
            <w:r>
              <w:rPr>
                <w:rFonts w:ascii="Times" w:hAnsi="Times" w:cs="Times"/>
                <w:sz w:val="25"/>
                <w:szCs w:val="25"/>
              </w:rPr>
              <w:t>predseda vlády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076731E2" w:rsidR="00557779" w:rsidRPr="0010780A" w:rsidRDefault="004059FF" w:rsidP="004059FF">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1F7A47D7" w:rsidR="00557779" w:rsidRDefault="004059FF" w:rsidP="004059FF">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059FF"/>
    <w:rsid w:val="00456D57"/>
    <w:rsid w:val="00467279"/>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14A4"/>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0C438A26-DB2F-499F-A42A-2D50FB3E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271">
      <w:bodyDiv w:val="1"/>
      <w:marLeft w:val="0"/>
      <w:marRight w:val="0"/>
      <w:marTop w:val="0"/>
      <w:marBottom w:val="0"/>
      <w:divBdr>
        <w:top w:val="none" w:sz="0" w:space="0" w:color="auto"/>
        <w:left w:val="none" w:sz="0" w:space="0" w:color="auto"/>
        <w:bottom w:val="none" w:sz="0" w:space="0" w:color="auto"/>
        <w:right w:val="none" w:sz="0" w:space="0" w:color="auto"/>
      </w:divBdr>
    </w:div>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1143356240">
      <w:bodyDiv w:val="1"/>
      <w:marLeft w:val="0"/>
      <w:marRight w:val="0"/>
      <w:marTop w:val="0"/>
      <w:marBottom w:val="0"/>
      <w:divBdr>
        <w:top w:val="none" w:sz="0" w:space="0" w:color="auto"/>
        <w:left w:val="none" w:sz="0" w:space="0" w:color="auto"/>
        <w:bottom w:val="none" w:sz="0" w:space="0" w:color="auto"/>
        <w:right w:val="none" w:sz="0" w:space="0" w:color="auto"/>
      </w:divBdr>
    </w:div>
    <w:div w:id="1228998111">
      <w:bodyDiv w:val="1"/>
      <w:marLeft w:val="0"/>
      <w:marRight w:val="0"/>
      <w:marTop w:val="0"/>
      <w:marBottom w:val="0"/>
      <w:divBdr>
        <w:top w:val="none" w:sz="0" w:space="0" w:color="auto"/>
        <w:left w:val="none" w:sz="0" w:space="0" w:color="auto"/>
        <w:bottom w:val="none" w:sz="0" w:space="0" w:color="auto"/>
        <w:right w:val="none" w:sz="0" w:space="0" w:color="auto"/>
      </w:divBdr>
    </w:div>
    <w:div w:id="2085880132">
      <w:bodyDiv w:val="1"/>
      <w:marLeft w:val="0"/>
      <w:marRight w:val="0"/>
      <w:marTop w:val="0"/>
      <w:marBottom w:val="0"/>
      <w:divBdr>
        <w:top w:val="none" w:sz="0" w:space="0" w:color="auto"/>
        <w:left w:val="none" w:sz="0" w:space="0" w:color="auto"/>
        <w:bottom w:val="none" w:sz="0" w:space="0" w:color="auto"/>
        <w:right w:val="none" w:sz="0" w:space="0" w:color="auto"/>
      </w:divBdr>
      <w:divsChild>
        <w:div w:id="1017347664">
          <w:marLeft w:val="0"/>
          <w:marRight w:val="0"/>
          <w:marTop w:val="0"/>
          <w:marBottom w:val="0"/>
          <w:divBdr>
            <w:top w:val="none" w:sz="0" w:space="0" w:color="auto"/>
            <w:left w:val="none" w:sz="0" w:space="0" w:color="auto"/>
            <w:bottom w:val="none" w:sz="0" w:space="0" w:color="auto"/>
            <w:right w:val="none" w:sz="0" w:space="0" w:color="auto"/>
          </w:divBdr>
        </w:div>
      </w:divsChild>
    </w:div>
    <w:div w:id="21351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Poslanecký návrh zákona - návrh uznesenia vlády"/>
    <f:field ref="objsubject" par="" edit="true" text="Poslanecký návrh zákona - návrh uznesenia vlády"/>
    <f:field ref="objcreatedby" par="" text="Administrator, System"/>
    <f:field ref="objcreatedat" par="" text="15.11.2018 10:51:50"/>
    <f:field ref="objchangedby" par="" text="Administrator, System"/>
    <f:field ref="objmodifiedat" par="" text="15.11.2018 10:51:53"/>
    <f:field ref="doc_FSCFOLIO_1_1001_FieldDocumentNumber" par="" text=""/>
    <f:field ref="doc_FSCFOLIO_1_1001_FieldSubject" par="" edit="true" text="Poslanecký návrh zákona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00130B7-6D6B-4155-9B99-9BFC04A0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4</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2018-11-15T09:51:00Z</dcterms:created>
  <dc:creator>Pavol Gibala</dc:creator>
  <lastModifiedBy>ms.slx.P.fscsrv</lastModifiedBy>
  <dcterms:modified xsi:type="dcterms:W3CDTF">2018-11-15T09:51:00Z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COO.2145.1000.3.3053246</vt:lpwstr>
  </property>
  <property name="FSC#FSCFOLIO@1.1001:docpropproject" pid="3" fmtid="{D5CDD505-2E9C-101B-9397-08002B2CF9AE}">
    <vt:lpwstr/>
  </property>
  <property name="FSC#SKEDITIONSLOVLEX@103.510:typpredpis" pid="4" fmtid="{D5CDD505-2E9C-101B-9397-08002B2CF9AE}">
    <vt:lpwstr>Poslanecký návrh - 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Školstvo a vzdelávanie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Zuzana Tokárová</vt:lpwstr>
  </property>
  <property name="FSC#SKEDITIONSLOVLEX@103.510:zodppredkladatel" pid="11" fmtid="{D5CDD505-2E9C-101B-9397-08002B2CF9AE}">
    <vt:lpwstr>Martina Lubyová</vt:lpwstr>
  </property>
  <property name="FSC#SKEDITIONSLOVLEX@103.510:nazovpredpis" pid="12" fmtid="{D5CDD505-2E9C-101B-9397-08002B2CF9AE}">
    <vt:lpwstr> Návrh poslancov Národnej rady Slovenskej republiky Štefana Vavreka a Ladislava Balódiho na vydanie zákona, ktorým sa mení zákon č. 597/2003 Z. z. o financovaní základných škôl, stredných škôl a školských zariadení v znení neskorších predpisov (tlač 1157)</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18" fmtid="{D5CDD505-2E9C-101B-9397-08002B2CF9AE}">
    <vt:lpwstr> Návrh poslancov Národnej rady Slovenskej republiky Štefana Vavreka a Ladislava Balódiho na vydanie zákona, ktorým sa mení zákon č. 597/2003 Z. z. o financovaní základných škôl, stredných škôl a školských zariadení v znení neskorších predpisov (tlač 1157)</vt:lpwstr>
  </property>
  <property name="FSC#SKEDITIONSLOVLEX@103.510:rezortcislopredpis" pid="19" fmtid="{D5CDD505-2E9C-101B-9397-08002B2CF9AE}">
    <vt:lpwstr>spis č. 2018/14674-60AA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LP/2018/790</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Pozitívne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Doložka vybraných vplyvov bola vypracovaná predkladateľom ako súčasť vlastného materiálu. Ministerstvo ju preto samostatne nepredkladá.</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&lt;p&gt;Na základe §&amp;nbsp;70 ods.&amp;nbsp;2 zákona Národnej rady Slovenskej republiky č.&amp;nbsp;350/1996 Z.&amp;nbsp;z. o&amp;nbsp;rokovacom poriadku Národnej rady Slovenskej republiky v&amp;nbsp;znení neskorších predpisov, Ministerstvo školstva, vedy, výskumu a&amp;nbsp;športu Slovenskej republiky (ďalej len „ministerstvo“) predkladá návrh poslancov Národnej rady Slovenskej republiky Štefana Vavreka &amp;nbsp;a Ladislava Balódiho na vydanie zákona, ktorým sa mení zákon č. 597/2003 Z. z. &amp;nbsp;o financovaní základných škôl, stredných škôl a školských zariadení v znení neskorších predpisov, parlamentná tlač 1157 (ďalej len „poslanecký návrh zákona“).&lt;/p&gt;&lt;p&gt;&lt;strong&gt;Všeobecne&lt;/strong&gt;&lt;/p&gt;&lt;p&gt;Podľa predkladateľov je základným cieľom poslaneckého návrhu zákona predĺženie prechodného obdobia, ustanoveného v § 9f ods. 3 zákona č. 597/2003 Z. z. o financovaní základných škôl, stredných škôl a školských zariadení v znení neskorších predpisov, vo&amp;nbsp; vzťahu k&amp;nbsp;príspevku na skvalitnenie podmienok na výchovu a vzdelávanie žiakov zo sociálne znevýhodneného prostredia.&lt;/p&gt;&lt;p&gt;Predkladatelia uvádzajú, že v dôsledku stále pretrvávajúcej situácie zariadení výchovného poradenstva a prevencie, ktoré nie sú kapacitne a odborne vybavené pre posúdenie všetkých žiakov zo sociálne znevýhodneného prostredia, sa navrhuje predĺžiť prechodné obdobie, v&amp;nbsp;ktorom sa umožní poskytovanie príspevku aj na žiakov z domácnosti, ktorej členovi sa poskytuje pomoc v hmotnej núdzi podľa zákona č.&amp;nbsp;417/2013 Z. z. o pomoci v hmotnej núdzi a&amp;nbsp;o zmene a doplnení niektorých zákonov. Do uplynutia takto predĺženého prechodného obdobia je potrebné vyriešiť vzťah žiakov zo&amp;nbsp;sociálne znevýhodneného prostredia a žiakov z&amp;nbsp;domácností, ktorých členovi sa poskytuje pomoc v hmotnej núdzi.&lt;/p&gt;&lt;p&gt;Podľa súčasného znenia dotknutého ustanovenia zákona prechodné obdobie trvá do 31. decembra 2018. Podľa predkladateľov „&lt;em&gt;od 1. januára 2019, pre výpočty počtu detí zo sociálne znevýhodneného prostredia boli považované len tie deti/žiaci&lt;/em&gt;, &lt;em&gt;ktorí boli zariadeniami výchovného poradenstva a prevencie diagnostikovaní ako žiaci zo sociálne znevýhodneného prostredia. V školskom roku 2017/2018 z celkového počtu 41 650 žiakov zo sociálne znevýhodneného prostredia bolo 22 146 žiakov s vyjadrením centra pedagogicko-psychologického poradenstva a prevencie a až 19 504 žiakov z rodín, ktorej sa poskytuje pomoc v hmotnej núdzi&lt;/em&gt;.“.&lt;/p&gt;&lt;p&gt;Poslanecký návrh zákona podľa predkladateľov predpokladá pozitívny sociálny vplyv. Poslanecký návrh zákona podľa predkladateľov nemá vplyvy na rozpočet verejnej správy, podnikateľské prostredie, životné prostredie, na informatizáciu spoločnosti ani na služby verejnej správy pre občana.&lt;/p&gt;&lt;p&gt;&amp;nbsp;&lt;/p&gt;&lt;p&gt;&lt;strong&gt;Stanovisko&lt;/strong&gt;&lt;/p&gt;&lt;p&gt;Ministerstvo zaujíma k&amp;nbsp;predloženému poslaneckému návrhu zákona nasledovné stanovisko:&lt;/p&gt;&lt;p&gt;&amp;nbsp;&lt;/p&gt;&lt;p&gt;Ministerstvo oceňuje poslanecký návrh zákona z hľadiska snahy predĺžiť prechodné obdobie, ustanovené v § 9f ods. 3 zákona č. 597/2003 Z. z. o financovaní základných škôl, stredných škôl a školských zariadení v znení neskorších predpisov, vo&amp;nbsp; vzťahu k&amp;nbsp;príspevku na skvalitnenie podmienok na výchovu a vzdelávanie žiakov zo sociálne znevýhodneného prostredia s&amp;nbsp;poslaneckým návrhom zákona &lt;strong&gt;súhlasí&lt;/strong&gt;.&lt;/p&gt;&lt;p&gt;V&amp;nbsp;rámci medzirezortného pripomienkového konania Ministerstvo práce, sociálnych vecí a&amp;nbsp;rodiny Slovenskej republiky uplatnilo k&amp;nbsp;materiálu nasledujúcu obyčajnú pripomienku k&amp;nbsp;predkladacej&amp;nbsp; správe a&amp;nbsp;všeobecnej časti dôvodovej správy.&lt;/p&gt;&lt;p&gt;Pripomienkujúci subjekt namieta, že konštatovanie predkladateľa vo všeobecnej časti dôvodovej správy „Do uplynutia tohto prechodného obdobia je potrebné vyriešiť otázku vzťahu žiakov zo sociálne znevýhodneného prostredia a žiakov z domácností, ktorých členovi sa poskytuje pomoc v hmotnej núdzi podľa zákona č. 417/2013 Z. z. o pomoci v hmotnej núdzi a&amp;nbsp;o zmene a doplnení niektorých zákonov.“ nie je presné, a to vzhľadom na dôvody navrhovaného predĺženia prechodného obdobia na účely poskytovania príspevku na&amp;nbsp;skvalitnenie podmienok na výchovu a vzdelávanie žiakov zo sociálne znevýhodneného prostredia.“ a&amp;nbsp;zároveň upozorňuje, že skutočným dôvodom predĺženia prechodného obdobia na&amp;nbsp;účely poskytovania príspevku na skvalitnenie podmienok na výchovu a vzdelávanie žiakov zo sociálne znevýhodneného prostredia je „potreba nastavenia adresnejšej finančnej podpory vzdelávania žiakov zo sociálne znevýhodneného prostredia zmenou definovania, identifikovania a&amp;nbsp;financovania podpory vzdelávania takýchto žiakov s potrebami vo výchove a&amp;nbsp;vzdelávaní, ale aj súvisiacimi s chudobou, ako sa následne uvádza v ďalšom texte dôvodovej správy všeobecnej časti.“.&lt;/p&gt;&lt;p&gt;Ministerstvo súhlasí s&amp;nbsp;uvedenou pripomienkou a&amp;nbsp;odporúča predkladateľovi, aby s&amp;nbsp;touto pripomienkou vysporiadal.&lt;/p&gt;&lt;p&gt;&lt;strong&gt;Záverom ministerstvo odporúča vláde Slovenskej republiky, aby s predloženým návrhom &lt;/strong&gt;poslancov Národnej rady Slovenskej republiky Štefana Vavreka a Ladislava Balódiho na&amp;nbsp;vydanie zákona, ktorým sa mení zákon č. 597/2003 Z. z. o financovaní základných škôl, stredných škôl a školských zariadení v znení neskorších predpisov (tlač 1157) &lt;strong&gt;vyslovila súhlas.&lt;/strong&gt;&lt;/p&gt;</vt:lpwstr>
  </property>
  <property name="FSC#SKEDITIONSLOVLEX@103.510:dalsipredkladatel" pid="132" fmtid="{D5CDD505-2E9C-101B-9397-08002B2CF9AE}">
    <vt:lpwstr/>
  </property>
  <property name="FSC#SKEDITIONSLOVLEX@103.510:funkciaPred" pid="133" fmtid="{D5CDD505-2E9C-101B-9397-08002B2CF9AE}">
    <vt:lpwstr>Hlavný štátny radca</vt:lpwstr>
  </property>
  <property name="FSC#SKEDITIONSLOVLEX@103.510:funkciaPredAkuzativ" pid="134" fmtid="{D5CDD505-2E9C-101B-9397-08002B2CF9AE}">
    <vt:lpwstr>Hlavného štátneho radcu</vt:lpwstr>
  </property>
  <property name="FSC#SKEDITIONSLOVLEX@103.510:funkciaPredDativ" pid="135" fmtid="{D5CDD505-2E9C-101B-9397-08002B2CF9AE}">
    <vt:lpwstr>Hlavnému štátnemu radcovi</vt:lpwstr>
  </property>
  <property name="FSC#SKEDITIONSLOVLEX@103.510:funkciaZodpPred" pid="136" fmtid="{D5CDD505-2E9C-101B-9397-08002B2CF9AE}">
    <vt:lpwstr>ministerka školstva, vedy, výskumu a športu Slovenskej republiky</vt:lpwstr>
  </property>
  <property name="FSC#SKEDITIONSLOVLEX@103.510:funkciaZodpPredAkuzativ" pid="137" fmtid="{D5CDD505-2E9C-101B-9397-08002B2CF9AE}">
    <vt:lpwstr>ministerke školstva, vedy, výskumu a športu Slovenskej republiky</vt:lpwstr>
  </property>
  <property name="FSC#SKEDITIONSLOVLEX@103.510:funkciaZodpPredDativ" pid="138" fmtid="{D5CDD505-2E9C-101B-9397-08002B2CF9AE}">
    <vt:lpwstr>ministerky školstva, vedy, výskumu a športu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Martina Lubyová_x000d__x000a_ministerka školstva, vedy, výskumu a športu Slovenskej republiky</vt:lpwstr>
  </property>
  <property name="FSC#SKEDITIONSLOVLEX@103.510:spravaucastverej" pid="143" fmtid="{D5CDD505-2E9C-101B-9397-08002B2CF9AE}">
    <vt:lpwstr>&lt;p&gt;Vzhľadom na skutočnosť, že ide o poslanecký návrh zákona, verejnosť sa na jeho príprave nepodieľala.&lt;/p&gt;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15. 11. 2018</vt:lpwstr>
  </property>
</Properties>
</file>