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531179">
        <w:trPr>
          <w:trHeight w:val="225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B3C8B" w:rsidRPr="00531179" w:rsidRDefault="003501A1" w:rsidP="00531179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  <w:r w:rsidR="00EB3C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152363" w:rsidRDefault="00531179" w:rsidP="007B71A4">
            <w:r w:rsidRPr="00152363">
              <w:t xml:space="preserve">Návrh </w:t>
            </w:r>
            <w:r w:rsidR="00B614B4" w:rsidRPr="00152363">
              <w:rPr>
                <w:lang w:val="pl-PL"/>
              </w:rPr>
              <w:t xml:space="preserve">zákona o ochrane oznamovateľov </w:t>
            </w:r>
            <w:r w:rsidR="00B614B4" w:rsidRPr="00152363">
              <w:rPr>
                <w:bCs/>
              </w:rPr>
              <w:t>protispoločenskej činnosti</w:t>
            </w:r>
            <w:r w:rsidR="00B614B4" w:rsidRPr="00152363">
              <w:rPr>
                <w:b/>
                <w:bCs/>
              </w:rPr>
              <w:t xml:space="preserve"> </w:t>
            </w:r>
            <w:r w:rsidRPr="00152363">
              <w:t>a o zmene a doplnení niektorých zákonov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B3C8B" w:rsidRPr="00531179" w:rsidRDefault="003501A1" w:rsidP="00531179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531179" w:rsidP="007B71A4">
            <w:r>
              <w:t>Úrad vlády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B3C8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531179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531179" w:rsidRPr="00531179" w:rsidRDefault="00531179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531179" w:rsidP="007B71A4">
            <w:pPr>
              <w:rPr>
                <w:i/>
              </w:rPr>
            </w:pPr>
            <w:r>
              <w:rPr>
                <w:i/>
              </w:rPr>
              <w:t>február</w:t>
            </w:r>
            <w:r w:rsidR="00EB3C8B">
              <w:rPr>
                <w:i/>
              </w:rPr>
              <w:t xml:space="preserve"> 2018 </w:t>
            </w:r>
          </w:p>
        </w:tc>
      </w:tr>
      <w:tr w:rsidR="003501A1" w:rsidRPr="00A179AE" w:rsidTr="00531179">
        <w:trPr>
          <w:trHeight w:val="55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52363" w:rsidP="007B71A4">
            <w:pPr>
              <w:rPr>
                <w:i/>
              </w:rPr>
            </w:pPr>
            <w:r>
              <w:rPr>
                <w:i/>
              </w:rPr>
              <w:t>október</w:t>
            </w:r>
            <w:r w:rsidR="00EB3C8B">
              <w:rPr>
                <w:i/>
              </w:rPr>
              <w:t xml:space="preserve"> 2018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9BF" w:rsidRPr="005739BF" w:rsidRDefault="005739BF" w:rsidP="00531179">
            <w:pPr>
              <w:jc w:val="both"/>
              <w:rPr>
                <w:sz w:val="22"/>
                <w:szCs w:val="22"/>
              </w:rPr>
            </w:pPr>
            <w:r w:rsidRPr="005739BF">
              <w:rPr>
                <w:sz w:val="22"/>
                <w:szCs w:val="22"/>
              </w:rPr>
              <w:t>Zákon č. 307/2014 Z. z. o niektorých opatreniach súvisiacich s oznamovaním protispoločenskej činnosti a o zmene a dopln</w:t>
            </w:r>
            <w:r w:rsidR="00DB52A0">
              <w:rPr>
                <w:sz w:val="22"/>
                <w:szCs w:val="22"/>
              </w:rPr>
              <w:t>ení niektorých zákonov</w:t>
            </w:r>
            <w:r w:rsidRPr="005739BF">
              <w:rPr>
                <w:sz w:val="22"/>
                <w:szCs w:val="22"/>
              </w:rPr>
              <w:t xml:space="preserve"> v znení zákona č. 125/2016 Z. z. predst</w:t>
            </w:r>
            <w:r w:rsidR="00DB52A0">
              <w:rPr>
                <w:sz w:val="22"/>
                <w:szCs w:val="22"/>
              </w:rPr>
              <w:t xml:space="preserve">avoval v čase prijatia dovtedy </w:t>
            </w:r>
            <w:r w:rsidRPr="005739BF">
              <w:rPr>
                <w:sz w:val="22"/>
                <w:szCs w:val="22"/>
              </w:rPr>
              <w:t xml:space="preserve">neexistujúci nástroj právnej ochrany </w:t>
            </w:r>
            <w:r w:rsidR="00C409B7">
              <w:rPr>
                <w:sz w:val="22"/>
                <w:szCs w:val="22"/>
              </w:rPr>
              <w:t xml:space="preserve">oznamovateľov </w:t>
            </w:r>
            <w:r w:rsidRPr="005739BF">
              <w:rPr>
                <w:sz w:val="22"/>
                <w:szCs w:val="22"/>
              </w:rPr>
              <w:t>pred takým konaním zo strany zamestnávateľa resp. jeho riadiacich zamestnancov smerujúcim na „potrestanie</w:t>
            </w:r>
            <w:r w:rsidR="00FA7CCB">
              <w:rPr>
                <w:sz w:val="22"/>
                <w:szCs w:val="22"/>
              </w:rPr>
              <w:t>“</w:t>
            </w:r>
            <w:r w:rsidR="00C409B7">
              <w:rPr>
                <w:sz w:val="22"/>
                <w:szCs w:val="22"/>
              </w:rPr>
              <w:t xml:space="preserve"> oznamovateľa</w:t>
            </w:r>
            <w:r w:rsidRPr="005739BF">
              <w:rPr>
                <w:sz w:val="22"/>
                <w:szCs w:val="22"/>
              </w:rPr>
              <w:t xml:space="preserve">, ktoré nedosahovalo </w:t>
            </w:r>
            <w:r w:rsidR="00FA7CCB">
              <w:rPr>
                <w:sz w:val="22"/>
                <w:szCs w:val="22"/>
              </w:rPr>
              <w:t>intenzitu</w:t>
            </w:r>
            <w:r w:rsidRPr="005739BF">
              <w:rPr>
                <w:sz w:val="22"/>
                <w:szCs w:val="22"/>
              </w:rPr>
              <w:t xml:space="preserve"> trestného činu alebo správneho deliktu, ale bolo spôsobilé privodiť výrazný negatívny zásah do pracovného, </w:t>
            </w:r>
            <w:r w:rsidR="00FA7CCB">
              <w:rPr>
                <w:sz w:val="22"/>
                <w:szCs w:val="22"/>
              </w:rPr>
              <w:t>ako</w:t>
            </w:r>
            <w:r w:rsidRPr="005739BF">
              <w:rPr>
                <w:sz w:val="22"/>
                <w:szCs w:val="22"/>
              </w:rPr>
              <w:t xml:space="preserve"> aj rodinného a osobného života </w:t>
            </w:r>
            <w:r w:rsidR="00C409B7">
              <w:rPr>
                <w:sz w:val="22"/>
                <w:szCs w:val="22"/>
              </w:rPr>
              <w:t>tohto oznamovateľa</w:t>
            </w:r>
            <w:r w:rsidRPr="005739BF">
              <w:rPr>
                <w:sz w:val="22"/>
                <w:szCs w:val="22"/>
              </w:rPr>
              <w:t xml:space="preserve">. </w:t>
            </w:r>
          </w:p>
          <w:p w:rsidR="003501A1" w:rsidRPr="00A179AE" w:rsidRDefault="005739BF" w:rsidP="00FA7CCB">
            <w:pPr>
              <w:jc w:val="both"/>
              <w:rPr>
                <w:b/>
              </w:rPr>
            </w:pPr>
            <w:r w:rsidRPr="005739BF">
              <w:rPr>
                <w:sz w:val="22"/>
                <w:szCs w:val="22"/>
              </w:rPr>
              <w:t>Aplikačná prax poukázala aj na slabé miesta súčasnej právnej úpravy, ktoré nemo</w:t>
            </w:r>
            <w:r>
              <w:rPr>
                <w:sz w:val="22"/>
                <w:szCs w:val="22"/>
              </w:rPr>
              <w:t>hli byť v čase tvorby</w:t>
            </w:r>
            <w:r w:rsidR="00C409B7">
              <w:rPr>
                <w:sz w:val="22"/>
                <w:szCs w:val="22"/>
              </w:rPr>
              <w:t xml:space="preserve"> a prijatia</w:t>
            </w:r>
            <w:r>
              <w:rPr>
                <w:sz w:val="22"/>
                <w:szCs w:val="22"/>
              </w:rPr>
              <w:t xml:space="preserve"> v súčasnosti platného</w:t>
            </w:r>
            <w:r w:rsidR="00C409B7">
              <w:rPr>
                <w:sz w:val="22"/>
                <w:szCs w:val="22"/>
              </w:rPr>
              <w:t xml:space="preserve"> zákona známe ani predvídané</w:t>
            </w:r>
            <w:r>
              <w:rPr>
                <w:sz w:val="22"/>
                <w:szCs w:val="22"/>
              </w:rPr>
              <w:t xml:space="preserve">. Ukázalo sa, </w:t>
            </w:r>
            <w:r w:rsidR="00C409B7">
              <w:rPr>
                <w:sz w:val="22"/>
                <w:szCs w:val="22"/>
              </w:rPr>
              <w:t xml:space="preserve">že jednou z príčin nevyužívania platného zákona je skutočnosť, </w:t>
            </w:r>
            <w:r>
              <w:rPr>
                <w:sz w:val="22"/>
                <w:szCs w:val="22"/>
              </w:rPr>
              <w:t>že</w:t>
            </w:r>
            <w:r w:rsidR="00C409B7">
              <w:rPr>
                <w:sz w:val="22"/>
                <w:szCs w:val="22"/>
              </w:rPr>
              <w:t xml:space="preserve"> sa </w:t>
            </w:r>
            <w:r w:rsidRPr="005739BF">
              <w:rPr>
                <w:sz w:val="22"/>
                <w:szCs w:val="22"/>
              </w:rPr>
              <w:t xml:space="preserve">nedostal do širšieho spoločenského povedomia, </w:t>
            </w:r>
            <w:r w:rsidR="00C409B7">
              <w:rPr>
                <w:sz w:val="22"/>
                <w:szCs w:val="22"/>
              </w:rPr>
              <w:t>a preto je potrebné</w:t>
            </w:r>
            <w:r w:rsidRPr="005739BF">
              <w:rPr>
                <w:sz w:val="22"/>
                <w:szCs w:val="22"/>
              </w:rPr>
              <w:t xml:space="preserve"> uprednostniť zverenie poskytovania ochrany, ako aj propagáciu zákona a súvisiace činnosti samostatnému a špecializovanému štátnemu orgánu, pred vyko</w:t>
            </w:r>
            <w:r>
              <w:rPr>
                <w:sz w:val="22"/>
                <w:szCs w:val="22"/>
              </w:rPr>
              <w:t>návaním tejto činnosti inšpekciou</w:t>
            </w:r>
            <w:r w:rsidRPr="005739BF">
              <w:rPr>
                <w:sz w:val="22"/>
                <w:szCs w:val="22"/>
              </w:rPr>
              <w:t xml:space="preserve"> práce, ktorá plní síce príbuzné úlohy, ale sleduje primárne iný cieľ</w:t>
            </w:r>
            <w:r w:rsidR="00152363">
              <w:rPr>
                <w:sz w:val="22"/>
                <w:szCs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A7CCB" w:rsidRDefault="005739BF" w:rsidP="00531179">
            <w:pPr>
              <w:jc w:val="both"/>
              <w:rPr>
                <w:sz w:val="22"/>
                <w:szCs w:val="22"/>
              </w:rPr>
            </w:pPr>
            <w:r w:rsidRPr="00FA7CCB">
              <w:rPr>
                <w:sz w:val="22"/>
                <w:szCs w:val="22"/>
              </w:rPr>
              <w:t xml:space="preserve">Návrhom </w:t>
            </w:r>
            <w:r w:rsidR="00B614B4" w:rsidRPr="00FA7CCB">
              <w:rPr>
                <w:sz w:val="22"/>
                <w:szCs w:val="22"/>
                <w:lang w:val="pl-PL"/>
              </w:rPr>
              <w:t xml:space="preserve">zákona o ochrane oznamovateľov </w:t>
            </w:r>
            <w:r w:rsidR="00B614B4" w:rsidRPr="00FA7CCB">
              <w:rPr>
                <w:bCs/>
                <w:sz w:val="22"/>
                <w:szCs w:val="22"/>
              </w:rPr>
              <w:t>protispoločenskej činnosti</w:t>
            </w:r>
            <w:r w:rsidR="00B614B4" w:rsidRPr="00FA7CCB">
              <w:rPr>
                <w:b/>
                <w:bCs/>
                <w:sz w:val="22"/>
                <w:szCs w:val="22"/>
              </w:rPr>
              <w:t xml:space="preserve"> </w:t>
            </w:r>
            <w:r w:rsidRPr="00FA7CCB">
              <w:rPr>
                <w:sz w:val="22"/>
                <w:szCs w:val="22"/>
              </w:rPr>
              <w:t>a o zmene a doplnení niektorých zákonov sa má, na základe poznatkov z aplikačnej praxe k zákonu č. 307/2014 Z. z. o niektorých opatreniach súvisiacich s oznamovaním protispoločenskej činnosti a o zmene a doplnení niektorých zákonov v znení zákona č. 125/2016 Z. z., zefektívniť ochrana poskytovaná oznamovateľom protispoločenskej činnosti, a to najmä zriadením úradu na ochranu oznamovateľov ako nezávislého orgánu štátnej správy s celoštátnou pôsobnosťou</w:t>
            </w:r>
            <w:r w:rsidR="008B3123" w:rsidRPr="00FA7CCB">
              <w:rPr>
                <w:sz w:val="22"/>
                <w:szCs w:val="22"/>
              </w:rPr>
              <w:t>, ktorý bude najmä poskytovať ochranu oznamovateľom (namiesto terajšieho inšpektorátu práce), kontrolovať dodržiavanie  navrhovaného zákona, poskytovať odborné stanoviská a poradenstvo k aplikácii návrhu zákona, robiť osvetu v oblasti poskyto</w:t>
            </w:r>
            <w:r w:rsidR="00AA7FF9" w:rsidRPr="00FA7CCB">
              <w:rPr>
                <w:sz w:val="22"/>
                <w:szCs w:val="22"/>
              </w:rPr>
              <w:t>vania ochrany oznamovateľom</w:t>
            </w:r>
            <w:r w:rsidR="008B3123" w:rsidRPr="00FA7CCB">
              <w:rPr>
                <w:sz w:val="22"/>
                <w:szCs w:val="22"/>
              </w:rPr>
              <w:t xml:space="preserve">, poskytovať odmenu oznamovateľovi (namiesto terajšieho Ministerstva spravodlivosti Slovenskej republiky) a raz ročne predkladať Národnej rade Slovenskej republiky správu o svojej činnosti.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CCB" w:rsidRDefault="00FB336D" w:rsidP="007B7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Zamestnanci </w:t>
            </w:r>
            <w:r w:rsidR="000C23C7">
              <w:rPr>
                <w:sz w:val="22"/>
                <w:szCs w:val="22"/>
              </w:rPr>
              <w:t>a zamestnávatelia</w:t>
            </w:r>
            <w:r w:rsidR="00AA7FF9" w:rsidRPr="00AA7FF9">
              <w:rPr>
                <w:sz w:val="22"/>
                <w:szCs w:val="22"/>
              </w:rPr>
              <w:t xml:space="preserve"> verejnej správy, </w:t>
            </w:r>
            <w:r w:rsidR="000C23C7">
              <w:rPr>
                <w:sz w:val="22"/>
                <w:szCs w:val="22"/>
              </w:rPr>
              <w:t>ako aj súkromného sektora.</w:t>
            </w:r>
          </w:p>
          <w:p w:rsidR="00152363" w:rsidRPr="00531179" w:rsidRDefault="00152363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531179">
        <w:trPr>
          <w:trHeight w:val="15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93DA0" w:rsidRDefault="00893DA0" w:rsidP="00893DA0">
            <w:pPr>
              <w:jc w:val="both"/>
              <w:rPr>
                <w:sz w:val="24"/>
                <w:szCs w:val="22"/>
              </w:rPr>
            </w:pPr>
            <w:r w:rsidRPr="00B614B4">
              <w:rPr>
                <w:sz w:val="22"/>
              </w:rPr>
              <w:t xml:space="preserve">V rámci alternatívnych riešení bol uvažovaný nulový variant, </w:t>
            </w:r>
            <w:proofErr w:type="spellStart"/>
            <w:r w:rsidRPr="00B614B4">
              <w:rPr>
                <w:sz w:val="22"/>
              </w:rPr>
              <w:t>t.j</w:t>
            </w:r>
            <w:proofErr w:type="spellEnd"/>
            <w:r w:rsidRPr="00B614B4">
              <w:rPr>
                <w:sz w:val="22"/>
              </w:rPr>
              <w:t xml:space="preserve">. súčasný právny stav a dôsledky vyplývajúce z absencie navrhovanej právnej úpravy. V prípade neriešenia súčasného stavu, by naďalej pretrvávalo nízke povedomie o existujúcich nástrojoch ochrany oznamovateľov protispoločenskej činnosti  a ich nízka miera využívania zo strany tzv. </w:t>
            </w:r>
            <w:proofErr w:type="spellStart"/>
            <w:r w:rsidRPr="00B614B4">
              <w:rPr>
                <w:sz w:val="22"/>
              </w:rPr>
              <w:t>whistleblowerov</w:t>
            </w:r>
            <w:proofErr w:type="spellEnd"/>
            <w:r w:rsidRPr="00B614B4">
              <w:rPr>
                <w:sz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4022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4022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531179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3C0313" w:rsidRDefault="003C0313" w:rsidP="007B71A4">
            <w:pPr>
              <w:rPr>
                <w:sz w:val="22"/>
                <w:szCs w:val="22"/>
              </w:rPr>
            </w:pPr>
            <w:r w:rsidRPr="003C0313">
              <w:rPr>
                <w:sz w:val="22"/>
                <w:szCs w:val="22"/>
              </w:rPr>
              <w:t>Žiadna.</w:t>
            </w:r>
          </w:p>
        </w:tc>
      </w:tr>
      <w:tr w:rsidR="003501A1" w:rsidRPr="00A179AE" w:rsidTr="00152363">
        <w:trPr>
          <w:trHeight w:val="7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152363"/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A0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C772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4590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4590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C031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D5A0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A0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33842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FC772E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9768810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FC772E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101196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FC772E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1715189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FC772E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152363">
        <w:trPr>
          <w:trHeight w:val="35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531179" w:rsidRDefault="000C23C7" w:rsidP="00531179">
            <w:pPr>
              <w:rPr>
                <w:sz w:val="22"/>
                <w:szCs w:val="22"/>
              </w:rPr>
            </w:pPr>
            <w:r w:rsidRPr="000C23C7">
              <w:rPr>
                <w:sz w:val="22"/>
                <w:szCs w:val="22"/>
              </w:rPr>
              <w:t xml:space="preserve">Rozsah ukladaných povinností podnikateľským subjektom zákonom </w:t>
            </w:r>
            <w:r>
              <w:rPr>
                <w:sz w:val="22"/>
                <w:szCs w:val="22"/>
              </w:rPr>
              <w:t xml:space="preserve">č. </w:t>
            </w:r>
            <w:r w:rsidRPr="000C23C7">
              <w:rPr>
                <w:sz w:val="22"/>
                <w:szCs w:val="22"/>
              </w:rPr>
              <w:t>307/2014 Z. z. sa nemení.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995" w:rsidRPr="00531179" w:rsidRDefault="00E40F19">
            <w:pPr>
              <w:rPr>
                <w:sz w:val="22"/>
              </w:rPr>
            </w:pPr>
            <w:r w:rsidRPr="00531179">
              <w:rPr>
                <w:sz w:val="22"/>
              </w:rPr>
              <w:t>Úrad vlády Slovenskej republiky, Sekcia vládnej legislatívy-</w:t>
            </w:r>
            <w:r w:rsidR="00531179">
              <w:rPr>
                <w:sz w:val="22"/>
              </w:rPr>
              <w:t xml:space="preserve"> Mgr. Andrej Bonko, tel. č. 02/</w:t>
            </w:r>
            <w:r w:rsidRPr="00531179">
              <w:rPr>
                <w:sz w:val="22"/>
              </w:rPr>
              <w:t>20925360</w:t>
            </w:r>
            <w:r w:rsidR="00531179">
              <w:rPr>
                <w:sz w:val="22"/>
              </w:rPr>
              <w:t xml:space="preserve">     </w:t>
            </w:r>
            <w:r w:rsidR="00531179" w:rsidRPr="00531179">
              <w:rPr>
                <w:sz w:val="22"/>
              </w:rPr>
              <w:t>andrej.bonko@vlada.gov.sk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F19" w:rsidRPr="00E40F19" w:rsidRDefault="002D5A09" w:rsidP="00531179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Analýza súčasnej situácie a príprava návrhu zákona v gescii pracovnej skupiny odborníkov</w:t>
            </w:r>
            <w:r w:rsidR="00E40F19" w:rsidRPr="00E40F19">
              <w:rPr>
                <w:bCs/>
                <w:sz w:val="22"/>
                <w:szCs w:val="22"/>
              </w:rPr>
              <w:t xml:space="preserve"> Úradu vlády SR</w:t>
            </w:r>
            <w:r w:rsidR="00E40F19">
              <w:rPr>
                <w:bCs/>
                <w:sz w:val="22"/>
                <w:szCs w:val="22"/>
              </w:rPr>
              <w:t>, Ministerstva vnútra SR</w:t>
            </w:r>
            <w:r>
              <w:rPr>
                <w:bCs/>
                <w:sz w:val="22"/>
                <w:szCs w:val="22"/>
              </w:rPr>
              <w:t>, Ministerstva práce, sociálnych vecí a rodiny SR, Ministerstva spravodlivosti SR, Generálnej prokuratúry SR a mimovládnych organizácii.</w:t>
            </w:r>
          </w:p>
          <w:p w:rsidR="00E40F19" w:rsidRPr="00E40F19" w:rsidRDefault="00E40F19" w:rsidP="00531179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E40F19">
              <w:rPr>
                <w:bCs/>
                <w:sz w:val="22"/>
                <w:szCs w:val="22"/>
              </w:rPr>
              <w:t xml:space="preserve">Údaje a podklady poskytnuté </w:t>
            </w:r>
            <w:r w:rsidR="002D5A09">
              <w:rPr>
                <w:bCs/>
                <w:sz w:val="22"/>
                <w:szCs w:val="22"/>
              </w:rPr>
              <w:t>Slovenským národným strediskom pre ľudské práva a Inšpekciou práce</w:t>
            </w:r>
          </w:p>
          <w:p w:rsidR="00497607" w:rsidRPr="00152363" w:rsidRDefault="00497607" w:rsidP="00531179">
            <w:pPr>
              <w:pStyle w:val="Normlnywebov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40F19">
              <w:rPr>
                <w:bCs/>
                <w:sz w:val="22"/>
                <w:szCs w:val="22"/>
              </w:rPr>
              <w:t>K</w:t>
            </w:r>
            <w:r w:rsidR="00E40F19" w:rsidRPr="00E40F19">
              <w:rPr>
                <w:bCs/>
                <w:sz w:val="22"/>
                <w:szCs w:val="22"/>
              </w:rPr>
              <w:t>onzultácie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244"/>
            </w:tblGrid>
            <w:tr w:rsidR="00497607" w:rsidTr="00497607">
              <w:tc>
                <w:tcPr>
                  <w:tcW w:w="4253" w:type="dxa"/>
                </w:tcPr>
                <w:p w:rsidR="00497607" w:rsidRDefault="00497607" w:rsidP="00497607">
                  <w:pPr>
                    <w:spacing w:line="276" w:lineRule="auto"/>
                    <w:jc w:val="both"/>
                    <w:rPr>
                      <w:smallCaps/>
                      <w:szCs w:val="24"/>
                      <w:lang w:eastAsia="en-US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497607" w:rsidRDefault="00497607" w:rsidP="00497607">
                  <w:pPr>
                    <w:spacing w:line="276" w:lineRule="auto"/>
                    <w:ind w:left="1364"/>
                    <w:rPr>
                      <w:smallCaps/>
                      <w:szCs w:val="24"/>
                      <w:lang w:eastAsia="en-US"/>
                    </w:rPr>
                  </w:pPr>
                  <w:r>
                    <w:rPr>
                      <w:smallCaps/>
                      <w:szCs w:val="24"/>
                      <w:lang w:eastAsia="en-US"/>
                    </w:rPr>
                    <w:t>Bratislava: 9. 2. 2018</w:t>
                  </w:r>
                </w:p>
                <w:p w:rsidR="00497607" w:rsidRDefault="00497607" w:rsidP="00497607">
                  <w:pPr>
                    <w:spacing w:line="276" w:lineRule="auto"/>
                    <w:ind w:left="1364"/>
                    <w:rPr>
                      <w:smallCaps/>
                      <w:szCs w:val="24"/>
                      <w:lang w:eastAsia="en-US"/>
                    </w:rPr>
                  </w:pPr>
                  <w:r>
                    <w:rPr>
                      <w:smallCaps/>
                      <w:szCs w:val="24"/>
                      <w:lang w:eastAsia="en-US"/>
                    </w:rPr>
                    <w:t>Číslo: 013_2/2018</w:t>
                  </w:r>
                </w:p>
                <w:p w:rsidR="00497607" w:rsidRDefault="00497607" w:rsidP="00497607">
                  <w:pPr>
                    <w:spacing w:line="276" w:lineRule="auto"/>
                    <w:ind w:left="-195"/>
                    <w:rPr>
                      <w:lang w:eastAsia="en-US"/>
                    </w:rPr>
                  </w:pPr>
                  <w:r>
                    <w:rPr>
                      <w:smallCaps/>
                      <w:szCs w:val="24"/>
                      <w:lang w:eastAsia="en-US"/>
                    </w:rPr>
                    <w:t xml:space="preserve">                                        Vybavuje: Mgr. Kollár, PhD.</w:t>
                  </w:r>
                </w:p>
              </w:tc>
            </w:tr>
          </w:tbl>
          <w:p w:rsidR="00497607" w:rsidRDefault="00497607" w:rsidP="00497607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0"/>
              </w:rPr>
            </w:pPr>
          </w:p>
          <w:p w:rsidR="00497607" w:rsidRDefault="00497607" w:rsidP="00497607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20"/>
                <w:sz w:val="20"/>
              </w:rPr>
              <w:t>stanovisko komisie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497607" w:rsidRDefault="00497607" w:rsidP="00497607">
            <w:pPr>
              <w:ind w:right="-2"/>
              <w:jc w:val="center"/>
              <w:rPr>
                <w:rFonts w:ascii="Arial" w:hAnsi="Arial"/>
                <w:b/>
                <w:smallCaps/>
              </w:rPr>
            </w:pPr>
          </w:p>
          <w:p w:rsidR="00497607" w:rsidRDefault="00497607" w:rsidP="00497607">
            <w:pPr>
              <w:ind w:right="-2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(predbežné pripomienkové konanie)</w:t>
            </w:r>
          </w:p>
          <w:p w:rsidR="00497607" w:rsidRDefault="00497607" w:rsidP="00497607">
            <w:pPr>
              <w:ind w:right="-2"/>
              <w:jc w:val="center"/>
              <w:rPr>
                <w:rFonts w:ascii="Arial" w:hAnsi="Arial"/>
                <w:b/>
                <w:smallCaps/>
              </w:rPr>
            </w:pPr>
          </w:p>
          <w:p w:rsidR="00497607" w:rsidRDefault="00497607" w:rsidP="00497607">
            <w:pPr>
              <w:ind w:right="-2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k návrhu</w:t>
            </w:r>
          </w:p>
          <w:p w:rsidR="00497607" w:rsidRDefault="00497607" w:rsidP="00497607">
            <w:pPr>
              <w:ind w:right="-2"/>
              <w:jc w:val="center"/>
              <w:rPr>
                <w:rFonts w:ascii="Arial" w:hAnsi="Arial"/>
                <w:b/>
                <w:smallCaps/>
              </w:rPr>
            </w:pPr>
          </w:p>
          <w:p w:rsidR="00497607" w:rsidRDefault="00497607" w:rsidP="00497607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zákona o ochrane oznamovateľov a o zmene a doplnení niektorých zákonov</w:t>
            </w:r>
          </w:p>
          <w:p w:rsidR="00497607" w:rsidRDefault="00497607" w:rsidP="00497607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I. Úvod: </w:t>
            </w:r>
            <w:r>
              <w:rPr>
                <w:rFonts w:ascii="Arial" w:hAnsi="Arial" w:cs="Arial"/>
                <w:bCs/>
              </w:rPr>
              <w:t xml:space="preserve">Úrad vlády </w:t>
            </w:r>
            <w:r>
              <w:rPr>
                <w:rFonts w:ascii="Arial" w:hAnsi="Arial" w:cs="Arial"/>
              </w:rPr>
              <w:t>Slovenskej republiky</w:t>
            </w:r>
            <w:r>
              <w:rPr>
                <w:rFonts w:ascii="Arial" w:hAnsi="Arial" w:cs="Arial"/>
                <w:bCs/>
              </w:rPr>
              <w:t xml:space="preserve"> dňa 5. februára 2018 predložil Stálej pracovnej komisii na posudzovanie vybraných vplyvov (ďalej len „Komisia“) na opätovné predbežné pripomienkové konanie materiál </w:t>
            </w:r>
            <w:r>
              <w:rPr>
                <w:rFonts w:ascii="Arial" w:hAnsi="Arial" w:cs="Arial"/>
                <w:bCs/>
                <w:i/>
              </w:rPr>
              <w:t>„Návrh zákona o ochrane oznamovateľov a o zmene a doplnení niektorých zákonov“</w:t>
            </w:r>
            <w:r>
              <w:rPr>
                <w:rFonts w:ascii="Arial" w:hAnsi="Arial" w:cs="Arial"/>
                <w:bCs/>
              </w:rPr>
              <w:t>. Materiál predpokladá negatívne vplyvy na rozpočet verejnej správy, ktoré sú rozpočtovo zabezpečené.</w:t>
            </w:r>
          </w:p>
          <w:p w:rsidR="00497607" w:rsidRDefault="00497607" w:rsidP="00497607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II. P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  <w:bCs/>
              </w:rPr>
              <w:t>ipomienky a návrhy zm</w:t>
            </w:r>
            <w:r>
              <w:rPr>
                <w:rFonts w:ascii="Arial" w:hAnsi="Arial" w:cs="Arial"/>
                <w:b/>
              </w:rPr>
              <w:t>ie</w:t>
            </w:r>
            <w:r>
              <w:rPr>
                <w:rFonts w:ascii="Arial" w:hAnsi="Arial" w:cs="Arial"/>
                <w:b/>
                <w:bCs/>
              </w:rPr>
              <w:t xml:space="preserve">n: </w:t>
            </w:r>
            <w:r>
              <w:rPr>
                <w:rFonts w:ascii="Arial" w:hAnsi="Arial" w:cs="Arial"/>
                <w:bCs/>
              </w:rPr>
              <w:t>Komisia uplatňuje k materiálu nasledovné pripomienky a odporúčania:</w:t>
            </w:r>
          </w:p>
          <w:p w:rsidR="00497607" w:rsidRDefault="00497607" w:rsidP="00497607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</w:p>
          <w:p w:rsidR="00497607" w:rsidRDefault="00497607" w:rsidP="00497607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 analýze vplyvom na rozpočet verejnej správy</w:t>
            </w:r>
          </w:p>
          <w:p w:rsidR="00497607" w:rsidRDefault="00497607" w:rsidP="0049760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 analýze vplyvov, v časti </w:t>
            </w:r>
            <w:r>
              <w:rPr>
                <w:rFonts w:ascii="Arial" w:hAnsi="Arial" w:cs="Arial"/>
                <w:bCs/>
                <w:i/>
              </w:rPr>
              <w:t>2.2.3. Predpoklady vývoja objemu aktivít</w:t>
            </w:r>
            <w:r>
              <w:rPr>
                <w:rFonts w:ascii="Arial" w:hAnsi="Arial" w:cs="Arial"/>
                <w:bCs/>
              </w:rPr>
              <w:t xml:space="preserve"> je uvedené, že predsedovi úradu patrí plat vo výške 1,5-násobku platu poslanca a podpredsedovi úradu patrí plat vo výške 1,3-násobku platu poslanca. Uvedené nie je v súlade s § 14 ods. 8 predloženého návrhu zákona. Z tohto dôvodu Komisia žiada časť 2.2.3. analýzy vplyvov prepracovať. </w:t>
            </w:r>
          </w:p>
          <w:p w:rsidR="00497607" w:rsidRDefault="00497607" w:rsidP="00497607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ind w:right="-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Záver: </w:t>
            </w:r>
            <w:r>
              <w:rPr>
                <w:rFonts w:ascii="Arial" w:hAnsi="Arial" w:cs="Arial"/>
                <w:bCs/>
              </w:rPr>
              <w:t xml:space="preserve">Stála pracovná komisia na posudzovanie vybraných vplyvov vyjadruje </w:t>
            </w:r>
          </w:p>
          <w:p w:rsidR="00497607" w:rsidRDefault="00497607" w:rsidP="00497607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súhlasné stanovisko s návrhom na dopracovanie</w:t>
            </w:r>
          </w:p>
          <w:p w:rsidR="00497607" w:rsidRDefault="00497607" w:rsidP="00497607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 materiálom predloženým na opätovné predbežné pripomienkové konanie s odporúčaním na jeho dopracovanie podľa pripomienok v bode II.</w:t>
            </w:r>
          </w:p>
          <w:p w:rsidR="00497607" w:rsidRDefault="00497607" w:rsidP="00497607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</w:rPr>
            </w:pPr>
          </w:p>
          <w:p w:rsidR="00497607" w:rsidRDefault="00497607" w:rsidP="0049760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IV. Poznámka:</w:t>
            </w:r>
            <w:r>
              <w:rPr>
                <w:rFonts w:ascii="Arial" w:hAnsi="Arial" w:cs="Arial"/>
                <w:iCs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497607" w:rsidRDefault="00497607" w:rsidP="00497607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</w:rPr>
            </w:pPr>
          </w:p>
          <w:p w:rsidR="00497607" w:rsidRDefault="00497607" w:rsidP="00497607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Rastislav Chovanec, PhD.</w:t>
            </w:r>
          </w:p>
          <w:p w:rsidR="00497607" w:rsidRDefault="00497607" w:rsidP="00497607">
            <w:pPr>
              <w:tabs>
                <w:tab w:val="center" w:pos="6379"/>
              </w:tabs>
              <w:ind w:left="4536" w:right="-2"/>
              <w:jc w:val="center"/>
            </w:pPr>
            <w:r>
              <w:rPr>
                <w:rFonts w:ascii="Arial" w:hAnsi="Arial" w:cs="Arial"/>
                <w:bCs/>
              </w:rPr>
              <w:t>predseda Komisie</w:t>
            </w:r>
          </w:p>
          <w:p w:rsidR="00497607" w:rsidRDefault="00497607" w:rsidP="00497607">
            <w:pPr>
              <w:rPr>
                <w:i/>
              </w:rPr>
            </w:pPr>
          </w:p>
          <w:p w:rsidR="00497607" w:rsidRDefault="00497607" w:rsidP="00497607">
            <w:pPr>
              <w:rPr>
                <w:i/>
              </w:rPr>
            </w:pPr>
            <w:r>
              <w:rPr>
                <w:rFonts w:ascii="Times" w:hAnsi="Times" w:cs="Times"/>
                <w:b/>
              </w:rPr>
              <w:t>Stanovisko predkladateľa:</w:t>
            </w:r>
            <w:r>
              <w:rPr>
                <w:rFonts w:ascii="Times" w:hAnsi="Times" w:cs="Times"/>
              </w:rPr>
              <w:t xml:space="preserve"> Predkladateľ pripomienku zapracoval.</w:t>
            </w:r>
          </w:p>
          <w:p w:rsidR="003501A1" w:rsidRPr="00531179" w:rsidRDefault="003501A1" w:rsidP="007B71A4">
            <w:pPr>
              <w:rPr>
                <w:i/>
              </w:rPr>
            </w:pPr>
          </w:p>
        </w:tc>
      </w:tr>
    </w:tbl>
    <w:p w:rsidR="00CB3623" w:rsidRDefault="00CB3623"/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152363" w:rsidRDefault="00152363" w:rsidP="00531179">
      <w:pPr>
        <w:jc w:val="center"/>
        <w:rPr>
          <w:b/>
          <w:bCs/>
          <w:sz w:val="28"/>
          <w:szCs w:val="28"/>
        </w:rPr>
      </w:pPr>
    </w:p>
    <w:p w:rsidR="00497607" w:rsidRDefault="00497607" w:rsidP="00531179">
      <w:pPr>
        <w:jc w:val="center"/>
        <w:rPr>
          <w:b/>
          <w:bCs/>
          <w:sz w:val="28"/>
          <w:szCs w:val="28"/>
        </w:rPr>
      </w:pPr>
    </w:p>
    <w:p w:rsidR="00531179" w:rsidRPr="007D5748" w:rsidRDefault="00531179" w:rsidP="00531179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:rsidR="00531179" w:rsidRPr="007D5748" w:rsidRDefault="00531179" w:rsidP="00531179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531179" w:rsidRPr="00212894" w:rsidRDefault="00531179" w:rsidP="00531179">
      <w:pPr>
        <w:jc w:val="right"/>
        <w:rPr>
          <w:b/>
          <w:bCs/>
          <w:sz w:val="24"/>
          <w:szCs w:val="24"/>
        </w:rPr>
      </w:pPr>
    </w:p>
    <w:p w:rsidR="00531179" w:rsidRPr="00212894" w:rsidRDefault="00531179" w:rsidP="00531179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531179" w:rsidRDefault="00531179" w:rsidP="00531179">
      <w:pPr>
        <w:jc w:val="right"/>
      </w:pPr>
    </w:p>
    <w:p w:rsidR="00531179" w:rsidRPr="007D5748" w:rsidRDefault="00531179" w:rsidP="00531179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531179" w:rsidRPr="007D5748" w:rsidTr="00822DC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r w:rsidRPr="00F1507D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531179" w:rsidRPr="007D5748" w:rsidTr="00822DC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rPr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F1507D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713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604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599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713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604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599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713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604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599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Cs/>
                <w:i/>
                <w:iCs/>
                <w:sz w:val="24"/>
                <w:szCs w:val="24"/>
              </w:rPr>
            </w:pPr>
            <w:r w:rsidRPr="00F1507D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Cs/>
                <w:i/>
                <w:iCs/>
                <w:sz w:val="24"/>
                <w:szCs w:val="24"/>
              </w:rPr>
            </w:pPr>
            <w:r w:rsidRPr="00F1507D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sz w:val="24"/>
                <w:szCs w:val="24"/>
              </w:rPr>
            </w:pPr>
            <w:r w:rsidRPr="00F1507D">
              <w:rPr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531179" w:rsidRPr="00F1507D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531179" w:rsidRPr="00F1507D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:rsidR="00531179" w:rsidRPr="00F1507D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254 831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</w:tcPr>
          <w:p w:rsidR="00531179" w:rsidRPr="00F1507D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267" w:type="dxa"/>
            <w:noWrap/>
          </w:tcPr>
          <w:p w:rsidR="00531179" w:rsidRPr="00F1507D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267" w:type="dxa"/>
            <w:noWrap/>
          </w:tcPr>
          <w:p w:rsidR="00531179" w:rsidRPr="00F1507D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254 831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F1507D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713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604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31179" w:rsidRPr="00F1507D" w:rsidRDefault="00531179" w:rsidP="00822D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507D">
              <w:rPr>
                <w:b/>
                <w:bCs/>
                <w:color w:val="000000"/>
                <w:sz w:val="24"/>
                <w:szCs w:val="24"/>
              </w:rPr>
              <w:t>599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507D">
              <w:rPr>
                <w:b/>
                <w:bCs/>
                <w:color w:val="000000"/>
                <w:sz w:val="24"/>
                <w:szCs w:val="24"/>
              </w:rPr>
              <w:t>394</w:t>
            </w:r>
          </w:p>
        </w:tc>
      </w:tr>
      <w:tr w:rsidR="00531179" w:rsidRPr="005E6773" w:rsidTr="00822DCB">
        <w:trPr>
          <w:trHeight w:val="227"/>
          <w:jc w:val="center"/>
        </w:trPr>
        <w:tc>
          <w:tcPr>
            <w:tcW w:w="4661" w:type="dxa"/>
            <w:noWrap/>
            <w:vAlign w:val="center"/>
          </w:tcPr>
          <w:p w:rsidR="00531179" w:rsidRPr="0015174B" w:rsidRDefault="00531179" w:rsidP="00822DCB">
            <w:pPr>
              <w:rPr>
                <w:sz w:val="24"/>
                <w:szCs w:val="24"/>
              </w:rPr>
            </w:pPr>
            <w:r w:rsidRPr="0015174B">
              <w:rPr>
                <w:sz w:val="24"/>
                <w:szCs w:val="24"/>
              </w:rPr>
              <w:t>v tom: kapitola VPS</w:t>
            </w:r>
          </w:p>
        </w:tc>
        <w:tc>
          <w:tcPr>
            <w:tcW w:w="1267" w:type="dxa"/>
            <w:noWrap/>
            <w:vAlign w:val="center"/>
          </w:tcPr>
          <w:p w:rsidR="00531179" w:rsidRPr="0015174B" w:rsidRDefault="00531179" w:rsidP="00822DCB">
            <w:pPr>
              <w:jc w:val="right"/>
              <w:rPr>
                <w:sz w:val="24"/>
                <w:szCs w:val="24"/>
              </w:rPr>
            </w:pPr>
            <w:r w:rsidRPr="0015174B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31179" w:rsidRPr="0015174B" w:rsidRDefault="00531179" w:rsidP="00822DCB">
            <w:pPr>
              <w:jc w:val="right"/>
              <w:rPr>
                <w:sz w:val="24"/>
                <w:szCs w:val="24"/>
              </w:rPr>
            </w:pPr>
            <w:r w:rsidRPr="0015174B">
              <w:rPr>
                <w:sz w:val="24"/>
                <w:szCs w:val="24"/>
              </w:rPr>
              <w:t>713 264</w:t>
            </w:r>
          </w:p>
        </w:tc>
        <w:tc>
          <w:tcPr>
            <w:tcW w:w="1267" w:type="dxa"/>
            <w:noWrap/>
            <w:vAlign w:val="center"/>
          </w:tcPr>
          <w:p w:rsidR="00531179" w:rsidRPr="0015174B" w:rsidRDefault="00531179" w:rsidP="00822DCB">
            <w:pPr>
              <w:jc w:val="right"/>
              <w:rPr>
                <w:sz w:val="24"/>
                <w:szCs w:val="24"/>
              </w:rPr>
            </w:pPr>
            <w:r w:rsidRPr="0015174B">
              <w:rPr>
                <w:sz w:val="24"/>
                <w:szCs w:val="24"/>
              </w:rPr>
              <w:t>604 394</w:t>
            </w:r>
          </w:p>
        </w:tc>
        <w:tc>
          <w:tcPr>
            <w:tcW w:w="1267" w:type="dxa"/>
            <w:noWrap/>
            <w:vAlign w:val="center"/>
          </w:tcPr>
          <w:p w:rsidR="00531179" w:rsidRPr="0015174B" w:rsidRDefault="00531179" w:rsidP="00822DCB">
            <w:pPr>
              <w:jc w:val="right"/>
              <w:rPr>
                <w:sz w:val="24"/>
                <w:szCs w:val="24"/>
              </w:rPr>
            </w:pPr>
            <w:r w:rsidRPr="0015174B">
              <w:rPr>
                <w:sz w:val="24"/>
                <w:szCs w:val="24"/>
              </w:rPr>
              <w:t>599 394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rPr>
                <w:b/>
                <w:sz w:val="24"/>
                <w:szCs w:val="24"/>
              </w:rPr>
            </w:pPr>
            <w:r w:rsidRPr="00F1507D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31179" w:rsidRPr="007D5748" w:rsidTr="00822DCB">
        <w:trPr>
          <w:trHeight w:val="227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31179" w:rsidRPr="00F1507D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31179" w:rsidRPr="00F1507D" w:rsidRDefault="00531179" w:rsidP="00822DCB">
            <w:pPr>
              <w:jc w:val="right"/>
              <w:rPr>
                <w:b/>
                <w:bCs/>
                <w:sz w:val="24"/>
                <w:szCs w:val="24"/>
              </w:rPr>
            </w:pPr>
            <w:r w:rsidRPr="00F1507D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531179" w:rsidRDefault="00531179" w:rsidP="00531179">
      <w:pPr>
        <w:jc w:val="both"/>
        <w:rPr>
          <w:b/>
          <w:bCs/>
          <w:sz w:val="24"/>
          <w:szCs w:val="24"/>
        </w:rPr>
      </w:pPr>
    </w:p>
    <w:p w:rsidR="00531179" w:rsidRPr="007D5748" w:rsidRDefault="00531179" w:rsidP="00531179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 xml:space="preserve">2.1.1. Financovanie návrhu - Návrh na riešenie úbytku príjmov alebo zvýšených výdavkov </w:t>
      </w:r>
      <w:r w:rsidRPr="00E80709">
        <w:rPr>
          <w:b/>
          <w:bCs/>
          <w:sz w:val="24"/>
          <w:szCs w:val="24"/>
        </w:rPr>
        <w:t>podľa § 33 ods. 1 zákona č. 523/2004 Z. z. o rozpočtových pravidlách verejnej správy</w:t>
      </w:r>
      <w:r w:rsidRPr="007D5748">
        <w:rPr>
          <w:b/>
          <w:bCs/>
          <w:sz w:val="24"/>
          <w:szCs w:val="24"/>
        </w:rPr>
        <w:t>:</w:t>
      </w:r>
    </w:p>
    <w:p w:rsidR="00531179" w:rsidRPr="007D5748" w:rsidRDefault="00531179" w:rsidP="00531179">
      <w:pPr>
        <w:jc w:val="both"/>
        <w:rPr>
          <w:b/>
          <w:bCs/>
          <w:sz w:val="12"/>
          <w:szCs w:val="24"/>
        </w:rPr>
      </w:pPr>
    </w:p>
    <w:p w:rsidR="00531179" w:rsidRPr="007D5748" w:rsidRDefault="00531179" w:rsidP="005311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  <w:r w:rsidRPr="00845D18">
        <w:rPr>
          <w:bCs/>
          <w:sz w:val="24"/>
          <w:szCs w:val="24"/>
        </w:rPr>
        <w:t xml:space="preserve">Výdavky budú </w:t>
      </w:r>
      <w:r>
        <w:rPr>
          <w:bCs/>
          <w:sz w:val="24"/>
          <w:szCs w:val="24"/>
        </w:rPr>
        <w:t xml:space="preserve">zabezpečené z kapitoly Všeobecná pokladničná správa, v rámci schváleného rozpočtu verejnej správy </w:t>
      </w:r>
      <w:r w:rsidRPr="0015174B">
        <w:rPr>
          <w:bCs/>
          <w:sz w:val="24"/>
          <w:szCs w:val="24"/>
        </w:rPr>
        <w:t xml:space="preserve">na príslušný rozpočtový rok. </w:t>
      </w:r>
    </w:p>
    <w:p w:rsidR="00531179" w:rsidRDefault="00531179" w:rsidP="00531179">
      <w:pPr>
        <w:rPr>
          <w:b/>
          <w:bCs/>
          <w:sz w:val="24"/>
          <w:szCs w:val="24"/>
        </w:rPr>
      </w:pPr>
    </w:p>
    <w:p w:rsidR="00FC772E" w:rsidRDefault="00FC772E" w:rsidP="00531179">
      <w:pPr>
        <w:rPr>
          <w:b/>
          <w:bCs/>
          <w:sz w:val="24"/>
          <w:szCs w:val="24"/>
        </w:rPr>
      </w:pPr>
    </w:p>
    <w:p w:rsidR="00531179" w:rsidRPr="007D5748" w:rsidRDefault="00531179" w:rsidP="0053117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2.2. Popis a charakteristika návrhu</w:t>
      </w:r>
    </w:p>
    <w:p w:rsidR="00531179" w:rsidRPr="007D5748" w:rsidRDefault="00531179" w:rsidP="00531179">
      <w:pPr>
        <w:rPr>
          <w:sz w:val="24"/>
          <w:szCs w:val="24"/>
        </w:rPr>
      </w:pPr>
    </w:p>
    <w:p w:rsidR="00531179" w:rsidRPr="007D5748" w:rsidRDefault="00531179" w:rsidP="00531179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531179" w:rsidRPr="007D5748" w:rsidRDefault="00531179" w:rsidP="00531179">
      <w:pPr>
        <w:jc w:val="both"/>
        <w:rPr>
          <w:b/>
          <w:bCs/>
          <w:sz w:val="24"/>
          <w:szCs w:val="24"/>
        </w:rPr>
      </w:pPr>
    </w:p>
    <w:p w:rsidR="00531179" w:rsidRDefault="00531179" w:rsidP="00531179">
      <w:pPr>
        <w:ind w:firstLine="708"/>
        <w:jc w:val="both"/>
        <w:rPr>
          <w:sz w:val="24"/>
        </w:rPr>
      </w:pPr>
      <w:r>
        <w:rPr>
          <w:sz w:val="24"/>
        </w:rPr>
        <w:t xml:space="preserve">Návrh </w:t>
      </w:r>
      <w:r w:rsidR="00B614B4" w:rsidRPr="00B614B4">
        <w:rPr>
          <w:sz w:val="24"/>
          <w:lang w:val="pl-PL"/>
        </w:rPr>
        <w:t xml:space="preserve">zákona o ochrane oznamovateľov </w:t>
      </w:r>
      <w:r w:rsidR="00B614B4" w:rsidRPr="00B614B4">
        <w:rPr>
          <w:bCs/>
          <w:sz w:val="24"/>
          <w:szCs w:val="24"/>
        </w:rPr>
        <w:t>protispoločenskej činnosti</w:t>
      </w:r>
      <w:r w:rsidR="00B614B4">
        <w:rPr>
          <w:b/>
          <w:bCs/>
          <w:sz w:val="24"/>
          <w:szCs w:val="24"/>
        </w:rPr>
        <w:t xml:space="preserve"> </w:t>
      </w:r>
      <w:r>
        <w:rPr>
          <w:sz w:val="24"/>
        </w:rPr>
        <w:t>a o zmene a doplnení niektorých zákonov predkladá predseda vlády Slovenskej republiky ako iniciatívny návrh s cieľom reagovať na poznatky z aplikačnej praxe k zákonu č. 307/2014 Z. z. o niektorých opatreniach súvisiacich s oznamovaním protispoločenskej činnosti a o zmene a doplnení niektorých zákonov v znení zákona č. 125/2016 Z. z.</w:t>
      </w:r>
    </w:p>
    <w:p w:rsidR="00531179" w:rsidRDefault="00531179" w:rsidP="00531179">
      <w:pPr>
        <w:ind w:firstLine="708"/>
        <w:jc w:val="both"/>
        <w:rPr>
          <w:sz w:val="24"/>
        </w:rPr>
      </w:pPr>
    </w:p>
    <w:p w:rsidR="00531179" w:rsidRDefault="00531179" w:rsidP="00531179">
      <w:pPr>
        <w:ind w:firstLine="708"/>
        <w:jc w:val="both"/>
        <w:rPr>
          <w:sz w:val="24"/>
        </w:rPr>
      </w:pPr>
      <w:r>
        <w:rPr>
          <w:sz w:val="24"/>
        </w:rPr>
        <w:t xml:space="preserve">Zákon č. 307/2014 Z. z. v znení zákona č. 125/2016 Z. z. nadobudol účinnosť 1. júla 2014 Z. z. a predstavoval v čase jeho prijatia dovtedy  neexistujúci nástroj právnej ochrany tzv. </w:t>
      </w:r>
      <w:proofErr w:type="spellStart"/>
      <w:r>
        <w:rPr>
          <w:sz w:val="24"/>
        </w:rPr>
        <w:t>whistleblowerov</w:t>
      </w:r>
      <w:proofErr w:type="spellEnd"/>
      <w:r>
        <w:rPr>
          <w:sz w:val="24"/>
        </w:rPr>
        <w:t xml:space="preserve"> pred takým konaním, zo strany zamestnávateľa, resp. jeho riadiacich zamestnancov, smerujúcim k „potrestaniu“ </w:t>
      </w:r>
      <w:proofErr w:type="spellStart"/>
      <w:r>
        <w:rPr>
          <w:sz w:val="24"/>
        </w:rPr>
        <w:t>whistleblowera</w:t>
      </w:r>
      <w:proofErr w:type="spellEnd"/>
      <w:r>
        <w:rPr>
          <w:sz w:val="24"/>
        </w:rPr>
        <w:t xml:space="preserve">, ktoré nedosahovalo intenzitu trestného činu alebo správneho deliktu, ale bolo spôsobilé privodiť  výrazný negatívny zásah do pracovného, prípadne aj rodinného a osobného života </w:t>
      </w:r>
      <w:proofErr w:type="spellStart"/>
      <w:r>
        <w:rPr>
          <w:sz w:val="24"/>
        </w:rPr>
        <w:t>whistleblowera</w:t>
      </w:r>
      <w:proofErr w:type="spellEnd"/>
      <w:r>
        <w:rPr>
          <w:sz w:val="24"/>
        </w:rPr>
        <w:t xml:space="preserve">. </w:t>
      </w:r>
    </w:p>
    <w:p w:rsidR="00531179" w:rsidRDefault="00531179" w:rsidP="00531179">
      <w:pPr>
        <w:ind w:firstLine="708"/>
        <w:jc w:val="both"/>
        <w:rPr>
          <w:sz w:val="24"/>
        </w:rPr>
      </w:pPr>
      <w:r>
        <w:rPr>
          <w:sz w:val="24"/>
        </w:rPr>
        <w:t xml:space="preserve">Uvedeným zákonom sa do právneho poriadku Slovenskej republiky zaviedlo viacero inštitútov, ako ochrana v rámci trestného konania, ochrana v rámci konania o správnom delikte, vnútorný systém vybavovania podnetov </w:t>
      </w:r>
      <w:proofErr w:type="spellStart"/>
      <w:r>
        <w:rPr>
          <w:sz w:val="24"/>
        </w:rPr>
        <w:t>whistleblowerov</w:t>
      </w:r>
      <w:proofErr w:type="spellEnd"/>
      <w:r>
        <w:rPr>
          <w:sz w:val="24"/>
        </w:rPr>
        <w:t xml:space="preserve">, odmena </w:t>
      </w:r>
      <w:proofErr w:type="spellStart"/>
      <w:r>
        <w:rPr>
          <w:sz w:val="24"/>
        </w:rPr>
        <w:t>whistleblowerovi</w:t>
      </w:r>
      <w:proofErr w:type="spellEnd"/>
      <w:r>
        <w:rPr>
          <w:sz w:val="24"/>
        </w:rPr>
        <w:t xml:space="preserve">, pozastavenie účinnosti pracovnoprávneho úkonu smerujúceho voči </w:t>
      </w:r>
      <w:proofErr w:type="spellStart"/>
      <w:r>
        <w:rPr>
          <w:sz w:val="24"/>
        </w:rPr>
        <w:t>whistleblowerovi</w:t>
      </w:r>
      <w:proofErr w:type="spellEnd"/>
      <w:r>
        <w:rPr>
          <w:sz w:val="24"/>
        </w:rPr>
        <w:t xml:space="preserve"> inšpektorátom, práce.</w:t>
      </w:r>
    </w:p>
    <w:p w:rsidR="00531179" w:rsidRDefault="00531179" w:rsidP="00531179">
      <w:pPr>
        <w:ind w:firstLine="708"/>
        <w:jc w:val="both"/>
        <w:rPr>
          <w:sz w:val="24"/>
        </w:rPr>
      </w:pPr>
      <w:r>
        <w:rPr>
          <w:sz w:val="24"/>
        </w:rPr>
        <w:t xml:space="preserve">Aplikačná prax uplynulých takmer štyroch rokov poukázala aj na slabé miesta súčasnej právnej úpravy, ktoré nemohli byť v čase tvorby terajšieho zákona známe ani predvídané. </w:t>
      </w:r>
    </w:p>
    <w:p w:rsidR="00531179" w:rsidRDefault="00531179" w:rsidP="00531179">
      <w:pPr>
        <w:ind w:firstLine="708"/>
        <w:jc w:val="both"/>
        <w:rPr>
          <w:sz w:val="24"/>
          <w:highlight w:val="yellow"/>
        </w:rPr>
      </w:pPr>
      <w:r>
        <w:rPr>
          <w:sz w:val="24"/>
        </w:rPr>
        <w:t xml:space="preserve">Ukázalo sa, že terajší zákon sa nedostal do širšieho spoločenského povedomia, čo je jedna z príčin jeho nedostatočného využívania zo strany </w:t>
      </w:r>
      <w:proofErr w:type="spellStart"/>
      <w:r>
        <w:rPr>
          <w:sz w:val="24"/>
        </w:rPr>
        <w:t>whistleblowerov</w:t>
      </w:r>
      <w:proofErr w:type="spellEnd"/>
      <w:r>
        <w:rPr>
          <w:sz w:val="24"/>
        </w:rPr>
        <w:t xml:space="preserve">, ako aj to, že je vhodnejšie uprednostniť zverenie poskytovania ochrany, ako aj propagáciu zákona a súvisiace činnosti samostatnému a na tento účel špecializovanému štátnemu orgánu, pred vykonávaním tejto činnosti inšpekciou práce, ktorá plní síce príbuzné úlohy, ale sleduje primárne iný cieľ. Taktiež sa ukázalo, že je potrebné prehodnotiť možnosť poskytnúť </w:t>
      </w:r>
      <w:proofErr w:type="spellStart"/>
      <w:r>
        <w:rPr>
          <w:sz w:val="24"/>
        </w:rPr>
        <w:t>whistleblowerovi</w:t>
      </w:r>
      <w:proofErr w:type="spellEnd"/>
      <w:r>
        <w:rPr>
          <w:sz w:val="24"/>
        </w:rPr>
        <w:t xml:space="preserve"> postavenie zúčastnenej osoby v trestnom konaní a intervenienta v civilnom sporovom konaní, čo súčasná právna úprava neumožňuje.  </w:t>
      </w:r>
    </w:p>
    <w:p w:rsidR="00531179" w:rsidRDefault="00531179" w:rsidP="00531179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531179" w:rsidRDefault="00531179" w:rsidP="00531179">
      <w:pPr>
        <w:ind w:firstLine="708"/>
        <w:jc w:val="both"/>
        <w:rPr>
          <w:sz w:val="24"/>
        </w:rPr>
      </w:pPr>
      <w:r>
        <w:rPr>
          <w:sz w:val="24"/>
        </w:rPr>
        <w:t xml:space="preserve">Návrh </w:t>
      </w:r>
      <w:r w:rsidR="00B614B4" w:rsidRPr="00B614B4">
        <w:rPr>
          <w:sz w:val="24"/>
          <w:lang w:val="pl-PL"/>
        </w:rPr>
        <w:t xml:space="preserve">zákona o ochrane oznamovateľov </w:t>
      </w:r>
      <w:r w:rsidR="00B614B4" w:rsidRPr="00B614B4">
        <w:rPr>
          <w:bCs/>
          <w:sz w:val="24"/>
          <w:szCs w:val="24"/>
        </w:rPr>
        <w:t>protispoločenskej činnosti</w:t>
      </w:r>
      <w:r w:rsidR="00B614B4">
        <w:rPr>
          <w:b/>
          <w:bCs/>
          <w:sz w:val="24"/>
          <w:szCs w:val="24"/>
        </w:rPr>
        <w:t xml:space="preserve"> </w:t>
      </w:r>
      <w:r>
        <w:rPr>
          <w:sz w:val="24"/>
        </w:rPr>
        <w:t>a o zmene a doplnení niektorých zákonov predstavuje kontinuitu so súčasnou právnou úpravou z ktorej vychádza a na ktorú nadväzuje, zároveň využíva poznatky získané z aplikačnej praxe k zákonu č. 307/2014 Z. z v znení zákona č. 125/2016 Z. z., s cieľom prehĺbiť, rozšíriť a zefektívniť ochrana poskytovaná oznamovateľom protispoločenskej činnosti, a to najmä:</w:t>
      </w:r>
    </w:p>
    <w:p w:rsidR="00531179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F5D09">
        <w:rPr>
          <w:rFonts w:ascii="Times New Roman" w:hAnsi="Times New Roman"/>
          <w:sz w:val="24"/>
        </w:rPr>
        <w:t xml:space="preserve">zriadením úradu na ochranu oznamovateľov, ktorý ako nezávislý orgán s štátnej správy s celoštátnou pôsobnosťou, bude najmä poskytovať ochranu oznamovateľom (namiesto terajšieho inšpektorátu práce), kontrolovať dodržiavanie navrhovaného zákona, poskytovať odborné stanoviská a poradenstvo k aplikácii návrhu zákona, robiť osvetu v oblasti poskytovania ochrany tzv. </w:t>
      </w:r>
      <w:proofErr w:type="spellStart"/>
      <w:r w:rsidRPr="00BF5D09">
        <w:rPr>
          <w:rFonts w:ascii="Times New Roman" w:hAnsi="Times New Roman"/>
          <w:sz w:val="24"/>
        </w:rPr>
        <w:t>whistleblowerom</w:t>
      </w:r>
      <w:proofErr w:type="spellEnd"/>
      <w:r w:rsidRPr="00BF5D09">
        <w:rPr>
          <w:rFonts w:ascii="Times New Roman" w:hAnsi="Times New Roman"/>
          <w:sz w:val="24"/>
        </w:rPr>
        <w:t>, poskytovať odmenu oznamovateľovi (namiesto terajšieho Ministerstva spravodlivosti Slovenskej republiky), raz ročne predkladať Národnej rade Slovenskej republiky správu o svojej činnosti;</w:t>
      </w:r>
    </w:p>
    <w:p w:rsidR="00531179" w:rsidRPr="00BF5D09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F5D09">
        <w:rPr>
          <w:rFonts w:ascii="Times New Roman" w:hAnsi="Times New Roman"/>
          <w:sz w:val="24"/>
        </w:rPr>
        <w:t>vytvorením mechanizmu kreovania predsedu úradu Národnou radou Slovenskej republiky  z pomedzi dvoch kandidátov vybratých odbornou komisiou zloženou z členov  vymenovaných prezidentom Slovenskej republiky, predsedom vlády Slovenskej republiky, verejným ochrancom práv, Radou pre štátnu službu a poradným orgánom vlády v oblasti mimovládnych organizácií a rozvoja občianskej spoločnosti;</w:t>
      </w:r>
    </w:p>
    <w:p w:rsidR="00531179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lastRenderedPageBreak/>
        <w:t>úpravou definície oznámenia, ktorej súčasťou už nebude kvalitatívne kritérium „významnej miery“ prispenia oznámených skutočností nasvedčujúcich spáchanie resp. páchanie protispoločenskej činnosti;</w:t>
      </w:r>
    </w:p>
    <w:p w:rsidR="00531179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rozšírením definície závažnej protispoločenskej činnosti o trestné činy právnických osôb, čím sa reaguje na  vývoj právneho poriadku od  účinnosti terajšieho zákona;</w:t>
      </w:r>
    </w:p>
    <w:p w:rsidR="00531179" w:rsidRPr="005B2455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precizovaním úpravy poskytnutia ochrany v rámci trestného konania prokurátorom tak, že </w:t>
      </w:r>
      <w:r w:rsidRPr="005B2455">
        <w:rPr>
          <w:rFonts w:ascii="Times New Roman" w:hAnsi="Times New Roman"/>
          <w:sz w:val="24"/>
          <w:szCs w:val="24"/>
        </w:rPr>
        <w:t>v prípade neposkytnutia ochrany sa oznamovateľ bude môcť obrátiť sám alebo prostredníctvom novozriadeného úradu na  nadriadeného prokurátora ako druhú inštanciu;</w:t>
      </w:r>
    </w:p>
    <w:p w:rsidR="00531179" w:rsidRPr="005B2455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55">
        <w:rPr>
          <w:rFonts w:ascii="Times New Roman" w:hAnsi="Times New Roman"/>
          <w:sz w:val="24"/>
          <w:szCs w:val="24"/>
        </w:rPr>
        <w:t>obdobne ako v bode 6. dôjde k precizovaniu poskytnutia ochrany v rámci konania o správnom delikte, kde sa zavedenie v prípade neposkytnutia ochrany druhá inštancia;</w:t>
      </w:r>
    </w:p>
    <w:p w:rsidR="00531179" w:rsidRPr="005B2455" w:rsidRDefault="00531179" w:rsidP="005311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55">
        <w:rPr>
          <w:rFonts w:ascii="Times New Roman" w:hAnsi="Times New Roman"/>
          <w:sz w:val="24"/>
          <w:szCs w:val="24"/>
        </w:rPr>
        <w:t>ustanovením kvalitatívnych kritérií odbornosti  zodpovednej osoby a precizovaním úpravy postavenia zodpovednej osoby v rámci právnickej osoby.</w:t>
      </w:r>
    </w:p>
    <w:p w:rsidR="00531179" w:rsidRPr="005B2455" w:rsidRDefault="00531179" w:rsidP="00531179">
      <w:pPr>
        <w:jc w:val="both"/>
        <w:rPr>
          <w:sz w:val="24"/>
          <w:szCs w:val="24"/>
        </w:rPr>
      </w:pPr>
    </w:p>
    <w:p w:rsidR="00531179" w:rsidRPr="005B2455" w:rsidRDefault="00531179" w:rsidP="00531179">
      <w:pPr>
        <w:ind w:firstLine="708"/>
        <w:jc w:val="both"/>
        <w:rPr>
          <w:sz w:val="24"/>
          <w:szCs w:val="24"/>
        </w:rPr>
      </w:pPr>
      <w:r w:rsidRPr="005B2455">
        <w:rPr>
          <w:sz w:val="24"/>
          <w:szCs w:val="24"/>
        </w:rPr>
        <w:t xml:space="preserve">V nadväznosti na uvedené sa navrhuje  prostredníctvom samostatných novelizačných článkov novelizovať Trestný poriadok, </w:t>
      </w:r>
      <w:r w:rsidR="00B614B4">
        <w:rPr>
          <w:sz w:val="24"/>
          <w:szCs w:val="24"/>
        </w:rPr>
        <w:t>zákon o prokuratúre</w:t>
      </w:r>
      <w:r w:rsidRPr="005B2455">
        <w:rPr>
          <w:sz w:val="24"/>
          <w:szCs w:val="24"/>
        </w:rPr>
        <w:t>, zákon o bankách, zákon o</w:t>
      </w:r>
      <w:r w:rsidR="00B614B4">
        <w:rPr>
          <w:sz w:val="24"/>
          <w:szCs w:val="24"/>
        </w:rPr>
        <w:t> dani z príjmov, zákon o poskytovaní právnej pomoci, zákon o inšpekcii práce, zákon o štátnej službe</w:t>
      </w:r>
      <w:r w:rsidRPr="005B2455">
        <w:rPr>
          <w:sz w:val="24"/>
          <w:szCs w:val="24"/>
        </w:rPr>
        <w:t>.</w:t>
      </w:r>
    </w:p>
    <w:p w:rsidR="00531179" w:rsidRPr="007D5748" w:rsidRDefault="00531179" w:rsidP="00531179">
      <w:pPr>
        <w:rPr>
          <w:sz w:val="24"/>
          <w:szCs w:val="24"/>
        </w:rPr>
      </w:pPr>
    </w:p>
    <w:p w:rsidR="00531179" w:rsidRPr="007D5748" w:rsidRDefault="00531179" w:rsidP="0053117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531179" w:rsidRPr="007D5748" w:rsidRDefault="00531179" w:rsidP="00531179">
      <w:pPr>
        <w:rPr>
          <w:sz w:val="24"/>
          <w:szCs w:val="24"/>
        </w:rPr>
      </w:pPr>
    </w:p>
    <w:p w:rsidR="00531179" w:rsidRPr="007D5748" w:rsidRDefault="00531179" w:rsidP="00531179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531179" w:rsidRPr="007D5748" w:rsidRDefault="00531179" w:rsidP="0053117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531179" w:rsidRPr="007D5748" w:rsidRDefault="00531179" w:rsidP="0053117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</w:t>
      </w:r>
      <w:r>
        <w:rPr>
          <w:sz w:val="24"/>
          <w:szCs w:val="24"/>
          <w:bdr w:val="single" w:sz="4" w:space="0" w:color="auto"/>
        </w:rPr>
        <w:t>x</w:t>
      </w:r>
      <w:r w:rsidRPr="007D5748">
        <w:rPr>
          <w:sz w:val="24"/>
          <w:szCs w:val="24"/>
          <w:bdr w:val="single" w:sz="4" w:space="0" w:color="auto"/>
        </w:rPr>
        <w:t xml:space="preserve"> </w:t>
      </w:r>
      <w:r w:rsidRPr="007D5748">
        <w:rPr>
          <w:sz w:val="24"/>
          <w:szCs w:val="24"/>
        </w:rPr>
        <w:t xml:space="preserve">  nová služba alebo nariadenie (</w:t>
      </w:r>
      <w:r>
        <w:rPr>
          <w:sz w:val="24"/>
          <w:szCs w:val="24"/>
        </w:rPr>
        <w:t>zriadenie Úradu na ochranu oznamovateľov</w:t>
      </w:r>
      <w:r w:rsidRPr="007D574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31179" w:rsidRPr="007D5748" w:rsidRDefault="00531179" w:rsidP="0053117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531179" w:rsidRPr="007D5748" w:rsidRDefault="00531179" w:rsidP="0053117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iné </w:t>
      </w:r>
    </w:p>
    <w:p w:rsidR="00531179" w:rsidRDefault="00531179" w:rsidP="00531179">
      <w:pPr>
        <w:rPr>
          <w:sz w:val="24"/>
          <w:szCs w:val="24"/>
        </w:rPr>
      </w:pPr>
    </w:p>
    <w:p w:rsidR="00531179" w:rsidRPr="007D5748" w:rsidRDefault="00531179" w:rsidP="00531179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531179" w:rsidRPr="007D5748" w:rsidRDefault="00531179" w:rsidP="00531179">
      <w:pPr>
        <w:rPr>
          <w:sz w:val="24"/>
          <w:szCs w:val="24"/>
        </w:rPr>
      </w:pPr>
    </w:p>
    <w:p w:rsidR="00531179" w:rsidRDefault="00531179" w:rsidP="00531179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531179" w:rsidRDefault="00531179" w:rsidP="00531179">
      <w:pPr>
        <w:jc w:val="right"/>
      </w:pPr>
    </w:p>
    <w:p w:rsidR="00531179" w:rsidRPr="007D5748" w:rsidRDefault="00531179" w:rsidP="00531179">
      <w:pPr>
        <w:jc w:val="right"/>
      </w:pPr>
      <w:r w:rsidRPr="007D5748"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31179" w:rsidRPr="007D5748" w:rsidTr="00822DC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531179" w:rsidRPr="007D5748" w:rsidTr="00822DC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1179" w:rsidRPr="00D84FBE" w:rsidRDefault="00531179" w:rsidP="00822DCB">
            <w:pPr>
              <w:jc w:val="center"/>
              <w:rPr>
                <w:b/>
                <w:bCs/>
              </w:rPr>
            </w:pPr>
            <w:r w:rsidRPr="00D84FBE">
              <w:rPr>
                <w:b/>
                <w:bCs/>
              </w:rPr>
              <w:t>2021</w:t>
            </w:r>
          </w:p>
        </w:tc>
      </w:tr>
      <w:tr w:rsidR="00531179" w:rsidRPr="007D5748" w:rsidTr="00822DCB">
        <w:trPr>
          <w:trHeight w:val="70"/>
        </w:trPr>
        <w:tc>
          <w:tcPr>
            <w:tcW w:w="4530" w:type="dxa"/>
          </w:tcPr>
          <w:p w:rsidR="00531179" w:rsidRPr="00E80709" w:rsidRDefault="00531179" w:rsidP="00822D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709">
              <w:rPr>
                <w:color w:val="000000"/>
                <w:sz w:val="24"/>
                <w:szCs w:val="24"/>
              </w:rPr>
              <w:t>Zvýšenie počtu štátnozamestnaneckých miest s vybavením 13 ŠZ + 6 VS</w:t>
            </w:r>
          </w:p>
        </w:tc>
        <w:tc>
          <w:tcPr>
            <w:tcW w:w="1134" w:type="dxa"/>
          </w:tcPr>
          <w:p w:rsidR="00531179" w:rsidRPr="00E80709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E80709" w:rsidRDefault="00531179" w:rsidP="00822D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0709">
              <w:rPr>
                <w:b/>
                <w:bCs/>
              </w:rPr>
              <w:t>19</w:t>
            </w:r>
          </w:p>
        </w:tc>
        <w:tc>
          <w:tcPr>
            <w:tcW w:w="1134" w:type="dxa"/>
          </w:tcPr>
          <w:p w:rsidR="00531179" w:rsidRPr="00E80709" w:rsidRDefault="00531179" w:rsidP="00822D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0709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531179" w:rsidRPr="00E80709" w:rsidRDefault="00531179" w:rsidP="00822D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0709">
              <w:rPr>
                <w:b/>
                <w:bCs/>
                <w:szCs w:val="24"/>
              </w:rPr>
              <w:t>0</w:t>
            </w:r>
          </w:p>
        </w:tc>
      </w:tr>
      <w:tr w:rsidR="00531179" w:rsidRPr="007D5748" w:rsidTr="00822DCB">
        <w:trPr>
          <w:trHeight w:val="70"/>
        </w:trPr>
        <w:tc>
          <w:tcPr>
            <w:tcW w:w="4530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70"/>
        </w:trPr>
        <w:tc>
          <w:tcPr>
            <w:tcW w:w="4530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79" w:rsidRPr="007D5748" w:rsidRDefault="00531179" w:rsidP="00822D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31179" w:rsidRDefault="00531179" w:rsidP="00531179">
      <w:pPr>
        <w:jc w:val="both"/>
        <w:rPr>
          <w:rFonts w:cstheme="minorHAnsi"/>
        </w:rPr>
      </w:pPr>
    </w:p>
    <w:p w:rsidR="00531179" w:rsidRPr="00E80709" w:rsidRDefault="00531179" w:rsidP="00531179">
      <w:pPr>
        <w:jc w:val="both"/>
        <w:rPr>
          <w:sz w:val="24"/>
          <w:szCs w:val="24"/>
        </w:rPr>
      </w:pPr>
      <w:r>
        <w:rPr>
          <w:sz w:val="24"/>
          <w:szCs w:val="24"/>
        </w:rPr>
        <w:t>Doplňujúce i</w:t>
      </w:r>
      <w:r w:rsidRPr="00E80709">
        <w:rPr>
          <w:sz w:val="24"/>
          <w:szCs w:val="24"/>
        </w:rPr>
        <w:t>nformáci</w:t>
      </w:r>
      <w:r>
        <w:rPr>
          <w:sz w:val="24"/>
          <w:szCs w:val="24"/>
        </w:rPr>
        <w:t>e</w:t>
      </w:r>
      <w:r w:rsidRPr="00E80709">
        <w:rPr>
          <w:sz w:val="24"/>
          <w:szCs w:val="24"/>
        </w:rPr>
        <w:t xml:space="preserve"> k zamestnancom: </w:t>
      </w:r>
    </w:p>
    <w:p w:rsidR="00531179" w:rsidRPr="00E80709" w:rsidRDefault="00531179" w:rsidP="00531179">
      <w:pPr>
        <w:jc w:val="both"/>
        <w:rPr>
          <w:sz w:val="24"/>
          <w:szCs w:val="24"/>
        </w:rPr>
      </w:pPr>
      <w:r w:rsidRPr="00E80709">
        <w:rPr>
          <w:sz w:val="24"/>
          <w:szCs w:val="24"/>
        </w:rPr>
        <w:t xml:space="preserve">Odborný personál (11 pracovníkov): 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 xml:space="preserve">Predseda – podľa návrhu zákona mu patrí  plat </w:t>
      </w:r>
      <w:r w:rsidR="00497607" w:rsidRPr="00A664E0">
        <w:rPr>
          <w:rFonts w:ascii="Times New Roman" w:hAnsi="Times New Roman"/>
          <w:sz w:val="24"/>
          <w:szCs w:val="24"/>
        </w:rPr>
        <w:t xml:space="preserve">vo výške platu poslanca národnej rady. Na pokrytie nevyhnutných výdavkov za služby a iných osobných výdavkov súvisiacich s vykonávaním funkcie </w:t>
      </w:r>
      <w:r w:rsidR="00497607">
        <w:rPr>
          <w:rFonts w:ascii="Times New Roman" w:hAnsi="Times New Roman"/>
          <w:sz w:val="24"/>
          <w:szCs w:val="24"/>
        </w:rPr>
        <w:t xml:space="preserve">mu </w:t>
      </w:r>
      <w:r w:rsidR="00497607" w:rsidRPr="00A664E0">
        <w:rPr>
          <w:rFonts w:ascii="Times New Roman" w:hAnsi="Times New Roman"/>
          <w:sz w:val="24"/>
          <w:szCs w:val="24"/>
        </w:rPr>
        <w:t xml:space="preserve">patrí paušálna náhrada mesačne v sume, ktorou je 121 % z platovej tarify 9. platovej triedy podľa </w:t>
      </w:r>
      <w:hyperlink r:id="rId8" w:anchor="prilohy.priloha-priloha_c_3k_zakonu_c_55_2017_z_z" w:tooltip="Odkaz na predpis alebo ustanovenie" w:history="1">
        <w:r w:rsidR="00497607" w:rsidRPr="00A664E0">
          <w:rPr>
            <w:rFonts w:ascii="Times New Roman" w:hAnsi="Times New Roman"/>
            <w:bCs/>
            <w:sz w:val="24"/>
            <w:szCs w:val="24"/>
          </w:rPr>
          <w:t>prílohy č. 3</w:t>
        </w:r>
      </w:hyperlink>
      <w:r w:rsidR="00497607" w:rsidRPr="00A664E0">
        <w:rPr>
          <w:rFonts w:ascii="Times New Roman" w:hAnsi="Times New Roman"/>
          <w:sz w:val="24"/>
          <w:szCs w:val="24"/>
        </w:rPr>
        <w:t xml:space="preserve"> alebo podľa </w:t>
      </w:r>
      <w:hyperlink r:id="rId9" w:anchor="paragraf-159" w:tooltip="Odkaz na predpis alebo ustanovenie" w:history="1">
        <w:r w:rsidR="00497607" w:rsidRPr="00A664E0">
          <w:rPr>
            <w:rFonts w:ascii="Times New Roman" w:hAnsi="Times New Roman"/>
            <w:bCs/>
            <w:sz w:val="24"/>
            <w:szCs w:val="24"/>
          </w:rPr>
          <w:t>§ 159</w:t>
        </w:r>
      </w:hyperlink>
      <w:r w:rsidR="00497607" w:rsidRPr="00A664E0">
        <w:rPr>
          <w:rFonts w:ascii="Times New Roman" w:hAnsi="Times New Roman"/>
          <w:sz w:val="24"/>
          <w:szCs w:val="24"/>
        </w:rPr>
        <w:t xml:space="preserve"> zákona č. 55/2017 Z. z. o štátnej službe. Nárok na paušálnu náhradu vzniká odo dňa začatia vykonávania funkcie a zaniká dňom skončenia vykonávania funkcie.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Rozhodovacia činnosť + kontrola (vrátane riešenia podnetov a oznámení) – 3 – ŠS (PT 9)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metodika/metodológia/monitoring prípadov a opatrení – 1 – ŠS (PT 8)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vedľajšie účastníctvo a monitorovanie oznámení – 1 – ŠS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 xml:space="preserve">analýza prípadov + spracovanie dokumentácie – 2 – ŠS 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poradenstvo, osveta a vzdelávanie – 2 – ŠS</w:t>
      </w:r>
    </w:p>
    <w:p w:rsidR="00531179" w:rsidRPr="00E80709" w:rsidRDefault="00531179" w:rsidP="00531179">
      <w:pPr>
        <w:jc w:val="both"/>
        <w:rPr>
          <w:sz w:val="24"/>
          <w:szCs w:val="24"/>
        </w:rPr>
      </w:pPr>
      <w:r w:rsidRPr="00E80709">
        <w:rPr>
          <w:sz w:val="24"/>
          <w:szCs w:val="24"/>
        </w:rPr>
        <w:lastRenderedPageBreak/>
        <w:t>Obslužný personál: (8 pracovníkov)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Osobný úrad – 1 – ŠS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 xml:space="preserve">Personalista – 1 – VS 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 xml:space="preserve">Vnútorný kontrolór + problematika </w:t>
      </w:r>
      <w:proofErr w:type="spellStart"/>
      <w:r w:rsidRPr="00E80709">
        <w:rPr>
          <w:rFonts w:ascii="Times New Roman" w:hAnsi="Times New Roman"/>
          <w:sz w:val="24"/>
          <w:szCs w:val="24"/>
        </w:rPr>
        <w:t>info</w:t>
      </w:r>
      <w:proofErr w:type="spellEnd"/>
      <w:r w:rsidRPr="00E80709">
        <w:rPr>
          <w:rFonts w:ascii="Times New Roman" w:hAnsi="Times New Roman"/>
          <w:sz w:val="24"/>
          <w:szCs w:val="24"/>
        </w:rPr>
        <w:t xml:space="preserve"> zákona  – 1 – VS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Vodič – 1 – VS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Registratúra + archív + podateľňa – 1 – VS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Sekretárka – 1 – VS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IT technik + web administrátor – 1 – VS</w:t>
      </w:r>
    </w:p>
    <w:p w:rsidR="00531179" w:rsidRPr="00E80709" w:rsidRDefault="00531179" w:rsidP="00B614B4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0709">
        <w:rPr>
          <w:rFonts w:ascii="Times New Roman" w:hAnsi="Times New Roman"/>
          <w:sz w:val="24"/>
          <w:szCs w:val="24"/>
        </w:rPr>
        <w:t>Ekonóm + účtovník – 1 – ŠS</w:t>
      </w:r>
    </w:p>
    <w:p w:rsidR="00531179" w:rsidRPr="007D5748" w:rsidRDefault="00531179" w:rsidP="00531179">
      <w:pPr>
        <w:rPr>
          <w:sz w:val="24"/>
          <w:szCs w:val="24"/>
        </w:rPr>
      </w:pPr>
    </w:p>
    <w:p w:rsidR="00531179" w:rsidRPr="007D5748" w:rsidRDefault="00531179" w:rsidP="0053117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531179" w:rsidRPr="007D5748" w:rsidRDefault="00531179" w:rsidP="00531179">
      <w:pPr>
        <w:rPr>
          <w:sz w:val="24"/>
          <w:szCs w:val="24"/>
        </w:rPr>
      </w:pPr>
    </w:p>
    <w:p w:rsidR="00531179" w:rsidRDefault="00FD5571" w:rsidP="00FD5571">
      <w:pPr>
        <w:tabs>
          <w:tab w:val="num" w:pos="851"/>
        </w:tabs>
        <w:jc w:val="both"/>
        <w:rPr>
          <w:sz w:val="24"/>
        </w:rPr>
      </w:pPr>
      <w:r>
        <w:rPr>
          <w:sz w:val="24"/>
        </w:rPr>
        <w:tab/>
      </w:r>
      <w:r w:rsidR="00531179">
        <w:rPr>
          <w:sz w:val="24"/>
        </w:rPr>
        <w:t xml:space="preserve">Zriadením úradu na ochranu oznamovateľov, ktorý ako nezávislý orgán s štátnej správy s celoštátnou pôsobnosťou, bude najmä poskytovať ochranu oznamovateľom (namiesto terajšieho inšpektorátu práce), kontrolovať dodržiavanie navrhovaného zákona, poskytovať odborné stanoviská a poradenstvo k aplikácii návrhu zákona, robiť osvetu v oblasti poskytovania ochrany tzv. </w:t>
      </w:r>
      <w:proofErr w:type="spellStart"/>
      <w:r w:rsidR="00531179">
        <w:rPr>
          <w:sz w:val="24"/>
        </w:rPr>
        <w:t>whistleblowerom</w:t>
      </w:r>
      <w:proofErr w:type="spellEnd"/>
      <w:r w:rsidR="00531179">
        <w:rPr>
          <w:sz w:val="24"/>
        </w:rPr>
        <w:t>, poskytovať odmenu oznamovateľovi (namiesto terajšieho Ministerstva spravodlivosti Slovenskej republiky), raz ročne predkladať Národnej rade Slovenskej republiky správu o svojej činnosti.</w:t>
      </w:r>
    </w:p>
    <w:p w:rsidR="00FD5571" w:rsidRPr="007D5748" w:rsidRDefault="00FD5571" w:rsidP="00FD5571">
      <w:pPr>
        <w:tabs>
          <w:tab w:val="num" w:pos="851"/>
        </w:tabs>
        <w:jc w:val="both"/>
        <w:rPr>
          <w:bCs/>
          <w:sz w:val="24"/>
          <w:szCs w:val="24"/>
        </w:rPr>
      </w:pPr>
      <w:r>
        <w:rPr>
          <w:sz w:val="24"/>
        </w:rPr>
        <w:t xml:space="preserve">V prvom roku činnosti úradu sa nepredpokladajú príjmy z uložených pokút, keďže </w:t>
      </w:r>
    </w:p>
    <w:p w:rsidR="00FD5571" w:rsidRDefault="00FD5571" w:rsidP="00FD5571">
      <w:pPr>
        <w:tabs>
          <w:tab w:val="num" w:pos="851"/>
        </w:tabs>
        <w:jc w:val="both"/>
        <w:rPr>
          <w:bCs/>
          <w:sz w:val="24"/>
        </w:rPr>
      </w:pPr>
      <w:r>
        <w:rPr>
          <w:bCs/>
          <w:sz w:val="24"/>
        </w:rPr>
        <w:t>Základným poslaním úradu je najmä prevencia a profylaxia než represia. Nakoľko nedochádza k podstatnej zmene v oblastí sankcií oproti doterajšej právnej úprave  nie je v súčasnosti z hľadiska poznatkov z aplikácie platnej právnej úpravy možné tieto príjmy dostatočne kvantifikovať.</w:t>
      </w:r>
    </w:p>
    <w:p w:rsidR="00531179" w:rsidRPr="007D5748" w:rsidRDefault="00FD5571" w:rsidP="00FD5571">
      <w:pPr>
        <w:tabs>
          <w:tab w:val="num" w:pos="851"/>
        </w:tabs>
        <w:jc w:val="both"/>
        <w:rPr>
          <w:bCs/>
          <w:sz w:val="24"/>
        </w:rPr>
        <w:sectPr w:rsidR="00531179" w:rsidRPr="007D5748" w:rsidSect="00D84F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" w:hAnsi="Times" w:cs="Times"/>
          <w:sz w:val="24"/>
        </w:rPr>
        <w:tab/>
      </w:r>
      <w:r w:rsidRPr="00FD5571">
        <w:rPr>
          <w:rFonts w:ascii="Times" w:hAnsi="Times" w:cs="Times"/>
          <w:sz w:val="24"/>
        </w:rPr>
        <w:t>Výdavky spojené s úlohami spojenými s odborným, organizačným, personálnym, administratívnym a technickým zabezpečením činnosti komisie, ktoré plní Úrad vlády Slovenskej republiky a  všetky súvisiace výdavky budú zabezpečené v rámci schváleného limitu výdavkov kapitoly Úradu vlády Slovenskej republiky na príslušný rozpočtový rok</w:t>
      </w:r>
      <w:r>
        <w:rPr>
          <w:bCs/>
          <w:sz w:val="24"/>
        </w:rPr>
        <w:t>, pre úplnosť uvádzame že komisia je ad hoc orgánom, ktorý sa schádza len na výber kandidátov na predsedu ktorého funkčné obdobie sa navrhuje ako šesťročné.</w:t>
      </w:r>
    </w:p>
    <w:p w:rsidR="00531179" w:rsidRPr="007D5748" w:rsidRDefault="00531179" w:rsidP="00531179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531179" w:rsidRPr="007D5748" w:rsidRDefault="00531179" w:rsidP="00531179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31179" w:rsidRPr="007D5748" w:rsidTr="00822DC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531179" w:rsidRPr="007D5748" w:rsidTr="00822DC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7D5748" w:rsidRDefault="00531179" w:rsidP="00822DC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D84FBE" w:rsidRDefault="00531179" w:rsidP="00822DCB">
            <w:pPr>
              <w:jc w:val="center"/>
              <w:rPr>
                <w:b/>
                <w:bCs/>
              </w:rPr>
            </w:pPr>
            <w:r w:rsidRPr="00D84FBE">
              <w:rPr>
                <w:b/>
                <w:bCs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7D5748" w:rsidRDefault="00531179" w:rsidP="00822DC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531179" w:rsidRPr="007D5748" w:rsidTr="00531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531179" w:rsidRPr="007D5748" w:rsidTr="0053117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531179" w:rsidRPr="007D5748" w:rsidRDefault="00531179" w:rsidP="00531179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531179" w:rsidRPr="007D5748" w:rsidRDefault="00531179" w:rsidP="00531179">
      <w:pPr>
        <w:tabs>
          <w:tab w:val="num" w:pos="1080"/>
        </w:tabs>
        <w:jc w:val="both"/>
        <w:rPr>
          <w:bCs/>
          <w:sz w:val="24"/>
        </w:rPr>
      </w:pPr>
    </w:p>
    <w:p w:rsidR="00531179" w:rsidRPr="007D5748" w:rsidRDefault="00531179" w:rsidP="00531179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531179" w:rsidRPr="007D5748" w:rsidRDefault="00531179" w:rsidP="00531179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Default="00531179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FC772E" w:rsidRPr="007D5748" w:rsidRDefault="00FC772E" w:rsidP="00531179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531179" w:rsidRPr="007D5748" w:rsidRDefault="00531179" w:rsidP="00531179">
      <w:pPr>
        <w:tabs>
          <w:tab w:val="num" w:pos="1080"/>
        </w:tabs>
        <w:ind w:right="-32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4 </w:t>
      </w:r>
    </w:p>
    <w:p w:rsidR="00531179" w:rsidRPr="007D5748" w:rsidRDefault="00531179" w:rsidP="00531179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31179" w:rsidRPr="007D5748" w:rsidTr="00822DC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E6574F" w:rsidRDefault="00531179" w:rsidP="00822DCB">
            <w:pPr>
              <w:jc w:val="center"/>
              <w:rPr>
                <w:b/>
                <w:bCs/>
              </w:rPr>
            </w:pPr>
            <w:r w:rsidRPr="00E6574F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531179" w:rsidRPr="007D5748" w:rsidTr="00822DC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179" w:rsidRPr="007D5748" w:rsidRDefault="00531179" w:rsidP="00822DCB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E6574F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74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E6574F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74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E6574F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E6574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D84FBE" w:rsidRDefault="00531179" w:rsidP="00822DCB">
            <w:pPr>
              <w:jc w:val="center"/>
              <w:rPr>
                <w:b/>
                <w:bCs/>
              </w:rPr>
            </w:pPr>
            <w:r w:rsidRPr="00D84FBE">
              <w:rPr>
                <w:b/>
                <w:bCs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7D5748" w:rsidRDefault="00531179" w:rsidP="00822DC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614394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599394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599394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254831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254831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254831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89063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89063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89063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Tovary a služby (630)</w:t>
            </w:r>
            <w:r w:rsidRPr="005351D3">
              <w:rPr>
                <w:color w:val="000000"/>
                <w:vertAlign w:val="superscript"/>
              </w:rPr>
              <w:t>2     z toho: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265000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636001 nájom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75000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75000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75000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632001 energie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9000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632002 vodné stočné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635006 oprava a údržba budov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637004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635004 oprava a údržby prevádzkových strojov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633006 všeobecný materiál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65000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65000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65000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633002 výpočtová technika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632005 telekomunikačné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631001 cestovné výdavky tuzemské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631002 cestovné výdavky zahraničné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35000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632005 telekomunikačné služby - obstaranie telefóny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 xml:space="preserve">7 350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637014 stravovanie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Bežné transfery (640)</w:t>
            </w:r>
            <w:r w:rsidRPr="005351D3">
              <w:rPr>
                <w:color w:val="000000"/>
                <w:vertAlign w:val="superscript"/>
              </w:rPr>
              <w:t>2    z toho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642015 nemocenské dávky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642 014 odstupné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2500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Členské príspevky  nie je definované aké napr.do zahraničia)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Splácanie úrokov a ostatné platby súvisiace s  úverom, pôžičkou, návratnou finančnou výpomocou a finančným prenájmom (650)</w:t>
            </w:r>
            <w:r w:rsidRPr="005351D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lastRenderedPageBreak/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98870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Obstarávanie kapitálových aktív (710)</w:t>
            </w:r>
            <w:r w:rsidRPr="005351D3">
              <w:rPr>
                <w:color w:val="000000"/>
                <w:vertAlign w:val="superscript"/>
              </w:rPr>
              <w:t>2    z toho: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98870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714001 nákup osobných automobilov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713002 výpočtová technika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713 004 prevádzkové stroje, prístroje, zariadenia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8870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>713 006 komunikačná infraštruktúra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/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color w:val="000000"/>
              </w:rPr>
            </w:pPr>
            <w:r w:rsidRPr="005351D3">
              <w:rPr>
                <w:color w:val="000000"/>
              </w:rPr>
              <w:t xml:space="preserve">  Kapitálové transfery (720)</w:t>
            </w:r>
            <w:r w:rsidRPr="005351D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jc w:val="center"/>
              <w:rPr>
                <w:color w:val="000000"/>
              </w:rPr>
            </w:pPr>
            <w:r w:rsidRPr="005351D3"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531179">
        <w:trPr>
          <w:trHeight w:val="34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79" w:rsidRPr="005351D3" w:rsidRDefault="00531179" w:rsidP="00822DCB">
            <w:pPr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9" w:rsidRPr="00797771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79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9" w:rsidRPr="00797771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79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9" w:rsidRPr="00797771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79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9" w:rsidRPr="00797771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79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  <w:tr w:rsidR="00531179" w:rsidRPr="007D5748" w:rsidTr="00822DCB">
        <w:trPr>
          <w:trHeight w:val="34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5351D3" w:rsidRDefault="00531179" w:rsidP="00822DCB">
            <w:pPr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713264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604394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5351D3" w:rsidRDefault="00531179" w:rsidP="00822DCB">
            <w:pPr>
              <w:jc w:val="center"/>
              <w:rPr>
                <w:b/>
                <w:bCs/>
                <w:color w:val="000000"/>
              </w:rPr>
            </w:pPr>
            <w:r w:rsidRPr="005351D3">
              <w:rPr>
                <w:b/>
                <w:bCs/>
                <w:color w:val="000000"/>
              </w:rPr>
              <w:t>599394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1179" w:rsidRPr="005351D3" w:rsidRDefault="00531179" w:rsidP="00822DCB">
            <w:r w:rsidRPr="005351D3">
              <w:t> </w:t>
            </w:r>
          </w:p>
        </w:tc>
      </w:tr>
    </w:tbl>
    <w:p w:rsidR="00531179" w:rsidRPr="007D5748" w:rsidRDefault="00531179" w:rsidP="00531179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531179" w:rsidRPr="00FC772E" w:rsidRDefault="00531179" w:rsidP="00531179">
      <w:pPr>
        <w:tabs>
          <w:tab w:val="num" w:pos="1080"/>
        </w:tabs>
        <w:ind w:left="-900"/>
        <w:jc w:val="both"/>
        <w:rPr>
          <w:bCs/>
          <w:sz w:val="12"/>
        </w:rPr>
      </w:pPr>
    </w:p>
    <w:p w:rsidR="00531179" w:rsidRPr="00FC772E" w:rsidRDefault="00531179" w:rsidP="00531179">
      <w:pPr>
        <w:tabs>
          <w:tab w:val="num" w:pos="1080"/>
        </w:tabs>
        <w:ind w:left="-900"/>
        <w:jc w:val="both"/>
        <w:rPr>
          <w:b/>
          <w:bCs/>
          <w:sz w:val="16"/>
        </w:rPr>
      </w:pPr>
      <w:r w:rsidRPr="00FC772E">
        <w:rPr>
          <w:b/>
          <w:bCs/>
        </w:rPr>
        <w:t>Poznámka:</w:t>
      </w:r>
    </w:p>
    <w:p w:rsidR="00531179" w:rsidRPr="00FC772E" w:rsidRDefault="00531179" w:rsidP="00531179">
      <w:pPr>
        <w:tabs>
          <w:tab w:val="num" w:pos="1080"/>
        </w:tabs>
        <w:ind w:left="-900"/>
        <w:jc w:val="both"/>
        <w:rPr>
          <w:bCs/>
          <w:sz w:val="16"/>
        </w:rPr>
      </w:pPr>
      <w:r w:rsidRPr="00FC772E">
        <w:rPr>
          <w:bCs/>
        </w:rPr>
        <w:t>Ak sa vplyv týka viacerých subjektov verejnej správy, vypĺňa sa samostatná tabuľka za každý subjekt.</w:t>
      </w:r>
    </w:p>
    <w:p w:rsidR="00531179" w:rsidRPr="007D5748" w:rsidRDefault="00531179" w:rsidP="00531179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531179" w:rsidRPr="00FC772E" w:rsidRDefault="00531179" w:rsidP="00531179">
      <w:pPr>
        <w:tabs>
          <w:tab w:val="num" w:pos="1080"/>
        </w:tabs>
        <w:jc w:val="both"/>
        <w:rPr>
          <w:bCs/>
          <w:sz w:val="12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31179" w:rsidRPr="007D5748" w:rsidTr="00822DC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97771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97771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31179" w:rsidRPr="007D5748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531179" w:rsidRPr="007D5748" w:rsidTr="00822DC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97771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9777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97771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9777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97771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977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797771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7977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179" w:rsidRPr="007D5748" w:rsidRDefault="00531179" w:rsidP="00822DC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1 117,68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1 117,68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1 117,68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sz w:val="24"/>
                <w:szCs w:val="24"/>
              </w:rPr>
            </w:pPr>
            <w:r w:rsidRPr="002C70C7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1 117,68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1 117,68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1 117,68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343 894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343 894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343 894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254 831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89 063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89 063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89 063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b/>
                <w:bCs/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89 063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89 063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179" w:rsidRPr="002C70C7" w:rsidRDefault="00531179" w:rsidP="00822DCB">
            <w:pPr>
              <w:jc w:val="center"/>
              <w:rPr>
                <w:b/>
                <w:sz w:val="24"/>
                <w:szCs w:val="24"/>
              </w:rPr>
            </w:pPr>
            <w:r w:rsidRPr="002C70C7">
              <w:rPr>
                <w:b/>
                <w:sz w:val="24"/>
                <w:szCs w:val="24"/>
              </w:rPr>
              <w:t>89 063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79" w:rsidRPr="002C70C7" w:rsidRDefault="00531179" w:rsidP="00822DCB">
            <w:pPr>
              <w:rPr>
                <w:sz w:val="24"/>
                <w:szCs w:val="24"/>
              </w:rPr>
            </w:pPr>
            <w:r w:rsidRPr="002C70C7">
              <w:rPr>
                <w:sz w:val="24"/>
                <w:szCs w:val="24"/>
              </w:rPr>
              <w:t> </w:t>
            </w:r>
          </w:p>
        </w:tc>
      </w:tr>
      <w:tr w:rsidR="00531179" w:rsidRPr="007D5748" w:rsidTr="00822DC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31179" w:rsidRPr="00FC772E" w:rsidRDefault="00531179" w:rsidP="00822DCB">
            <w:pPr>
              <w:rPr>
                <w:b/>
                <w:bCs/>
                <w:sz w:val="12"/>
                <w:szCs w:val="24"/>
              </w:rPr>
            </w:pPr>
          </w:p>
          <w:p w:rsidR="00531179" w:rsidRPr="00FC772E" w:rsidRDefault="00531179" w:rsidP="00822DCB">
            <w:pPr>
              <w:rPr>
                <w:b/>
                <w:bCs/>
                <w:szCs w:val="24"/>
              </w:rPr>
            </w:pPr>
            <w:r w:rsidRPr="00FC772E">
              <w:rPr>
                <w:b/>
                <w:bCs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</w:tr>
      <w:tr w:rsidR="00531179" w:rsidRPr="007D5748" w:rsidTr="00822DC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31179" w:rsidRPr="00FC772E" w:rsidRDefault="00531179" w:rsidP="00822DCB">
            <w:pPr>
              <w:tabs>
                <w:tab w:val="num" w:pos="1080"/>
              </w:tabs>
              <w:jc w:val="both"/>
              <w:rPr>
                <w:bCs/>
              </w:rPr>
            </w:pPr>
            <w:r w:rsidRPr="00FC772E">
              <w:rPr>
                <w:bCs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531179" w:rsidRPr="00FC772E" w:rsidRDefault="00531179" w:rsidP="00822DCB">
            <w:pPr>
              <w:rPr>
                <w:szCs w:val="24"/>
              </w:rPr>
            </w:pPr>
            <w:r w:rsidRPr="00FC772E">
              <w:rPr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</w:tr>
      <w:tr w:rsidR="00531179" w:rsidRPr="007D5748" w:rsidTr="00822DCB">
        <w:trPr>
          <w:trHeight w:val="289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  <w:r w:rsidRPr="00FC772E">
              <w:rPr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FC772E" w:rsidRDefault="00531179" w:rsidP="00822DCB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1179" w:rsidRPr="007D5748" w:rsidRDefault="00531179" w:rsidP="00822DCB">
            <w:pPr>
              <w:rPr>
                <w:sz w:val="24"/>
                <w:szCs w:val="24"/>
              </w:rPr>
            </w:pPr>
          </w:p>
        </w:tc>
      </w:tr>
    </w:tbl>
    <w:p w:rsidR="00531179" w:rsidRPr="007D5748" w:rsidRDefault="00531179" w:rsidP="00531179">
      <w:pPr>
        <w:rPr>
          <w:b/>
          <w:bCs/>
          <w:sz w:val="24"/>
          <w:szCs w:val="24"/>
        </w:rPr>
        <w:sectPr w:rsidR="00531179" w:rsidRPr="007D5748" w:rsidSect="00FC772E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531179" w:rsidRPr="00B614B4" w:rsidRDefault="00531179">
      <w:pPr>
        <w:rPr>
          <w:sz w:val="2"/>
          <w:szCs w:val="2"/>
        </w:rPr>
      </w:pPr>
    </w:p>
    <w:sectPr w:rsidR="00531179" w:rsidRPr="00B614B4" w:rsidSect="00033F71">
      <w:headerReference w:type="default" r:id="rId16"/>
      <w:footerReference w:type="default" r:id="rId17"/>
      <w:pgSz w:w="11906" w:h="16838"/>
      <w:pgMar w:top="1178" w:right="1418" w:bottom="96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2F" w:rsidRDefault="00F4022F" w:rsidP="003501A1">
      <w:r>
        <w:separator/>
      </w:r>
    </w:p>
  </w:endnote>
  <w:endnote w:type="continuationSeparator" w:id="0">
    <w:p w:rsidR="00F4022F" w:rsidRDefault="00F4022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79" w:rsidRDefault="005311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31179" w:rsidRDefault="0053117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79" w:rsidRDefault="005311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94FA4">
      <w:rPr>
        <w:noProof/>
      </w:rPr>
      <w:t>7</w:t>
    </w:r>
    <w:r>
      <w:fldChar w:fldCharType="end"/>
    </w:r>
  </w:p>
  <w:p w:rsidR="00531179" w:rsidRDefault="0053117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79" w:rsidRDefault="005311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31179" w:rsidRDefault="0053117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71" w:rsidRDefault="0011658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94FA4">
      <w:rPr>
        <w:noProof/>
      </w:rPr>
      <w:t>1</w:t>
    </w:r>
    <w:r>
      <w:fldChar w:fldCharType="end"/>
    </w:r>
  </w:p>
  <w:p w:rsidR="009C2704" w:rsidRPr="00DA3A35" w:rsidRDefault="00F4022F" w:rsidP="00F15A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2F" w:rsidRDefault="00F4022F" w:rsidP="003501A1">
      <w:r>
        <w:separator/>
      </w:r>
    </w:p>
  </w:footnote>
  <w:footnote w:type="continuationSeparator" w:id="0">
    <w:p w:rsidR="00F4022F" w:rsidRDefault="00F4022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79" w:rsidRDefault="00531179" w:rsidP="00D84FB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31179" w:rsidRPr="00EB59C8" w:rsidRDefault="00531179" w:rsidP="00D84FB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79" w:rsidRPr="0024067A" w:rsidRDefault="00531179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79" w:rsidRPr="000A15AE" w:rsidRDefault="00531179" w:rsidP="00D84FB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6E" w:rsidRDefault="00F4022F" w:rsidP="0090556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6E1D83"/>
    <w:multiLevelType w:val="hybridMultilevel"/>
    <w:tmpl w:val="527CE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94A13"/>
    <w:multiLevelType w:val="hybridMultilevel"/>
    <w:tmpl w:val="79AE9D94"/>
    <w:lvl w:ilvl="0" w:tplc="FB1CF72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86"/>
    <w:rsid w:val="00036A60"/>
    <w:rsid w:val="00050CF2"/>
    <w:rsid w:val="00067F2E"/>
    <w:rsid w:val="000C23C7"/>
    <w:rsid w:val="0011658A"/>
    <w:rsid w:val="00133E58"/>
    <w:rsid w:val="00152363"/>
    <w:rsid w:val="00166FFF"/>
    <w:rsid w:val="00175FD8"/>
    <w:rsid w:val="001E43CB"/>
    <w:rsid w:val="00214106"/>
    <w:rsid w:val="002D5A09"/>
    <w:rsid w:val="003501A1"/>
    <w:rsid w:val="00395098"/>
    <w:rsid w:val="003C0313"/>
    <w:rsid w:val="003E6469"/>
    <w:rsid w:val="00445905"/>
    <w:rsid w:val="0045465B"/>
    <w:rsid w:val="00470B61"/>
    <w:rsid w:val="00497607"/>
    <w:rsid w:val="004C60B8"/>
    <w:rsid w:val="004C794A"/>
    <w:rsid w:val="004F6F1F"/>
    <w:rsid w:val="004F7D6F"/>
    <w:rsid w:val="00531179"/>
    <w:rsid w:val="00570B48"/>
    <w:rsid w:val="005739BF"/>
    <w:rsid w:val="005B7A8D"/>
    <w:rsid w:val="006C3B7D"/>
    <w:rsid w:val="00744F04"/>
    <w:rsid w:val="007966FA"/>
    <w:rsid w:val="007C133C"/>
    <w:rsid w:val="00893DA0"/>
    <w:rsid w:val="008B3123"/>
    <w:rsid w:val="008B7AA0"/>
    <w:rsid w:val="008C072F"/>
    <w:rsid w:val="00906995"/>
    <w:rsid w:val="00AA7FF9"/>
    <w:rsid w:val="00AC2477"/>
    <w:rsid w:val="00B614B4"/>
    <w:rsid w:val="00B65A86"/>
    <w:rsid w:val="00C40311"/>
    <w:rsid w:val="00C409B7"/>
    <w:rsid w:val="00CB3623"/>
    <w:rsid w:val="00CF4905"/>
    <w:rsid w:val="00D13B6F"/>
    <w:rsid w:val="00D75D35"/>
    <w:rsid w:val="00D94FA4"/>
    <w:rsid w:val="00DB52A0"/>
    <w:rsid w:val="00DE2A12"/>
    <w:rsid w:val="00DF1A24"/>
    <w:rsid w:val="00E24ACE"/>
    <w:rsid w:val="00E40F19"/>
    <w:rsid w:val="00EB3C8B"/>
    <w:rsid w:val="00EB59E3"/>
    <w:rsid w:val="00F22831"/>
    <w:rsid w:val="00F4022F"/>
    <w:rsid w:val="00F62771"/>
    <w:rsid w:val="00F66D34"/>
    <w:rsid w:val="00F95C19"/>
    <w:rsid w:val="00FA7CCB"/>
    <w:rsid w:val="00FB336D"/>
    <w:rsid w:val="00FC772E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A177"/>
  <w15:docId w15:val="{7EF5B39B-F505-4210-B725-2C7BB48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497607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E40F19"/>
    <w:pPr>
      <w:spacing w:before="100" w:beforeAutospacing="1" w:after="100" w:afterAutospacing="1"/>
    </w:pPr>
    <w:rPr>
      <w:sz w:val="24"/>
      <w:szCs w:val="24"/>
    </w:rPr>
  </w:style>
  <w:style w:type="character" w:styleId="slostrany">
    <w:name w:val="page number"/>
    <w:basedOn w:val="Predvolenpsmoodseku"/>
    <w:uiPriority w:val="99"/>
    <w:rsid w:val="00531179"/>
    <w:rPr>
      <w:rFonts w:cs="Times New Roman"/>
    </w:rPr>
  </w:style>
  <w:style w:type="character" w:customStyle="1" w:styleId="Nadpis4Char">
    <w:name w:val="Nadpis 4 Char"/>
    <w:basedOn w:val="Predvolenpsmoodseku"/>
    <w:link w:val="Nadpis4"/>
    <w:semiHidden/>
    <w:rsid w:val="00497607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9760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760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7/55/20180101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7/55/201801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55FF-7FD9-49C6-A3F0-71816979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Bonko Andrej</cp:lastModifiedBy>
  <cp:revision>10</cp:revision>
  <dcterms:created xsi:type="dcterms:W3CDTF">2018-02-09T15:13:00Z</dcterms:created>
  <dcterms:modified xsi:type="dcterms:W3CDTF">2018-10-16T06:46:00Z</dcterms:modified>
</cp:coreProperties>
</file>