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7A7A18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8A1252" w:rsidP="007B71A4">
            <w:pPr>
              <w:jc w:val="center"/>
              <w:rPr>
                <w:b/>
                <w:sz w:val="28"/>
                <w:szCs w:val="28"/>
              </w:rPr>
            </w:pPr>
            <w:r w:rsidRPr="007A7A18">
              <w:rPr>
                <w:b/>
                <w:sz w:val="28"/>
                <w:szCs w:val="28"/>
              </w:rPr>
              <w:t>Analýza v</w:t>
            </w:r>
            <w:r w:rsidR="009F2DFA" w:rsidRPr="007A7A18">
              <w:rPr>
                <w:b/>
                <w:sz w:val="28"/>
                <w:szCs w:val="28"/>
              </w:rPr>
              <w:t>plyv</w:t>
            </w:r>
            <w:r w:rsidRPr="007A7A18">
              <w:rPr>
                <w:b/>
                <w:sz w:val="28"/>
                <w:szCs w:val="28"/>
              </w:rPr>
              <w:t>ov</w:t>
            </w:r>
            <w:r w:rsidR="009F2DFA" w:rsidRPr="007A7A18">
              <w:rPr>
                <w:b/>
                <w:sz w:val="28"/>
                <w:szCs w:val="28"/>
              </w:rPr>
              <w:t xml:space="preserve"> na podnikateľské prostredie </w:t>
            </w:r>
          </w:p>
          <w:p w:rsidR="009F2DFA" w:rsidRPr="007A7A18" w:rsidRDefault="009F2DFA" w:rsidP="00780BA6">
            <w:pPr>
              <w:jc w:val="center"/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 xml:space="preserve">(vrátane </w:t>
            </w:r>
            <w:r w:rsidR="00780BA6" w:rsidRPr="007A7A18">
              <w:rPr>
                <w:b/>
                <w:sz w:val="24"/>
                <w:szCs w:val="24"/>
              </w:rPr>
              <w:t xml:space="preserve">testu </w:t>
            </w:r>
            <w:r w:rsidRPr="007A7A18">
              <w:rPr>
                <w:b/>
                <w:sz w:val="24"/>
                <w:szCs w:val="24"/>
              </w:rPr>
              <w:t>MSP)</w:t>
            </w:r>
          </w:p>
        </w:tc>
      </w:tr>
      <w:tr w:rsidR="009F2DFA" w:rsidRPr="007A7A18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9F2DFA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Materiál bude mať vplyv s ohľadom na veľkostnú kategóriu podnikov:</w:t>
            </w:r>
          </w:p>
        </w:tc>
      </w:tr>
      <w:tr w:rsidR="009F2DFA" w:rsidRPr="007A7A18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7A7A18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7A7A18" w:rsidRDefault="009F2DFA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7A7A18" w:rsidRDefault="009F2DFA" w:rsidP="007B71A4">
                  <w:pPr>
                    <w:rPr>
                      <w:b/>
                    </w:rPr>
                  </w:pPr>
                  <w:r w:rsidRPr="007A7A18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7A7A18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7A7A18" w:rsidRDefault="009F2DFA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7A7A18" w:rsidRDefault="009F2DFA" w:rsidP="007B71A4">
                  <w:pPr>
                    <w:rPr>
                      <w:b/>
                    </w:rPr>
                  </w:pPr>
                  <w:r w:rsidRPr="007A7A18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7A7A18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7A7A18" w:rsidRDefault="00B939EF" w:rsidP="007B71A4">
                      <w:pPr>
                        <w:jc w:val="center"/>
                      </w:pPr>
                      <w:r w:rsidRPr="007A7A18">
                        <w:rPr>
                          <w:rFonts w:ascii="MS Mincho" w:eastAsia="MS Mincho" w:hAnsi="MS Mincho" w:cs="MS Mincho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7A7A18" w:rsidRDefault="009F2DFA" w:rsidP="007B71A4">
                  <w:r w:rsidRPr="007A7A18">
                    <w:rPr>
                      <w:b/>
                    </w:rPr>
                    <w:t>na všetky kategórie podnikov</w:t>
                  </w:r>
                </w:p>
              </w:tc>
            </w:tr>
          </w:tbl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.1 Dotknuté podnikateľské subjekty</w:t>
            </w:r>
          </w:p>
          <w:p w:rsidR="009F2DFA" w:rsidRPr="007A7A18" w:rsidRDefault="009F2DFA" w:rsidP="007B71A4">
            <w:pPr>
              <w:ind w:left="284"/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aké podnikateľské subjekty budú predkladaným návrhom ovplyvnené.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Aký je ich počet?</w:t>
            </w:r>
          </w:p>
        </w:tc>
      </w:tr>
      <w:tr w:rsidR="009F2DFA" w:rsidRPr="007A7A18" w:rsidTr="00CA0FB1">
        <w:trPr>
          <w:trHeight w:val="9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E61753" w:rsidRDefault="00326959" w:rsidP="00FD736B">
            <w:pPr>
              <w:ind w:firstLine="284"/>
              <w:jc w:val="both"/>
            </w:pPr>
            <w:r w:rsidRPr="00E61753">
              <w:t>30 908 (zahŕňa výrobcov, baliarne, distrib</w:t>
            </w:r>
            <w:r w:rsidR="00FD736B">
              <w:t>úciu a maloobchodné prevádzky; z</w:t>
            </w:r>
            <w:r w:rsidRPr="00E61753">
              <w:t>droj: Výročná správa z úradnej kontroly za rok 2016, MPRV SR)</w:t>
            </w:r>
            <w:r w:rsidR="00AF5956" w:rsidRPr="00E61753">
              <w:t>.</w:t>
            </w:r>
          </w:p>
          <w:p w:rsidR="00AF5956" w:rsidRPr="007A7A18" w:rsidRDefault="00AF5956" w:rsidP="00FD736B">
            <w:pPr>
              <w:ind w:firstLine="284"/>
              <w:jc w:val="both"/>
              <w:rPr>
                <w:i/>
              </w:rPr>
            </w:pPr>
            <w:r w:rsidRPr="00E61753">
              <w:t>Najväčší dopad bude mať</w:t>
            </w:r>
            <w:r w:rsidR="008752C7">
              <w:t xml:space="preserve"> návrh</w:t>
            </w:r>
            <w:r w:rsidRPr="00E61753">
              <w:t xml:space="preserve"> pravdepodobne na veľké obchodné reťazce, ktoré vzhľadom na svoju ekonomickú silu aplikujú neprimerané obchodné podmienky najčastejšie (CBA Slovakia, a.s., TESCO STORES SR, a.s., </w:t>
            </w:r>
            <w:proofErr w:type="spellStart"/>
            <w:r w:rsidRPr="00E61753">
              <w:t>Lidl</w:t>
            </w:r>
            <w:proofErr w:type="spellEnd"/>
            <w:r w:rsidRPr="00E61753">
              <w:t xml:space="preserve"> Slovenská republika, v.o.s., BILLA s.r.o., COOP Jednota, </w:t>
            </w:r>
            <w:proofErr w:type="spellStart"/>
            <w:r w:rsidRPr="00E61753">
              <w:t>Kauf</w:t>
            </w:r>
            <w:r w:rsidR="00022D28">
              <w:t>land</w:t>
            </w:r>
            <w:proofErr w:type="spellEnd"/>
            <w:r w:rsidR="00022D28">
              <w:t xml:space="preserve"> Slovenská republika v.o.s.</w:t>
            </w:r>
            <w:r w:rsidRPr="00E61753">
              <w:t>)</w:t>
            </w:r>
            <w:r w:rsidR="00FD736B">
              <w:t>.</w:t>
            </w:r>
          </w:p>
        </w:tc>
      </w:tr>
      <w:tr w:rsidR="009F2DFA" w:rsidRPr="007A7A18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.2 Vyhodnotenie konzultácií</w:t>
            </w:r>
          </w:p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akou formou (verejné alebo cielené konzultácie a prečo) a s kým bol návrh konzultovaný.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Ako dlho trvali konzultácie?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7A7A18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E37C1F" w:rsidRPr="00E61753" w:rsidRDefault="006B6696" w:rsidP="003D027A">
            <w:pPr>
              <w:ind w:firstLine="284"/>
              <w:contextualSpacing/>
              <w:jc w:val="both"/>
            </w:pPr>
            <w:r>
              <w:t>Návrh bol konzultovaný s týmito subjektmi</w:t>
            </w:r>
            <w:r w:rsidR="00E37C1F" w:rsidRPr="00E61753">
              <w:t>:</w:t>
            </w:r>
            <w:r>
              <w:t xml:space="preserve"> </w:t>
            </w:r>
            <w:r w:rsidR="00E37C1F" w:rsidRPr="00E61753">
              <w:t xml:space="preserve">SPPK, PKS, Slovenské združenie pre značkové výrobky, CBA Slovakia, a.s., SAMO, TESCO STORES SR, a.s.,  </w:t>
            </w:r>
            <w:proofErr w:type="spellStart"/>
            <w:r w:rsidR="00E37C1F" w:rsidRPr="00E61753">
              <w:t>Lidl</w:t>
            </w:r>
            <w:proofErr w:type="spellEnd"/>
            <w:r w:rsidR="00E37C1F" w:rsidRPr="00E61753">
              <w:t xml:space="preserve"> Slovenská republika, v.o.s., BILLA s.r.o., Zväz obchodu SR, zástupcovia družstiev COOP Jednota</w:t>
            </w:r>
            <w:r w:rsidR="00AF5956" w:rsidRPr="00E61753">
              <w:t>.</w:t>
            </w:r>
          </w:p>
          <w:p w:rsidR="00E37C1F" w:rsidRPr="00E61753" w:rsidRDefault="00E37C1F" w:rsidP="00BF5105">
            <w:pPr>
              <w:ind w:firstLine="284"/>
              <w:contextualSpacing/>
              <w:jc w:val="both"/>
            </w:pPr>
            <w:r w:rsidRPr="00E61753">
              <w:t xml:space="preserve">Všetky konzultácie prebehli ústne </w:t>
            </w:r>
            <w:r w:rsidR="00BF5105">
              <w:t>počas</w:t>
            </w:r>
            <w:r w:rsidRPr="00E61753">
              <w:t xml:space="preserve"> osobných stretnutí </w:t>
            </w:r>
            <w:r w:rsidR="00BF5105">
              <w:t>v</w:t>
            </w:r>
            <w:r w:rsidRPr="00E61753">
              <w:t xml:space="preserve"> mesiaco</w:t>
            </w:r>
            <w:r w:rsidR="00BF5105">
              <w:t>ch</w:t>
            </w:r>
            <w:r w:rsidRPr="00E61753">
              <w:t xml:space="preserve"> jún, júl a august 2017. Niektoré zo subjektov zaslali svoje pripomienky aj písomne.</w:t>
            </w:r>
          </w:p>
          <w:p w:rsidR="00E37C1F" w:rsidRPr="007A7A18" w:rsidRDefault="00E37C1F" w:rsidP="00022D28">
            <w:pPr>
              <w:ind w:firstLine="284"/>
              <w:contextualSpacing/>
              <w:jc w:val="both"/>
              <w:rPr>
                <w:i/>
              </w:rPr>
            </w:pPr>
            <w:r w:rsidRPr="00E61753">
              <w:t>Všetky pripomienky boli vyhodnotené a z časti akceptovan</w:t>
            </w:r>
            <w:r w:rsidR="00022D28">
              <w:t>é a zapracované (najmä problematika</w:t>
            </w:r>
            <w:r w:rsidRPr="00E61753">
              <w:t xml:space="preserve"> kontroly dodá</w:t>
            </w:r>
            <w:r w:rsidR="00022D28">
              <w:t>vateľa odberateľom, problematika precizovania</w:t>
            </w:r>
            <w:r w:rsidRPr="00E61753">
              <w:t xml:space="preserve"> formulácií jednotlivých neprimeraných podmienok,</w:t>
            </w:r>
            <w:r w:rsidR="00022D28">
              <w:t xml:space="preserve"> ako aj</w:t>
            </w:r>
            <w:r w:rsidRPr="00E61753">
              <w:t xml:space="preserve"> formulačné pripomienky). Avšak zásadné pripomienky týkajúce sa vypustenia generálnej klauzuly, splatnosti faktúr</w:t>
            </w:r>
            <w:r w:rsidR="00F1248D" w:rsidRPr="00E61753">
              <w:t>, subsidiarity správneho poriadku a fixovani</w:t>
            </w:r>
            <w:r w:rsidR="00D353F5">
              <w:t>a</w:t>
            </w:r>
            <w:r w:rsidR="00003EBF">
              <w:t xml:space="preserve"> aplikácie</w:t>
            </w:r>
            <w:r w:rsidR="00F1248D" w:rsidRPr="00E61753">
              <w:t xml:space="preserve"> </w:t>
            </w:r>
            <w:r w:rsidR="00C558C5">
              <w:t>návrhu</w:t>
            </w:r>
            <w:r w:rsidR="00F1248D" w:rsidRPr="00E61753">
              <w:t xml:space="preserve"> na trhovú silu akceptované neboli.</w:t>
            </w:r>
            <w:r w:rsidRPr="007A7A18">
              <w:rPr>
                <w:i/>
              </w:rPr>
              <w:t xml:space="preserve"> </w:t>
            </w: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.3 Náklady regulácie</w:t>
            </w:r>
          </w:p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</w:t>
            </w:r>
            <w:r w:rsidR="009F2DFA" w:rsidRPr="007A7A18">
              <w:rPr>
                <w:b/>
                <w:i/>
              </w:rPr>
              <w:t>.3.1 Priame finančné náklady</w:t>
            </w:r>
          </w:p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Dochádza k zvýšeniu/zníženiu priamych finančných nákladov (poplatky, odvody, dane clá...)? Ak áno, popíšte a vyčíslite ich. Uveďte tiež spôsob ich výpočtu.</w:t>
            </w:r>
            <w:r w:rsidRPr="007A7A1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Pr="007A7A18" w:rsidRDefault="00786CD1" w:rsidP="007B71A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</w:t>
            </w:r>
            <w:r w:rsidR="009F2DFA" w:rsidRPr="007A7A18">
              <w:rPr>
                <w:b/>
                <w:i/>
              </w:rPr>
              <w:t>.3.2 Nepriame finančné náklady</w:t>
            </w:r>
          </w:p>
          <w:p w:rsidR="009F2DFA" w:rsidRPr="007A7A18" w:rsidRDefault="009F2DFA" w:rsidP="00B31A8E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 xml:space="preserve">Vyžaduje si predkladaný návrh dodatočné náklady na nákup tovarov alebo služieb? </w:t>
            </w:r>
            <w:r w:rsidR="00B31A8E" w:rsidRPr="007A7A18">
              <w:rPr>
                <w:i/>
              </w:rPr>
              <w:t xml:space="preserve">Zvyšuje predkladaný návrh náklady súvisiace so zamestnávaním? </w:t>
            </w:r>
            <w:r w:rsidRPr="007A7A18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Default="00786CD1" w:rsidP="007B71A4">
            <w:pPr>
              <w:rPr>
                <w:b/>
                <w:i/>
                <w:sz w:val="22"/>
                <w:szCs w:val="22"/>
              </w:rPr>
            </w:pPr>
          </w:p>
          <w:p w:rsidR="00786CD1" w:rsidRPr="007A7A18" w:rsidRDefault="00786CD1" w:rsidP="007B71A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b/>
                <w:i/>
              </w:rPr>
            </w:pPr>
            <w:r w:rsidRPr="007A7A18">
              <w:rPr>
                <w:b/>
                <w:i/>
              </w:rPr>
              <w:t>3</w:t>
            </w:r>
            <w:r w:rsidR="009F2DFA" w:rsidRPr="007A7A18">
              <w:rPr>
                <w:b/>
                <w:i/>
              </w:rPr>
              <w:t>.3.3 Administratívne náklady</w:t>
            </w:r>
          </w:p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7A7A18" w:rsidTr="00725C4F">
        <w:trPr>
          <w:trHeight w:val="129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2DFA" w:rsidRPr="007A7A18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2B1108" w:rsidP="007B71A4">
            <w:pPr>
              <w:rPr>
                <w:i/>
              </w:rPr>
            </w:pPr>
            <w:r w:rsidRPr="007A7A18">
              <w:rPr>
                <w:b/>
                <w:i/>
              </w:rPr>
              <w:lastRenderedPageBreak/>
              <w:t>3</w:t>
            </w:r>
            <w:r w:rsidR="009F2DFA" w:rsidRPr="007A7A18">
              <w:rPr>
                <w:b/>
                <w:i/>
              </w:rPr>
              <w:t>.3.4 Súhrnná tabuľka nákladov regulácie</w:t>
            </w:r>
          </w:p>
          <w:p w:rsidR="009F2DFA" w:rsidRPr="007A7A18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i/>
                    </w:rPr>
                  </w:pPr>
                  <w:r w:rsidRPr="007A7A18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i/>
                    </w:rPr>
                  </w:pPr>
                  <w:r w:rsidRPr="007A7A18">
                    <w:rPr>
                      <w:i/>
                    </w:rPr>
                    <w:t>0</w:t>
                  </w:r>
                </w:p>
              </w:tc>
            </w:tr>
            <w:tr w:rsidR="009F2DFA" w:rsidRPr="007A7A18" w:rsidTr="007B71A4">
              <w:tc>
                <w:tcPr>
                  <w:tcW w:w="2993" w:type="dxa"/>
                </w:tcPr>
                <w:p w:rsidR="009F2DFA" w:rsidRPr="007A7A18" w:rsidRDefault="009F2DFA" w:rsidP="007B71A4">
                  <w:pPr>
                    <w:rPr>
                      <w:b/>
                      <w:i/>
                    </w:rPr>
                  </w:pPr>
                  <w:r w:rsidRPr="007A7A18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7A7A18">
                    <w:rPr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7A7A18" w:rsidRDefault="009F2DFA" w:rsidP="007B71A4">
                  <w:pPr>
                    <w:jc w:val="center"/>
                    <w:rPr>
                      <w:b/>
                      <w:i/>
                    </w:rPr>
                  </w:pPr>
                  <w:r w:rsidRPr="007A7A18">
                    <w:rPr>
                      <w:b/>
                      <w:i/>
                    </w:rPr>
                    <w:t>0</w:t>
                  </w:r>
                </w:p>
              </w:tc>
            </w:tr>
          </w:tbl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>.4 Konkurencieschopnosť a správanie sa podnikov na trhu</w:t>
            </w:r>
          </w:p>
          <w:p w:rsidR="009F2DFA" w:rsidRPr="007A7A18" w:rsidRDefault="009F2DFA" w:rsidP="007B71A4">
            <w:pPr>
              <w:rPr>
                <w:sz w:val="22"/>
                <w:szCs w:val="22"/>
              </w:rPr>
            </w:pPr>
            <w:r w:rsidRPr="007A7A18">
              <w:rPr>
                <w:b/>
                <w:sz w:val="24"/>
                <w:szCs w:val="24"/>
              </w:rPr>
              <w:t xml:space="preserve">       </w:t>
            </w:r>
            <w:r w:rsidRPr="007A7A18">
              <w:rPr>
                <w:sz w:val="24"/>
                <w:szCs w:val="24"/>
              </w:rPr>
              <w:t xml:space="preserve">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7A7A18">
              <w:rPr>
                <w:i/>
              </w:rPr>
              <w:t>mikro</w:t>
            </w:r>
            <w:proofErr w:type="spellEnd"/>
            <w:r w:rsidRPr="007A7A18">
              <w:rPr>
                <w:i/>
              </w:rPr>
              <w:t>, malé a stredné podniky tzv. MSP)? Ak áno, popíšte.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7A7A18" w:rsidRDefault="009F2DFA" w:rsidP="007B71A4">
            <w:pPr>
              <w:rPr>
                <w:i/>
                <w:sz w:val="22"/>
                <w:szCs w:val="22"/>
              </w:rPr>
            </w:pPr>
            <w:r w:rsidRPr="007A7A18">
              <w:rPr>
                <w:i/>
              </w:rPr>
              <w:t>Ovplyvňuje prístup k financiám? Ak áno, ako?</w:t>
            </w:r>
          </w:p>
        </w:tc>
      </w:tr>
      <w:tr w:rsidR="009F2DFA" w:rsidRPr="007A7A18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F1248D" w:rsidRPr="0040081D" w:rsidRDefault="00F1248D" w:rsidP="00B0013D">
            <w:pPr>
              <w:ind w:firstLine="284"/>
              <w:jc w:val="both"/>
            </w:pPr>
            <w:r w:rsidRPr="0040081D">
              <w:t>Návrh bude mať vplyv na vybalansovanie vzťahov medzi dodávateľmi potravín a odberateľmi potravín (najmä s veľkou ekonomickou silou) a</w:t>
            </w:r>
            <w:r w:rsidR="00B0013D">
              <w:t xml:space="preserve"> na</w:t>
            </w:r>
            <w:r w:rsidRPr="0040081D">
              <w:t> </w:t>
            </w:r>
            <w:r w:rsidR="00B0013D">
              <w:t>zlepšenie resp.</w:t>
            </w:r>
            <w:r w:rsidR="00725C4F">
              <w:t xml:space="preserve"> na zabezpečenie nediskriminačných</w:t>
            </w:r>
            <w:r w:rsidRPr="0040081D">
              <w:t xml:space="preserve"> podmien</w:t>
            </w:r>
            <w:r w:rsidR="00725C4F">
              <w:t>o</w:t>
            </w:r>
            <w:r w:rsidRPr="0040081D">
              <w:t xml:space="preserve">k </w:t>
            </w:r>
            <w:r w:rsidR="00145C15">
              <w:br/>
            </w:r>
            <w:r w:rsidRPr="0040081D">
              <w:t>pre všetkých na trhu obchodu s potravinami.</w:t>
            </w:r>
          </w:p>
          <w:p w:rsidR="00205521" w:rsidRPr="0040081D" w:rsidRDefault="001971A8" w:rsidP="00B0013D">
            <w:pPr>
              <w:ind w:firstLine="284"/>
              <w:jc w:val="both"/>
            </w:pPr>
            <w:r w:rsidRPr="0040081D">
              <w:t>V súčasnosti taxatívny výpočet skutkových podstát</w:t>
            </w:r>
            <w:r w:rsidR="00B0013D">
              <w:t xml:space="preserve"> </w:t>
            </w:r>
            <w:r w:rsidRPr="0040081D">
              <w:t>spôsobuje, že potenciálny porušiteľ ma široké spektrum možností ako sa vyhnúť pokute (napr</w:t>
            </w:r>
            <w:r w:rsidR="00B0013D">
              <w:t>íklad</w:t>
            </w:r>
            <w:r w:rsidRPr="0040081D">
              <w:t xml:space="preserve"> </w:t>
            </w:r>
            <w:r w:rsidR="00B0013D">
              <w:t>po</w:t>
            </w:r>
            <w:r w:rsidRPr="0040081D">
              <w:t>stač</w:t>
            </w:r>
            <w:r w:rsidR="00B0013D">
              <w:t>uje,</w:t>
            </w:r>
            <w:r w:rsidRPr="0040081D">
              <w:t xml:space="preserve"> ak realizáciu spotrebiteľského prieskumu, ktorú spoplatní odberateľ dodávateľovi – čo je inak zakázané – označí ako „počítačové spracovanie údajov“ a už nenapĺňa skutkovú podstatu neprimeranej obchodnej podmienky).</w:t>
            </w:r>
            <w:r w:rsidR="00205521" w:rsidRPr="0040081D">
              <w:t xml:space="preserve"> Je preto potrebné pristúpiť k precizovaniu jednotlivých skutkových podstát, aby sa dali pod ne subsumovať v súčasnosti známe a </w:t>
            </w:r>
            <w:r w:rsidR="00145C15">
              <w:t>uplatňované neprimerané obchodné</w:t>
            </w:r>
            <w:r w:rsidR="00205521" w:rsidRPr="0040081D">
              <w:t xml:space="preserve"> podmienky.</w:t>
            </w:r>
          </w:p>
          <w:p w:rsidR="00205521" w:rsidRPr="0040081D" w:rsidRDefault="00205521" w:rsidP="00B0013D">
            <w:pPr>
              <w:ind w:firstLine="284"/>
              <w:jc w:val="both"/>
            </w:pPr>
            <w:r w:rsidRPr="0040081D">
              <w:t>V budúcnosti je vzhľadom na dynamik</w:t>
            </w:r>
            <w:r w:rsidR="00444A55">
              <w:t>u odvetvia</w:t>
            </w:r>
            <w:r w:rsidRPr="0040081D">
              <w:t xml:space="preserve"> a tendenciu porušovateľov hľadať najsofistikovanejšie metódy obchádzania zákona predpoklad, že orgán kontroly bude prichádzať do styku aj s „novými“ neprimeranými obchodnými podmienkami, ktoré doteraz nepoznal. Je preto nevyhnutné použiť systém generálnej klauzuly</w:t>
            </w:r>
            <w:r w:rsidR="00AF5956" w:rsidRPr="0040081D">
              <w:t>, ktorý sa v praxi osvedčil</w:t>
            </w:r>
            <w:r w:rsidRPr="0040081D">
              <w:t xml:space="preserve"> (využívaný napr</w:t>
            </w:r>
            <w:r w:rsidR="00B0013D">
              <w:t>íklad</w:t>
            </w:r>
            <w:r w:rsidRPr="0040081D">
              <w:t xml:space="preserve"> v</w:t>
            </w:r>
            <w:r w:rsidR="00B0013D">
              <w:t>o Veľkej Británii</w:t>
            </w:r>
            <w:r w:rsidRPr="0040081D">
              <w:t>)</w:t>
            </w:r>
            <w:r w:rsidR="00B0013D">
              <w:t>,</w:t>
            </w:r>
            <w:r w:rsidRPr="0040081D">
              <w:t xml:space="preserve"> doplnený </w:t>
            </w:r>
            <w:r w:rsidR="00AF5956" w:rsidRPr="0040081D">
              <w:t>o  výpočet v súčasnosti známych skutkových podstát</w:t>
            </w:r>
            <w:r w:rsidRPr="0040081D">
              <w:t>.</w:t>
            </w:r>
          </w:p>
          <w:p w:rsidR="00205521" w:rsidRPr="0040081D" w:rsidRDefault="00205521" w:rsidP="00B0013D">
            <w:pPr>
              <w:ind w:firstLine="284"/>
              <w:jc w:val="both"/>
            </w:pPr>
            <w:r w:rsidRPr="0040081D">
              <w:t>Možnosť anonymného podania podnetu je nevyhnutná z dôvodu, že subjekty poškodené neprimeranými obchodnými podmienkami pod hrozbou ukončenia obchodnej spolupráce, od ktorej sú často existenčne závislý („faktor strachu“) spravidla podnet nedajú (v súčasnosti</w:t>
            </w:r>
            <w:r w:rsidR="00AF5956" w:rsidRPr="0040081D">
              <w:t xml:space="preserve"> je</w:t>
            </w:r>
            <w:r w:rsidRPr="0040081D">
              <w:t xml:space="preserve"> 90% kontrol vykonávaných z vlastného podnetu). </w:t>
            </w:r>
            <w:r w:rsidR="00AF5956" w:rsidRPr="0040081D">
              <w:t>Momentálne</w:t>
            </w:r>
            <w:r w:rsidRPr="0040081D">
              <w:t xml:space="preserve"> sa kontrola spravuje zákonom</w:t>
            </w:r>
            <w:r w:rsidR="00B0013D">
              <w:t xml:space="preserve"> Národnej rady Slovenskej republiky</w:t>
            </w:r>
            <w:r w:rsidRPr="0040081D">
              <w:t xml:space="preserve"> č. 10/1996 Z. z. o kontrole v štátnej správe</w:t>
            </w:r>
            <w:r w:rsidR="00B0013D">
              <w:t xml:space="preserve"> v znení neskorších predpisov</w:t>
            </w:r>
            <w:r w:rsidRPr="0040081D">
              <w:t>, ktorý je pre kontrolu súkromn</w:t>
            </w:r>
            <w:r w:rsidR="00B0013D">
              <w:t>ých</w:t>
            </w:r>
            <w:r w:rsidRPr="0040081D">
              <w:t xml:space="preserve"> subjektov absolútne nevyhovujúci. Je teda potrebné samostatne upraviť proces kontroly s posilnením postavenia kontrolórov.</w:t>
            </w:r>
          </w:p>
          <w:p w:rsidR="00205521" w:rsidRPr="007A7A18" w:rsidRDefault="00205521" w:rsidP="0076196D">
            <w:pPr>
              <w:ind w:firstLine="284"/>
              <w:jc w:val="both"/>
              <w:rPr>
                <w:i/>
                <w:sz w:val="22"/>
                <w:szCs w:val="22"/>
              </w:rPr>
            </w:pPr>
            <w:r w:rsidRPr="0040081D">
              <w:t>Čo sa týka zvýšenia pokút</w:t>
            </w:r>
            <w:r w:rsidR="00B0013D">
              <w:t>,</w:t>
            </w:r>
            <w:r w:rsidRPr="0040081D">
              <w:t xml:space="preserve"> ide o reakciu na ekonomickú silu (obraty, tržby, marže), ktoré sú pri niektorých potenciálnych porušiteľoch</w:t>
            </w:r>
            <w:bookmarkStart w:id="0" w:name="_GoBack"/>
            <w:bookmarkEnd w:id="0"/>
            <w:r w:rsidRPr="0040081D">
              <w:t xml:space="preserve"> </w:t>
            </w:r>
            <w:r w:rsidR="00E25DAB" w:rsidRPr="0040081D">
              <w:t>niekoľko násobne vyššie ako v ostatných krajinách E</w:t>
            </w:r>
            <w:r w:rsidR="0076196D">
              <w:t>urópskej únie</w:t>
            </w:r>
            <w:r w:rsidR="00E25DAB" w:rsidRPr="0040081D">
              <w:t xml:space="preserve">. </w:t>
            </w:r>
            <w:r w:rsidR="00616D0F">
              <w:br/>
            </w:r>
            <w:r w:rsidR="00E25DAB" w:rsidRPr="0040081D">
              <w:t>Ide o  ekonomick</w:t>
            </w:r>
            <w:r w:rsidR="003A4B3C">
              <w:t>y</w:t>
            </w:r>
            <w:r w:rsidR="00E25DAB" w:rsidRPr="0040081D">
              <w:t xml:space="preserve"> silné subjekty, pri ktorých horná hranica pokuty tvorí zlomok percenta obratu (pri ochrane hospodársk</w:t>
            </w:r>
            <w:r w:rsidR="003A4B3C">
              <w:t>ej súťaže je napríklad</w:t>
            </w:r>
            <w:r w:rsidR="00E25DAB" w:rsidRPr="0040081D">
              <w:t xml:space="preserve"> horná hranica až 10% obratu).</w:t>
            </w:r>
            <w:r w:rsidR="00E25DAB" w:rsidRPr="007A7A1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9F2DFA" w:rsidRPr="007A7A18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7A7A18" w:rsidRDefault="002B1108" w:rsidP="007B71A4">
            <w:pPr>
              <w:rPr>
                <w:b/>
                <w:sz w:val="24"/>
                <w:szCs w:val="24"/>
              </w:rPr>
            </w:pPr>
            <w:r w:rsidRPr="007A7A18">
              <w:rPr>
                <w:b/>
                <w:sz w:val="24"/>
                <w:szCs w:val="24"/>
              </w:rPr>
              <w:t>3</w:t>
            </w:r>
            <w:r w:rsidR="009F2DFA" w:rsidRPr="007A7A18">
              <w:rPr>
                <w:b/>
                <w:sz w:val="24"/>
                <w:szCs w:val="24"/>
              </w:rPr>
              <w:t xml:space="preserve">.5 Inovácie </w:t>
            </w:r>
          </w:p>
          <w:p w:rsidR="009F2DFA" w:rsidRPr="007A7A18" w:rsidRDefault="009F2DFA" w:rsidP="007B71A4">
            <w:pPr>
              <w:rPr>
                <w:b/>
                <w:sz w:val="22"/>
                <w:szCs w:val="22"/>
              </w:rPr>
            </w:pPr>
            <w:r w:rsidRPr="007A7A18">
              <w:rPr>
                <w:sz w:val="24"/>
                <w:szCs w:val="24"/>
              </w:rPr>
              <w:t xml:space="preserve">       - </w:t>
            </w:r>
            <w:r w:rsidRPr="007A7A18">
              <w:rPr>
                <w:b/>
                <w:sz w:val="24"/>
                <w:szCs w:val="24"/>
              </w:rPr>
              <w:t>z toho MSP</w:t>
            </w:r>
          </w:p>
        </w:tc>
      </w:tr>
      <w:tr w:rsidR="009F2DFA" w:rsidRPr="007A7A18" w:rsidTr="007B71A4">
        <w:tc>
          <w:tcPr>
            <w:tcW w:w="9212" w:type="dxa"/>
          </w:tcPr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Uveďte, ako podporuje navrhovaná zmena inovácie.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 xml:space="preserve">Uveďte, ako vplýva navrhovaná zmena na </w:t>
            </w:r>
            <w:r w:rsidR="00904C9B" w:rsidRPr="007A7A18">
              <w:rPr>
                <w:i/>
              </w:rPr>
              <w:t xml:space="preserve">jednotlivé </w:t>
            </w:r>
            <w:r w:rsidRPr="007A7A18">
              <w:rPr>
                <w:i/>
              </w:rPr>
              <w:t>práva duševného vlastníctva (</w:t>
            </w:r>
            <w:r w:rsidR="00904C9B" w:rsidRPr="007A7A18">
              <w:rPr>
                <w:i/>
              </w:rPr>
              <w:t xml:space="preserve">napr. </w:t>
            </w:r>
            <w:r w:rsidRPr="007A7A18">
              <w:rPr>
                <w:i/>
              </w:rPr>
              <w:t xml:space="preserve">patenty, ochranné známky, </w:t>
            </w:r>
            <w:r w:rsidR="00904C9B" w:rsidRPr="007A7A18">
              <w:rPr>
                <w:i/>
              </w:rPr>
              <w:t>autorské práva</w:t>
            </w:r>
            <w:r w:rsidRPr="007A7A18">
              <w:rPr>
                <w:i/>
              </w:rPr>
              <w:t xml:space="preserve">, vlastníctvo </w:t>
            </w:r>
            <w:proofErr w:type="spellStart"/>
            <w:r w:rsidRPr="007A7A18">
              <w:rPr>
                <w:i/>
              </w:rPr>
              <w:t>know-how</w:t>
            </w:r>
            <w:proofErr w:type="spellEnd"/>
            <w:r w:rsidRPr="007A7A18">
              <w:rPr>
                <w:i/>
              </w:rPr>
              <w:t>).</w:t>
            </w:r>
          </w:p>
          <w:p w:rsidR="009F2DFA" w:rsidRPr="007A7A18" w:rsidRDefault="009F2DFA" w:rsidP="007B71A4">
            <w:pPr>
              <w:rPr>
                <w:i/>
              </w:rPr>
            </w:pPr>
            <w:r w:rsidRPr="007A7A18">
              <w:rPr>
                <w:i/>
              </w:rPr>
              <w:t>Podporuje vyššiu efektivitu výroby/využívania zdrojov? Ak áno, ako?</w:t>
            </w:r>
          </w:p>
          <w:p w:rsidR="00837639" w:rsidRPr="007A7A18" w:rsidRDefault="00837639" w:rsidP="007B71A4">
            <w:pPr>
              <w:rPr>
                <w:sz w:val="22"/>
                <w:szCs w:val="22"/>
              </w:rPr>
            </w:pPr>
            <w:r w:rsidRPr="007A7A18">
              <w:rPr>
                <w:i/>
              </w:rPr>
              <w:t>Vytvorí zmena nové pracovné miesta pre zamestnancov výskumu a vývoja v SR?</w:t>
            </w:r>
          </w:p>
        </w:tc>
      </w:tr>
      <w:tr w:rsidR="009F2DFA" w:rsidRPr="00B0013D" w:rsidTr="001E4A34">
        <w:trPr>
          <w:trHeight w:val="1155"/>
        </w:trPr>
        <w:tc>
          <w:tcPr>
            <w:tcW w:w="9212" w:type="dxa"/>
          </w:tcPr>
          <w:p w:rsidR="009F2DFA" w:rsidRPr="00B0013D" w:rsidRDefault="009F2DFA" w:rsidP="007B71A4">
            <w:pPr>
              <w:rPr>
                <w:b/>
                <w:i/>
                <w:sz w:val="22"/>
                <w:szCs w:val="22"/>
              </w:rPr>
            </w:pPr>
          </w:p>
        </w:tc>
      </w:tr>
    </w:tbl>
    <w:p w:rsidR="009F2DFA" w:rsidRPr="007A7A18" w:rsidRDefault="009F2DFA" w:rsidP="00AA5024">
      <w:pPr>
        <w:rPr>
          <w:b/>
          <w:sz w:val="22"/>
          <w:szCs w:val="22"/>
        </w:rPr>
      </w:pPr>
    </w:p>
    <w:sectPr w:rsidR="009F2DFA" w:rsidRPr="007A7A18" w:rsidSect="00334484">
      <w:footerReference w:type="default" r:id="rId9"/>
      <w:pgSz w:w="11906" w:h="16838"/>
      <w:pgMar w:top="1417" w:right="1417" w:bottom="1417" w:left="1417" w:header="708" w:footer="708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06" w:rsidRDefault="00233E06" w:rsidP="009F2DFA">
      <w:r>
        <w:separator/>
      </w:r>
    </w:p>
  </w:endnote>
  <w:endnote w:type="continuationSeparator" w:id="0">
    <w:p w:rsidR="00233E06" w:rsidRDefault="00233E06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57596748"/>
      <w:docPartObj>
        <w:docPartGallery w:val="Page Numbers (Bottom of Page)"/>
        <w:docPartUnique/>
      </w:docPartObj>
    </w:sdtPr>
    <w:sdtEndPr/>
    <w:sdtContent>
      <w:p w:rsidR="004430DF" w:rsidRPr="004430DF" w:rsidRDefault="004430DF">
        <w:pPr>
          <w:pStyle w:val="Pta"/>
          <w:jc w:val="center"/>
          <w:rPr>
            <w:sz w:val="24"/>
            <w:szCs w:val="24"/>
          </w:rPr>
        </w:pPr>
        <w:r w:rsidRPr="004430DF">
          <w:rPr>
            <w:sz w:val="24"/>
            <w:szCs w:val="24"/>
          </w:rPr>
          <w:fldChar w:fldCharType="begin"/>
        </w:r>
        <w:r w:rsidRPr="004430DF">
          <w:rPr>
            <w:sz w:val="24"/>
            <w:szCs w:val="24"/>
          </w:rPr>
          <w:instrText>PAGE   \* MERGEFORMAT</w:instrText>
        </w:r>
        <w:r w:rsidRPr="004430DF">
          <w:rPr>
            <w:sz w:val="24"/>
            <w:szCs w:val="24"/>
          </w:rPr>
          <w:fldChar w:fldCharType="separate"/>
        </w:r>
        <w:r w:rsidR="00616D0F">
          <w:rPr>
            <w:noProof/>
            <w:sz w:val="24"/>
            <w:szCs w:val="24"/>
          </w:rPr>
          <w:t>16</w:t>
        </w:r>
        <w:r w:rsidRPr="004430DF">
          <w:rPr>
            <w:sz w:val="24"/>
            <w:szCs w:val="24"/>
          </w:rPr>
          <w:fldChar w:fldCharType="end"/>
        </w:r>
      </w:p>
    </w:sdtContent>
  </w:sdt>
  <w:p w:rsidR="009F2DFA" w:rsidRPr="004430DF" w:rsidRDefault="009F2DFA">
    <w:pPr>
      <w:pStyle w:val="Pt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06" w:rsidRDefault="00233E06" w:rsidP="009F2DFA">
      <w:r>
        <w:separator/>
      </w:r>
    </w:p>
  </w:footnote>
  <w:footnote w:type="continuationSeparator" w:id="0">
    <w:p w:rsidR="00233E06" w:rsidRDefault="00233E06" w:rsidP="009F2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03EBF"/>
    <w:rsid w:val="00022D28"/>
    <w:rsid w:val="0004302F"/>
    <w:rsid w:val="000D5469"/>
    <w:rsid w:val="00145C15"/>
    <w:rsid w:val="00154881"/>
    <w:rsid w:val="001971A8"/>
    <w:rsid w:val="001E4A34"/>
    <w:rsid w:val="001E7BC2"/>
    <w:rsid w:val="00205521"/>
    <w:rsid w:val="002165E2"/>
    <w:rsid w:val="00233E06"/>
    <w:rsid w:val="0024376F"/>
    <w:rsid w:val="002B1108"/>
    <w:rsid w:val="00326959"/>
    <w:rsid w:val="00334484"/>
    <w:rsid w:val="003A4B3C"/>
    <w:rsid w:val="003D027A"/>
    <w:rsid w:val="003D5496"/>
    <w:rsid w:val="003F0F4F"/>
    <w:rsid w:val="0040081D"/>
    <w:rsid w:val="00431588"/>
    <w:rsid w:val="004430DF"/>
    <w:rsid w:val="00444A55"/>
    <w:rsid w:val="00461CDA"/>
    <w:rsid w:val="004E0ACA"/>
    <w:rsid w:val="0052297F"/>
    <w:rsid w:val="00526278"/>
    <w:rsid w:val="006114B1"/>
    <w:rsid w:val="006118D9"/>
    <w:rsid w:val="00616D0F"/>
    <w:rsid w:val="00635E23"/>
    <w:rsid w:val="006B6696"/>
    <w:rsid w:val="00725C4F"/>
    <w:rsid w:val="0076196D"/>
    <w:rsid w:val="00780BA6"/>
    <w:rsid w:val="00783D11"/>
    <w:rsid w:val="00786CD1"/>
    <w:rsid w:val="007A7A18"/>
    <w:rsid w:val="00837639"/>
    <w:rsid w:val="008752C7"/>
    <w:rsid w:val="008A1252"/>
    <w:rsid w:val="00904C9B"/>
    <w:rsid w:val="00906E3B"/>
    <w:rsid w:val="00946122"/>
    <w:rsid w:val="00990949"/>
    <w:rsid w:val="009A4BA4"/>
    <w:rsid w:val="009F2DFA"/>
    <w:rsid w:val="00AA5024"/>
    <w:rsid w:val="00AF5956"/>
    <w:rsid w:val="00B0013D"/>
    <w:rsid w:val="00B1418A"/>
    <w:rsid w:val="00B31A8E"/>
    <w:rsid w:val="00B939EF"/>
    <w:rsid w:val="00BA073A"/>
    <w:rsid w:val="00BF5105"/>
    <w:rsid w:val="00C558C5"/>
    <w:rsid w:val="00CA0FB1"/>
    <w:rsid w:val="00CA324D"/>
    <w:rsid w:val="00CB3623"/>
    <w:rsid w:val="00D353F5"/>
    <w:rsid w:val="00E25DAB"/>
    <w:rsid w:val="00E37C1F"/>
    <w:rsid w:val="00E61753"/>
    <w:rsid w:val="00E86AD1"/>
    <w:rsid w:val="00EE17BF"/>
    <w:rsid w:val="00F1248D"/>
    <w:rsid w:val="00F222F8"/>
    <w:rsid w:val="00F41620"/>
    <w:rsid w:val="00FB5C13"/>
    <w:rsid w:val="00FD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F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FB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F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F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F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A0FB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0FB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0FB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0FB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0FB1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Analyza_vplyvov__podnikatelske_prostredie"/>
    <f:field ref="objsubject" par="" edit="true" text=""/>
    <f:field ref="objcreatedby" par="" text="Nemec, Roman, Mgr."/>
    <f:field ref="objcreatedat" par="" text="8.2.2018 8:58:56"/>
    <f:field ref="objchangedby" par="" text="Administrator, System"/>
    <f:field ref="objmodifiedat" par="" text="8.2.2018 8:58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Nemec Roman</cp:lastModifiedBy>
  <cp:revision>53</cp:revision>
  <dcterms:created xsi:type="dcterms:W3CDTF">2014-11-13T15:39:00Z</dcterms:created>
  <dcterms:modified xsi:type="dcterms:W3CDTF">2018-10-15T08:01:00Z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Roman Nemec</vt:lpwstr>
  </property>
  <property fmtid="{D5CDD505-2E9C-101B-9397-08002B2CF9AE}" pid="12" name="FSC#SKEDITIONSLOVLEX@103.510:zodppredkladatel">
    <vt:lpwstr>Gabriela Matečná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  neprimeraných podmienkach v obchodných vzťahoch, ktorých predmetom sú potraviny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pôdohospodárstva a rozvoja vidieka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2017</vt:lpwstr>
  </property>
  <property fmtid="{D5CDD505-2E9C-101B-9397-08002B2CF9AE}" pid="23" name="FSC#SKEDITIONSLOVLEX@103.510:plnynazovpredpis">
    <vt:lpwstr> Zákon o  neprimeraných podmienkach v obchodných vzťahoch, ktorých predmetom sú potraviny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1165/2018-410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LP/2018/65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čl. 101 až 109 Zmluvy o fungovaní Európskej únie </vt:lpwstr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>bezpredmetné</vt:lpwstr>
  </property>
  <property fmtid="{D5CDD505-2E9C-101B-9397-08002B2CF9AE}" pid="5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55" name="FSC#SKEDITIONSLOVLEX@103.510:AttrStrListDocPropInfoUzPreberanePP">
    <vt:lpwstr>bezpredmetné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Ministerstvo pôdohospodárstva a rozvoja vidieka Slovenskej republiky</vt:lpwstr>
  </property>
  <property fmtid="{D5CDD505-2E9C-101B-9397-08002B2CF9AE}" pid="58" name="FSC#SKEDITIONSLOVLEX@103.510:AttrDateDocPropZaciatokPKK">
    <vt:lpwstr>17. 8. 2017</vt:lpwstr>
  </property>
  <property fmtid="{D5CDD505-2E9C-101B-9397-08002B2CF9AE}" pid="59" name="FSC#SKEDITIONSLOVLEX@103.510:AttrDateDocPropUkonceniePKK">
    <vt:lpwstr>4. 9. 2017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Pozitívne_x000d_
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6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6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štátny radca</vt:lpwstr>
  </property>
  <property fmtid="{D5CDD505-2E9C-101B-9397-08002B2CF9AE}" pid="139" name="FSC#SKEDITIONSLOVLEX@103.510:funkciaPredAkuzativ">
    <vt:lpwstr>štátnemu radcovi</vt:lpwstr>
  </property>
  <property fmtid="{D5CDD505-2E9C-101B-9397-08002B2CF9AE}" pid="140" name="FSC#SKEDITIONSLOVLEX@103.510:funkciaPredDativ">
    <vt:lpwstr>štátneho radcu</vt:lpwstr>
  </property>
  <property fmtid="{D5CDD505-2E9C-101B-9397-08002B2CF9AE}" pid="141" name="FSC#SKEDITIONSLOVLEX@103.510:funkciaZodpPred">
    <vt:lpwstr>ministerka pôdohospodárstva a rozvoja vidieka Slovenskej republiky</vt:lpwstr>
  </property>
  <property fmtid="{D5CDD505-2E9C-101B-9397-08002B2CF9AE}" pid="142" name="FSC#SKEDITIONSLOVLEX@103.510:funkciaZodpPredAkuzativ">
    <vt:lpwstr>ministerka pôdohospodárstva a rozvoja vidieka Slovenskej republiky</vt:lpwstr>
  </property>
  <property fmtid="{D5CDD505-2E9C-101B-9397-08002B2CF9AE}" pid="143" name="FSC#SKEDITIONSLOVLEX@103.510:funkciaZodpPredDativ">
    <vt:lpwstr>ministerka pôdohospodárstva a rozvoja vidieka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Gabriela Matečná_x000d_
ministerka pôdohospodárstva a rozvoja vidieka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50" name="FSC#SKEDITIONSLOVLEX@103.510:vytvorenedna">
    <vt:lpwstr>8. 2. 2018</vt:lpwstr>
  </property>
  <property fmtid="{D5CDD505-2E9C-101B-9397-08002B2CF9AE}" pid="151" name="FSC#COOSYSTEM@1.1:Container">
    <vt:lpwstr>COO.2145.1000.3.2425866</vt:lpwstr>
  </property>
  <property fmtid="{D5CDD505-2E9C-101B-9397-08002B2CF9AE}" pid="152" name="FSC#FSCFOLIO@1.1001:docpropproject">
    <vt:lpwstr/>
  </property>
</Properties>
</file>