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4B5CCF" w:rsidRDefault="004B5CCF">
      <w:pPr>
        <w:jc w:val="center"/>
        <w:divId w:val="1393039862"/>
        <w:rPr>
          <w:rFonts w:ascii="Times" w:hAnsi="Times" w:cs="Times"/>
          <w:sz w:val="25"/>
          <w:szCs w:val="25"/>
        </w:rPr>
      </w:pPr>
      <w:r>
        <w:rPr>
          <w:rFonts w:ascii="Times" w:hAnsi="Times" w:cs="Times"/>
          <w:sz w:val="25"/>
          <w:szCs w:val="25"/>
        </w:rPr>
        <w:t xml:space="preserve">Návrh na ratifikáciu dodatkov k článku 8 Rímskeho štatútu Medzinárodného trestného súdu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4B5CCF" w:rsidP="004B5CCF">
            <w:pPr>
              <w:widowControl/>
              <w:spacing w:after="0" w:line="240" w:lineRule="auto"/>
              <w:rPr>
                <w:rFonts w:ascii="Times New Roman" w:hAnsi="Times New Roman" w:cs="Calibri"/>
                <w:sz w:val="20"/>
                <w:szCs w:val="20"/>
              </w:rPr>
            </w:pPr>
            <w:r>
              <w:rPr>
                <w:rFonts w:ascii="Times" w:hAnsi="Times" w:cs="Times"/>
                <w:sz w:val="25"/>
                <w:szCs w:val="25"/>
              </w:rPr>
              <w:t>8 / 0</w:t>
            </w:r>
          </w:p>
        </w:tc>
      </w:tr>
    </w:tbl>
    <w:p w:rsidR="00D710A5" w:rsidRPr="005A1161" w:rsidRDefault="00D710A5" w:rsidP="00D710A5">
      <w:pPr>
        <w:pStyle w:val="Zkladntext"/>
        <w:widowControl/>
        <w:jc w:val="both"/>
        <w:rPr>
          <w:b w:val="0"/>
          <w:bCs w:val="0"/>
          <w:color w:val="000000"/>
          <w:sz w:val="20"/>
          <w:szCs w:val="20"/>
        </w:rPr>
      </w:pPr>
    </w:p>
    <w:p w:rsidR="004B5CCF" w:rsidRDefault="004B5CC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Typ</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 Beriem na vedomie, že materiál nemá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K celému materiálu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jc w:val="center"/>
              <w:rPr>
                <w:rFonts w:ascii="Times" w:hAnsi="Times" w:cs="Times"/>
                <w:b/>
                <w:bCs/>
                <w:sz w:val="25"/>
                <w:szCs w:val="25"/>
              </w:rPr>
            </w:pPr>
            <w:r>
              <w:rPr>
                <w:rFonts w:ascii="Times" w:hAnsi="Times" w:cs="Times"/>
                <w:b/>
                <w:bCs/>
                <w:sz w:val="25"/>
                <w:szCs w:val="25"/>
              </w:rPr>
              <w:t>O</w:t>
            </w: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r w:rsidR="004B5CCF">
        <w:trPr>
          <w:divId w:val="212233321"/>
          <w:jc w:val="center"/>
        </w:trPr>
        <w:tc>
          <w:tcPr>
            <w:tcW w:w="1500" w:type="pct"/>
            <w:tcBorders>
              <w:top w:val="outset" w:sz="6" w:space="0" w:color="000000"/>
              <w:left w:val="outset" w:sz="6" w:space="0" w:color="000000"/>
              <w:bottom w:val="outset" w:sz="6" w:space="0" w:color="000000"/>
              <w:right w:val="outset" w:sz="6" w:space="0" w:color="000000"/>
            </w:tcBorders>
            <w:hideMark/>
          </w:tcPr>
          <w:p w:rsidR="004B5CCF" w:rsidRDefault="004B5CC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CCF" w:rsidRDefault="004B5CC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B5CCF"/>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9732D-E881-41E1-8B7B-9394893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321">
      <w:bodyDiv w:val="1"/>
      <w:marLeft w:val="0"/>
      <w:marRight w:val="0"/>
      <w:marTop w:val="0"/>
      <w:marBottom w:val="0"/>
      <w:divBdr>
        <w:top w:val="none" w:sz="0" w:space="0" w:color="auto"/>
        <w:left w:val="none" w:sz="0" w:space="0" w:color="auto"/>
        <w:bottom w:val="none" w:sz="0" w:space="0" w:color="auto"/>
        <w:right w:val="none" w:sz="0" w:space="0" w:color="auto"/>
      </w:divBdr>
    </w:div>
    <w:div w:id="1393039862">
      <w:bodyDiv w:val="1"/>
      <w:marLeft w:val="0"/>
      <w:marRight w:val="0"/>
      <w:marTop w:val="0"/>
      <w:marBottom w:val="0"/>
      <w:divBdr>
        <w:top w:val="none" w:sz="0" w:space="0" w:color="auto"/>
        <w:left w:val="none" w:sz="0" w:space="0" w:color="auto"/>
        <w:bottom w:val="none" w:sz="0" w:space="0" w:color="auto"/>
        <w:right w:val="none" w:sz="0" w:space="0" w:color="auto"/>
      </w:divBdr>
    </w:div>
    <w:div w:id="1395467094">
      <w:bodyDiv w:val="1"/>
      <w:marLeft w:val="0"/>
      <w:marRight w:val="0"/>
      <w:marTop w:val="0"/>
      <w:marBottom w:val="0"/>
      <w:divBdr>
        <w:top w:val="none" w:sz="0" w:space="0" w:color="auto"/>
        <w:left w:val="none" w:sz="0" w:space="0" w:color="auto"/>
        <w:bottom w:val="none" w:sz="0" w:space="0" w:color="auto"/>
        <w:right w:val="none" w:sz="0" w:space="0" w:color="auto"/>
      </w:divBdr>
      <w:divsChild>
        <w:div w:id="41976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5.9.2018 4:10:28"/>
    <f:field ref="objchangedby" par="" text="Fscclone"/>
    <f:field ref="objmodifiedat" par="" text="25.9.2018 4:10:3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7C0C01-4362-4D25-A851-C879D7E0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2018-09-25T02:10:00Z</dcterms:created>
  <dcterms:modified xsi:type="dcterms:W3CDTF">2018-09-25T02:10:00Z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Medzinárodné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Michaela Sýkorová</vt:lpwstr>
  </property>
  <property name="FSC#SKEDITIONSLOVLEX@103.510:zodppredkladatel" pid="11" fmtid="{D5CDD505-2E9C-101B-9397-08002B2CF9AE}">
    <vt:lpwstr>Miroslav Lajčák</vt:lpwstr>
  </property>
  <property name="FSC#SKEDITIONSLOVLEX@103.510:dalsipredkladatel" pid="12" fmtid="{D5CDD505-2E9C-101B-9397-08002B2CF9AE}">
    <vt:lpwstr/>
  </property>
  <property name="FSC#SKEDITIONSLOVLEX@103.510:nazovpredpis" pid="13" fmtid="{D5CDD505-2E9C-101B-9397-08002B2CF9AE}">
    <vt:lpwstr> Návrh na ratifikáciu dodatkov k článku 8 Rímskeho štatútu Medzinárodného trestného súdu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zahraničných vecí a európskych záležitostí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vt:lpwstr>
  </property>
  <property name="FSC#SKEDITIONSLOVLEX@103.510:plnynazovpredpis" pid="22" fmtid="{D5CDD505-2E9C-101B-9397-08002B2CF9AE}">
    <vt:lpwstr> Návrh na ratifikáciu dodatkov k článku 8 Rímskeho štatútu Medzinárodného trestného súdu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043038/2018-MEPO</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LP/2018/608</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4. 9. 2018</vt:lpwstr>
  </property>
  <property name="FSC#SKEDITIONSLOVLEX@103.510:AttrDateDocPropUkonceniePKK" pid="58" fmtid="{D5CDD505-2E9C-101B-9397-08002B2CF9AE}">
    <vt:lpwstr>18. 9. 2018</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Bez doplňujúcich informácií. </vt:lpwstr>
  </property>
  <property name="FSC#SKEDITIONSLOVLEX@103.510:AttrStrListDocPropAltRiesenia" pid="65" fmtid="{D5CDD505-2E9C-101B-9397-08002B2CF9AE}">
    <vt:lpwstr>Alternatívne riešenia neboli posudzované.</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 _x000d__x000a_minister zahraničných vecí a európskych záležitostí Slovenskej republiky</vt:lpwstr>
  </property>
  <property name="FSC#SKEDITIONSLOVLEX@103.510:AttrStrListDocPropUznesenieNaVedomie" pid="136" fmtid="{D5CDD505-2E9C-101B-9397-08002B2CF9AE}">
    <vt:lpwstr>prezident Slovenskej republiky _x000d__x000a_predseda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referenta</vt:lpwstr>
  </property>
  <property name="FSC#SKEDITIONSLOVLEX@103.510:funkciaPredDativ" pid="139" fmtid="{D5CDD505-2E9C-101B-9397-08002B2CF9AE}">
    <vt:lpwstr>referentovi</vt:lpwstr>
  </property>
  <property name="FSC#SKEDITIONSLOVLEX@103.510:funkciaZodpPred" pid="140" fmtid="{D5CDD505-2E9C-101B-9397-08002B2CF9AE}">
    <vt:lpwstr>minister zahraničných vecí a európskych záležitostí Slovenskej republiky</vt:lpwstr>
  </property>
  <property name="FSC#SKEDITIONSLOVLEX@103.510:funkciaZodpPredAkuzativ" pid="141" fmtid="{D5CDD505-2E9C-101B-9397-08002B2CF9AE}">
    <vt:lpwstr>ministrovi zahraničných vecí a európskych záležitostí Slovenskej republiky</vt:lpwstr>
  </property>
  <property name="FSC#SKEDITIONSLOVLEX@103.510:funkciaZodpPredDativ" pid="142" fmtid="{D5CDD505-2E9C-101B-9397-08002B2CF9AE}">
    <vt:lpwstr>ministra zahraničných vecí a európskych záležitostí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justify;"&gt;Medzinárodný trestný súd (ďalej len „MTS“ alebo „súd“) je prvou stálou medzinárodnou inštitúciou so súdnou právomocou nad osobami stíhanými za spáchanie najzávažnejších zločinov podľa medzinárodného práva ako sú genocída, vojnové zločiny, zločiny proti ľudskosti. Bol zriadený dňa 17. júla 1998 prijatím Rímskeho štatútu MTS (ďalej len „Rímsky štatút“), ktorý nadobudol platnosť dňa 1. júla 2002 (oznámenie MZV SR č. 333/2002 Z. z.). Slovenská republika je zmluvnou stranou Rímskeho štatútu odo dňa nadobudnutia jeho platnosti. Aktívne vystupuje na podporu MTS na rôznych multilaterálnych i&amp;nbsp;bilaterálnych fórach a&amp;nbsp;jej zástupcovia sa zúčastňujú na pravidelných zasadnutiach Zhromaždenia zmluvných strán Rímskeho štatútu konaných každoročne v&amp;nbsp;Haagu alebo v New Yorku.&lt;/p&gt;&lt;p style="text-align: justify;"&gt;Rímsky štatút a&amp;nbsp;naň nadväzujúce procesné predpisy MTS pravidelne prechádzajú väčšími či menšími zmenami, ktoré majú napomôcť zefektívneniu systému medzinárodnej spravodlivosti. V&amp;nbsp;roku 2010 boli v&amp;nbsp;Kampale na Hodnotiacej konferencii Rímskeho štatútu prijaté dva významné dodatky, ktorými bol novelizovaný článok 8 o&amp;nbsp;vojnových zločinoch a včlenený článok 8 bis, upravujúci zločin agresie.&lt;/p&gt;&lt;p style="text-align: justify;"&gt;V&amp;nbsp;decembri 2017 sa Slovenská republika v&amp;nbsp;postavení zmluvnej strany Rímskeho štatútu zúčastnila 16. plenárneho zasadnutia Zhromaždenia štátov zmluvných strán. Na tomto zasadnutí bola dňa 14. decembra konsenzom prijatá rezolúcia č. ICC-ASP/16/Res.4 o&amp;nbsp;dodatkoch k&amp;nbsp;článku 8 Rímskeho štatútu. Zhromaždenie prijalo k&amp;nbsp;tomuto článku tri dodatky týkajúce sa definície vojnových zločinov vo vzťahu k&amp;nbsp;použitiu konkrétnych zbraní v&amp;nbsp;medzinárodných ozbrojených konfliktoch (čl. 8 ods. 2 písm. b), ako aj v&amp;nbsp;ozbrojených konfliktoch, ktoré nemajú medzinárodný charakter (čl. 8 ods. 2 písm. e).&lt;/p&gt;&lt;p style="text-align: justify;"&gt;Dodatky dopĺňajú čl. 8 ods. 2 písm. b) a&amp;nbsp;čl. 8 ods. 2 písm. e) Rímskeho štatútu, a&amp;nbsp;to tým spôsobom, že jednotlivo kriminalizujú a sankcionujú použitie troch typov zbraní: zbraní, ktoré využívajú mikrobiologické alebo iné biologické látky, alebo toxíny bez ohľadu na ich pôvod či spôsob výroby, ďalej zbraní, ktorých primárnym účelom je spôsobenie poranení úlomkami, ktoré v&amp;nbsp;ľudskom tele nie sú zistiteľné röntgenovými lúčmi, a&amp;nbsp;napokon laserových zbraní špeciálne zostrojených tak, aby ich jediným bojovým účelom či jedným z&amp;nbsp;ich bojových účelov bolo spôsobenie trvalého oslepnutia.&lt;/p&gt;&lt;p style="text-align: justify;"&gt;Predložený materiál obsahuje návrh na ratifikáciu dodatkov k&amp;nbsp;čl. 8 Rímskeho štatútu prijatých plenárnym zasadnutím Zhromaždenia štátov zmluvných strán rezolúciou č. ICC-ASP/16/Res.4 dňa 14. decembra 2017 v&amp;nbsp;New Yorku. Dodatky sú v&amp;nbsp;zmysle vnútroštátnych právnych predpisov medzinárodnými zmluvami prezidentskej povahy, preto v&amp;nbsp;súlade s&amp;nbsp;článkom 86 písm. d) Ústavy SR podliehajú vysloveniu súhlasu Národnej rady SR a ratifikácii prezidentom&amp;nbsp;SR. Keďže ide o&amp;nbsp;medzinárodné zmluvy, ktoré priamo zakladajú práva alebo&amp;nbsp;povinnosti fyzických alebo&amp;nbsp;právnických osôb, majú v&amp;nbsp;zmysle článku 7 ods. 5 Ústavy SR prednosť pred zákonmi.&amp;nbsp;&lt;/p&gt;&lt;p style="text-align: justify;"&gt;Dodatky nadobudnú platnosť v&amp;nbsp;zmysle čl. 121 ods. 5 Rímskeho štatútu pre tie štáty, zmluvné strany, ktoré ho ratifikovali, jeden rok po uložení ratifikačnej listiny u generálneho tajomníka Organizácie Spojených národov. K&amp;nbsp;26. augustu 2018 neratifikoval predmetné dodatky ešte žiaden štát, čoho dôvodom môže byť potreba predchádzajúcich legislatívnych zmien v ich vnútroštátnych právnych poriadkoch. Uvedené vytvára predpoklad, že po ukončení vnútroštátnych schvaľovacích procesov bude Slovenská republika, ako štát, u ktorého dodatky nevyžadujú zmeny vnútroštátnej legislatívy, jedným z&amp;nbsp;prvých štátov, voči ktorým dodatky nadobudnú platnosť. Táto skutočnosť je výrazom dlhodobej aktivity Slovenskej republiky v&amp;nbsp;posilňovaní idey medzinárodnej trestnej spravodlivosti, čoho dôkazom bola aj podpora prijatia vyššie uvedenej rezolúcie o&amp;nbsp;dodatkoch na zasadnutí Zhromaždenia zmluvných strán v&amp;nbsp;decembri 2017. Ratifikácia dodatkov Slovenskou republikou bude nielen vyjadrením jej podpory medzinárodnému spoločenstvu v&amp;nbsp;jeho snahe bojovať proti beztrestnosti, ale aj jej príspevkom v rozvíjaní kodifikácie medzinárodného práva a&amp;nbsp;v&amp;nbsp;posilňovaní úlohy medzinárodných zmlúv ako takých.&amp;nbsp;&amp;nbsp;&amp;nbsp;&amp;nbsp;&amp;nbsp;&amp;nbsp;&lt;/p&gt;&lt;p style="text-align: justify;"&gt;Návrh na ratifikáciu dodatku sa predkladá ako iniciatívny materiál a&amp;nbsp;je v&amp;nbsp;súlade s Pravidlami pre uzatváranie medzinárodných zmlúv a&amp;nbsp;zmluvnú prax, schválenými uznesením vlády SR č. 743 z&amp;nbsp;21. októbra 2009. Návrh zodpovedá záujmom zahraničnej politiky Slovenskej republiky, je vypracovaný v&amp;nbsp;súlade s&amp;nbsp;právnym poriadkom Slovenskej republiky a&amp;nbsp;všeobecnými zásadami medzinárodného práva, ako aj záväzkami Slovenskej republiky, ktoré jej vyplývajú z&amp;nbsp;iných medzinárodných dokumentov. Gestorom je ministerstvo zahraničných vecí a&amp;nbsp;európskych záležitostí Slovenskej republiky. Dodatky nevyžadujú zmeny vnútroštátnej legislatívnej úpravy.&lt;/p&gt;&lt;p style="text-align: justify;"&gt;Po schválení vládou Slovenskej republiky bude tento materiál predložený na vyslovenie súhlasu Národnej rady Slovenskej republiky a následne na ratifikáciu prezidentovi Slovenskej republiky.&lt;/p&gt;&lt;p style="text-align: justify;"&gt;Predložený materiál nemá vplyv na verejné financie, podnikateľské prostredie, žiadne sociálne vplyvy, ani vplyv na životné prostredie a informatizáciu spoločnosti. Materiál bol predmetom medzirezortného pripomienkového konania, ktorého vyhodnotenie tvorí jeho súčasť. Na základe uvedeného sa predkladá návrh uznesenia vlády Slovenskej republiky.&lt;/p&gt;&lt;p style="text-align: justify;"&gt;&amp;nbsp;&lt;/p&gt;&lt;p style="text-align: justify;"&gt;&amp;nbsp;&lt;/p&gt;&lt;p style="text-align: justify;"&gt;&amp;nbsp;&lt;/p&gt;&lt;p style="text-align: justify;"&gt;&amp;nbsp;&lt;/p&gt;&lt;p style="text-align: justify;"&gt;&amp;nbsp;&lt;/p&gt;&lt;p style="text-align: justify;"&gt;&amp;nbsp;&lt;/p&gt;&lt;p style="text-align: justify;"&gt;&amp;nbsp;&lt;/p&gt;&lt;p align="left"&gt;&amp;nbsp;&lt;/p&gt;</vt:lpwstr>
  </property>
  <property name="FSC#COOSYSTEM@1.1:Container" pid="149" fmtid="{D5CDD505-2E9C-101B-9397-08002B2CF9AE}">
    <vt:lpwstr>COO.2145.1000.3.2974104</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25. 9. 2018</vt:lpwstr>
  </property>
</Properties>
</file>