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A22" w:rsidRDefault="005F2C6A" w:rsidP="00E26A22">
      <w:pPr>
        <w:framePr w:hSpace="142" w:wrap="around" w:vAnchor="text" w:hAnchor="page" w:x="1071" w:y="-114"/>
      </w:pPr>
      <w:bookmarkStart w:id="0" w:name="_GoBack"/>
      <w:bookmarkEnd w:id="0"/>
      <w:r>
        <w:rPr>
          <w:noProof/>
        </w:rPr>
        <w:drawing>
          <wp:inline distT="0" distB="0" distL="0" distR="0">
            <wp:extent cx="723900" cy="381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353083" w:rsidRPr="00876805" w:rsidRDefault="00353083" w:rsidP="00106B2F">
      <w:pPr>
        <w:rPr>
          <w:sz w:val="24"/>
          <w:szCs w:val="24"/>
        </w:rPr>
      </w:pPr>
      <w:r w:rsidRPr="00876805">
        <w:rPr>
          <w:b/>
          <w:sz w:val="24"/>
          <w:szCs w:val="24"/>
        </w:rPr>
        <w:t>KONFEDERÁCIA ODBOROVÝCH ZVÄZOV SLOVENSKEJ REPUBLIKY</w:t>
      </w:r>
    </w:p>
    <w:p w:rsidR="00353083" w:rsidRPr="00876805" w:rsidRDefault="008768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76805" w:rsidRDefault="00876805" w:rsidP="00876805">
      <w:pPr>
        <w:pStyle w:val="Nzov"/>
        <w:spacing w:before="0"/>
        <w:jc w:val="both"/>
        <w:rPr>
          <w:b w:val="0"/>
          <w:szCs w:val="24"/>
        </w:rPr>
      </w:pPr>
    </w:p>
    <w:p w:rsidR="00A14A6D" w:rsidRDefault="00A14A6D" w:rsidP="00ED0BA3">
      <w:pPr>
        <w:pStyle w:val="Nzov"/>
        <w:spacing w:before="0" w:line="276" w:lineRule="auto"/>
        <w:jc w:val="both"/>
        <w:rPr>
          <w:b w:val="0"/>
          <w:szCs w:val="24"/>
        </w:rPr>
      </w:pPr>
    </w:p>
    <w:p w:rsidR="00876805" w:rsidRPr="0032711A" w:rsidRDefault="00876805" w:rsidP="00ED0BA3">
      <w:pPr>
        <w:pStyle w:val="Nzov"/>
        <w:spacing w:before="0" w:line="276" w:lineRule="auto"/>
        <w:jc w:val="both"/>
        <w:rPr>
          <w:b w:val="0"/>
          <w:szCs w:val="24"/>
        </w:rPr>
      </w:pPr>
      <w:r w:rsidRPr="0032711A">
        <w:rPr>
          <w:b w:val="0"/>
          <w:szCs w:val="24"/>
        </w:rPr>
        <w:t>Materiál na rokovanie</w:t>
      </w:r>
    </w:p>
    <w:p w:rsidR="00876805" w:rsidRPr="007B255B" w:rsidRDefault="00E80F15" w:rsidP="001E7ABF">
      <w:pPr>
        <w:pStyle w:val="Nzov"/>
        <w:spacing w:before="0" w:line="360" w:lineRule="auto"/>
        <w:jc w:val="both"/>
        <w:rPr>
          <w:b w:val="0"/>
          <w:szCs w:val="24"/>
          <w:lang w:val="sk-SK"/>
        </w:rPr>
      </w:pPr>
      <w:r>
        <w:rPr>
          <w:b w:val="0"/>
          <w:szCs w:val="24"/>
        </w:rPr>
        <w:t xml:space="preserve">HSR SR </w:t>
      </w:r>
      <w:r w:rsidR="00CD50A4">
        <w:rPr>
          <w:b w:val="0"/>
          <w:szCs w:val="24"/>
          <w:lang w:val="sk-SK"/>
        </w:rPr>
        <w:t>08</w:t>
      </w:r>
      <w:r w:rsidR="00EF3C16">
        <w:rPr>
          <w:b w:val="0"/>
          <w:szCs w:val="24"/>
        </w:rPr>
        <w:t>.</w:t>
      </w:r>
      <w:r w:rsidR="006E179B">
        <w:rPr>
          <w:b w:val="0"/>
          <w:szCs w:val="24"/>
          <w:lang w:val="sk-SK"/>
        </w:rPr>
        <w:t>10</w:t>
      </w:r>
      <w:r w:rsidR="00EF3C16">
        <w:rPr>
          <w:b w:val="0"/>
          <w:szCs w:val="24"/>
        </w:rPr>
        <w:t>.201</w:t>
      </w:r>
      <w:r w:rsidR="00CD50A4">
        <w:rPr>
          <w:b w:val="0"/>
          <w:szCs w:val="24"/>
          <w:lang w:val="sk-SK"/>
        </w:rPr>
        <w:t>8</w:t>
      </w:r>
    </w:p>
    <w:p w:rsidR="00A57357" w:rsidRDefault="00396D8E" w:rsidP="00A57357">
      <w:pPr>
        <w:pStyle w:val="Nzov"/>
        <w:spacing w:before="0" w:line="360" w:lineRule="auto"/>
        <w:ind w:left="7791"/>
        <w:jc w:val="both"/>
        <w:rPr>
          <w:b w:val="0"/>
          <w:szCs w:val="24"/>
          <w:lang w:val="sk-SK"/>
        </w:rPr>
      </w:pPr>
      <w:r>
        <w:rPr>
          <w:b w:val="0"/>
          <w:szCs w:val="24"/>
        </w:rPr>
        <w:t>b</w:t>
      </w:r>
      <w:r w:rsidR="00A745D5">
        <w:rPr>
          <w:b w:val="0"/>
          <w:szCs w:val="24"/>
        </w:rPr>
        <w:t>od</w:t>
      </w:r>
      <w:r w:rsidR="0010287F">
        <w:rPr>
          <w:b w:val="0"/>
          <w:szCs w:val="24"/>
          <w:lang w:val="sk-SK"/>
        </w:rPr>
        <w:t xml:space="preserve"> </w:t>
      </w:r>
      <w:r w:rsidR="007016DD">
        <w:rPr>
          <w:b w:val="0"/>
          <w:szCs w:val="24"/>
          <w:lang w:val="sk-SK"/>
        </w:rPr>
        <w:t>1</w:t>
      </w:r>
    </w:p>
    <w:p w:rsidR="0049240C" w:rsidRDefault="0049240C" w:rsidP="00ED0BA3">
      <w:pPr>
        <w:pStyle w:val="Nzov"/>
        <w:spacing w:before="0" w:line="276" w:lineRule="auto"/>
        <w:rPr>
          <w:szCs w:val="24"/>
        </w:rPr>
      </w:pPr>
    </w:p>
    <w:p w:rsidR="00876805" w:rsidRPr="00876805" w:rsidRDefault="00876805" w:rsidP="00ED0BA3">
      <w:pPr>
        <w:pStyle w:val="Nzov"/>
        <w:spacing w:before="0" w:line="276" w:lineRule="auto"/>
        <w:rPr>
          <w:szCs w:val="24"/>
        </w:rPr>
      </w:pPr>
      <w:r w:rsidRPr="00876805">
        <w:rPr>
          <w:szCs w:val="24"/>
        </w:rPr>
        <w:t>S T A N O V I S K O</w:t>
      </w:r>
    </w:p>
    <w:p w:rsidR="00A73E7C" w:rsidRPr="00A73E7C" w:rsidRDefault="00A73E7C" w:rsidP="00106B2F">
      <w:pPr>
        <w:jc w:val="center"/>
        <w:rPr>
          <w:rFonts w:cs="Calibri"/>
          <w:b/>
          <w:iCs/>
          <w:sz w:val="24"/>
          <w:szCs w:val="24"/>
        </w:rPr>
      </w:pPr>
      <w:r w:rsidRPr="00A73E7C">
        <w:rPr>
          <w:b/>
          <w:sz w:val="24"/>
          <w:szCs w:val="24"/>
        </w:rPr>
        <w:t>k</w:t>
      </w:r>
      <w:r w:rsidR="00A36F8F">
        <w:rPr>
          <w:rFonts w:cs="Calibri"/>
          <w:b/>
          <w:iCs/>
          <w:sz w:val="24"/>
          <w:szCs w:val="24"/>
        </w:rPr>
        <w:t> </w:t>
      </w:r>
      <w:r w:rsidR="00EF3C16">
        <w:rPr>
          <w:rFonts w:cs="Calibri"/>
          <w:b/>
          <w:iCs/>
          <w:sz w:val="24"/>
          <w:szCs w:val="24"/>
        </w:rPr>
        <w:t>návrhu</w:t>
      </w:r>
      <w:r w:rsidR="00A36F8F">
        <w:rPr>
          <w:rFonts w:cs="Calibri"/>
          <w:b/>
          <w:iCs/>
          <w:sz w:val="24"/>
          <w:szCs w:val="24"/>
        </w:rPr>
        <w:t xml:space="preserve"> </w:t>
      </w:r>
      <w:r w:rsidR="00A8394D" w:rsidRPr="00A8394D">
        <w:rPr>
          <w:rFonts w:cs="Calibri"/>
          <w:b/>
          <w:iCs/>
          <w:sz w:val="24"/>
          <w:szCs w:val="24"/>
        </w:rPr>
        <w:t>rozpo</w:t>
      </w:r>
      <w:r w:rsidR="00CD50A4">
        <w:rPr>
          <w:rFonts w:cs="Calibri"/>
          <w:b/>
          <w:iCs/>
          <w:sz w:val="24"/>
          <w:szCs w:val="24"/>
        </w:rPr>
        <w:t>čtu verejnej správy na roky 2019 až 2021</w:t>
      </w:r>
    </w:p>
    <w:p w:rsidR="00D003C1" w:rsidRDefault="00D003C1" w:rsidP="00D003C1">
      <w:pPr>
        <w:pStyle w:val="Odsekzoznamu"/>
        <w:spacing w:after="0"/>
        <w:ind w:left="0"/>
        <w:contextualSpacing/>
        <w:jc w:val="center"/>
        <w:rPr>
          <w:rFonts w:ascii="Times New Roman" w:hAnsi="Times New Roman" w:cs="Times New Roman"/>
          <w:b/>
          <w:sz w:val="24"/>
          <w:szCs w:val="24"/>
        </w:rPr>
      </w:pPr>
    </w:p>
    <w:p w:rsidR="0049240C" w:rsidRDefault="0049240C" w:rsidP="00D003C1">
      <w:pPr>
        <w:pStyle w:val="Odsekzoznamu"/>
        <w:spacing w:after="0"/>
        <w:ind w:left="0"/>
        <w:contextualSpacing/>
        <w:jc w:val="center"/>
        <w:rPr>
          <w:rFonts w:ascii="Times New Roman" w:hAnsi="Times New Roman" w:cs="Times New Roman"/>
          <w:b/>
          <w:sz w:val="24"/>
          <w:szCs w:val="24"/>
        </w:rPr>
      </w:pPr>
    </w:p>
    <w:p w:rsidR="0049240C" w:rsidRPr="00D003C1" w:rsidRDefault="0049240C" w:rsidP="00D003C1">
      <w:pPr>
        <w:pStyle w:val="Odsekzoznamu"/>
        <w:spacing w:after="0"/>
        <w:ind w:left="0"/>
        <w:contextualSpacing/>
        <w:jc w:val="center"/>
        <w:rPr>
          <w:rFonts w:ascii="Times New Roman" w:hAnsi="Times New Roman" w:cs="Times New Roman"/>
          <w:b/>
          <w:sz w:val="24"/>
          <w:szCs w:val="24"/>
        </w:rPr>
      </w:pPr>
    </w:p>
    <w:p w:rsidR="002434E3" w:rsidRDefault="00F82AFD" w:rsidP="001E7ABF">
      <w:pPr>
        <w:numPr>
          <w:ilvl w:val="0"/>
          <w:numId w:val="16"/>
        </w:numPr>
        <w:spacing w:after="200" w:line="276" w:lineRule="auto"/>
        <w:ind w:left="426"/>
        <w:jc w:val="both"/>
        <w:rPr>
          <w:b/>
          <w:sz w:val="24"/>
          <w:szCs w:val="24"/>
        </w:rPr>
      </w:pPr>
      <w:r>
        <w:rPr>
          <w:b/>
          <w:sz w:val="24"/>
          <w:szCs w:val="24"/>
        </w:rPr>
        <w:t xml:space="preserve">Všeobecne k </w:t>
      </w:r>
      <w:r w:rsidR="00E4335D">
        <w:rPr>
          <w:b/>
          <w:sz w:val="24"/>
          <w:szCs w:val="24"/>
        </w:rPr>
        <w:t>materiálu</w:t>
      </w:r>
    </w:p>
    <w:p w:rsidR="002729BE" w:rsidRDefault="007016DD" w:rsidP="002729BE">
      <w:pPr>
        <w:jc w:val="both"/>
        <w:rPr>
          <w:sz w:val="24"/>
          <w:szCs w:val="24"/>
        </w:rPr>
      </w:pPr>
      <w:r w:rsidRPr="007016DD">
        <w:rPr>
          <w:sz w:val="24"/>
          <w:szCs w:val="24"/>
        </w:rPr>
        <w:t>Predložený Návrh rozpočtu verejnej správy na roky 201</w:t>
      </w:r>
      <w:r w:rsidR="00213304">
        <w:rPr>
          <w:sz w:val="24"/>
          <w:szCs w:val="24"/>
        </w:rPr>
        <w:t>9</w:t>
      </w:r>
      <w:r w:rsidR="00E33EF4">
        <w:rPr>
          <w:sz w:val="24"/>
          <w:szCs w:val="24"/>
        </w:rPr>
        <w:t xml:space="preserve"> až 202</w:t>
      </w:r>
      <w:r w:rsidR="00213304">
        <w:rPr>
          <w:sz w:val="24"/>
          <w:szCs w:val="24"/>
        </w:rPr>
        <w:t>1</w:t>
      </w:r>
      <w:r w:rsidRPr="007016DD">
        <w:rPr>
          <w:sz w:val="24"/>
          <w:szCs w:val="24"/>
        </w:rPr>
        <w:t xml:space="preserve"> vychádza z aktualizovanej septembrovej makroekonomickej prognózy a prognózy daňových a odvodových príjmov. Rozpočet verejnej správy sa zostavuje za štátny rozpočet a rozpočty ostatných subjektov verejnej správy na obdobie troch rokov, tzn. na roky 201</w:t>
      </w:r>
      <w:r w:rsidR="00213304">
        <w:rPr>
          <w:sz w:val="24"/>
          <w:szCs w:val="24"/>
        </w:rPr>
        <w:t>9</w:t>
      </w:r>
      <w:r w:rsidRPr="007016DD">
        <w:rPr>
          <w:sz w:val="24"/>
          <w:szCs w:val="24"/>
        </w:rPr>
        <w:t>, 20</w:t>
      </w:r>
      <w:r w:rsidR="00213304">
        <w:rPr>
          <w:sz w:val="24"/>
          <w:szCs w:val="24"/>
        </w:rPr>
        <w:t>20</w:t>
      </w:r>
      <w:r w:rsidRPr="007016DD">
        <w:rPr>
          <w:sz w:val="24"/>
          <w:szCs w:val="24"/>
        </w:rPr>
        <w:t xml:space="preserve"> a 20</w:t>
      </w:r>
      <w:r w:rsidR="00E33EF4">
        <w:rPr>
          <w:sz w:val="24"/>
          <w:szCs w:val="24"/>
        </w:rPr>
        <w:t>2</w:t>
      </w:r>
      <w:r w:rsidR="00213304">
        <w:rPr>
          <w:sz w:val="24"/>
          <w:szCs w:val="24"/>
        </w:rPr>
        <w:t>1</w:t>
      </w:r>
      <w:r w:rsidRPr="007016DD">
        <w:rPr>
          <w:sz w:val="24"/>
          <w:szCs w:val="24"/>
        </w:rPr>
        <w:t>.</w:t>
      </w:r>
    </w:p>
    <w:p w:rsidR="00E33EF4" w:rsidRDefault="00391944" w:rsidP="003769B5">
      <w:pPr>
        <w:jc w:val="both"/>
        <w:rPr>
          <w:sz w:val="24"/>
          <w:szCs w:val="24"/>
        </w:rPr>
      </w:pPr>
      <w:r>
        <w:rPr>
          <w:sz w:val="24"/>
          <w:szCs w:val="24"/>
        </w:rPr>
        <w:t>C</w:t>
      </w:r>
      <w:r w:rsidR="007016DD" w:rsidRPr="007016DD">
        <w:rPr>
          <w:sz w:val="24"/>
          <w:szCs w:val="24"/>
        </w:rPr>
        <w:t>ieľová hodnota def</w:t>
      </w:r>
      <w:r w:rsidR="00E33EF4">
        <w:rPr>
          <w:sz w:val="24"/>
          <w:szCs w:val="24"/>
        </w:rPr>
        <w:t>icitu verejnej správy na rok 201</w:t>
      </w:r>
      <w:r w:rsidR="00213304">
        <w:rPr>
          <w:sz w:val="24"/>
          <w:szCs w:val="24"/>
        </w:rPr>
        <w:t>9</w:t>
      </w:r>
      <w:r>
        <w:rPr>
          <w:sz w:val="24"/>
          <w:szCs w:val="24"/>
        </w:rPr>
        <w:t xml:space="preserve"> je</w:t>
      </w:r>
      <w:r w:rsidR="00E33EF4">
        <w:rPr>
          <w:sz w:val="24"/>
          <w:szCs w:val="24"/>
        </w:rPr>
        <w:t xml:space="preserve"> stanovená vo výške </w:t>
      </w:r>
      <w:r w:rsidR="00140D34">
        <w:rPr>
          <w:sz w:val="24"/>
          <w:szCs w:val="24"/>
        </w:rPr>
        <w:t>0,10 %</w:t>
      </w:r>
      <w:r w:rsidR="00E33EF4" w:rsidRPr="00E33EF4">
        <w:rPr>
          <w:sz w:val="24"/>
          <w:szCs w:val="24"/>
        </w:rPr>
        <w:t xml:space="preserve"> HDP</w:t>
      </w:r>
      <w:r w:rsidR="007016DD" w:rsidRPr="007016DD">
        <w:rPr>
          <w:sz w:val="24"/>
          <w:szCs w:val="24"/>
        </w:rPr>
        <w:t>. V ďalších rokoch sa predpokladá znižovanie deficitu</w:t>
      </w:r>
      <w:r w:rsidR="00E82D89">
        <w:rPr>
          <w:sz w:val="24"/>
          <w:szCs w:val="24"/>
        </w:rPr>
        <w:t>.</w:t>
      </w:r>
      <w:r>
        <w:rPr>
          <w:sz w:val="24"/>
          <w:szCs w:val="24"/>
        </w:rPr>
        <w:t xml:space="preserve"> </w:t>
      </w:r>
      <w:r w:rsidR="00E82D89" w:rsidRPr="00E82D89">
        <w:rPr>
          <w:sz w:val="24"/>
          <w:szCs w:val="24"/>
        </w:rPr>
        <w:t>V roku 2020 sa predpokladá vyrovnané hospodárenie a v nasledujúcom roku po prvýkrát prebytok na úrovni 0,2 % HDP</w:t>
      </w:r>
      <w:r w:rsidR="00E82D89">
        <w:rPr>
          <w:sz w:val="24"/>
          <w:szCs w:val="24"/>
        </w:rPr>
        <w:t>.</w:t>
      </w:r>
      <w:r w:rsidR="00E82D89" w:rsidRPr="00E82D89">
        <w:rPr>
          <w:sz w:val="24"/>
          <w:szCs w:val="24"/>
        </w:rPr>
        <w:t xml:space="preserve"> </w:t>
      </w:r>
      <w:r w:rsidR="00E33EF4" w:rsidRPr="00E33EF4">
        <w:rPr>
          <w:sz w:val="24"/>
          <w:szCs w:val="24"/>
        </w:rPr>
        <w:t>Z pohľadu plnenia pravidiel Paktu stability a rastu sú nové ciele v súlade s konsolidačnými požiadavkami Európskej komisie</w:t>
      </w:r>
      <w:r w:rsidR="00E33EF4">
        <w:rPr>
          <w:sz w:val="24"/>
          <w:szCs w:val="24"/>
        </w:rPr>
        <w:t>.</w:t>
      </w:r>
      <w:r w:rsidR="00E33EF4" w:rsidRPr="00E33EF4">
        <w:t xml:space="preserve"> </w:t>
      </w:r>
      <w:r w:rsidR="00E33EF4" w:rsidRPr="00E33EF4">
        <w:rPr>
          <w:sz w:val="24"/>
          <w:szCs w:val="24"/>
        </w:rPr>
        <w:t>Hrubý dlh ve</w:t>
      </w:r>
      <w:r w:rsidR="00213304">
        <w:rPr>
          <w:sz w:val="24"/>
          <w:szCs w:val="24"/>
        </w:rPr>
        <w:t>rejnej správy by mal v roku 2019</w:t>
      </w:r>
      <w:r w:rsidR="00E33EF4" w:rsidRPr="00E33EF4">
        <w:rPr>
          <w:sz w:val="24"/>
          <w:szCs w:val="24"/>
        </w:rPr>
        <w:t xml:space="preserve"> dosiahnuť </w:t>
      </w:r>
      <w:r w:rsidR="00AC1C04">
        <w:rPr>
          <w:sz w:val="24"/>
          <w:szCs w:val="24"/>
        </w:rPr>
        <w:t>47,3</w:t>
      </w:r>
      <w:r w:rsidR="00E33EF4" w:rsidRPr="00E33EF4">
        <w:rPr>
          <w:sz w:val="24"/>
          <w:szCs w:val="24"/>
        </w:rPr>
        <w:t xml:space="preserve"> % HDP. Na základe aktuálneho odhadu skutočnosti na rok 201</w:t>
      </w:r>
      <w:r w:rsidR="00213304">
        <w:rPr>
          <w:sz w:val="24"/>
          <w:szCs w:val="24"/>
        </w:rPr>
        <w:t>8</w:t>
      </w:r>
      <w:r w:rsidR="00E33EF4" w:rsidRPr="00E33EF4">
        <w:rPr>
          <w:sz w:val="24"/>
          <w:szCs w:val="24"/>
        </w:rPr>
        <w:t xml:space="preserve"> a parametrov fiškálneho rámca pre rozpočet verejnej správy na roky 201</w:t>
      </w:r>
      <w:r w:rsidR="00213304">
        <w:rPr>
          <w:sz w:val="24"/>
          <w:szCs w:val="24"/>
        </w:rPr>
        <w:t>9 až 2021</w:t>
      </w:r>
      <w:r w:rsidR="00E33EF4" w:rsidRPr="00E33EF4">
        <w:rPr>
          <w:sz w:val="24"/>
          <w:szCs w:val="24"/>
        </w:rPr>
        <w:t xml:space="preserve"> možno očakávať, že hrubý dlh verejnej správy bude v pomere k HDP klesať aj naďalej až k úrovni </w:t>
      </w:r>
      <w:r w:rsidR="00AC1C04">
        <w:rPr>
          <w:sz w:val="24"/>
          <w:szCs w:val="24"/>
        </w:rPr>
        <w:t>44,8</w:t>
      </w:r>
      <w:r w:rsidR="00E33EF4" w:rsidRPr="00E33EF4">
        <w:rPr>
          <w:sz w:val="24"/>
          <w:szCs w:val="24"/>
        </w:rPr>
        <w:t xml:space="preserve"> % HDP. Zároveň </w:t>
      </w:r>
      <w:r w:rsidR="00AC1C04">
        <w:rPr>
          <w:sz w:val="24"/>
          <w:szCs w:val="24"/>
        </w:rPr>
        <w:t xml:space="preserve">už </w:t>
      </w:r>
      <w:r w:rsidR="00E33EF4" w:rsidRPr="00E33EF4">
        <w:rPr>
          <w:sz w:val="24"/>
          <w:szCs w:val="24"/>
        </w:rPr>
        <w:t xml:space="preserve">od roku </w:t>
      </w:r>
      <w:r w:rsidR="00AC1C04">
        <w:rPr>
          <w:sz w:val="24"/>
          <w:szCs w:val="24"/>
        </w:rPr>
        <w:t>2018</w:t>
      </w:r>
      <w:r w:rsidR="00E33EF4" w:rsidRPr="00E33EF4">
        <w:rPr>
          <w:sz w:val="24"/>
          <w:szCs w:val="24"/>
        </w:rPr>
        <w:t xml:space="preserve"> klesne dlh </w:t>
      </w:r>
      <w:r w:rsidR="00AC1C04" w:rsidRPr="00AC1C04">
        <w:rPr>
          <w:sz w:val="24"/>
          <w:szCs w:val="24"/>
        </w:rPr>
        <w:t>dolné sankčné pásmo 49 %</w:t>
      </w:r>
      <w:r w:rsidR="00E33EF4" w:rsidRPr="00E33EF4">
        <w:rPr>
          <w:sz w:val="24"/>
          <w:szCs w:val="24"/>
        </w:rPr>
        <w:t>.</w:t>
      </w:r>
    </w:p>
    <w:p w:rsidR="00AC1C04" w:rsidRDefault="00AC1C04" w:rsidP="00AC1C04">
      <w:pPr>
        <w:jc w:val="both"/>
        <w:rPr>
          <w:sz w:val="24"/>
          <w:szCs w:val="24"/>
        </w:rPr>
      </w:pPr>
      <w:r w:rsidRPr="002729BE">
        <w:rPr>
          <w:sz w:val="24"/>
          <w:szCs w:val="24"/>
        </w:rPr>
        <w:t>Celkové príjmy štátneho rozpočtu na rok 201</w:t>
      </w:r>
      <w:r>
        <w:rPr>
          <w:sz w:val="24"/>
          <w:szCs w:val="24"/>
        </w:rPr>
        <w:t>9</w:t>
      </w:r>
      <w:r w:rsidRPr="002729BE">
        <w:rPr>
          <w:sz w:val="24"/>
          <w:szCs w:val="24"/>
        </w:rPr>
        <w:t xml:space="preserve"> sa rozpočtujú sumou </w:t>
      </w:r>
      <w:r w:rsidRPr="00AC1C04">
        <w:rPr>
          <w:sz w:val="24"/>
          <w:szCs w:val="24"/>
        </w:rPr>
        <w:t>15 497 653 878</w:t>
      </w:r>
      <w:r>
        <w:t xml:space="preserve"> </w:t>
      </w:r>
      <w:r>
        <w:rPr>
          <w:sz w:val="24"/>
          <w:szCs w:val="24"/>
        </w:rPr>
        <w:t>€, čo predstavuje zvýšenie oproti návrhu štátneho rozpočtu na rok 2018 o 1,5 mld. €.</w:t>
      </w:r>
      <w:r w:rsidRPr="002729BE">
        <w:rPr>
          <w:sz w:val="24"/>
          <w:szCs w:val="24"/>
        </w:rPr>
        <w:t xml:space="preserve"> Celkové výdav</w:t>
      </w:r>
      <w:r>
        <w:rPr>
          <w:sz w:val="24"/>
          <w:szCs w:val="24"/>
        </w:rPr>
        <w:t>ky štátneho rozpočtu na rok 2019</w:t>
      </w:r>
      <w:r w:rsidRPr="002729BE">
        <w:rPr>
          <w:sz w:val="24"/>
          <w:szCs w:val="24"/>
        </w:rPr>
        <w:t xml:space="preserve"> sa určujú sumou </w:t>
      </w:r>
      <w:r w:rsidRPr="00AC1C04">
        <w:rPr>
          <w:sz w:val="24"/>
          <w:szCs w:val="24"/>
        </w:rPr>
        <w:t xml:space="preserve">17 635 791 653 </w:t>
      </w:r>
      <w:r>
        <w:rPr>
          <w:sz w:val="24"/>
          <w:szCs w:val="24"/>
        </w:rPr>
        <w:t>€,</w:t>
      </w:r>
      <w:r w:rsidRPr="00AC1C04">
        <w:rPr>
          <w:sz w:val="24"/>
          <w:szCs w:val="24"/>
        </w:rPr>
        <w:t xml:space="preserve"> </w:t>
      </w:r>
      <w:r>
        <w:rPr>
          <w:sz w:val="24"/>
          <w:szCs w:val="24"/>
        </w:rPr>
        <w:t xml:space="preserve">čo predstavuje zvýšenie oproti návrhu štátneho rozpočtu na rok 2018 o takmer 1,7 mld. €. </w:t>
      </w:r>
      <w:r w:rsidRPr="002729BE">
        <w:rPr>
          <w:sz w:val="24"/>
          <w:szCs w:val="24"/>
        </w:rPr>
        <w:t>Schodok štátneho rozpočtu na rok 201</w:t>
      </w:r>
      <w:r>
        <w:rPr>
          <w:sz w:val="24"/>
          <w:szCs w:val="24"/>
        </w:rPr>
        <w:t>9</w:t>
      </w:r>
      <w:r w:rsidRPr="002729BE">
        <w:rPr>
          <w:sz w:val="24"/>
          <w:szCs w:val="24"/>
        </w:rPr>
        <w:t xml:space="preserve"> sa určuje sumou </w:t>
      </w:r>
      <w:r w:rsidRPr="00AC1C04">
        <w:rPr>
          <w:sz w:val="24"/>
          <w:szCs w:val="24"/>
        </w:rPr>
        <w:t xml:space="preserve">2 138 137 775 </w:t>
      </w:r>
      <w:r>
        <w:rPr>
          <w:sz w:val="24"/>
          <w:szCs w:val="24"/>
        </w:rPr>
        <w:t>€, predstavuje zvýšenie oproti návrhu štátneho rozpočtu na rok 2018</w:t>
      </w:r>
      <w:r w:rsidR="0011407F">
        <w:rPr>
          <w:sz w:val="24"/>
          <w:szCs w:val="24"/>
        </w:rPr>
        <w:t xml:space="preserve"> o 165 mil. €.</w:t>
      </w:r>
    </w:p>
    <w:p w:rsidR="007016DD" w:rsidRPr="007016DD" w:rsidRDefault="007016DD" w:rsidP="003769B5">
      <w:pPr>
        <w:jc w:val="both"/>
        <w:rPr>
          <w:sz w:val="24"/>
          <w:szCs w:val="24"/>
        </w:rPr>
      </w:pPr>
      <w:r w:rsidRPr="007016DD">
        <w:rPr>
          <w:sz w:val="24"/>
          <w:szCs w:val="24"/>
        </w:rPr>
        <w:t>Na rok 201</w:t>
      </w:r>
      <w:r w:rsidR="00213304">
        <w:rPr>
          <w:sz w:val="24"/>
          <w:szCs w:val="24"/>
        </w:rPr>
        <w:t>9</w:t>
      </w:r>
      <w:r w:rsidRPr="007016DD">
        <w:rPr>
          <w:sz w:val="24"/>
          <w:szCs w:val="24"/>
        </w:rPr>
        <w:t xml:space="preserve"> sa predpokl</w:t>
      </w:r>
      <w:r w:rsidR="00E33EF4">
        <w:rPr>
          <w:sz w:val="24"/>
          <w:szCs w:val="24"/>
        </w:rPr>
        <w:t xml:space="preserve">adá rast ekonomiky na úrovni </w:t>
      </w:r>
      <w:r w:rsidR="007D7744">
        <w:rPr>
          <w:sz w:val="24"/>
          <w:szCs w:val="24"/>
        </w:rPr>
        <w:t>4,5</w:t>
      </w:r>
      <w:r w:rsidR="00213304">
        <w:rPr>
          <w:sz w:val="24"/>
          <w:szCs w:val="24"/>
        </w:rPr>
        <w:t xml:space="preserve"> </w:t>
      </w:r>
      <w:r w:rsidR="00391944">
        <w:rPr>
          <w:sz w:val="24"/>
          <w:szCs w:val="24"/>
        </w:rPr>
        <w:t>%</w:t>
      </w:r>
      <w:r w:rsidRPr="007016DD">
        <w:rPr>
          <w:sz w:val="24"/>
          <w:szCs w:val="24"/>
        </w:rPr>
        <w:t>. Zamestnanosť bude pokračovať v ďalšom raste. V roku 201</w:t>
      </w:r>
      <w:r w:rsidR="00213304">
        <w:rPr>
          <w:sz w:val="24"/>
          <w:szCs w:val="24"/>
        </w:rPr>
        <w:t>9</w:t>
      </w:r>
      <w:r w:rsidRPr="007016DD">
        <w:rPr>
          <w:sz w:val="24"/>
          <w:szCs w:val="24"/>
        </w:rPr>
        <w:t xml:space="preserve"> predstavuje </w:t>
      </w:r>
      <w:r w:rsidR="00391944">
        <w:rPr>
          <w:sz w:val="24"/>
          <w:szCs w:val="24"/>
        </w:rPr>
        <w:t xml:space="preserve">jej </w:t>
      </w:r>
      <w:r w:rsidRPr="007016DD">
        <w:rPr>
          <w:sz w:val="24"/>
          <w:szCs w:val="24"/>
        </w:rPr>
        <w:t xml:space="preserve">nárast </w:t>
      </w:r>
      <w:r w:rsidR="007D7744">
        <w:rPr>
          <w:sz w:val="24"/>
          <w:szCs w:val="24"/>
        </w:rPr>
        <w:t>1,1</w:t>
      </w:r>
      <w:r w:rsidR="00213304">
        <w:rPr>
          <w:sz w:val="24"/>
          <w:szCs w:val="24"/>
        </w:rPr>
        <w:t xml:space="preserve"> </w:t>
      </w:r>
      <w:r w:rsidR="00391944">
        <w:rPr>
          <w:sz w:val="24"/>
          <w:szCs w:val="24"/>
        </w:rPr>
        <w:t xml:space="preserve">%. </w:t>
      </w:r>
      <w:r w:rsidRPr="007016DD">
        <w:rPr>
          <w:sz w:val="24"/>
          <w:szCs w:val="24"/>
        </w:rPr>
        <w:t>Miera nezamestnanosti</w:t>
      </w:r>
      <w:r w:rsidR="00E33EF4">
        <w:rPr>
          <w:sz w:val="24"/>
          <w:szCs w:val="24"/>
        </w:rPr>
        <w:t xml:space="preserve"> vďaka tomu dosiahne úroveň </w:t>
      </w:r>
      <w:r w:rsidR="007D7744">
        <w:rPr>
          <w:sz w:val="24"/>
          <w:szCs w:val="24"/>
        </w:rPr>
        <w:t>5,1</w:t>
      </w:r>
      <w:r w:rsidR="00213304">
        <w:rPr>
          <w:sz w:val="24"/>
          <w:szCs w:val="24"/>
        </w:rPr>
        <w:t xml:space="preserve"> </w:t>
      </w:r>
      <w:r w:rsidRPr="007016DD">
        <w:rPr>
          <w:sz w:val="24"/>
          <w:szCs w:val="24"/>
        </w:rPr>
        <w:t>%. Nominálna priemerná mesačná mzda v n</w:t>
      </w:r>
      <w:r w:rsidR="00391944">
        <w:rPr>
          <w:sz w:val="24"/>
          <w:szCs w:val="24"/>
        </w:rPr>
        <w:t>árodnom hospodárstve v roku 201</w:t>
      </w:r>
      <w:r w:rsidR="00213304">
        <w:rPr>
          <w:sz w:val="24"/>
          <w:szCs w:val="24"/>
        </w:rPr>
        <w:t>9</w:t>
      </w:r>
      <w:r w:rsidR="00864FA6">
        <w:rPr>
          <w:sz w:val="24"/>
          <w:szCs w:val="24"/>
        </w:rPr>
        <w:t xml:space="preserve"> bude rásť tempom </w:t>
      </w:r>
      <w:r w:rsidR="007D7744">
        <w:rPr>
          <w:sz w:val="24"/>
          <w:szCs w:val="24"/>
        </w:rPr>
        <w:t>6,3</w:t>
      </w:r>
      <w:r w:rsidR="00213304">
        <w:rPr>
          <w:sz w:val="24"/>
          <w:szCs w:val="24"/>
        </w:rPr>
        <w:t xml:space="preserve"> </w:t>
      </w:r>
      <w:r w:rsidR="00864FA6">
        <w:rPr>
          <w:sz w:val="24"/>
          <w:szCs w:val="24"/>
        </w:rPr>
        <w:t>%.</w:t>
      </w:r>
      <w:r w:rsidRPr="007016DD">
        <w:rPr>
          <w:sz w:val="24"/>
          <w:szCs w:val="24"/>
        </w:rPr>
        <w:t xml:space="preserve"> </w:t>
      </w:r>
      <w:r w:rsidR="00391944">
        <w:rPr>
          <w:sz w:val="24"/>
          <w:szCs w:val="24"/>
        </w:rPr>
        <w:t>Inflácia sa v roku 201</w:t>
      </w:r>
      <w:r w:rsidR="00213304">
        <w:rPr>
          <w:sz w:val="24"/>
          <w:szCs w:val="24"/>
        </w:rPr>
        <w:t>9</w:t>
      </w:r>
      <w:r w:rsidRPr="007016DD">
        <w:rPr>
          <w:sz w:val="24"/>
          <w:szCs w:val="24"/>
        </w:rPr>
        <w:t xml:space="preserve"> predpokladá na </w:t>
      </w:r>
      <w:r w:rsidR="00864FA6">
        <w:rPr>
          <w:sz w:val="24"/>
          <w:szCs w:val="24"/>
        </w:rPr>
        <w:t xml:space="preserve">úrovni </w:t>
      </w:r>
      <w:r w:rsidR="007D7744">
        <w:rPr>
          <w:sz w:val="24"/>
          <w:szCs w:val="24"/>
        </w:rPr>
        <w:t>2,5</w:t>
      </w:r>
      <w:r w:rsidR="00213304">
        <w:rPr>
          <w:sz w:val="24"/>
          <w:szCs w:val="24"/>
        </w:rPr>
        <w:t xml:space="preserve"> </w:t>
      </w:r>
      <w:r w:rsidRPr="007016DD">
        <w:rPr>
          <w:sz w:val="24"/>
          <w:szCs w:val="24"/>
        </w:rPr>
        <w:t>%.</w:t>
      </w:r>
    </w:p>
    <w:p w:rsidR="0011407F" w:rsidRPr="0011407F" w:rsidRDefault="0011407F" w:rsidP="0011407F">
      <w:pPr>
        <w:jc w:val="both"/>
        <w:rPr>
          <w:sz w:val="24"/>
          <w:szCs w:val="24"/>
        </w:rPr>
      </w:pPr>
      <w:r>
        <w:rPr>
          <w:sz w:val="24"/>
          <w:szCs w:val="24"/>
        </w:rPr>
        <w:t xml:space="preserve">Výrazne sa navýšia výdavky pre oblasť zdravotníctva a školstva. </w:t>
      </w:r>
      <w:r w:rsidR="00E33EF4" w:rsidRPr="00E33EF4">
        <w:rPr>
          <w:sz w:val="24"/>
          <w:szCs w:val="24"/>
        </w:rPr>
        <w:t xml:space="preserve">Vo výdavkoch štátneho rozpočtu sú zabezpečené </w:t>
      </w:r>
      <w:r>
        <w:rPr>
          <w:sz w:val="24"/>
          <w:szCs w:val="24"/>
        </w:rPr>
        <w:t xml:space="preserve">finančné </w:t>
      </w:r>
      <w:r w:rsidR="00E33EF4" w:rsidRPr="00E33EF4">
        <w:rPr>
          <w:sz w:val="24"/>
          <w:szCs w:val="24"/>
        </w:rPr>
        <w:t xml:space="preserve">prostriedky </w:t>
      </w:r>
      <w:r>
        <w:rPr>
          <w:sz w:val="24"/>
          <w:szCs w:val="24"/>
        </w:rPr>
        <w:t xml:space="preserve">na </w:t>
      </w:r>
      <w:r w:rsidRPr="0011407F">
        <w:rPr>
          <w:sz w:val="24"/>
          <w:szCs w:val="24"/>
        </w:rPr>
        <w:t>oblas</w:t>
      </w:r>
      <w:r>
        <w:rPr>
          <w:sz w:val="24"/>
          <w:szCs w:val="24"/>
        </w:rPr>
        <w:t>ť</w:t>
      </w:r>
      <w:r w:rsidRPr="0011407F">
        <w:rPr>
          <w:sz w:val="24"/>
          <w:szCs w:val="24"/>
        </w:rPr>
        <w:t xml:space="preserve"> odmeňovania vo verejnej správe. V zmysle vyhlásenia zástupcov sociálnych partnerov k dohode o kolektívnych zmluvách vyššieho stupňa v štátnej službe a vo verejnej službe na roky 2019 a 2020 sú v rozpočte alokované prostriedky na valorizáciu platov zamestnancov od 1. januára 2019 na úrovni 10 %. Súčasťou vyhlásenia je aj dohoda na valorizácii od 1. januára 2020 taktiež vo výške 10 %. </w:t>
      </w:r>
    </w:p>
    <w:p w:rsidR="0011407F" w:rsidRPr="0011407F" w:rsidRDefault="0011407F" w:rsidP="0011407F">
      <w:pPr>
        <w:jc w:val="both"/>
        <w:rPr>
          <w:sz w:val="24"/>
          <w:szCs w:val="24"/>
        </w:rPr>
      </w:pPr>
      <w:r w:rsidRPr="0011407F">
        <w:rPr>
          <w:sz w:val="24"/>
          <w:szCs w:val="24"/>
        </w:rPr>
        <w:t>V návrhu rozpočtu verejnej správy sa premietajú aj dopady novely zákona, ktorým sa mení a dopĺňa zákon č. 553/2003 Z. z. o odmeňovaní niektorých zamestnancov pri výkone práce vo verejnom záujme. Odstraňuje sa tak dlhoročný problém nesúladu medzi úrovňou minimálnej mzdy a platovou tarifou pri odmeňovaní vo verejnej službe, k riešeniu ktorého sa  zaviazala vláda Slovenskej republiky vo svojom Programovom vyhlásení na roky 2016 – 2020.</w:t>
      </w:r>
    </w:p>
    <w:p w:rsidR="0011407F" w:rsidRDefault="0011407F" w:rsidP="0011407F">
      <w:pPr>
        <w:jc w:val="both"/>
        <w:rPr>
          <w:sz w:val="24"/>
          <w:szCs w:val="24"/>
        </w:rPr>
      </w:pPr>
      <w:r w:rsidRPr="0011407F">
        <w:rPr>
          <w:sz w:val="24"/>
          <w:szCs w:val="24"/>
        </w:rPr>
        <w:lastRenderedPageBreak/>
        <w:t>Okrem valorizácie platov, ktorá sa týka rovnako aj učiteľov sú v  návrhu rozpočtu zabezpečené finančné prostriedkov v sume 10,0 mil. eur pre pedagogických zamestnancov a odborných zamestnancov a učiteľov vysokých škôl na realizáciu zvýhodneného odmeňovania začínajúcich učiteľov od 1. septembra 2019 v súlade s Národným programom rozvoja výchovy a vzdelávania schváleným vládou Slovenskej republiky.</w:t>
      </w:r>
    </w:p>
    <w:p w:rsidR="0049240C" w:rsidRDefault="0049240C" w:rsidP="0049240C">
      <w:pPr>
        <w:jc w:val="both"/>
        <w:rPr>
          <w:sz w:val="24"/>
          <w:szCs w:val="24"/>
        </w:rPr>
      </w:pPr>
    </w:p>
    <w:p w:rsidR="00B6220C" w:rsidRPr="00872878" w:rsidRDefault="00872878" w:rsidP="007016DD">
      <w:pPr>
        <w:numPr>
          <w:ilvl w:val="0"/>
          <w:numId w:val="16"/>
        </w:numPr>
        <w:spacing w:after="200"/>
        <w:jc w:val="both"/>
        <w:rPr>
          <w:b/>
          <w:sz w:val="24"/>
          <w:szCs w:val="24"/>
        </w:rPr>
      </w:pPr>
      <w:r w:rsidRPr="00872878">
        <w:rPr>
          <w:b/>
          <w:sz w:val="24"/>
          <w:szCs w:val="24"/>
        </w:rPr>
        <w:t>S</w:t>
      </w:r>
      <w:r w:rsidR="00B6220C" w:rsidRPr="00872878">
        <w:rPr>
          <w:b/>
          <w:sz w:val="24"/>
          <w:szCs w:val="24"/>
        </w:rPr>
        <w:t>tanovisko KOZ SR</w:t>
      </w:r>
    </w:p>
    <w:p w:rsidR="005B1672" w:rsidRDefault="005B1672" w:rsidP="00E93DA8">
      <w:pPr>
        <w:jc w:val="both"/>
        <w:rPr>
          <w:bCs/>
          <w:iCs/>
          <w:sz w:val="24"/>
          <w:szCs w:val="24"/>
        </w:rPr>
      </w:pPr>
      <w:r>
        <w:rPr>
          <w:bCs/>
          <w:iCs/>
          <w:sz w:val="24"/>
          <w:szCs w:val="24"/>
        </w:rPr>
        <w:t xml:space="preserve">Vzhľadom na krátkosť poskytnutého času na vyhodnotenie tak rozsiahleho materiálu, akým je návrh rozpočtu verejnej správy na roky 2019 – 2021, </w:t>
      </w:r>
      <w:r w:rsidRPr="00C9020F">
        <w:rPr>
          <w:b/>
          <w:bCs/>
          <w:iCs/>
          <w:sz w:val="24"/>
          <w:szCs w:val="24"/>
        </w:rPr>
        <w:t xml:space="preserve">KOZ SR v písomnom stanovisku prezentuje prierezové pripomienky k návrhu ako celku a vyhradzuje si právo predložiť pripomienky k jednotlivým kapitolám </w:t>
      </w:r>
      <w:r w:rsidR="00C9020F" w:rsidRPr="00C9020F">
        <w:rPr>
          <w:b/>
          <w:bCs/>
          <w:iCs/>
          <w:sz w:val="24"/>
          <w:szCs w:val="24"/>
        </w:rPr>
        <w:t>priamo na</w:t>
      </w:r>
      <w:r w:rsidR="00DF1469">
        <w:rPr>
          <w:b/>
          <w:bCs/>
          <w:iCs/>
          <w:sz w:val="24"/>
          <w:szCs w:val="24"/>
        </w:rPr>
        <w:t xml:space="preserve"> mimoriadnom</w:t>
      </w:r>
      <w:r w:rsidR="00C9020F" w:rsidRPr="00C9020F">
        <w:rPr>
          <w:b/>
          <w:bCs/>
          <w:iCs/>
          <w:sz w:val="24"/>
          <w:szCs w:val="24"/>
        </w:rPr>
        <w:t xml:space="preserve"> rokovaní Hospodárskej a sociálnej rady</w:t>
      </w:r>
      <w:r w:rsidR="00C9020F">
        <w:rPr>
          <w:bCs/>
          <w:iCs/>
          <w:sz w:val="24"/>
          <w:szCs w:val="24"/>
        </w:rPr>
        <w:t xml:space="preserve"> dňa 8. 10. 2018.</w:t>
      </w:r>
    </w:p>
    <w:p w:rsidR="003769B5" w:rsidRPr="00E93DA8" w:rsidRDefault="004205E8" w:rsidP="00E93DA8">
      <w:pPr>
        <w:jc w:val="both"/>
        <w:rPr>
          <w:bCs/>
          <w:iCs/>
          <w:sz w:val="24"/>
          <w:szCs w:val="24"/>
        </w:rPr>
      </w:pPr>
      <w:r w:rsidRPr="004205E8">
        <w:rPr>
          <w:bCs/>
          <w:iCs/>
          <w:sz w:val="24"/>
          <w:szCs w:val="24"/>
        </w:rPr>
        <w:t>Rozpočtová politika v na</w:t>
      </w:r>
      <w:r w:rsidR="00B77BC3">
        <w:rPr>
          <w:bCs/>
          <w:iCs/>
          <w:sz w:val="24"/>
          <w:szCs w:val="24"/>
        </w:rPr>
        <w:t xml:space="preserve">sledujúcich rozpočtových rokoch </w:t>
      </w:r>
      <w:r>
        <w:rPr>
          <w:bCs/>
          <w:iCs/>
          <w:sz w:val="24"/>
          <w:szCs w:val="24"/>
        </w:rPr>
        <w:t xml:space="preserve">naďalej </w:t>
      </w:r>
      <w:r w:rsidRPr="004205E8">
        <w:rPr>
          <w:bCs/>
          <w:iCs/>
          <w:sz w:val="24"/>
          <w:szCs w:val="24"/>
        </w:rPr>
        <w:t>vychádza z Programového vyhlásenia vlády SR, kde medzi hlavné priority patrí konsolidácia verejných financií. Stratégia rozpočtovej politiky v nasledujúcich rozpočtových rokoch je zameraná na ďalšie zlepšovanie rozpočtovej pozície verejnej správy s cieľom dosiahnuť dlhodobú ud</w:t>
      </w:r>
      <w:r>
        <w:rPr>
          <w:bCs/>
          <w:iCs/>
          <w:sz w:val="24"/>
          <w:szCs w:val="24"/>
        </w:rPr>
        <w:t>ržateľnosť verejných financií.</w:t>
      </w:r>
    </w:p>
    <w:p w:rsidR="005B1672" w:rsidRDefault="007016DD" w:rsidP="00E93DA8">
      <w:pPr>
        <w:jc w:val="both"/>
        <w:rPr>
          <w:bCs/>
          <w:iCs/>
          <w:sz w:val="24"/>
          <w:szCs w:val="24"/>
        </w:rPr>
      </w:pPr>
      <w:r w:rsidRPr="00E93DA8">
        <w:rPr>
          <w:bCs/>
          <w:iCs/>
          <w:sz w:val="24"/>
          <w:szCs w:val="24"/>
        </w:rPr>
        <w:t>KOZ SR oc</w:t>
      </w:r>
      <w:r w:rsidR="00C23798">
        <w:rPr>
          <w:bCs/>
          <w:iCs/>
          <w:sz w:val="24"/>
          <w:szCs w:val="24"/>
        </w:rPr>
        <w:t xml:space="preserve">eňuje snahu vlády pokračovať </w:t>
      </w:r>
      <w:r w:rsidRPr="00E93DA8">
        <w:rPr>
          <w:bCs/>
          <w:iCs/>
          <w:sz w:val="24"/>
          <w:szCs w:val="24"/>
        </w:rPr>
        <w:t xml:space="preserve">v nasledujúcich rokoch v znižovaní deficitu verejnej správy a zlepšovať dlhodobú udržateľnosť verejných financií, ako aj cieľ </w:t>
      </w:r>
      <w:r w:rsidR="00C23798">
        <w:rPr>
          <w:bCs/>
          <w:iCs/>
          <w:sz w:val="24"/>
          <w:szCs w:val="24"/>
        </w:rPr>
        <w:t xml:space="preserve">vyrovnaného hospodárenia </w:t>
      </w:r>
      <w:r w:rsidR="003769B5" w:rsidRPr="00E93DA8">
        <w:rPr>
          <w:bCs/>
          <w:iCs/>
          <w:sz w:val="24"/>
          <w:szCs w:val="24"/>
        </w:rPr>
        <w:t xml:space="preserve">v roku </w:t>
      </w:r>
      <w:r w:rsidR="00EB322B">
        <w:rPr>
          <w:bCs/>
          <w:iCs/>
          <w:sz w:val="24"/>
          <w:szCs w:val="24"/>
        </w:rPr>
        <w:t>2020, ktorý bol zadefinovaný už v rozpočte verejnej správy na roky 2018 – 2020</w:t>
      </w:r>
      <w:r w:rsidR="00C23798">
        <w:rPr>
          <w:bCs/>
          <w:iCs/>
          <w:sz w:val="24"/>
          <w:szCs w:val="24"/>
        </w:rPr>
        <w:t xml:space="preserve">. </w:t>
      </w:r>
      <w:r w:rsidR="00CF549E" w:rsidRPr="00EB322B">
        <w:rPr>
          <w:bCs/>
          <w:iCs/>
          <w:sz w:val="24"/>
          <w:szCs w:val="24"/>
        </w:rPr>
        <w:t xml:space="preserve">Cieľový deficit </w:t>
      </w:r>
      <w:r w:rsidR="00C23798" w:rsidRPr="00EB322B">
        <w:rPr>
          <w:bCs/>
          <w:iCs/>
          <w:sz w:val="24"/>
          <w:szCs w:val="24"/>
        </w:rPr>
        <w:t xml:space="preserve">v </w:t>
      </w:r>
      <w:r w:rsidR="00CF549E" w:rsidRPr="00EB322B">
        <w:rPr>
          <w:bCs/>
          <w:iCs/>
          <w:sz w:val="24"/>
          <w:szCs w:val="24"/>
        </w:rPr>
        <w:t>roku 2018</w:t>
      </w:r>
      <w:r w:rsidR="00EB322B" w:rsidRPr="00EB322B">
        <w:rPr>
          <w:bCs/>
          <w:iCs/>
          <w:sz w:val="24"/>
          <w:szCs w:val="24"/>
        </w:rPr>
        <w:t xml:space="preserve"> v percentuálnom vyjadrení k </w:t>
      </w:r>
      <w:r w:rsidR="00EB322B" w:rsidRPr="005B1672">
        <w:rPr>
          <w:bCs/>
          <w:iCs/>
          <w:sz w:val="24"/>
          <w:szCs w:val="24"/>
        </w:rPr>
        <w:t xml:space="preserve">HDP dokonca poklesne o 0,23 p. b. oproti návrhu rozpočtu verejnej správy na roky 2018 – 2020. Rovnako </w:t>
      </w:r>
      <w:r w:rsidR="0060082C" w:rsidRPr="005B1672">
        <w:rPr>
          <w:bCs/>
          <w:iCs/>
          <w:sz w:val="24"/>
          <w:szCs w:val="24"/>
        </w:rPr>
        <w:t xml:space="preserve">bude dodržaný cieľ rozpočtového </w:t>
      </w:r>
      <w:r w:rsidR="005B1672" w:rsidRPr="005B1672">
        <w:rPr>
          <w:bCs/>
          <w:iCs/>
          <w:sz w:val="24"/>
          <w:szCs w:val="24"/>
        </w:rPr>
        <w:t xml:space="preserve">schodku na rok 2019 vo výške 0,10 </w:t>
      </w:r>
      <w:r w:rsidR="0060082C" w:rsidRPr="005B1672">
        <w:rPr>
          <w:bCs/>
          <w:iCs/>
          <w:sz w:val="24"/>
          <w:szCs w:val="24"/>
        </w:rPr>
        <w:t xml:space="preserve">% HDP. </w:t>
      </w:r>
    </w:p>
    <w:p w:rsidR="00B65B5E" w:rsidRDefault="00B65B5E" w:rsidP="00E93DA8">
      <w:pPr>
        <w:jc w:val="both"/>
        <w:rPr>
          <w:bCs/>
          <w:iCs/>
          <w:sz w:val="24"/>
          <w:szCs w:val="24"/>
        </w:rPr>
      </w:pPr>
      <w:r>
        <w:rPr>
          <w:sz w:val="24"/>
          <w:szCs w:val="24"/>
        </w:rPr>
        <w:t>Takisto aj h</w:t>
      </w:r>
      <w:r w:rsidRPr="00E33EF4">
        <w:rPr>
          <w:sz w:val="24"/>
          <w:szCs w:val="24"/>
        </w:rPr>
        <w:t>rubý dlh ve</w:t>
      </w:r>
      <w:r>
        <w:rPr>
          <w:sz w:val="24"/>
          <w:szCs w:val="24"/>
        </w:rPr>
        <w:t xml:space="preserve">rejnej správy by  mal  v roku </w:t>
      </w:r>
      <w:r w:rsidRPr="00B65B5E">
        <w:rPr>
          <w:sz w:val="24"/>
          <w:szCs w:val="24"/>
        </w:rPr>
        <w:t xml:space="preserve">2018 </w:t>
      </w:r>
      <w:r>
        <w:rPr>
          <w:sz w:val="24"/>
          <w:szCs w:val="24"/>
        </w:rPr>
        <w:t xml:space="preserve"> </w:t>
      </w:r>
      <w:r w:rsidRPr="00B65B5E">
        <w:rPr>
          <w:sz w:val="24"/>
          <w:szCs w:val="24"/>
        </w:rPr>
        <w:t>klesn</w:t>
      </w:r>
      <w:r>
        <w:rPr>
          <w:sz w:val="24"/>
          <w:szCs w:val="24"/>
        </w:rPr>
        <w:t>úť  pod</w:t>
      </w:r>
      <w:r w:rsidRPr="00B65B5E">
        <w:rPr>
          <w:sz w:val="24"/>
          <w:szCs w:val="24"/>
        </w:rPr>
        <w:t xml:space="preserve"> </w:t>
      </w:r>
      <w:r>
        <w:rPr>
          <w:sz w:val="24"/>
          <w:szCs w:val="24"/>
        </w:rPr>
        <w:t xml:space="preserve"> </w:t>
      </w:r>
      <w:r w:rsidRPr="00B65B5E">
        <w:rPr>
          <w:sz w:val="24"/>
          <w:szCs w:val="24"/>
        </w:rPr>
        <w:t xml:space="preserve">dolné </w:t>
      </w:r>
      <w:r>
        <w:rPr>
          <w:sz w:val="24"/>
          <w:szCs w:val="24"/>
        </w:rPr>
        <w:t xml:space="preserve"> </w:t>
      </w:r>
      <w:r w:rsidRPr="00B65B5E">
        <w:rPr>
          <w:sz w:val="24"/>
          <w:szCs w:val="24"/>
        </w:rPr>
        <w:t xml:space="preserve">sankčné </w:t>
      </w:r>
      <w:r>
        <w:rPr>
          <w:sz w:val="24"/>
          <w:szCs w:val="24"/>
        </w:rPr>
        <w:t xml:space="preserve"> pásmo 49 % a</w:t>
      </w:r>
      <w:r w:rsidRPr="00E33EF4">
        <w:rPr>
          <w:sz w:val="24"/>
          <w:szCs w:val="24"/>
        </w:rPr>
        <w:t xml:space="preserve"> na roky 201</w:t>
      </w:r>
      <w:r>
        <w:rPr>
          <w:sz w:val="24"/>
          <w:szCs w:val="24"/>
        </w:rPr>
        <w:t>9 až 2021</w:t>
      </w:r>
      <w:r w:rsidRPr="00E33EF4">
        <w:rPr>
          <w:sz w:val="24"/>
          <w:szCs w:val="24"/>
        </w:rPr>
        <w:t xml:space="preserve"> možno očakávať, že hrubý dlh verejnej správy bude v pomere k HDP klesať aj naďalej až k úrovni </w:t>
      </w:r>
      <w:r>
        <w:rPr>
          <w:sz w:val="24"/>
          <w:szCs w:val="24"/>
        </w:rPr>
        <w:t>44,8</w:t>
      </w:r>
      <w:r w:rsidRPr="00E33EF4">
        <w:rPr>
          <w:sz w:val="24"/>
          <w:szCs w:val="24"/>
        </w:rPr>
        <w:t xml:space="preserve"> % HDP</w:t>
      </w:r>
      <w:r>
        <w:rPr>
          <w:sz w:val="24"/>
          <w:szCs w:val="24"/>
        </w:rPr>
        <w:t>.</w:t>
      </w:r>
    </w:p>
    <w:p w:rsidR="005B1672" w:rsidRPr="005B1672" w:rsidRDefault="005B1672" w:rsidP="00C9020F">
      <w:pPr>
        <w:jc w:val="both"/>
        <w:rPr>
          <w:bCs/>
          <w:iCs/>
          <w:sz w:val="24"/>
          <w:szCs w:val="24"/>
        </w:rPr>
      </w:pPr>
      <w:r w:rsidRPr="005B1672">
        <w:rPr>
          <w:bCs/>
          <w:iCs/>
          <w:sz w:val="24"/>
          <w:szCs w:val="24"/>
        </w:rPr>
        <w:t>Napriek vyššie uvedenému vidíme v návrhu rozpočtu verejnej správy na roky 2019 – 2021 viaceré riziká, ktoré môžu viesť k nedodržaniu stanovených cieľov</w:t>
      </w:r>
      <w:r w:rsidR="00DC59ED">
        <w:rPr>
          <w:bCs/>
          <w:iCs/>
          <w:sz w:val="24"/>
          <w:szCs w:val="24"/>
        </w:rPr>
        <w:t xml:space="preserve"> deficitu a</w:t>
      </w:r>
      <w:r w:rsidR="00B65B5E">
        <w:rPr>
          <w:bCs/>
          <w:iCs/>
          <w:sz w:val="24"/>
          <w:szCs w:val="24"/>
        </w:rPr>
        <w:t xml:space="preserve"> hrubého</w:t>
      </w:r>
      <w:r w:rsidR="00DC59ED">
        <w:rPr>
          <w:bCs/>
          <w:iCs/>
          <w:sz w:val="24"/>
          <w:szCs w:val="24"/>
        </w:rPr>
        <w:t xml:space="preserve"> dlhu</w:t>
      </w:r>
      <w:r w:rsidRPr="005B1672">
        <w:rPr>
          <w:bCs/>
          <w:iCs/>
          <w:sz w:val="24"/>
          <w:szCs w:val="24"/>
        </w:rPr>
        <w:t>:</w:t>
      </w:r>
    </w:p>
    <w:p w:rsidR="005B1672" w:rsidRDefault="005B1672" w:rsidP="00C9020F">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r</w:t>
      </w:r>
      <w:r w:rsidRPr="005B1672">
        <w:rPr>
          <w:rFonts w:ascii="Times New Roman" w:hAnsi="Times New Roman" w:cs="Times New Roman"/>
          <w:bCs/>
          <w:iCs/>
          <w:sz w:val="24"/>
          <w:szCs w:val="24"/>
        </w:rPr>
        <w:t xml:space="preserve">ozpočtované príjmy a výdavky štátneho rozpočtu </w:t>
      </w:r>
      <w:r w:rsidR="00C9020F">
        <w:rPr>
          <w:rFonts w:ascii="Times New Roman" w:hAnsi="Times New Roman" w:cs="Times New Roman"/>
          <w:bCs/>
          <w:iCs/>
          <w:sz w:val="24"/>
          <w:szCs w:val="24"/>
        </w:rPr>
        <w:t>opätovne rastú, pričom výdavky aj ich rast prevyšujú príjmy;</w:t>
      </w:r>
    </w:p>
    <w:p w:rsidR="00C9020F" w:rsidRDefault="00C9020F" w:rsidP="00C9020F">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schodok štátneho rozpočtu </w:t>
      </w:r>
      <w:r w:rsidR="00B65B5E">
        <w:rPr>
          <w:rFonts w:ascii="Times New Roman" w:hAnsi="Times New Roman" w:cs="Times New Roman"/>
          <w:bCs/>
          <w:iCs/>
          <w:sz w:val="24"/>
          <w:szCs w:val="24"/>
        </w:rPr>
        <w:t xml:space="preserve">v absolútnom vyjadrení </w:t>
      </w:r>
      <w:r>
        <w:rPr>
          <w:rFonts w:ascii="Times New Roman" w:hAnsi="Times New Roman" w:cs="Times New Roman"/>
          <w:bCs/>
          <w:iCs/>
          <w:sz w:val="24"/>
          <w:szCs w:val="24"/>
        </w:rPr>
        <w:t>porastie v roku 2019 o 165 mil. € oproti rozpočtu na rok 2018, čo je nárast o 8,4 %;</w:t>
      </w:r>
    </w:p>
    <w:p w:rsidR="00C9020F" w:rsidRDefault="00C9020F" w:rsidP="00C9020F">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cieľový schodok rozpočtu verejnej správy je výrazne ovplyvnený hospodárením ostatných subjektov rozpočtu verejnej správy, najmä pozitívnym hospodárením obcí, VÚC, verejným zdravotným poistením, Národným jadrovým fondom a </w:t>
      </w:r>
      <w:r w:rsidR="00DC59ED">
        <w:rPr>
          <w:rFonts w:ascii="Times New Roman" w:hAnsi="Times New Roman" w:cs="Times New Roman"/>
          <w:bCs/>
          <w:iCs/>
          <w:sz w:val="24"/>
          <w:szCs w:val="24"/>
        </w:rPr>
        <w:t>E</w:t>
      </w:r>
      <w:r>
        <w:rPr>
          <w:rFonts w:ascii="Times New Roman" w:hAnsi="Times New Roman" w:cs="Times New Roman"/>
          <w:bCs/>
          <w:iCs/>
          <w:sz w:val="24"/>
          <w:szCs w:val="24"/>
        </w:rPr>
        <w:t>nvironmentálnym fondom;</w:t>
      </w:r>
    </w:p>
    <w:p w:rsidR="00C9020F" w:rsidRDefault="00DC59ED" w:rsidP="00C9020F">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hrubý  dlh  v  absolútnom vyjadrení narastie oproti hrubému dlhu v roku 2018 o takmer 1,8 mld. €, čo predstavuje nárast o 4,03 %;</w:t>
      </w:r>
    </w:p>
    <w:p w:rsidR="00DC59ED" w:rsidRDefault="00DC59ED" w:rsidP="00DC59ED">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cieľové hodnoty sú stanovené podielom na HDP, čo spôsobuje, že ich dosiahnutie je vo veľkej miere naviazané na </w:t>
      </w:r>
      <w:r w:rsidRPr="00DC59ED">
        <w:rPr>
          <w:rFonts w:ascii="Times New Roman" w:hAnsi="Times New Roman" w:cs="Times New Roman"/>
          <w:bCs/>
          <w:iCs/>
          <w:sz w:val="24"/>
          <w:szCs w:val="24"/>
        </w:rPr>
        <w:t>pokračovanie rastu ekonomiky Slovenska, aj za pomoci obnovenia inflačného vývoja</w:t>
      </w:r>
      <w:r w:rsidR="005F7F38">
        <w:rPr>
          <w:rFonts w:ascii="Times New Roman" w:hAnsi="Times New Roman" w:cs="Times New Roman"/>
          <w:bCs/>
          <w:iCs/>
          <w:sz w:val="24"/>
          <w:szCs w:val="24"/>
        </w:rPr>
        <w:t>;</w:t>
      </w:r>
    </w:p>
    <w:p w:rsidR="005F7F38" w:rsidRPr="00DC59ED" w:rsidRDefault="005F7F38" w:rsidP="005F7F38">
      <w:pPr>
        <w:pStyle w:val="Odsekzoznamu"/>
        <w:numPr>
          <w:ilvl w:val="0"/>
          <w:numId w:val="19"/>
        </w:num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zníženie odhadovaného ekonomického rastu </w:t>
      </w:r>
      <w:r w:rsidRPr="005F7F38">
        <w:rPr>
          <w:rFonts w:ascii="Times New Roman" w:hAnsi="Times New Roman" w:cs="Times New Roman"/>
          <w:bCs/>
          <w:iCs/>
          <w:sz w:val="24"/>
          <w:szCs w:val="24"/>
        </w:rPr>
        <w:t>by sa prirodzene premietlo aj do nižšieho výnosu daňových príjmov.</w:t>
      </w:r>
    </w:p>
    <w:p w:rsidR="00DC59ED" w:rsidRPr="00DC59ED" w:rsidRDefault="00DC59ED" w:rsidP="00E93DA8">
      <w:pPr>
        <w:jc w:val="both"/>
        <w:rPr>
          <w:bCs/>
          <w:iCs/>
          <w:sz w:val="24"/>
          <w:szCs w:val="24"/>
        </w:rPr>
      </w:pPr>
      <w:r w:rsidRPr="00DC59ED">
        <w:rPr>
          <w:bCs/>
          <w:iCs/>
          <w:sz w:val="24"/>
          <w:szCs w:val="24"/>
        </w:rPr>
        <w:t>A</w:t>
      </w:r>
      <w:r w:rsidR="0060082C" w:rsidRPr="00DC59ED">
        <w:rPr>
          <w:bCs/>
          <w:iCs/>
          <w:sz w:val="24"/>
          <w:szCs w:val="24"/>
        </w:rPr>
        <w:t xml:space="preserve">j preto </w:t>
      </w:r>
      <w:r w:rsidRPr="00DC59ED">
        <w:rPr>
          <w:bCs/>
          <w:iCs/>
          <w:sz w:val="24"/>
          <w:szCs w:val="24"/>
        </w:rPr>
        <w:t xml:space="preserve">predpokladáme, že dosiahnutie cieľových hodnôt bude </w:t>
      </w:r>
      <w:r w:rsidR="009701A5">
        <w:rPr>
          <w:bCs/>
          <w:iCs/>
          <w:sz w:val="24"/>
          <w:szCs w:val="24"/>
        </w:rPr>
        <w:t xml:space="preserve">výrazne </w:t>
      </w:r>
      <w:r w:rsidRPr="00DC59ED">
        <w:rPr>
          <w:bCs/>
          <w:iCs/>
          <w:sz w:val="24"/>
          <w:szCs w:val="24"/>
        </w:rPr>
        <w:t>závisieť od výkonnosti ekonomiky</w:t>
      </w:r>
      <w:r w:rsidR="009701A5">
        <w:rPr>
          <w:bCs/>
          <w:iCs/>
          <w:sz w:val="24"/>
          <w:szCs w:val="24"/>
        </w:rPr>
        <w:t xml:space="preserve"> a </w:t>
      </w:r>
      <w:r w:rsidRPr="00DC59ED">
        <w:rPr>
          <w:bCs/>
          <w:iCs/>
          <w:sz w:val="24"/>
          <w:szCs w:val="24"/>
        </w:rPr>
        <w:t>externých faktorov.</w:t>
      </w:r>
    </w:p>
    <w:p w:rsidR="00DC59ED" w:rsidRDefault="00DC59ED" w:rsidP="00E93DA8">
      <w:pPr>
        <w:jc w:val="both"/>
        <w:rPr>
          <w:bCs/>
          <w:iCs/>
          <w:sz w:val="24"/>
          <w:szCs w:val="24"/>
        </w:rPr>
      </w:pPr>
      <w:r w:rsidRPr="009701A5">
        <w:rPr>
          <w:b/>
          <w:bCs/>
          <w:iCs/>
          <w:sz w:val="24"/>
          <w:szCs w:val="24"/>
        </w:rPr>
        <w:t>KOZ SR oceňuje zvyšovanie výdavkov na odmeňovanie zamestnancov verejnej správy, ako aj zvyšovanie výdavkov na zdravotníctvo a školstvo</w:t>
      </w:r>
      <w:r>
        <w:rPr>
          <w:bCs/>
          <w:iCs/>
          <w:sz w:val="24"/>
          <w:szCs w:val="24"/>
        </w:rPr>
        <w:t>, čo bola dlhodobo aj požiadavka odborov. V ekonomicky dobrej kondícií krajiny je</w:t>
      </w:r>
      <w:r w:rsidR="00DF1469">
        <w:rPr>
          <w:bCs/>
          <w:iCs/>
          <w:sz w:val="24"/>
          <w:szCs w:val="24"/>
        </w:rPr>
        <w:t xml:space="preserve"> však</w:t>
      </w:r>
      <w:r>
        <w:rPr>
          <w:bCs/>
          <w:iCs/>
          <w:sz w:val="24"/>
          <w:szCs w:val="24"/>
        </w:rPr>
        <w:t xml:space="preserve"> potrebné robiť </w:t>
      </w:r>
      <w:r w:rsidR="00E21941">
        <w:rPr>
          <w:bCs/>
          <w:iCs/>
          <w:sz w:val="24"/>
          <w:szCs w:val="24"/>
        </w:rPr>
        <w:t xml:space="preserve">dlhodobé a systémové opatrenia, rovnako ako aj </w:t>
      </w:r>
      <w:r w:rsidR="00E21941" w:rsidRPr="00E21941">
        <w:rPr>
          <w:bCs/>
          <w:iCs/>
          <w:sz w:val="24"/>
          <w:szCs w:val="24"/>
        </w:rPr>
        <w:t>rozv</w:t>
      </w:r>
      <w:r w:rsidR="00E21941">
        <w:rPr>
          <w:bCs/>
          <w:iCs/>
          <w:sz w:val="24"/>
          <w:szCs w:val="24"/>
        </w:rPr>
        <w:t>íjať</w:t>
      </w:r>
      <w:r w:rsidR="00E21941" w:rsidRPr="00E21941">
        <w:rPr>
          <w:bCs/>
          <w:iCs/>
          <w:sz w:val="24"/>
          <w:szCs w:val="24"/>
        </w:rPr>
        <w:t xml:space="preserve"> investíci</w:t>
      </w:r>
      <w:r w:rsidR="00E21941">
        <w:rPr>
          <w:bCs/>
          <w:iCs/>
          <w:sz w:val="24"/>
          <w:szCs w:val="24"/>
        </w:rPr>
        <w:t>e</w:t>
      </w:r>
      <w:r w:rsidR="00E21941" w:rsidRPr="00E21941">
        <w:rPr>
          <w:bCs/>
          <w:iCs/>
          <w:sz w:val="24"/>
          <w:szCs w:val="24"/>
        </w:rPr>
        <w:t xml:space="preserve"> najmä do infraštruktúry, vzdelávania a zdravotnej a sociálnej starostlivosti.</w:t>
      </w:r>
    </w:p>
    <w:p w:rsidR="008D6D43" w:rsidRDefault="00E21941" w:rsidP="00E93DA8">
      <w:pPr>
        <w:jc w:val="both"/>
        <w:rPr>
          <w:sz w:val="24"/>
          <w:szCs w:val="24"/>
        </w:rPr>
      </w:pPr>
      <w:r>
        <w:rPr>
          <w:bCs/>
          <w:iCs/>
          <w:sz w:val="24"/>
          <w:szCs w:val="24"/>
        </w:rPr>
        <w:lastRenderedPageBreak/>
        <w:t xml:space="preserve">Ako </w:t>
      </w:r>
      <w:r w:rsidR="00B77BC3">
        <w:rPr>
          <w:sz w:val="24"/>
          <w:szCs w:val="24"/>
        </w:rPr>
        <w:t>KOZ SR</w:t>
      </w:r>
      <w:r>
        <w:rPr>
          <w:sz w:val="24"/>
          <w:szCs w:val="24"/>
        </w:rPr>
        <w:t xml:space="preserve"> uviedla aj v predchádzajúcich stanoviskách k rozpočtom verejnej správy,</w:t>
      </w:r>
      <w:r w:rsidR="00D03B82" w:rsidRPr="00D03B82">
        <w:rPr>
          <w:sz w:val="24"/>
          <w:szCs w:val="24"/>
        </w:rPr>
        <w:t xml:space="preserve"> </w:t>
      </w:r>
      <w:r w:rsidR="00D03B82" w:rsidRPr="009701A5">
        <w:rPr>
          <w:b/>
          <w:sz w:val="24"/>
          <w:szCs w:val="24"/>
        </w:rPr>
        <w:t>investíci</w:t>
      </w:r>
      <w:r w:rsidR="00B77BC3" w:rsidRPr="009701A5">
        <w:rPr>
          <w:b/>
          <w:sz w:val="24"/>
          <w:szCs w:val="24"/>
        </w:rPr>
        <w:t>e</w:t>
      </w:r>
      <w:r w:rsidR="00C23798" w:rsidRPr="009701A5">
        <w:rPr>
          <w:b/>
          <w:sz w:val="24"/>
          <w:szCs w:val="24"/>
        </w:rPr>
        <w:t xml:space="preserve"> a </w:t>
      </w:r>
      <w:r w:rsidR="00B77BC3" w:rsidRPr="009701A5">
        <w:rPr>
          <w:b/>
          <w:sz w:val="24"/>
          <w:szCs w:val="24"/>
        </w:rPr>
        <w:t xml:space="preserve">rast </w:t>
      </w:r>
      <w:r w:rsidR="00D03B82" w:rsidRPr="009701A5">
        <w:rPr>
          <w:b/>
          <w:sz w:val="24"/>
          <w:szCs w:val="24"/>
        </w:rPr>
        <w:t xml:space="preserve">miezd a platov </w:t>
      </w:r>
      <w:r w:rsidRPr="009701A5">
        <w:rPr>
          <w:b/>
          <w:sz w:val="24"/>
          <w:szCs w:val="24"/>
        </w:rPr>
        <w:t>sú</w:t>
      </w:r>
      <w:r w:rsidR="00D03B82" w:rsidRPr="009701A5">
        <w:rPr>
          <w:b/>
          <w:sz w:val="24"/>
          <w:szCs w:val="24"/>
        </w:rPr>
        <w:t xml:space="preserve"> rozhodujúce pre zvyšovanie potenciálu rastu ekonomiky</w:t>
      </w:r>
      <w:r>
        <w:rPr>
          <w:sz w:val="24"/>
          <w:szCs w:val="24"/>
        </w:rPr>
        <w:t xml:space="preserve">, čo sa ukázalo aj v súčasnom návrhu rozpočtu verejnej správy. </w:t>
      </w:r>
      <w:r w:rsidR="009701A5">
        <w:rPr>
          <w:sz w:val="24"/>
          <w:szCs w:val="24"/>
        </w:rPr>
        <w:t>Daňové príjmy</w:t>
      </w:r>
      <w:r w:rsidR="005F7F38">
        <w:rPr>
          <w:sz w:val="24"/>
          <w:szCs w:val="24"/>
        </w:rPr>
        <w:t xml:space="preserve"> (hotovostný princíp)</w:t>
      </w:r>
      <w:r w:rsidR="009701A5">
        <w:rPr>
          <w:sz w:val="24"/>
          <w:szCs w:val="24"/>
        </w:rPr>
        <w:t xml:space="preserve"> z d</w:t>
      </w:r>
      <w:r>
        <w:rPr>
          <w:sz w:val="24"/>
          <w:szCs w:val="24"/>
        </w:rPr>
        <w:t>a</w:t>
      </w:r>
      <w:r w:rsidR="009701A5">
        <w:rPr>
          <w:sz w:val="24"/>
          <w:szCs w:val="24"/>
        </w:rPr>
        <w:t>ne</w:t>
      </w:r>
      <w:r>
        <w:rPr>
          <w:sz w:val="24"/>
          <w:szCs w:val="24"/>
        </w:rPr>
        <w:t xml:space="preserve"> z príjmov fyzických osôb predstavuj</w:t>
      </w:r>
      <w:r w:rsidR="009701A5">
        <w:rPr>
          <w:sz w:val="24"/>
          <w:szCs w:val="24"/>
        </w:rPr>
        <w:t>ú</w:t>
      </w:r>
      <w:r>
        <w:rPr>
          <w:sz w:val="24"/>
          <w:szCs w:val="24"/>
        </w:rPr>
        <w:t xml:space="preserve"> z príjmov z d</w:t>
      </w:r>
      <w:r w:rsidRPr="00E21941">
        <w:rPr>
          <w:sz w:val="24"/>
          <w:szCs w:val="24"/>
        </w:rPr>
        <w:t>ane z príjmov, ziskov a kapitálového majetku</w:t>
      </w:r>
      <w:r>
        <w:rPr>
          <w:sz w:val="24"/>
          <w:szCs w:val="24"/>
        </w:rPr>
        <w:t xml:space="preserve"> až</w:t>
      </w:r>
      <w:r w:rsidRPr="00E21941">
        <w:rPr>
          <w:sz w:val="24"/>
          <w:szCs w:val="24"/>
        </w:rPr>
        <w:t xml:space="preserve"> </w:t>
      </w:r>
      <w:r>
        <w:rPr>
          <w:sz w:val="24"/>
          <w:szCs w:val="24"/>
        </w:rPr>
        <w:t>51 %, pričom</w:t>
      </w:r>
      <w:r w:rsidRPr="00E21941">
        <w:t xml:space="preserve"> </w:t>
      </w:r>
      <w:r>
        <w:rPr>
          <w:sz w:val="24"/>
          <w:szCs w:val="24"/>
        </w:rPr>
        <w:t>d</w:t>
      </w:r>
      <w:r w:rsidRPr="00E21941">
        <w:rPr>
          <w:sz w:val="24"/>
          <w:szCs w:val="24"/>
        </w:rPr>
        <w:t>aň z príjmov fyzických osôb</w:t>
      </w:r>
      <w:r>
        <w:rPr>
          <w:sz w:val="24"/>
          <w:szCs w:val="24"/>
        </w:rPr>
        <w:t xml:space="preserve"> zo závislej činnosti tvorí 97,5 % dane z príjmov fyzických osôb. D</w:t>
      </w:r>
      <w:r w:rsidRPr="00E21941">
        <w:rPr>
          <w:sz w:val="24"/>
          <w:szCs w:val="24"/>
        </w:rPr>
        <w:t>aň z príjmov fyzických osôb zo závislej činnosti</w:t>
      </w:r>
      <w:r>
        <w:rPr>
          <w:sz w:val="24"/>
          <w:szCs w:val="24"/>
        </w:rPr>
        <w:t xml:space="preserve"> sa vo výraznej miere podpíše pod rast daňových príjmov, keďže sa predpokladá jej rast </w:t>
      </w:r>
      <w:r w:rsidR="00DF1469">
        <w:rPr>
          <w:sz w:val="24"/>
          <w:szCs w:val="24"/>
        </w:rPr>
        <w:t xml:space="preserve">v roku 2019 </w:t>
      </w:r>
      <w:r>
        <w:rPr>
          <w:sz w:val="24"/>
          <w:szCs w:val="24"/>
        </w:rPr>
        <w:t>o 7,9 %. D</w:t>
      </w:r>
      <w:r w:rsidR="008D6D43">
        <w:rPr>
          <w:sz w:val="24"/>
          <w:szCs w:val="24"/>
        </w:rPr>
        <w:t>aň je príjmom obcí, ktoré sa svojim prebytkovým hospodárením výrazne podieľajú na znižovaní schodku rozpočtu verejnej správy. Mzdová úroveň zamestnancov významnou mierou ovplyvňuje napĺňanie rozpočtu verejnej správy cez odvodové a daňové povinnosti, ale aj prostredníctvom spotreby domácností, ktoré v tovaroch a službách</w:t>
      </w:r>
      <w:r w:rsidR="00DF1469" w:rsidRPr="00DF1469">
        <w:rPr>
          <w:sz w:val="24"/>
          <w:szCs w:val="24"/>
        </w:rPr>
        <w:t xml:space="preserve"> </w:t>
      </w:r>
      <w:r w:rsidR="00DF1469">
        <w:rPr>
          <w:sz w:val="24"/>
          <w:szCs w:val="24"/>
        </w:rPr>
        <w:t>platia</w:t>
      </w:r>
      <w:r w:rsidR="008D6D43">
        <w:rPr>
          <w:sz w:val="24"/>
          <w:szCs w:val="24"/>
        </w:rPr>
        <w:t xml:space="preserve"> d</w:t>
      </w:r>
      <w:r w:rsidR="008D6D43" w:rsidRPr="008D6D43">
        <w:rPr>
          <w:sz w:val="24"/>
          <w:szCs w:val="24"/>
        </w:rPr>
        <w:t>aň z pridanej hodnoty</w:t>
      </w:r>
      <w:r w:rsidR="008D6D43">
        <w:rPr>
          <w:sz w:val="24"/>
          <w:szCs w:val="24"/>
        </w:rPr>
        <w:t xml:space="preserve">. </w:t>
      </w:r>
    </w:p>
    <w:p w:rsidR="008D6D43" w:rsidRDefault="008D6D43" w:rsidP="008D6D43">
      <w:pPr>
        <w:jc w:val="both"/>
        <w:rPr>
          <w:sz w:val="24"/>
          <w:szCs w:val="24"/>
        </w:rPr>
      </w:pPr>
      <w:r>
        <w:rPr>
          <w:sz w:val="24"/>
          <w:szCs w:val="24"/>
        </w:rPr>
        <w:t>Vzhľadom na uvedené, KOZ SR upozorňuje, že a</w:t>
      </w:r>
      <w:r w:rsidRPr="008D6D43">
        <w:rPr>
          <w:sz w:val="24"/>
          <w:szCs w:val="24"/>
        </w:rPr>
        <w:t xml:space="preserve">ni jedno z </w:t>
      </w:r>
      <w:r w:rsidRPr="009701A5">
        <w:rPr>
          <w:b/>
          <w:sz w:val="24"/>
          <w:szCs w:val="24"/>
        </w:rPr>
        <w:t>legislatívnych opatrení v daňových príjmoch necieli k zníženiu daňových príjmov od fyzických osôb,</w:t>
      </w:r>
      <w:r w:rsidR="009B7857" w:rsidRPr="009701A5">
        <w:rPr>
          <w:b/>
          <w:sz w:val="24"/>
          <w:szCs w:val="24"/>
        </w:rPr>
        <w:t xml:space="preserve"> najmä zamestnancov</w:t>
      </w:r>
      <w:r w:rsidR="009B7857">
        <w:rPr>
          <w:sz w:val="24"/>
          <w:szCs w:val="24"/>
        </w:rPr>
        <w:t>, ktorí</w:t>
      </w:r>
      <w:r w:rsidRPr="008D6D43">
        <w:rPr>
          <w:sz w:val="24"/>
          <w:szCs w:val="24"/>
        </w:rPr>
        <w:t xml:space="preserve"> sa na ich napĺňa</w:t>
      </w:r>
      <w:r>
        <w:rPr>
          <w:sz w:val="24"/>
          <w:szCs w:val="24"/>
        </w:rPr>
        <w:t>ní podieľajú v najväčšej miere</w:t>
      </w:r>
      <w:r w:rsidRPr="008D6D43">
        <w:rPr>
          <w:sz w:val="24"/>
          <w:szCs w:val="24"/>
        </w:rPr>
        <w:t>. Jednotlivé legislatívne zmeny s vplyvom na daňové príjmy</w:t>
      </w:r>
      <w:r>
        <w:rPr>
          <w:sz w:val="24"/>
          <w:szCs w:val="24"/>
        </w:rPr>
        <w:t xml:space="preserve"> majú prevažne negatívny efekt a dotýkajú sa právnických osôb. </w:t>
      </w:r>
      <w:r w:rsidR="000B21BC">
        <w:rPr>
          <w:sz w:val="24"/>
          <w:szCs w:val="24"/>
        </w:rPr>
        <w:t xml:space="preserve">Pozitívny efekt má napríklad </w:t>
      </w:r>
      <w:r w:rsidRPr="008D6D43">
        <w:rPr>
          <w:sz w:val="24"/>
          <w:szCs w:val="24"/>
        </w:rPr>
        <w:t>zavedenie dane z</w:t>
      </w:r>
      <w:r w:rsidR="000B21BC">
        <w:rPr>
          <w:sz w:val="24"/>
          <w:szCs w:val="24"/>
        </w:rPr>
        <w:t> </w:t>
      </w:r>
      <w:r w:rsidRPr="008D6D43">
        <w:rPr>
          <w:sz w:val="24"/>
          <w:szCs w:val="24"/>
        </w:rPr>
        <w:t>poistenia</w:t>
      </w:r>
      <w:r w:rsidR="000B21BC">
        <w:rPr>
          <w:sz w:val="24"/>
          <w:szCs w:val="24"/>
        </w:rPr>
        <w:t xml:space="preserve">, ktoré </w:t>
      </w:r>
      <w:r w:rsidRPr="008D6D43">
        <w:rPr>
          <w:sz w:val="24"/>
          <w:szCs w:val="24"/>
        </w:rPr>
        <w:t>síce zvýši daňové príjmy, ale platiteľmi sú občania a ako sa ukazuje, poisťovne novú daň prenášajú priamo na spotrebiteľa.</w:t>
      </w:r>
      <w:r>
        <w:t xml:space="preserve"> </w:t>
      </w:r>
      <w:r w:rsidR="000B21BC">
        <w:rPr>
          <w:sz w:val="24"/>
          <w:szCs w:val="24"/>
        </w:rPr>
        <w:t xml:space="preserve">Aj keď došlo k zavedeniu 13. a 14 platu, tieto sú </w:t>
      </w:r>
      <w:r w:rsidRPr="008D6D43">
        <w:rPr>
          <w:sz w:val="24"/>
          <w:szCs w:val="24"/>
        </w:rPr>
        <w:t>dobrovoľné a nepredpokladáme ich výrazný pozitívny vplyv na zamestnanca. Oslobodenie</w:t>
      </w:r>
      <w:r w:rsidR="009B7857">
        <w:rPr>
          <w:sz w:val="24"/>
          <w:szCs w:val="24"/>
        </w:rPr>
        <w:t xml:space="preserve"> týchto príjmov</w:t>
      </w:r>
      <w:r w:rsidRPr="008D6D43">
        <w:rPr>
          <w:sz w:val="24"/>
          <w:szCs w:val="24"/>
        </w:rPr>
        <w:t xml:space="preserve"> od daňovej a odvodovej povinnosti </w:t>
      </w:r>
      <w:r w:rsidR="000B21BC">
        <w:rPr>
          <w:sz w:val="24"/>
          <w:szCs w:val="24"/>
        </w:rPr>
        <w:t>vo výraznejšej miere ovplyvní zamestnávateľov tým, že</w:t>
      </w:r>
      <w:r w:rsidRPr="008D6D43">
        <w:rPr>
          <w:sz w:val="24"/>
          <w:szCs w:val="24"/>
        </w:rPr>
        <w:t xml:space="preserve"> </w:t>
      </w:r>
      <w:r w:rsidR="000B21BC">
        <w:rPr>
          <w:sz w:val="24"/>
          <w:szCs w:val="24"/>
        </w:rPr>
        <w:t>zníži</w:t>
      </w:r>
      <w:r w:rsidRPr="008D6D43">
        <w:rPr>
          <w:sz w:val="24"/>
          <w:szCs w:val="24"/>
        </w:rPr>
        <w:t xml:space="preserve"> </w:t>
      </w:r>
      <w:r w:rsidR="000B21BC">
        <w:rPr>
          <w:sz w:val="24"/>
          <w:szCs w:val="24"/>
        </w:rPr>
        <w:t xml:space="preserve">osobné </w:t>
      </w:r>
      <w:r w:rsidRPr="008D6D43">
        <w:rPr>
          <w:sz w:val="24"/>
          <w:szCs w:val="24"/>
        </w:rPr>
        <w:t>náklady zamestnávateľom, ktorí odmeny vyplácajú</w:t>
      </w:r>
      <w:r>
        <w:rPr>
          <w:sz w:val="24"/>
          <w:szCs w:val="24"/>
        </w:rPr>
        <w:t>.</w:t>
      </w:r>
      <w:r w:rsidR="009B7857">
        <w:rPr>
          <w:sz w:val="24"/>
          <w:szCs w:val="24"/>
        </w:rPr>
        <w:t xml:space="preserve"> Dochádza</w:t>
      </w:r>
      <w:r w:rsidR="009701A5">
        <w:rPr>
          <w:sz w:val="24"/>
          <w:szCs w:val="24"/>
        </w:rPr>
        <w:t xml:space="preserve"> aj</w:t>
      </w:r>
      <w:r w:rsidR="009B7857">
        <w:rPr>
          <w:sz w:val="24"/>
          <w:szCs w:val="24"/>
        </w:rPr>
        <w:t xml:space="preserve"> k zvýšeniu nezdaniteľnej časti základu dane, čo sa pozitívne odráža v raste čistých príjmov domácností, ale </w:t>
      </w:r>
      <w:r w:rsidR="009B7857" w:rsidRPr="009701A5">
        <w:rPr>
          <w:b/>
          <w:sz w:val="24"/>
          <w:szCs w:val="24"/>
        </w:rPr>
        <w:t>KOZ SR dlhodobo požaduje výraznejšie zvýšenie nezdaniteľnej časti základu dane najmä pre nízkopríjmových zamestnancov</w:t>
      </w:r>
      <w:r w:rsidR="009B7857">
        <w:rPr>
          <w:sz w:val="24"/>
          <w:szCs w:val="24"/>
        </w:rPr>
        <w:t>.</w:t>
      </w:r>
    </w:p>
    <w:p w:rsidR="009B7857" w:rsidRDefault="009B7857" w:rsidP="009B7857">
      <w:pPr>
        <w:jc w:val="both"/>
        <w:rPr>
          <w:sz w:val="24"/>
          <w:szCs w:val="24"/>
        </w:rPr>
      </w:pPr>
      <w:r>
        <w:rPr>
          <w:bCs/>
          <w:iCs/>
          <w:sz w:val="24"/>
          <w:szCs w:val="24"/>
        </w:rPr>
        <w:t xml:space="preserve">KOZ SR pozitívne vníma </w:t>
      </w:r>
      <w:r w:rsidRPr="00E93DA8">
        <w:rPr>
          <w:bCs/>
          <w:iCs/>
          <w:sz w:val="24"/>
          <w:szCs w:val="24"/>
        </w:rPr>
        <w:t>vládou prijaté opatrenia</w:t>
      </w:r>
      <w:r w:rsidRPr="00B609D1">
        <w:rPr>
          <w:bCs/>
          <w:iCs/>
          <w:sz w:val="24"/>
          <w:szCs w:val="24"/>
        </w:rPr>
        <w:t xml:space="preserve"> </w:t>
      </w:r>
      <w:r>
        <w:rPr>
          <w:bCs/>
          <w:iCs/>
          <w:sz w:val="24"/>
          <w:szCs w:val="24"/>
        </w:rPr>
        <w:t>n</w:t>
      </w:r>
      <w:r w:rsidRPr="00E93DA8">
        <w:rPr>
          <w:bCs/>
          <w:iCs/>
          <w:sz w:val="24"/>
          <w:szCs w:val="24"/>
        </w:rPr>
        <w:t xml:space="preserve">a príjmovej strane, ktoré výrazne zlepšili efektivitu výberu </w:t>
      </w:r>
      <w:r>
        <w:rPr>
          <w:bCs/>
          <w:iCs/>
          <w:sz w:val="24"/>
          <w:szCs w:val="24"/>
        </w:rPr>
        <w:t xml:space="preserve">daní </w:t>
      </w:r>
      <w:r w:rsidRPr="00E93DA8">
        <w:rPr>
          <w:bCs/>
          <w:iCs/>
          <w:sz w:val="24"/>
          <w:szCs w:val="24"/>
        </w:rPr>
        <w:t>a obmedzili možnosti daňových únikov a podvodov. Tento nastolený proces považuje</w:t>
      </w:r>
      <w:r>
        <w:rPr>
          <w:bCs/>
          <w:iCs/>
          <w:sz w:val="24"/>
          <w:szCs w:val="24"/>
        </w:rPr>
        <w:t xml:space="preserve"> KOZ SR naďalej za rozhodujúci.</w:t>
      </w:r>
    </w:p>
    <w:p w:rsidR="009B7857" w:rsidRDefault="009B7857" w:rsidP="009B7857">
      <w:pPr>
        <w:jc w:val="both"/>
        <w:rPr>
          <w:bCs/>
          <w:iCs/>
          <w:sz w:val="24"/>
          <w:szCs w:val="24"/>
        </w:rPr>
      </w:pPr>
      <w:r w:rsidRPr="00E93DA8">
        <w:rPr>
          <w:bCs/>
          <w:iCs/>
          <w:sz w:val="24"/>
          <w:szCs w:val="24"/>
        </w:rPr>
        <w:t xml:space="preserve">KOZ SR </w:t>
      </w:r>
      <w:r w:rsidRPr="009B7857">
        <w:rPr>
          <w:bCs/>
          <w:iCs/>
          <w:sz w:val="24"/>
          <w:szCs w:val="24"/>
        </w:rPr>
        <w:t xml:space="preserve">je presvedčená, že štátny rozpočet je potrebné napĺňať na príjmovej strane najmä sústavným zefektívňovaním výberu existujúcich daní – najmä </w:t>
      </w:r>
      <w:r w:rsidRPr="009B7857">
        <w:rPr>
          <w:b/>
          <w:bCs/>
          <w:iCs/>
          <w:sz w:val="24"/>
          <w:szCs w:val="24"/>
        </w:rPr>
        <w:t>dane z príjmov právnických osôb</w:t>
      </w:r>
      <w:r w:rsidRPr="009B7857">
        <w:rPr>
          <w:bCs/>
          <w:iCs/>
          <w:sz w:val="24"/>
          <w:szCs w:val="24"/>
        </w:rPr>
        <w:t xml:space="preserve">, ako aj zavedením </w:t>
      </w:r>
      <w:r w:rsidRPr="009B7857">
        <w:rPr>
          <w:b/>
          <w:bCs/>
          <w:iCs/>
          <w:sz w:val="24"/>
          <w:szCs w:val="24"/>
        </w:rPr>
        <w:t>dane z luxusu a ďalšie zdaňovanie bánk a regulovaných odvetví, resp. v zavedení dane z prirodzených monopolov, ako aj tzv. ekodane. Zároveň však zdaňovanie nemôže ísť na úkor zamestnancov v týchto odvetviach a na úkor nepriameho obmedzovania kolektívneho vyjednávania</w:t>
      </w:r>
      <w:r w:rsidRPr="009B7857">
        <w:rPr>
          <w:bCs/>
          <w:iCs/>
          <w:sz w:val="24"/>
          <w:szCs w:val="24"/>
        </w:rPr>
        <w:t>.</w:t>
      </w:r>
      <w:r w:rsidR="00420A79" w:rsidRPr="00420A79">
        <w:t xml:space="preserve"> </w:t>
      </w:r>
      <w:r>
        <w:rPr>
          <w:bCs/>
          <w:iCs/>
          <w:sz w:val="24"/>
          <w:szCs w:val="24"/>
        </w:rPr>
        <w:t>V súvislosti s daňou z príjmov právnických osôb, KOZ SR upozorňuje, že zatiaľ čo</w:t>
      </w:r>
      <w:r w:rsidR="009701A5">
        <w:rPr>
          <w:bCs/>
          <w:iCs/>
          <w:sz w:val="24"/>
          <w:szCs w:val="24"/>
        </w:rPr>
        <w:t xml:space="preserve"> daňové príjmy</w:t>
      </w:r>
      <w:r w:rsidR="005F7F38">
        <w:rPr>
          <w:bCs/>
          <w:iCs/>
          <w:sz w:val="24"/>
          <w:szCs w:val="24"/>
        </w:rPr>
        <w:t xml:space="preserve"> (hotovostný princíp)</w:t>
      </w:r>
      <w:r w:rsidR="009701A5">
        <w:rPr>
          <w:bCs/>
          <w:iCs/>
          <w:sz w:val="24"/>
          <w:szCs w:val="24"/>
        </w:rPr>
        <w:t xml:space="preserve"> z </w:t>
      </w:r>
      <w:r>
        <w:rPr>
          <w:bCs/>
          <w:iCs/>
          <w:sz w:val="24"/>
          <w:szCs w:val="24"/>
        </w:rPr>
        <w:t>dane</w:t>
      </w:r>
      <w:r w:rsidRPr="009B7857">
        <w:rPr>
          <w:bCs/>
          <w:iCs/>
          <w:sz w:val="24"/>
          <w:szCs w:val="24"/>
        </w:rPr>
        <w:t xml:space="preserve"> z príjmov fyzických osôb</w:t>
      </w:r>
      <w:r>
        <w:rPr>
          <w:bCs/>
          <w:iCs/>
          <w:sz w:val="24"/>
          <w:szCs w:val="24"/>
        </w:rPr>
        <w:t xml:space="preserve"> rastú, </w:t>
      </w:r>
      <w:r w:rsidR="009701A5">
        <w:rPr>
          <w:bCs/>
          <w:iCs/>
          <w:sz w:val="24"/>
          <w:szCs w:val="24"/>
        </w:rPr>
        <w:t xml:space="preserve">daňové príjmy z </w:t>
      </w:r>
      <w:r>
        <w:rPr>
          <w:bCs/>
          <w:iCs/>
          <w:sz w:val="24"/>
          <w:szCs w:val="24"/>
        </w:rPr>
        <w:t>d</w:t>
      </w:r>
      <w:r w:rsidRPr="009B7857">
        <w:rPr>
          <w:bCs/>
          <w:iCs/>
          <w:sz w:val="24"/>
          <w:szCs w:val="24"/>
        </w:rPr>
        <w:t>a</w:t>
      </w:r>
      <w:r w:rsidR="009701A5">
        <w:rPr>
          <w:bCs/>
          <w:iCs/>
          <w:sz w:val="24"/>
          <w:szCs w:val="24"/>
        </w:rPr>
        <w:t>ne</w:t>
      </w:r>
      <w:r w:rsidRPr="009B7857">
        <w:rPr>
          <w:bCs/>
          <w:iCs/>
          <w:sz w:val="24"/>
          <w:szCs w:val="24"/>
        </w:rPr>
        <w:t xml:space="preserve"> z príjmov právnických osôb</w:t>
      </w:r>
      <w:r>
        <w:rPr>
          <w:bCs/>
          <w:iCs/>
          <w:sz w:val="24"/>
          <w:szCs w:val="24"/>
        </w:rPr>
        <w:t xml:space="preserve"> napriek rastu ekonomiky kles</w:t>
      </w:r>
      <w:r w:rsidR="009701A5">
        <w:rPr>
          <w:bCs/>
          <w:iCs/>
          <w:sz w:val="24"/>
          <w:szCs w:val="24"/>
        </w:rPr>
        <w:t>ajú</w:t>
      </w:r>
      <w:r>
        <w:rPr>
          <w:bCs/>
          <w:iCs/>
          <w:sz w:val="24"/>
          <w:szCs w:val="24"/>
        </w:rPr>
        <w:t xml:space="preserve"> a </w:t>
      </w:r>
      <w:r w:rsidRPr="009B7857">
        <w:rPr>
          <w:bCs/>
          <w:iCs/>
          <w:sz w:val="24"/>
          <w:szCs w:val="24"/>
        </w:rPr>
        <w:t>opr</w:t>
      </w:r>
      <w:r>
        <w:rPr>
          <w:bCs/>
          <w:iCs/>
          <w:sz w:val="24"/>
          <w:szCs w:val="24"/>
        </w:rPr>
        <w:t>oti roku 2016 sa výrazne zn</w:t>
      </w:r>
      <w:r w:rsidR="009701A5">
        <w:rPr>
          <w:bCs/>
          <w:iCs/>
          <w:sz w:val="24"/>
          <w:szCs w:val="24"/>
        </w:rPr>
        <w:t>ížili</w:t>
      </w:r>
      <w:r w:rsidR="005B633C">
        <w:rPr>
          <w:bCs/>
          <w:iCs/>
          <w:sz w:val="24"/>
          <w:szCs w:val="24"/>
        </w:rPr>
        <w:t>, takmer o pol miliardy eur</w:t>
      </w:r>
      <w:r>
        <w:rPr>
          <w:bCs/>
          <w:iCs/>
          <w:sz w:val="24"/>
          <w:szCs w:val="24"/>
        </w:rPr>
        <w:t>.</w:t>
      </w:r>
      <w:r w:rsidR="005F7F38">
        <w:rPr>
          <w:bCs/>
          <w:iCs/>
          <w:sz w:val="24"/>
          <w:szCs w:val="24"/>
        </w:rPr>
        <w:t xml:space="preserve"> Rozdiely v daňových príjmoch dane z fyzických osôb a dane z právnických osôb sú rovnako vypuklé aj na </w:t>
      </w:r>
      <w:r w:rsidR="005F7F38" w:rsidRPr="005F7F38">
        <w:rPr>
          <w:bCs/>
          <w:iCs/>
          <w:sz w:val="24"/>
          <w:szCs w:val="24"/>
        </w:rPr>
        <w:t>akruálnej báze</w:t>
      </w:r>
      <w:r w:rsidR="005F7F38">
        <w:rPr>
          <w:bCs/>
          <w:iCs/>
          <w:sz w:val="24"/>
          <w:szCs w:val="24"/>
        </w:rPr>
        <w:t>.</w:t>
      </w:r>
      <w:r w:rsidR="00420A79" w:rsidRPr="00420A79">
        <w:rPr>
          <w:sz w:val="24"/>
          <w:szCs w:val="24"/>
        </w:rPr>
        <w:t xml:space="preserve"> </w:t>
      </w:r>
      <w:r w:rsidR="00420A79">
        <w:rPr>
          <w:sz w:val="24"/>
          <w:szCs w:val="24"/>
        </w:rPr>
        <w:t xml:space="preserve">Preto pri </w:t>
      </w:r>
      <w:r w:rsidR="00420A79">
        <w:rPr>
          <w:bCs/>
          <w:iCs/>
          <w:sz w:val="24"/>
          <w:szCs w:val="24"/>
        </w:rPr>
        <w:t xml:space="preserve">ďalších </w:t>
      </w:r>
      <w:r w:rsidR="00420A79" w:rsidRPr="00420A79">
        <w:rPr>
          <w:bCs/>
          <w:iCs/>
          <w:sz w:val="24"/>
          <w:szCs w:val="24"/>
        </w:rPr>
        <w:t>daňový</w:t>
      </w:r>
      <w:r w:rsidR="00420A79">
        <w:rPr>
          <w:bCs/>
          <w:iCs/>
          <w:sz w:val="24"/>
          <w:szCs w:val="24"/>
        </w:rPr>
        <w:t>ch</w:t>
      </w:r>
      <w:r w:rsidR="00420A79" w:rsidRPr="00420A79">
        <w:rPr>
          <w:bCs/>
          <w:iCs/>
          <w:sz w:val="24"/>
          <w:szCs w:val="24"/>
        </w:rPr>
        <w:t xml:space="preserve"> úprav</w:t>
      </w:r>
      <w:r w:rsidR="00420A79">
        <w:rPr>
          <w:bCs/>
          <w:iCs/>
          <w:sz w:val="24"/>
          <w:szCs w:val="24"/>
        </w:rPr>
        <w:t xml:space="preserve">ách a úľavách </w:t>
      </w:r>
      <w:r w:rsidR="00420A79" w:rsidRPr="00420A79">
        <w:rPr>
          <w:bCs/>
          <w:iCs/>
          <w:sz w:val="24"/>
          <w:szCs w:val="24"/>
        </w:rPr>
        <w:t>pre právni</w:t>
      </w:r>
      <w:r w:rsidR="00420A79">
        <w:rPr>
          <w:bCs/>
          <w:iCs/>
          <w:sz w:val="24"/>
          <w:szCs w:val="24"/>
        </w:rPr>
        <w:t>cké osoby, ktoré sú navyše podporované</w:t>
      </w:r>
      <w:r w:rsidR="00420A79" w:rsidRPr="00420A79">
        <w:rPr>
          <w:bCs/>
          <w:iCs/>
          <w:sz w:val="24"/>
          <w:szCs w:val="24"/>
        </w:rPr>
        <w:t xml:space="preserve"> daňo</w:t>
      </w:r>
      <w:r w:rsidR="00420A79">
        <w:rPr>
          <w:bCs/>
          <w:iCs/>
          <w:sz w:val="24"/>
          <w:szCs w:val="24"/>
        </w:rPr>
        <w:t xml:space="preserve">vou </w:t>
      </w:r>
      <w:r w:rsidR="00420A79" w:rsidRPr="00420A79">
        <w:rPr>
          <w:bCs/>
          <w:iCs/>
          <w:sz w:val="24"/>
          <w:szCs w:val="24"/>
        </w:rPr>
        <w:t>optimalizá</w:t>
      </w:r>
      <w:r w:rsidR="00420A79">
        <w:rPr>
          <w:bCs/>
          <w:iCs/>
          <w:sz w:val="24"/>
          <w:szCs w:val="24"/>
        </w:rPr>
        <w:t>ciou</w:t>
      </w:r>
      <w:r w:rsidR="00420A79" w:rsidRPr="00420A79">
        <w:rPr>
          <w:bCs/>
          <w:iCs/>
          <w:sz w:val="24"/>
          <w:szCs w:val="24"/>
        </w:rPr>
        <w:t xml:space="preserve"> a popri neustálej podpore podnikateľského pr</w:t>
      </w:r>
      <w:r w:rsidR="00420A79">
        <w:rPr>
          <w:bCs/>
          <w:iCs/>
          <w:sz w:val="24"/>
          <w:szCs w:val="24"/>
        </w:rPr>
        <w:t xml:space="preserve">ostredia a jeho zlepšovaní, </w:t>
      </w:r>
      <w:r w:rsidR="00A86ABA">
        <w:rPr>
          <w:bCs/>
          <w:iCs/>
          <w:sz w:val="24"/>
          <w:szCs w:val="24"/>
        </w:rPr>
        <w:t xml:space="preserve">upozorňujeme, že </w:t>
      </w:r>
      <w:r w:rsidR="00420A79">
        <w:rPr>
          <w:bCs/>
          <w:iCs/>
          <w:sz w:val="24"/>
          <w:szCs w:val="24"/>
        </w:rPr>
        <w:t>sa nesmie zabúdať</w:t>
      </w:r>
      <w:r w:rsidR="00420A79" w:rsidRPr="00420A79">
        <w:rPr>
          <w:bCs/>
          <w:iCs/>
          <w:sz w:val="24"/>
          <w:szCs w:val="24"/>
        </w:rPr>
        <w:t xml:space="preserve"> na </w:t>
      </w:r>
      <w:r w:rsidR="00420A79" w:rsidRPr="00F05FEC">
        <w:rPr>
          <w:b/>
          <w:bCs/>
          <w:iCs/>
          <w:sz w:val="24"/>
          <w:szCs w:val="24"/>
        </w:rPr>
        <w:t>zlepšovanie sociálnej situácie a zvyšovanie životnej úrovne obyvateľstva</w:t>
      </w:r>
      <w:r w:rsidR="00420A79" w:rsidRPr="00420A79">
        <w:rPr>
          <w:bCs/>
          <w:iCs/>
          <w:sz w:val="24"/>
          <w:szCs w:val="24"/>
        </w:rPr>
        <w:t>.</w:t>
      </w:r>
    </w:p>
    <w:p w:rsidR="00B65B5E" w:rsidRDefault="007016DD" w:rsidP="00E93DA8">
      <w:pPr>
        <w:jc w:val="both"/>
        <w:rPr>
          <w:bCs/>
          <w:iCs/>
          <w:sz w:val="24"/>
          <w:szCs w:val="24"/>
        </w:rPr>
      </w:pPr>
      <w:r w:rsidRPr="00E93DA8">
        <w:rPr>
          <w:bCs/>
          <w:iCs/>
          <w:sz w:val="24"/>
          <w:szCs w:val="24"/>
        </w:rPr>
        <w:t>V roku 201</w:t>
      </w:r>
      <w:r w:rsidR="00F05FEC">
        <w:rPr>
          <w:bCs/>
          <w:iCs/>
          <w:sz w:val="24"/>
          <w:szCs w:val="24"/>
        </w:rPr>
        <w:t>9</w:t>
      </w:r>
      <w:r w:rsidRPr="00E93DA8">
        <w:rPr>
          <w:bCs/>
          <w:iCs/>
          <w:sz w:val="24"/>
          <w:szCs w:val="24"/>
        </w:rPr>
        <w:t xml:space="preserve"> sa očakáva v sektore verejne</w:t>
      </w:r>
      <w:r w:rsidR="003C7DB2" w:rsidRPr="00E93DA8">
        <w:rPr>
          <w:bCs/>
          <w:iCs/>
          <w:sz w:val="24"/>
          <w:szCs w:val="24"/>
        </w:rPr>
        <w:t xml:space="preserve">j správy zamestnanosť na úrovni </w:t>
      </w:r>
      <w:r w:rsidR="00F05FEC">
        <w:rPr>
          <w:bCs/>
          <w:iCs/>
          <w:sz w:val="24"/>
          <w:szCs w:val="24"/>
        </w:rPr>
        <w:t>426,1</w:t>
      </w:r>
      <w:r w:rsidR="003C7DB2" w:rsidRPr="00E93DA8">
        <w:rPr>
          <w:bCs/>
          <w:iCs/>
          <w:sz w:val="24"/>
          <w:szCs w:val="24"/>
        </w:rPr>
        <w:t xml:space="preserve"> </w:t>
      </w:r>
      <w:r w:rsidRPr="00E93DA8">
        <w:rPr>
          <w:bCs/>
          <w:iCs/>
          <w:sz w:val="24"/>
          <w:szCs w:val="24"/>
        </w:rPr>
        <w:t xml:space="preserve">tis. osôb, čo predstavuje </w:t>
      </w:r>
      <w:r w:rsidR="00F05FEC">
        <w:rPr>
          <w:bCs/>
          <w:iCs/>
          <w:sz w:val="24"/>
          <w:szCs w:val="24"/>
        </w:rPr>
        <w:t xml:space="preserve">nárast </w:t>
      </w:r>
      <w:r w:rsidR="00F05FEC" w:rsidRPr="00F05FEC">
        <w:rPr>
          <w:bCs/>
          <w:iCs/>
          <w:sz w:val="24"/>
          <w:szCs w:val="24"/>
        </w:rPr>
        <w:t xml:space="preserve">o 6 846 osôb </w:t>
      </w:r>
      <w:r w:rsidRPr="00E93DA8">
        <w:rPr>
          <w:bCs/>
          <w:iCs/>
          <w:sz w:val="24"/>
          <w:szCs w:val="24"/>
        </w:rPr>
        <w:t xml:space="preserve">oproti </w:t>
      </w:r>
      <w:r w:rsidR="00F05FEC">
        <w:rPr>
          <w:bCs/>
          <w:iCs/>
          <w:sz w:val="24"/>
          <w:szCs w:val="24"/>
        </w:rPr>
        <w:t>so schválenému</w:t>
      </w:r>
      <w:r w:rsidR="00F05FEC" w:rsidRPr="00F05FEC">
        <w:rPr>
          <w:bCs/>
          <w:iCs/>
          <w:sz w:val="24"/>
          <w:szCs w:val="24"/>
        </w:rPr>
        <w:t xml:space="preserve"> počt</w:t>
      </w:r>
      <w:r w:rsidR="00F05FEC">
        <w:rPr>
          <w:bCs/>
          <w:iCs/>
          <w:sz w:val="24"/>
          <w:szCs w:val="24"/>
        </w:rPr>
        <w:t>u</w:t>
      </w:r>
      <w:r w:rsidR="00F05FEC" w:rsidRPr="00F05FEC">
        <w:rPr>
          <w:bCs/>
          <w:iCs/>
          <w:sz w:val="24"/>
          <w:szCs w:val="24"/>
        </w:rPr>
        <w:t xml:space="preserve"> zamestnancov na rok 2018</w:t>
      </w:r>
      <w:r w:rsidR="00153C0D">
        <w:rPr>
          <w:bCs/>
          <w:iCs/>
          <w:sz w:val="24"/>
          <w:szCs w:val="24"/>
        </w:rPr>
        <w:t xml:space="preserve">. </w:t>
      </w:r>
      <w:r w:rsidR="00F05FEC">
        <w:rPr>
          <w:bCs/>
          <w:iCs/>
          <w:sz w:val="24"/>
          <w:szCs w:val="24"/>
        </w:rPr>
        <w:t xml:space="preserve">Pre predpokladaný počet </w:t>
      </w:r>
      <w:r w:rsidR="00F05FEC" w:rsidRPr="00F05FEC">
        <w:rPr>
          <w:bCs/>
          <w:iCs/>
          <w:sz w:val="24"/>
          <w:szCs w:val="24"/>
        </w:rPr>
        <w:t>zamestnancov verejnej správy sa v roku 2019 rozpočtujú osobné výdavky v sume 8,39 mld. eur, z toho mzdy v sume 6,16 mld. eur, čo predstavuje 22,5 % celkových verejných výdavkov</w:t>
      </w:r>
      <w:r w:rsidR="00F05FEC">
        <w:rPr>
          <w:bCs/>
          <w:iCs/>
          <w:sz w:val="24"/>
          <w:szCs w:val="24"/>
        </w:rPr>
        <w:t>.</w:t>
      </w:r>
      <w:r w:rsidR="00A86ABA">
        <w:rPr>
          <w:bCs/>
          <w:iCs/>
          <w:sz w:val="24"/>
          <w:szCs w:val="24"/>
        </w:rPr>
        <w:t xml:space="preserve"> </w:t>
      </w:r>
      <w:r w:rsidR="00153C0D">
        <w:rPr>
          <w:bCs/>
          <w:iCs/>
          <w:sz w:val="24"/>
          <w:szCs w:val="24"/>
        </w:rPr>
        <w:t>Osobné výdavky majú v roku 201</w:t>
      </w:r>
      <w:r w:rsidR="00F05FEC">
        <w:rPr>
          <w:bCs/>
          <w:iCs/>
          <w:sz w:val="24"/>
          <w:szCs w:val="24"/>
        </w:rPr>
        <w:t>9</w:t>
      </w:r>
      <w:r w:rsidRPr="00E93DA8">
        <w:rPr>
          <w:bCs/>
          <w:iCs/>
          <w:sz w:val="24"/>
          <w:szCs w:val="24"/>
        </w:rPr>
        <w:t xml:space="preserve"> vzrásť </w:t>
      </w:r>
      <w:r w:rsidR="00F05FEC">
        <w:rPr>
          <w:bCs/>
          <w:iCs/>
          <w:sz w:val="24"/>
          <w:szCs w:val="24"/>
        </w:rPr>
        <w:t>oproti rozpočtu 2018</w:t>
      </w:r>
      <w:r w:rsidR="003C7DB2" w:rsidRPr="00E93DA8">
        <w:rPr>
          <w:bCs/>
          <w:iCs/>
          <w:sz w:val="24"/>
          <w:szCs w:val="24"/>
        </w:rPr>
        <w:t xml:space="preserve"> </w:t>
      </w:r>
      <w:r w:rsidRPr="00E93DA8">
        <w:rPr>
          <w:bCs/>
          <w:iCs/>
          <w:sz w:val="24"/>
          <w:szCs w:val="24"/>
        </w:rPr>
        <w:t>o</w:t>
      </w:r>
      <w:r w:rsidR="00B65B5E">
        <w:rPr>
          <w:bCs/>
          <w:iCs/>
          <w:sz w:val="24"/>
          <w:szCs w:val="24"/>
        </w:rPr>
        <w:t xml:space="preserve"> 12,2 </w:t>
      </w:r>
      <w:r w:rsidR="00153C0D">
        <w:rPr>
          <w:bCs/>
          <w:iCs/>
          <w:sz w:val="24"/>
          <w:szCs w:val="24"/>
        </w:rPr>
        <w:t>%</w:t>
      </w:r>
      <w:r w:rsidRPr="00E93DA8">
        <w:rPr>
          <w:bCs/>
          <w:iCs/>
          <w:sz w:val="24"/>
          <w:szCs w:val="24"/>
        </w:rPr>
        <w:t xml:space="preserve">. </w:t>
      </w:r>
      <w:r w:rsidRPr="00B65B5E">
        <w:rPr>
          <w:b/>
          <w:bCs/>
          <w:iCs/>
          <w:sz w:val="24"/>
          <w:szCs w:val="24"/>
        </w:rPr>
        <w:t>KOZ SR pozitívne hodnotí odhad priemerných mzdových výdavkov vo verejnom</w:t>
      </w:r>
      <w:r w:rsidR="00BC242E" w:rsidRPr="00B65B5E">
        <w:rPr>
          <w:b/>
          <w:bCs/>
          <w:iCs/>
          <w:sz w:val="24"/>
          <w:szCs w:val="24"/>
        </w:rPr>
        <w:t xml:space="preserve"> sektore</w:t>
      </w:r>
      <w:r w:rsidR="00B65B5E">
        <w:rPr>
          <w:bCs/>
          <w:iCs/>
          <w:sz w:val="24"/>
          <w:szCs w:val="24"/>
        </w:rPr>
        <w:t>.</w:t>
      </w:r>
    </w:p>
    <w:p w:rsidR="00A86ABA" w:rsidRDefault="00A86ABA" w:rsidP="00E93DA8">
      <w:pPr>
        <w:jc w:val="both"/>
        <w:rPr>
          <w:bCs/>
          <w:iCs/>
          <w:sz w:val="24"/>
          <w:szCs w:val="24"/>
        </w:rPr>
      </w:pPr>
      <w:r>
        <w:rPr>
          <w:bCs/>
          <w:iCs/>
          <w:sz w:val="24"/>
          <w:szCs w:val="24"/>
        </w:rPr>
        <w:t xml:space="preserve">KOZ SR si dovoľuje </w:t>
      </w:r>
      <w:r w:rsidRPr="00A86ABA">
        <w:rPr>
          <w:b/>
          <w:bCs/>
          <w:iCs/>
          <w:sz w:val="24"/>
          <w:szCs w:val="24"/>
        </w:rPr>
        <w:t xml:space="preserve">obzvlášť oceniť prístup predstaviteľov Úradu vlády SR pri riešení zmeny systému odmeňovania pre zamestnancov, ktorí sú odmeňovaní podľa zákona č. </w:t>
      </w:r>
      <w:r w:rsidRPr="00A86ABA">
        <w:rPr>
          <w:b/>
          <w:bCs/>
          <w:iCs/>
          <w:sz w:val="24"/>
          <w:szCs w:val="24"/>
        </w:rPr>
        <w:lastRenderedPageBreak/>
        <w:t>553/2003 Z</w:t>
      </w:r>
      <w:r w:rsidR="006E088C">
        <w:rPr>
          <w:b/>
          <w:bCs/>
          <w:iCs/>
          <w:sz w:val="24"/>
          <w:szCs w:val="24"/>
        </w:rPr>
        <w:t>.</w:t>
      </w:r>
      <w:r w:rsidRPr="00A86ABA">
        <w:rPr>
          <w:b/>
          <w:bCs/>
          <w:iCs/>
          <w:sz w:val="24"/>
          <w:szCs w:val="24"/>
        </w:rPr>
        <w:t> z. o odmeňovaní niektorých zamestnancov pri výkone práce vo verejnom záujme a o zmene a doplnení niektorých zákonov</w:t>
      </w:r>
      <w:r>
        <w:rPr>
          <w:bCs/>
          <w:iCs/>
          <w:sz w:val="24"/>
          <w:szCs w:val="24"/>
        </w:rPr>
        <w:t xml:space="preserve">. </w:t>
      </w:r>
      <w:r w:rsidRPr="00A86ABA">
        <w:rPr>
          <w:bCs/>
          <w:iCs/>
          <w:sz w:val="24"/>
          <w:szCs w:val="24"/>
        </w:rPr>
        <w:t>Po niekoľkoročných rokovaniach KOZ SR víta predloženie zmeny systému odmeňovania pre zamestnancov, ktorí sú odmeňovaní pri výkone práce vo verejnom záujme. KOZ SR dlhodobo žiadala odstránenie nedostatkov v súčasnom systéme, ktorý spôsoboval nivelizáciu platov.</w:t>
      </w:r>
    </w:p>
    <w:p w:rsidR="00A86ABA" w:rsidRPr="00225D19" w:rsidRDefault="00A86ABA" w:rsidP="00A86ABA">
      <w:pPr>
        <w:jc w:val="both"/>
        <w:rPr>
          <w:sz w:val="24"/>
          <w:szCs w:val="24"/>
        </w:rPr>
      </w:pPr>
      <w:r>
        <w:rPr>
          <w:sz w:val="24"/>
          <w:szCs w:val="24"/>
        </w:rPr>
        <w:t xml:space="preserve">KOZ SR víta </w:t>
      </w:r>
      <w:r w:rsidR="00CD7BC6">
        <w:rPr>
          <w:sz w:val="24"/>
          <w:szCs w:val="24"/>
        </w:rPr>
        <w:t xml:space="preserve">aj </w:t>
      </w:r>
      <w:r>
        <w:rPr>
          <w:sz w:val="24"/>
          <w:szCs w:val="24"/>
        </w:rPr>
        <w:t>garantované</w:t>
      </w:r>
      <w:r w:rsidRPr="0093753E">
        <w:rPr>
          <w:sz w:val="24"/>
          <w:szCs w:val="24"/>
        </w:rPr>
        <w:t xml:space="preserve"> minimálne </w:t>
      </w:r>
      <w:r>
        <w:rPr>
          <w:sz w:val="24"/>
          <w:szCs w:val="24"/>
        </w:rPr>
        <w:t xml:space="preserve">priemerné </w:t>
      </w:r>
      <w:r w:rsidRPr="0093753E">
        <w:rPr>
          <w:sz w:val="24"/>
          <w:szCs w:val="24"/>
        </w:rPr>
        <w:t xml:space="preserve">10 % navýšenie tarifného platu </w:t>
      </w:r>
      <w:r>
        <w:rPr>
          <w:sz w:val="24"/>
          <w:szCs w:val="24"/>
        </w:rPr>
        <w:t>zamestnancov, tak ako bolo dohodnuté v rámci kolektívneho vyjednávania vyššieho stupňa. Zároveň KOZ SR oceňuje navrhnuté riešenie úpravy tarifných platov štátnych zamestnancov, ktoré zabezpečí, že ani jedna platová trieda nebude mať platovú tarifu pod úrovňou minimálnej mzdy.</w:t>
      </w:r>
    </w:p>
    <w:p w:rsidR="000E6B9A" w:rsidRDefault="000E6B9A" w:rsidP="00E26503">
      <w:pPr>
        <w:jc w:val="both"/>
        <w:rPr>
          <w:bCs/>
          <w:iCs/>
          <w:sz w:val="24"/>
          <w:szCs w:val="24"/>
        </w:rPr>
      </w:pPr>
      <w:r>
        <w:rPr>
          <w:bCs/>
          <w:iCs/>
          <w:sz w:val="24"/>
          <w:szCs w:val="24"/>
        </w:rPr>
        <w:t>N</w:t>
      </w:r>
      <w:r w:rsidR="00E26503" w:rsidRPr="00E26503">
        <w:rPr>
          <w:bCs/>
          <w:iCs/>
          <w:sz w:val="24"/>
          <w:szCs w:val="24"/>
        </w:rPr>
        <w:t xml:space="preserve">ízka nezamestnanosť </w:t>
      </w:r>
      <w:r w:rsidR="00E26503">
        <w:rPr>
          <w:bCs/>
          <w:iCs/>
          <w:sz w:val="24"/>
          <w:szCs w:val="24"/>
        </w:rPr>
        <w:t xml:space="preserve">v súčasnosti </w:t>
      </w:r>
      <w:r w:rsidR="00E26503" w:rsidRPr="00E26503">
        <w:rPr>
          <w:bCs/>
          <w:iCs/>
          <w:sz w:val="24"/>
          <w:szCs w:val="24"/>
        </w:rPr>
        <w:t xml:space="preserve">spôsobuje nedostatok voľných pracovných síl. </w:t>
      </w:r>
      <w:r>
        <w:rPr>
          <w:bCs/>
          <w:iCs/>
          <w:sz w:val="24"/>
          <w:szCs w:val="24"/>
        </w:rPr>
        <w:t xml:space="preserve">Boj o zamestnanca preto nebude len </w:t>
      </w:r>
      <w:r w:rsidRPr="000E6B9A">
        <w:rPr>
          <w:bCs/>
          <w:iCs/>
          <w:sz w:val="24"/>
          <w:szCs w:val="24"/>
        </w:rPr>
        <w:t>v súkromnom sektore</w:t>
      </w:r>
      <w:r>
        <w:rPr>
          <w:bCs/>
          <w:iCs/>
          <w:sz w:val="24"/>
          <w:szCs w:val="24"/>
        </w:rPr>
        <w:t>,</w:t>
      </w:r>
      <w:r w:rsidRPr="000E6B9A">
        <w:rPr>
          <w:bCs/>
          <w:iCs/>
          <w:sz w:val="24"/>
          <w:szCs w:val="24"/>
        </w:rPr>
        <w:t xml:space="preserve"> ale aj v</w:t>
      </w:r>
      <w:r>
        <w:rPr>
          <w:bCs/>
          <w:iCs/>
          <w:sz w:val="24"/>
          <w:szCs w:val="24"/>
        </w:rPr>
        <w:t>o verejnom. N</w:t>
      </w:r>
      <w:r w:rsidRPr="000E6B9A">
        <w:rPr>
          <w:bCs/>
          <w:iCs/>
          <w:sz w:val="24"/>
          <w:szCs w:val="24"/>
        </w:rPr>
        <w:t>avyše</w:t>
      </w:r>
      <w:r>
        <w:rPr>
          <w:bCs/>
          <w:iCs/>
          <w:sz w:val="24"/>
          <w:szCs w:val="24"/>
        </w:rPr>
        <w:t xml:space="preserve"> má verejný sektor aj</w:t>
      </w:r>
      <w:r w:rsidRPr="000E6B9A">
        <w:rPr>
          <w:bCs/>
          <w:iCs/>
          <w:sz w:val="24"/>
          <w:szCs w:val="24"/>
        </w:rPr>
        <w:t xml:space="preserve"> nepriazniv</w:t>
      </w:r>
      <w:r>
        <w:rPr>
          <w:bCs/>
          <w:iCs/>
          <w:sz w:val="24"/>
          <w:szCs w:val="24"/>
        </w:rPr>
        <w:t>ú</w:t>
      </w:r>
      <w:r w:rsidRPr="000E6B9A">
        <w:rPr>
          <w:bCs/>
          <w:iCs/>
          <w:sz w:val="24"/>
          <w:szCs w:val="24"/>
        </w:rPr>
        <w:t xml:space="preserve"> vekov</w:t>
      </w:r>
      <w:r>
        <w:rPr>
          <w:bCs/>
          <w:iCs/>
          <w:sz w:val="24"/>
          <w:szCs w:val="24"/>
        </w:rPr>
        <w:t>ú</w:t>
      </w:r>
      <w:r w:rsidRPr="000E6B9A">
        <w:rPr>
          <w:bCs/>
          <w:iCs/>
          <w:sz w:val="24"/>
          <w:szCs w:val="24"/>
        </w:rPr>
        <w:t xml:space="preserve"> štruktúr</w:t>
      </w:r>
      <w:r>
        <w:rPr>
          <w:bCs/>
          <w:iCs/>
          <w:sz w:val="24"/>
          <w:szCs w:val="24"/>
        </w:rPr>
        <w:t>u, čo spôsobí</w:t>
      </w:r>
      <w:r w:rsidRPr="000E6B9A">
        <w:rPr>
          <w:bCs/>
          <w:iCs/>
          <w:sz w:val="24"/>
          <w:szCs w:val="24"/>
        </w:rPr>
        <w:t xml:space="preserve"> odliv pracovníkov do dôchodku. Verejný sektor musí konkurovať a súťažiť o zamestnanca aj so súkromným s</w:t>
      </w:r>
      <w:r w:rsidR="002D4EDA">
        <w:rPr>
          <w:bCs/>
          <w:iCs/>
          <w:sz w:val="24"/>
          <w:szCs w:val="24"/>
        </w:rPr>
        <w:t xml:space="preserve">ektorom, </w:t>
      </w:r>
      <w:r>
        <w:rPr>
          <w:bCs/>
          <w:iCs/>
          <w:sz w:val="24"/>
          <w:szCs w:val="24"/>
        </w:rPr>
        <w:t>vytvorením priaznivých pracovných</w:t>
      </w:r>
      <w:r w:rsidRPr="000E6B9A">
        <w:rPr>
          <w:bCs/>
          <w:iCs/>
          <w:sz w:val="24"/>
          <w:szCs w:val="24"/>
        </w:rPr>
        <w:t xml:space="preserve"> podmien</w:t>
      </w:r>
      <w:r>
        <w:rPr>
          <w:bCs/>
          <w:iCs/>
          <w:sz w:val="24"/>
          <w:szCs w:val="24"/>
        </w:rPr>
        <w:t>o</w:t>
      </w:r>
      <w:r w:rsidRPr="000E6B9A">
        <w:rPr>
          <w:bCs/>
          <w:iCs/>
          <w:sz w:val="24"/>
          <w:szCs w:val="24"/>
        </w:rPr>
        <w:t>k.</w:t>
      </w:r>
      <w:r>
        <w:rPr>
          <w:bCs/>
          <w:iCs/>
          <w:sz w:val="24"/>
          <w:szCs w:val="24"/>
        </w:rPr>
        <w:t xml:space="preserve"> </w:t>
      </w:r>
      <w:r w:rsidR="00E26503" w:rsidRPr="00E26503">
        <w:rPr>
          <w:bCs/>
          <w:iCs/>
          <w:sz w:val="24"/>
          <w:szCs w:val="24"/>
        </w:rPr>
        <w:t xml:space="preserve">Pokiaľ </w:t>
      </w:r>
      <w:r>
        <w:rPr>
          <w:bCs/>
          <w:iCs/>
          <w:sz w:val="24"/>
          <w:szCs w:val="24"/>
        </w:rPr>
        <w:t xml:space="preserve">si </w:t>
      </w:r>
      <w:r w:rsidR="00E26503" w:rsidRPr="00E26503">
        <w:rPr>
          <w:bCs/>
          <w:iCs/>
          <w:sz w:val="24"/>
          <w:szCs w:val="24"/>
        </w:rPr>
        <w:t>chce verejný sektor zabezpečiť dostatok kvalifikovaných pracovných síl a poskytovať kvalitné služby občanom, musí zastabilizovať súčasných zamestnancov a motivovať kvalifikovaných pracovní</w:t>
      </w:r>
      <w:r w:rsidR="0031626C">
        <w:rPr>
          <w:bCs/>
          <w:iCs/>
          <w:sz w:val="24"/>
          <w:szCs w:val="24"/>
        </w:rPr>
        <w:t>kov</w:t>
      </w:r>
      <w:r w:rsidR="002D4EDA">
        <w:rPr>
          <w:bCs/>
          <w:iCs/>
          <w:sz w:val="24"/>
          <w:szCs w:val="24"/>
        </w:rPr>
        <w:t xml:space="preserve"> </w:t>
      </w:r>
      <w:r w:rsidR="00E26503">
        <w:rPr>
          <w:bCs/>
          <w:iCs/>
          <w:sz w:val="24"/>
          <w:szCs w:val="24"/>
        </w:rPr>
        <w:t>k</w:t>
      </w:r>
      <w:r w:rsidR="0031626C">
        <w:rPr>
          <w:bCs/>
          <w:iCs/>
          <w:sz w:val="24"/>
          <w:szCs w:val="24"/>
        </w:rPr>
        <w:t xml:space="preserve"> zamestnaniu sa </w:t>
      </w:r>
      <w:r w:rsidR="00E26503">
        <w:rPr>
          <w:bCs/>
          <w:iCs/>
          <w:sz w:val="24"/>
          <w:szCs w:val="24"/>
        </w:rPr>
        <w:t>vo verejnom sektore.</w:t>
      </w:r>
    </w:p>
    <w:p w:rsidR="00B65B5E" w:rsidRDefault="00B65B5E" w:rsidP="00E26503">
      <w:pPr>
        <w:jc w:val="both"/>
        <w:rPr>
          <w:bCs/>
          <w:iCs/>
          <w:sz w:val="24"/>
          <w:szCs w:val="24"/>
        </w:rPr>
      </w:pPr>
      <w:r>
        <w:rPr>
          <w:bCs/>
          <w:iCs/>
          <w:sz w:val="24"/>
          <w:szCs w:val="24"/>
        </w:rPr>
        <w:t>V súvislosti s nedostatkom pracovnej sily upozorňujeme, že plnenie opatrení Stratégie pracovnej mobility cudzincov v SR bude mať navyše výrazný vplyv na rast verejných výdavkov.</w:t>
      </w:r>
    </w:p>
    <w:p w:rsidR="00153C0D" w:rsidRDefault="00781B9B" w:rsidP="00E93DA8">
      <w:pPr>
        <w:jc w:val="both"/>
        <w:rPr>
          <w:bCs/>
          <w:iCs/>
          <w:sz w:val="24"/>
          <w:szCs w:val="24"/>
        </w:rPr>
      </w:pPr>
      <w:r>
        <w:rPr>
          <w:bCs/>
          <w:iCs/>
          <w:sz w:val="24"/>
          <w:szCs w:val="24"/>
        </w:rPr>
        <w:t>V oblasti sociálneho zabezpečenia je KOZ SR</w:t>
      </w:r>
      <w:r w:rsidR="00F14F2F" w:rsidRPr="00F14F2F">
        <w:rPr>
          <w:bCs/>
          <w:iCs/>
          <w:sz w:val="24"/>
          <w:szCs w:val="24"/>
        </w:rPr>
        <w:t xml:space="preserve"> presvedčená, že dôchodková reforma nemôže byť postavená na </w:t>
      </w:r>
      <w:r w:rsidR="00D306AE">
        <w:rPr>
          <w:bCs/>
          <w:iCs/>
          <w:sz w:val="24"/>
          <w:szCs w:val="24"/>
        </w:rPr>
        <w:t xml:space="preserve">znižovaní výdavkov na dôchodky a </w:t>
      </w:r>
      <w:r w:rsidR="00D306AE" w:rsidRPr="00D306AE">
        <w:rPr>
          <w:bCs/>
          <w:iCs/>
          <w:sz w:val="24"/>
          <w:szCs w:val="24"/>
        </w:rPr>
        <w:t>zvyšovaním dôchodkového veku</w:t>
      </w:r>
      <w:r w:rsidR="00D306AE">
        <w:rPr>
          <w:bCs/>
          <w:iCs/>
          <w:sz w:val="24"/>
          <w:szCs w:val="24"/>
        </w:rPr>
        <w:t xml:space="preserve">. </w:t>
      </w:r>
      <w:r w:rsidR="00F14F2F" w:rsidRPr="00F14F2F">
        <w:rPr>
          <w:bCs/>
          <w:iCs/>
          <w:sz w:val="24"/>
          <w:szCs w:val="24"/>
        </w:rPr>
        <w:t>Reforma dôchodkového systému by mala byť s dôrazom na starobné dôchodky zabezpečujúce dôstojný život, zmenu modelu valorizácie dôchodkov, finančnú udržateľnosť dôchodkového systému, posilnenie zásluhovosti systému, posilnenie doplnkového dôchodkového poistenia a pod.</w:t>
      </w:r>
    </w:p>
    <w:p w:rsidR="007322B6" w:rsidRDefault="007322B6" w:rsidP="00E26503">
      <w:pPr>
        <w:jc w:val="both"/>
        <w:rPr>
          <w:bCs/>
          <w:iCs/>
          <w:sz w:val="24"/>
          <w:szCs w:val="24"/>
        </w:rPr>
      </w:pPr>
    </w:p>
    <w:p w:rsidR="007F142B" w:rsidRPr="007F142B" w:rsidRDefault="007F142B" w:rsidP="00523964">
      <w:pPr>
        <w:spacing w:after="200"/>
        <w:jc w:val="both"/>
        <w:rPr>
          <w:b/>
          <w:bCs/>
          <w:iCs/>
          <w:sz w:val="24"/>
          <w:szCs w:val="24"/>
        </w:rPr>
      </w:pPr>
      <w:r w:rsidRPr="007F142B">
        <w:rPr>
          <w:b/>
          <w:bCs/>
          <w:iCs/>
          <w:sz w:val="24"/>
          <w:szCs w:val="24"/>
        </w:rPr>
        <w:t>2.1. Pripomienky KOZ SR k návrhu rozpočtu vybraných kapitol</w:t>
      </w:r>
    </w:p>
    <w:p w:rsidR="007C42D2" w:rsidRPr="00F42175" w:rsidRDefault="004736B0" w:rsidP="007F142B">
      <w:pPr>
        <w:jc w:val="both"/>
        <w:rPr>
          <w:b/>
          <w:bCs/>
          <w:iCs/>
          <w:sz w:val="24"/>
          <w:szCs w:val="24"/>
          <w:u w:val="single"/>
        </w:rPr>
      </w:pPr>
      <w:r w:rsidRPr="00F42175">
        <w:rPr>
          <w:b/>
          <w:bCs/>
          <w:iCs/>
          <w:sz w:val="24"/>
          <w:szCs w:val="24"/>
          <w:u w:val="single"/>
        </w:rPr>
        <w:t>Ministerstvo práce, sociálnych vecí a rodiny SR</w:t>
      </w:r>
    </w:p>
    <w:p w:rsidR="002D2037" w:rsidRDefault="002D2037" w:rsidP="00310B5E">
      <w:pPr>
        <w:jc w:val="both"/>
        <w:rPr>
          <w:bCs/>
          <w:iCs/>
          <w:sz w:val="24"/>
          <w:szCs w:val="24"/>
        </w:rPr>
      </w:pPr>
      <w:r>
        <w:rPr>
          <w:bCs/>
          <w:iCs/>
          <w:sz w:val="24"/>
          <w:szCs w:val="24"/>
        </w:rPr>
        <w:t>V</w:t>
      </w:r>
      <w:r w:rsidRPr="00EB322B">
        <w:rPr>
          <w:bCs/>
          <w:iCs/>
          <w:sz w:val="24"/>
          <w:szCs w:val="24"/>
        </w:rPr>
        <w:t xml:space="preserve"> zmysle § 149 ods. 5 Zákonníka práce a v súlade s harmonogramom postupu prác na prípravu návrhu štátneho rozpočtu SR na rok 2019 </w:t>
      </w:r>
      <w:r>
        <w:rPr>
          <w:bCs/>
          <w:iCs/>
          <w:sz w:val="24"/>
          <w:szCs w:val="24"/>
        </w:rPr>
        <w:t>požadujeme</w:t>
      </w:r>
      <w:r w:rsidRPr="00EB322B">
        <w:rPr>
          <w:bCs/>
          <w:iCs/>
          <w:sz w:val="24"/>
          <w:szCs w:val="24"/>
        </w:rPr>
        <w:t xml:space="preserve"> rozpočtovať finančné prostriedky na rok 2019 v kapitole </w:t>
      </w:r>
      <w:r w:rsidRPr="0004259D">
        <w:rPr>
          <w:b/>
          <w:bCs/>
          <w:iCs/>
          <w:sz w:val="24"/>
          <w:szCs w:val="24"/>
        </w:rPr>
        <w:t>M</w:t>
      </w:r>
      <w:r>
        <w:rPr>
          <w:b/>
          <w:bCs/>
          <w:iCs/>
          <w:sz w:val="24"/>
          <w:szCs w:val="24"/>
        </w:rPr>
        <w:t xml:space="preserve">inisterstva práce, sociálnych vecí a rodiny </w:t>
      </w:r>
      <w:r w:rsidRPr="0004259D">
        <w:rPr>
          <w:b/>
          <w:bCs/>
          <w:iCs/>
          <w:sz w:val="24"/>
          <w:szCs w:val="24"/>
        </w:rPr>
        <w:t>SR</w:t>
      </w:r>
      <w:r>
        <w:rPr>
          <w:b/>
          <w:bCs/>
          <w:iCs/>
          <w:sz w:val="24"/>
          <w:szCs w:val="24"/>
        </w:rPr>
        <w:t xml:space="preserve"> </w:t>
      </w:r>
      <w:r w:rsidRPr="0004259D">
        <w:rPr>
          <w:b/>
          <w:bCs/>
          <w:iCs/>
          <w:sz w:val="24"/>
          <w:szCs w:val="24"/>
        </w:rPr>
        <w:t>na úhradu nákladov vzniknutých výkonom odborovej kontroly nad BOZP</w:t>
      </w:r>
      <w:r>
        <w:rPr>
          <w:b/>
          <w:bCs/>
          <w:iCs/>
          <w:sz w:val="24"/>
          <w:szCs w:val="24"/>
        </w:rPr>
        <w:t>.</w:t>
      </w:r>
      <w:r w:rsidRPr="0004259D">
        <w:rPr>
          <w:bCs/>
          <w:iCs/>
          <w:sz w:val="24"/>
          <w:szCs w:val="24"/>
        </w:rPr>
        <w:t xml:space="preserve"> </w:t>
      </w:r>
      <w:r w:rsidR="0004259D" w:rsidRPr="0004259D">
        <w:rPr>
          <w:bCs/>
          <w:iCs/>
          <w:sz w:val="24"/>
          <w:szCs w:val="24"/>
        </w:rPr>
        <w:t xml:space="preserve">Finančné prostriedky zo štátneho rozpočtu SR poukazované KOZ SR, budú použité na úhradu nákladov pre zabezpečenie výkonu odborovej kontroly nad stavom bezpečnosti a ochrany zdravia pri práci. Uvedené finančné prostriedky sú využívané v zmysle rozpočtových pravidiel a pokynov </w:t>
      </w:r>
      <w:r w:rsidRPr="002D2037">
        <w:rPr>
          <w:bCs/>
          <w:iCs/>
          <w:sz w:val="24"/>
          <w:szCs w:val="24"/>
        </w:rPr>
        <w:t xml:space="preserve">Ministerstva práce, sociálnych vecí a rodiny SR </w:t>
      </w:r>
      <w:r w:rsidR="0004259D" w:rsidRPr="0004259D">
        <w:rPr>
          <w:bCs/>
          <w:iCs/>
          <w:sz w:val="24"/>
          <w:szCs w:val="24"/>
        </w:rPr>
        <w:t>a budú vedené</w:t>
      </w:r>
      <w:r w:rsidRPr="00EB322B">
        <w:rPr>
          <w:bCs/>
          <w:iCs/>
          <w:sz w:val="24"/>
          <w:szCs w:val="24"/>
        </w:rPr>
        <w:t>, tak ako doposiaľ na samostatnom finančnom účte KOZ SR</w:t>
      </w:r>
      <w:r>
        <w:rPr>
          <w:bCs/>
          <w:iCs/>
          <w:sz w:val="24"/>
          <w:szCs w:val="24"/>
        </w:rPr>
        <w:t>.</w:t>
      </w:r>
    </w:p>
    <w:p w:rsidR="00514ADF" w:rsidRDefault="0004259D" w:rsidP="00310B5E">
      <w:pPr>
        <w:jc w:val="both"/>
        <w:rPr>
          <w:bCs/>
          <w:iCs/>
          <w:sz w:val="24"/>
          <w:szCs w:val="24"/>
        </w:rPr>
      </w:pPr>
      <w:r>
        <w:rPr>
          <w:bCs/>
          <w:iCs/>
          <w:sz w:val="24"/>
          <w:szCs w:val="24"/>
        </w:rPr>
        <w:t>N</w:t>
      </w:r>
      <w:r w:rsidR="00514ADF" w:rsidRPr="00514ADF">
        <w:rPr>
          <w:bCs/>
          <w:iCs/>
          <w:sz w:val="24"/>
          <w:szCs w:val="24"/>
        </w:rPr>
        <w:t xml:space="preserve">a základe </w:t>
      </w:r>
      <w:r w:rsidR="002D2037" w:rsidRPr="002D2037">
        <w:rPr>
          <w:bCs/>
          <w:iCs/>
          <w:sz w:val="24"/>
          <w:szCs w:val="24"/>
        </w:rPr>
        <w:t>postupného zvyšovania prevádzkových nákladov, ktoré nedokážeme ovplyvniť</w:t>
      </w:r>
      <w:r w:rsidR="002D2037" w:rsidRPr="002D2037">
        <w:rPr>
          <w:b/>
          <w:bCs/>
          <w:iCs/>
          <w:sz w:val="24"/>
          <w:szCs w:val="24"/>
        </w:rPr>
        <w:t>, KOZ SR žiada o určitú valorizáciu týchto finančných prostriedkov</w:t>
      </w:r>
      <w:r w:rsidR="002D2037" w:rsidRPr="002D2037">
        <w:rPr>
          <w:bCs/>
          <w:iCs/>
          <w:sz w:val="24"/>
          <w:szCs w:val="24"/>
        </w:rPr>
        <w:t>.</w:t>
      </w:r>
      <w:r w:rsidR="00011489">
        <w:rPr>
          <w:bCs/>
          <w:iCs/>
          <w:sz w:val="24"/>
          <w:szCs w:val="24"/>
        </w:rPr>
        <w:t xml:space="preserve"> </w:t>
      </w:r>
      <w:r w:rsidR="002D2037" w:rsidRPr="00EB322B">
        <w:rPr>
          <w:bCs/>
          <w:iCs/>
          <w:sz w:val="24"/>
          <w:szCs w:val="24"/>
        </w:rPr>
        <w:t xml:space="preserve">KOZ SR je jedným z dôležitých sociálnych partnerov, ktorý je zaviazaný aj plnením úloh vyplývajúcich zo „Stratégie bezpečnosti a ochrany zdravia pri práci v Slovenskej republike a programu jej realizácie s výhľadom trvania až do roku 2020“. </w:t>
      </w:r>
      <w:r w:rsidR="00514ADF" w:rsidRPr="00514ADF">
        <w:rPr>
          <w:bCs/>
          <w:iCs/>
          <w:sz w:val="24"/>
          <w:szCs w:val="24"/>
        </w:rPr>
        <w:t>Táto úloha v oblasti BOZP bola pripravená v nadväznosti na predpokladané zámery, ciele a nástroje stratégi</w:t>
      </w:r>
      <w:r w:rsidR="002D2037">
        <w:rPr>
          <w:bCs/>
          <w:iCs/>
          <w:sz w:val="24"/>
          <w:szCs w:val="24"/>
        </w:rPr>
        <w:t xml:space="preserve">e Európskej únie v oblasti BOZP. </w:t>
      </w:r>
      <w:r w:rsidR="00514ADF" w:rsidRPr="00514ADF">
        <w:rPr>
          <w:bCs/>
          <w:iCs/>
          <w:sz w:val="24"/>
          <w:szCs w:val="24"/>
        </w:rPr>
        <w:t xml:space="preserve">Sme presvedčení, že je potrebné </w:t>
      </w:r>
      <w:r w:rsidR="002D2037" w:rsidRPr="00EB322B">
        <w:rPr>
          <w:bCs/>
          <w:iCs/>
          <w:sz w:val="24"/>
          <w:szCs w:val="24"/>
        </w:rPr>
        <w:t xml:space="preserve">všemožne </w:t>
      </w:r>
      <w:r w:rsidR="00514ADF" w:rsidRPr="00514ADF">
        <w:rPr>
          <w:bCs/>
          <w:iCs/>
          <w:sz w:val="24"/>
          <w:szCs w:val="24"/>
        </w:rPr>
        <w:t xml:space="preserve">podporiť realizáciu preventívnych a ochranných opatrení v oblasti BOZP, čo sa musí stať trvalou súčasťou zlepšovania všeobecnej kultúry práce, pracovného prostredia a ochrany života a zdravia pri práci. Oblasť bezpečnosti a ochrany zdravia pri práci má byť súčasťou aj celoživotného vzdelávania zamestnancov a zástupcov </w:t>
      </w:r>
      <w:r w:rsidR="00514ADF" w:rsidRPr="00514ADF">
        <w:rPr>
          <w:bCs/>
          <w:iCs/>
          <w:sz w:val="24"/>
          <w:szCs w:val="24"/>
        </w:rPr>
        <w:lastRenderedPageBreak/>
        <w:t xml:space="preserve">zamestnancov, ale i manažérov. </w:t>
      </w:r>
      <w:r w:rsidR="002D2037">
        <w:rPr>
          <w:bCs/>
          <w:iCs/>
          <w:sz w:val="24"/>
          <w:szCs w:val="24"/>
        </w:rPr>
        <w:t>P</w:t>
      </w:r>
      <w:r w:rsidR="00514ADF" w:rsidRPr="00514ADF">
        <w:rPr>
          <w:bCs/>
          <w:iCs/>
          <w:sz w:val="24"/>
          <w:szCs w:val="24"/>
        </w:rPr>
        <w:t xml:space="preserve">re plnenie týchto zámerov je potrebné vytvoriť aj adekvátne finančné </w:t>
      </w:r>
      <w:r w:rsidR="002D2037" w:rsidRPr="00EB322B">
        <w:rPr>
          <w:bCs/>
          <w:iCs/>
          <w:sz w:val="24"/>
          <w:szCs w:val="24"/>
        </w:rPr>
        <w:t>zázemie</w:t>
      </w:r>
      <w:r w:rsidR="00514ADF" w:rsidRPr="00514ADF">
        <w:rPr>
          <w:bCs/>
          <w:iCs/>
          <w:sz w:val="24"/>
          <w:szCs w:val="24"/>
        </w:rPr>
        <w:t>.</w:t>
      </w:r>
    </w:p>
    <w:p w:rsidR="00833A5A" w:rsidRDefault="00833A5A" w:rsidP="00310B5E">
      <w:pPr>
        <w:jc w:val="both"/>
        <w:rPr>
          <w:bCs/>
          <w:iCs/>
          <w:sz w:val="24"/>
          <w:szCs w:val="24"/>
        </w:rPr>
      </w:pPr>
    </w:p>
    <w:p w:rsidR="00833A5A" w:rsidRPr="00F42175" w:rsidRDefault="00833A5A" w:rsidP="00833A5A">
      <w:pPr>
        <w:jc w:val="both"/>
        <w:rPr>
          <w:b/>
          <w:bCs/>
          <w:iCs/>
          <w:sz w:val="24"/>
          <w:szCs w:val="24"/>
          <w:highlight w:val="cyan"/>
          <w:u w:val="single"/>
        </w:rPr>
      </w:pPr>
      <w:r w:rsidRPr="00F42175">
        <w:rPr>
          <w:b/>
          <w:bCs/>
          <w:iCs/>
          <w:sz w:val="24"/>
          <w:szCs w:val="24"/>
          <w:u w:val="single"/>
        </w:rPr>
        <w:t>Ministerstvo dopravy a výstavby SR</w:t>
      </w:r>
    </w:p>
    <w:p w:rsidR="00833A5A" w:rsidRPr="00833A5A" w:rsidRDefault="00833A5A" w:rsidP="00310B5E">
      <w:pPr>
        <w:jc w:val="both"/>
        <w:rPr>
          <w:b/>
          <w:bCs/>
          <w:iCs/>
          <w:sz w:val="24"/>
          <w:szCs w:val="24"/>
        </w:rPr>
      </w:pPr>
      <w:r w:rsidRPr="00833A5A">
        <w:rPr>
          <w:b/>
          <w:bCs/>
          <w:iCs/>
          <w:sz w:val="24"/>
          <w:szCs w:val="24"/>
        </w:rPr>
        <w:t>Železničná doprava</w:t>
      </w:r>
    </w:p>
    <w:p w:rsidR="00833A5A" w:rsidRPr="00833A5A" w:rsidRDefault="00833A5A" w:rsidP="00833A5A">
      <w:pPr>
        <w:pStyle w:val="Odsekzoznamu"/>
        <w:numPr>
          <w:ilvl w:val="0"/>
          <w:numId w:val="20"/>
        </w:numPr>
        <w:spacing w:after="0"/>
        <w:ind w:left="426"/>
        <w:jc w:val="both"/>
        <w:rPr>
          <w:rFonts w:ascii="Times New Roman" w:hAnsi="Times New Roman" w:cs="Times New Roman"/>
          <w:sz w:val="24"/>
          <w:szCs w:val="24"/>
        </w:rPr>
      </w:pPr>
      <w:r w:rsidRPr="00833A5A">
        <w:rPr>
          <w:rFonts w:ascii="Times New Roman" w:hAnsi="Times New Roman" w:cs="Times New Roman"/>
          <w:b/>
          <w:sz w:val="24"/>
          <w:szCs w:val="24"/>
        </w:rPr>
        <w:t>Zásadná pripomienka:</w:t>
      </w:r>
      <w:r>
        <w:rPr>
          <w:rFonts w:ascii="Times New Roman" w:hAnsi="Times New Roman" w:cs="Times New Roman"/>
          <w:sz w:val="24"/>
          <w:szCs w:val="24"/>
        </w:rPr>
        <w:t xml:space="preserve"> </w:t>
      </w:r>
      <w:r w:rsidRPr="00833A5A">
        <w:rPr>
          <w:rFonts w:ascii="Times New Roman" w:hAnsi="Times New Roman" w:cs="Times New Roman"/>
          <w:sz w:val="24"/>
          <w:szCs w:val="24"/>
        </w:rPr>
        <w:t xml:space="preserve">Suma 272,5 mil. EUR, na zabezpečenie zmluvy o prevádzkovaní železničnej infraštruktúry so Železnicami Slovenskej republiky sa nemení už viac rokov a podľa nášho názoru je </w:t>
      </w:r>
      <w:r w:rsidRPr="00833A5A">
        <w:rPr>
          <w:rFonts w:ascii="Times New Roman" w:hAnsi="Times New Roman" w:cs="Times New Roman"/>
          <w:b/>
          <w:sz w:val="24"/>
          <w:szCs w:val="24"/>
        </w:rPr>
        <w:t>nedostatočná</w:t>
      </w:r>
      <w:r>
        <w:rPr>
          <w:rFonts w:ascii="Times New Roman" w:hAnsi="Times New Roman" w:cs="Times New Roman"/>
          <w:sz w:val="24"/>
          <w:szCs w:val="24"/>
        </w:rPr>
        <w:t xml:space="preserve">. </w:t>
      </w:r>
      <w:r w:rsidRPr="00833A5A">
        <w:rPr>
          <w:rFonts w:ascii="Times New Roman" w:hAnsi="Times New Roman" w:cs="Times New Roman"/>
          <w:sz w:val="24"/>
          <w:szCs w:val="24"/>
        </w:rPr>
        <w:t>Železnice Slovenskej republiky (ďalej len „ŽSR“) požadujú od Ministerstvo dopravy a výstavby SR – štátu, vyššiu sumu do zmluvy už niekoľko rokov. Tá je potrebná na údržbu a obnovu železničnej infraštruktúry. ŽSR žiadajú na „odloženú“ (zanedbanú) údržbu ročne 55 mil. EUR, počas štyroch rokov, aby bola zachovaná už aj tak nízka kvalita železničnej infraštruktúry. S jej kvalitou sme v poslednej dobe veľmi intenzívne konfrontovaný. V rozpočte sa ráta so sumou 20 mil. EUR, čo určite nepokrýva potreby ŽSR na zabezpečenie spoľahlivosti, plynulosti a bezpečnosti železničnej infraštruktúry. Tak isto sumu rozpočtovanú na mzdy 177,2 mil. EUR pokladáme za nedostatočnú z dôvodu:</w:t>
      </w:r>
    </w:p>
    <w:p w:rsidR="00833A5A" w:rsidRPr="00833A5A" w:rsidRDefault="00833A5A" w:rsidP="00833A5A">
      <w:pPr>
        <w:numPr>
          <w:ilvl w:val="1"/>
          <w:numId w:val="20"/>
        </w:numPr>
        <w:jc w:val="both"/>
        <w:rPr>
          <w:sz w:val="24"/>
          <w:szCs w:val="24"/>
        </w:rPr>
      </w:pPr>
      <w:r w:rsidRPr="00833A5A">
        <w:rPr>
          <w:sz w:val="24"/>
          <w:szCs w:val="24"/>
        </w:rPr>
        <w:t>že nezabezpečí porovnateľný rast miezd ako je vyjednaný v rámci kolektívneho vyjednávania vyššieho stupňa na roky 2019 – 2020 vo verejnej správe,</w:t>
      </w:r>
    </w:p>
    <w:p w:rsidR="00833A5A" w:rsidRPr="00833A5A" w:rsidRDefault="00833A5A" w:rsidP="00833A5A">
      <w:pPr>
        <w:numPr>
          <w:ilvl w:val="1"/>
          <w:numId w:val="20"/>
        </w:numPr>
        <w:jc w:val="both"/>
        <w:rPr>
          <w:sz w:val="24"/>
          <w:szCs w:val="24"/>
        </w:rPr>
      </w:pPr>
      <w:r w:rsidRPr="00833A5A">
        <w:rPr>
          <w:sz w:val="24"/>
          <w:szCs w:val="24"/>
        </w:rPr>
        <w:t>premietnutie sociálnych balíčkov (ZP, 13. a 14. plat, ako aj rekreačné poukazy).</w:t>
      </w:r>
    </w:p>
    <w:p w:rsidR="00833A5A" w:rsidRPr="00833A5A" w:rsidRDefault="00833A5A" w:rsidP="00833A5A">
      <w:pPr>
        <w:numPr>
          <w:ilvl w:val="0"/>
          <w:numId w:val="20"/>
        </w:numPr>
        <w:ind w:left="426"/>
        <w:jc w:val="both"/>
        <w:rPr>
          <w:sz w:val="24"/>
          <w:szCs w:val="24"/>
        </w:rPr>
      </w:pPr>
      <w:r w:rsidRPr="00833A5A">
        <w:rPr>
          <w:b/>
          <w:sz w:val="24"/>
          <w:szCs w:val="24"/>
        </w:rPr>
        <w:t>Zásadná pripomienka:</w:t>
      </w:r>
      <w:r>
        <w:rPr>
          <w:b/>
          <w:sz w:val="24"/>
          <w:szCs w:val="24"/>
        </w:rPr>
        <w:t xml:space="preserve"> </w:t>
      </w:r>
      <w:r w:rsidRPr="00833A5A">
        <w:rPr>
          <w:sz w:val="24"/>
          <w:szCs w:val="24"/>
        </w:rPr>
        <w:t xml:space="preserve">Štát má záväzok a záujem, aby sa preprava tovarov presúvala z ciest na železnicu. ŽSR zo sumy 272,5 mil. EUR poskytuje 22,5 mil. EUR nákladným dopravcom, ako „zľavu“ za prístup k železničnej infraštruktúre. Táto suma sa v roku 2018 zvýšila na 26,5 mil. EUR, čo sme uvítali. Preto jej zníženie na úroveň 22,5 mil. EUR pokladáme za krok späť. Na rýchlejšie napĺňanie tohto záväzku navrhujeme podstatné zvýšenie tejto „kompenzácie“. Budúcnosť v nákladnej železničnej doprave vidíme aj v podpore nákladných dopravcov formou podpory JVZ (jednotné vozové zásielky), tak ako ju podporujú okolité štáty.  </w:t>
      </w:r>
    </w:p>
    <w:p w:rsidR="00833A5A" w:rsidRPr="00833A5A" w:rsidRDefault="00833A5A" w:rsidP="00833A5A">
      <w:pPr>
        <w:numPr>
          <w:ilvl w:val="0"/>
          <w:numId w:val="20"/>
        </w:numPr>
        <w:ind w:left="426"/>
        <w:jc w:val="both"/>
        <w:rPr>
          <w:sz w:val="24"/>
          <w:szCs w:val="24"/>
        </w:rPr>
      </w:pPr>
      <w:r w:rsidRPr="00833A5A">
        <w:rPr>
          <w:b/>
          <w:sz w:val="24"/>
          <w:szCs w:val="24"/>
        </w:rPr>
        <w:t>Zásadná pripomienka:</w:t>
      </w:r>
      <w:r>
        <w:rPr>
          <w:b/>
          <w:sz w:val="24"/>
          <w:szCs w:val="24"/>
        </w:rPr>
        <w:t xml:space="preserve"> </w:t>
      </w:r>
      <w:r w:rsidRPr="00833A5A">
        <w:rPr>
          <w:sz w:val="24"/>
          <w:szCs w:val="24"/>
        </w:rPr>
        <w:t>Oceňujeme, že na zmluvy o dopravných službách vo verejnom záujme pre železničnú osobnú dopravu ide o 9,15 mil. EUR viac (celkovo 227 mil. EUR z toho 219 mil. EUR ZSSK a 8,44 mil. EUR RegioJet). Zároveň ale chceme, aby sa štát vážne zaoberal požiadavkami Železničnej spoločnosti Slovensko, a.</w:t>
      </w:r>
      <w:r>
        <w:rPr>
          <w:sz w:val="24"/>
          <w:szCs w:val="24"/>
        </w:rPr>
        <w:t xml:space="preserve"> </w:t>
      </w:r>
      <w:r w:rsidRPr="00833A5A">
        <w:rPr>
          <w:sz w:val="24"/>
          <w:szCs w:val="24"/>
        </w:rPr>
        <w:t>s. (ďalej len „ZSSK“) o obnovu mobilného parku. ZSSK, ako národný dopravca, musí byť  konkurencieschopný na liberalizovanom dopravnom trhu. Tak isto sumu rozpočtovanú na mzdy 86,2 mil. EUR pokladáme za nedostatočnú z dôvodu:</w:t>
      </w:r>
    </w:p>
    <w:p w:rsidR="00833A5A" w:rsidRPr="00833A5A" w:rsidRDefault="00833A5A" w:rsidP="00833A5A">
      <w:pPr>
        <w:numPr>
          <w:ilvl w:val="1"/>
          <w:numId w:val="20"/>
        </w:numPr>
        <w:jc w:val="both"/>
        <w:rPr>
          <w:sz w:val="24"/>
          <w:szCs w:val="24"/>
        </w:rPr>
      </w:pPr>
      <w:r w:rsidRPr="00833A5A">
        <w:rPr>
          <w:sz w:val="24"/>
          <w:szCs w:val="24"/>
        </w:rPr>
        <w:t>že nezabezpečí po</w:t>
      </w:r>
      <w:r w:rsidR="00896071">
        <w:rPr>
          <w:sz w:val="24"/>
          <w:szCs w:val="24"/>
        </w:rPr>
        <w:t xml:space="preserve">rovnateľný rast miezd ako je </w:t>
      </w:r>
      <w:r w:rsidRPr="00833A5A">
        <w:rPr>
          <w:sz w:val="24"/>
          <w:szCs w:val="24"/>
        </w:rPr>
        <w:t>vyjednaný v rámci kolektívneho vyjednávania vyššieho stupňa na roky 2019 - 2020 vo verejnej správe,</w:t>
      </w:r>
    </w:p>
    <w:p w:rsidR="00833A5A" w:rsidRPr="00833A5A" w:rsidRDefault="00833A5A" w:rsidP="00833A5A">
      <w:pPr>
        <w:numPr>
          <w:ilvl w:val="1"/>
          <w:numId w:val="20"/>
        </w:numPr>
        <w:jc w:val="both"/>
        <w:rPr>
          <w:sz w:val="24"/>
          <w:szCs w:val="24"/>
        </w:rPr>
      </w:pPr>
      <w:r w:rsidRPr="00833A5A">
        <w:rPr>
          <w:sz w:val="24"/>
          <w:szCs w:val="24"/>
        </w:rPr>
        <w:t>premietnutie sociálnych balíčkov (ZP, 13. a 14. plat, ako aj rekreačné poukazy).</w:t>
      </w:r>
    </w:p>
    <w:p w:rsidR="00833A5A" w:rsidRPr="00833A5A" w:rsidRDefault="00833A5A" w:rsidP="00833A5A">
      <w:pPr>
        <w:numPr>
          <w:ilvl w:val="0"/>
          <w:numId w:val="20"/>
        </w:numPr>
        <w:ind w:left="426"/>
        <w:jc w:val="both"/>
        <w:rPr>
          <w:sz w:val="24"/>
          <w:szCs w:val="24"/>
        </w:rPr>
      </w:pPr>
      <w:r w:rsidRPr="00833A5A">
        <w:rPr>
          <w:b/>
          <w:sz w:val="24"/>
          <w:szCs w:val="24"/>
        </w:rPr>
        <w:t>Zásadná pripomienka:</w:t>
      </w:r>
      <w:r>
        <w:rPr>
          <w:b/>
          <w:sz w:val="24"/>
          <w:szCs w:val="24"/>
        </w:rPr>
        <w:t xml:space="preserve"> </w:t>
      </w:r>
      <w:r w:rsidRPr="00833A5A">
        <w:rPr>
          <w:sz w:val="24"/>
          <w:szCs w:val="24"/>
        </w:rPr>
        <w:t xml:space="preserve">Žiadame doplniť u subjektov 16. ŽSR a 24. ZSSK do textu, kde sa stanovuje výška mzdových prostriedkov (ŽSR – 177,2 mil. EUR a ZSSK 86,2 mil. EUR), „Hlavná kniha, príloha č. 1 – Rozpočtovanie príjmov a výdavkov ostatných subjektov verejnej správy v metodike ESA 2010“ </w:t>
      </w:r>
      <w:r w:rsidRPr="00833A5A">
        <w:rPr>
          <w:b/>
          <w:sz w:val="24"/>
          <w:szCs w:val="24"/>
        </w:rPr>
        <w:t>ak sa v kolektívnej zmluve nedohodne inak</w:t>
      </w:r>
      <w:r w:rsidRPr="00833A5A">
        <w:rPr>
          <w:sz w:val="24"/>
          <w:szCs w:val="24"/>
        </w:rPr>
        <w:t xml:space="preserve">. </w:t>
      </w:r>
    </w:p>
    <w:p w:rsidR="00833A5A" w:rsidRPr="00833A5A" w:rsidRDefault="00833A5A" w:rsidP="00833A5A">
      <w:pPr>
        <w:numPr>
          <w:ilvl w:val="0"/>
          <w:numId w:val="20"/>
        </w:numPr>
        <w:ind w:left="426"/>
        <w:jc w:val="both"/>
        <w:rPr>
          <w:sz w:val="24"/>
          <w:szCs w:val="24"/>
        </w:rPr>
      </w:pPr>
      <w:r w:rsidRPr="00833A5A">
        <w:rPr>
          <w:sz w:val="24"/>
          <w:szCs w:val="24"/>
        </w:rPr>
        <w:t>Na základe uvedeného navrhujeme navýšiť výdavky v kapitole Ministerstvo dopravy a výstavby SR</w:t>
      </w:r>
      <w:r>
        <w:rPr>
          <w:sz w:val="24"/>
          <w:szCs w:val="24"/>
        </w:rPr>
        <w:t xml:space="preserve"> –</w:t>
      </w:r>
      <w:r w:rsidRPr="00833A5A">
        <w:rPr>
          <w:sz w:val="24"/>
          <w:szCs w:val="24"/>
        </w:rPr>
        <w:t xml:space="preserve"> Príloha č. 3 k zákonu č. ..../2018 Z. z., Výdavky štátneho rozpočtu na rok 2019.</w:t>
      </w:r>
    </w:p>
    <w:p w:rsidR="00E03947" w:rsidRDefault="00E03947" w:rsidP="00310B5E">
      <w:pPr>
        <w:jc w:val="both"/>
        <w:rPr>
          <w:b/>
          <w:bCs/>
          <w:iCs/>
          <w:sz w:val="24"/>
          <w:szCs w:val="24"/>
        </w:rPr>
      </w:pPr>
    </w:p>
    <w:p w:rsidR="00E03947" w:rsidRDefault="00E03947" w:rsidP="00310B5E">
      <w:pPr>
        <w:jc w:val="both"/>
        <w:rPr>
          <w:b/>
          <w:bCs/>
          <w:iCs/>
          <w:sz w:val="24"/>
          <w:szCs w:val="24"/>
        </w:rPr>
      </w:pPr>
    </w:p>
    <w:p w:rsidR="00E03947" w:rsidRDefault="00E03947" w:rsidP="00310B5E">
      <w:pPr>
        <w:jc w:val="both"/>
        <w:rPr>
          <w:b/>
          <w:bCs/>
          <w:iCs/>
          <w:sz w:val="24"/>
          <w:szCs w:val="24"/>
        </w:rPr>
      </w:pPr>
    </w:p>
    <w:p w:rsidR="00E03947" w:rsidRDefault="00E03947" w:rsidP="00310B5E">
      <w:pPr>
        <w:jc w:val="both"/>
        <w:rPr>
          <w:b/>
          <w:bCs/>
          <w:iCs/>
          <w:sz w:val="24"/>
          <w:szCs w:val="24"/>
        </w:rPr>
      </w:pPr>
    </w:p>
    <w:p w:rsidR="00E03947" w:rsidRDefault="00E03947" w:rsidP="00310B5E">
      <w:pPr>
        <w:jc w:val="both"/>
        <w:rPr>
          <w:b/>
          <w:bCs/>
          <w:iCs/>
          <w:sz w:val="24"/>
          <w:szCs w:val="24"/>
        </w:rPr>
      </w:pPr>
    </w:p>
    <w:p w:rsidR="004205E8" w:rsidRDefault="00BE69EC" w:rsidP="00310B5E">
      <w:pPr>
        <w:jc w:val="both"/>
        <w:rPr>
          <w:b/>
          <w:bCs/>
          <w:iCs/>
          <w:sz w:val="24"/>
          <w:szCs w:val="24"/>
        </w:rPr>
      </w:pPr>
      <w:r w:rsidRPr="00BE69EC">
        <w:rPr>
          <w:b/>
          <w:bCs/>
          <w:iCs/>
          <w:sz w:val="24"/>
          <w:szCs w:val="24"/>
        </w:rPr>
        <w:lastRenderedPageBreak/>
        <w:t>Národná diaľničná spoločnosť</w:t>
      </w:r>
      <w:r w:rsidR="009B06EA">
        <w:rPr>
          <w:b/>
          <w:bCs/>
          <w:iCs/>
          <w:sz w:val="24"/>
          <w:szCs w:val="24"/>
        </w:rPr>
        <w:t xml:space="preserve"> (NDS)</w:t>
      </w:r>
    </w:p>
    <w:p w:rsidR="00836C6C" w:rsidRPr="00E03947" w:rsidRDefault="00836C6C" w:rsidP="00836C6C">
      <w:pPr>
        <w:jc w:val="both"/>
        <w:rPr>
          <w:b/>
          <w:bCs/>
          <w:iCs/>
          <w:sz w:val="24"/>
          <w:szCs w:val="24"/>
        </w:rPr>
      </w:pPr>
      <w:r>
        <w:rPr>
          <w:bCs/>
          <w:iCs/>
          <w:sz w:val="24"/>
          <w:szCs w:val="24"/>
        </w:rPr>
        <w:t>V</w:t>
      </w:r>
      <w:r w:rsidRPr="00E03947">
        <w:rPr>
          <w:bCs/>
          <w:iCs/>
          <w:sz w:val="24"/>
          <w:szCs w:val="24"/>
        </w:rPr>
        <w:t xml:space="preserve"> súlade s potrebami a súčasným stavom výstavby týchto komunikácií a v neposlednom rade pre naplnenie cieľov Programového vyhlásenia vlády SR na roky 2016 až 2020 v kontexte s  predloženým návrhom – žiadosťou MDV SR o navýšenie výdavkov na výstavbu diaľnic a rýchlostných ciest nasledovne (bez spolufinancovanie k CEF projektom a NN) </w:t>
      </w:r>
      <w:r w:rsidRPr="00E03947">
        <w:rPr>
          <w:b/>
          <w:bCs/>
          <w:iCs/>
          <w:sz w:val="24"/>
          <w:szCs w:val="24"/>
        </w:rPr>
        <w:t>navrhujeme zabezpečiť zdroje na rok 2019 vo výške 463 055 tis. eur.</w:t>
      </w:r>
    </w:p>
    <w:p w:rsidR="00E03947" w:rsidRDefault="00BE69EC" w:rsidP="00E03947">
      <w:pPr>
        <w:jc w:val="both"/>
        <w:rPr>
          <w:bCs/>
          <w:iCs/>
          <w:sz w:val="24"/>
          <w:szCs w:val="24"/>
        </w:rPr>
      </w:pPr>
      <w:r w:rsidRPr="00BE69EC">
        <w:rPr>
          <w:bCs/>
          <w:iCs/>
          <w:sz w:val="24"/>
          <w:szCs w:val="24"/>
        </w:rPr>
        <w:t xml:space="preserve">Budovanie </w:t>
      </w:r>
      <w:r w:rsidR="00086686">
        <w:rPr>
          <w:bCs/>
          <w:iCs/>
          <w:sz w:val="24"/>
          <w:szCs w:val="24"/>
        </w:rPr>
        <w:t xml:space="preserve">základnej </w:t>
      </w:r>
      <w:r w:rsidRPr="00BE69EC">
        <w:rPr>
          <w:bCs/>
          <w:iCs/>
          <w:sz w:val="24"/>
          <w:szCs w:val="24"/>
        </w:rPr>
        <w:t>dopravnej infraštruktúry je jednou z priorít vlády SR v rokoch 2016 až 2020.</w:t>
      </w:r>
      <w:r w:rsidR="00836C6C">
        <w:rPr>
          <w:bCs/>
          <w:iCs/>
          <w:sz w:val="24"/>
          <w:szCs w:val="24"/>
        </w:rPr>
        <w:t xml:space="preserve"> Napriek tomu, v</w:t>
      </w:r>
      <w:r w:rsidR="00E03947">
        <w:rPr>
          <w:bCs/>
          <w:iCs/>
          <w:sz w:val="24"/>
          <w:szCs w:val="24"/>
        </w:rPr>
        <w:t xml:space="preserve">yčlenené prostriedky na </w:t>
      </w:r>
      <w:r w:rsidR="00E03947" w:rsidRPr="00E03947">
        <w:rPr>
          <w:bCs/>
          <w:iCs/>
          <w:sz w:val="24"/>
          <w:szCs w:val="24"/>
        </w:rPr>
        <w:t xml:space="preserve">údržbu a opravu diaľnic </w:t>
      </w:r>
      <w:r w:rsidR="00E03947">
        <w:rPr>
          <w:bCs/>
          <w:iCs/>
          <w:sz w:val="24"/>
          <w:szCs w:val="24"/>
        </w:rPr>
        <w:t xml:space="preserve">a rýchlostných ciest </w:t>
      </w:r>
      <w:r w:rsidR="00E03947" w:rsidRPr="00E03947">
        <w:rPr>
          <w:bCs/>
          <w:iCs/>
          <w:sz w:val="24"/>
          <w:szCs w:val="24"/>
        </w:rPr>
        <w:t>v rozpočte verejnej správy na rok 2019 – 2021</w:t>
      </w:r>
      <w:r w:rsidR="00E03947">
        <w:rPr>
          <w:bCs/>
          <w:iCs/>
          <w:sz w:val="24"/>
          <w:szCs w:val="24"/>
        </w:rPr>
        <w:t>, ako aj l</w:t>
      </w:r>
      <w:r w:rsidR="00E03947" w:rsidRPr="00E03947">
        <w:rPr>
          <w:bCs/>
          <w:iCs/>
          <w:sz w:val="24"/>
          <w:szCs w:val="24"/>
        </w:rPr>
        <w:t>imit kapitálových výdavkov na výstavbu diaľnic a rýchlostných ciest na rok 2019</w:t>
      </w:r>
      <w:r w:rsidR="00A56F12">
        <w:rPr>
          <w:bCs/>
          <w:iCs/>
          <w:sz w:val="24"/>
          <w:szCs w:val="24"/>
        </w:rPr>
        <w:t>,</w:t>
      </w:r>
      <w:r w:rsidR="00E03947">
        <w:rPr>
          <w:bCs/>
          <w:iCs/>
          <w:sz w:val="24"/>
          <w:szCs w:val="24"/>
        </w:rPr>
        <w:t xml:space="preserve"> </w:t>
      </w:r>
      <w:r w:rsidR="00E03947" w:rsidRPr="00836C6C">
        <w:rPr>
          <w:bCs/>
          <w:iCs/>
          <w:sz w:val="24"/>
          <w:szCs w:val="24"/>
        </w:rPr>
        <w:t>nie sú dostatočné</w:t>
      </w:r>
      <w:r w:rsidR="00E03947">
        <w:rPr>
          <w:bCs/>
          <w:iCs/>
          <w:sz w:val="24"/>
          <w:szCs w:val="24"/>
        </w:rPr>
        <w:t>. Rovnako aj v návrhu</w:t>
      </w:r>
      <w:r w:rsidR="00E03947" w:rsidRPr="00E03947">
        <w:rPr>
          <w:bCs/>
          <w:iCs/>
          <w:sz w:val="24"/>
          <w:szCs w:val="24"/>
        </w:rPr>
        <w:t xml:space="preserve"> limitu výdavkov pre  NDS je aj pre roky 2019 </w:t>
      </w:r>
      <w:r w:rsidR="00E03947">
        <w:rPr>
          <w:bCs/>
          <w:iCs/>
          <w:sz w:val="24"/>
          <w:szCs w:val="24"/>
        </w:rPr>
        <w:t>–</w:t>
      </w:r>
      <w:r w:rsidR="00E03947" w:rsidRPr="00E03947">
        <w:rPr>
          <w:bCs/>
          <w:iCs/>
          <w:sz w:val="24"/>
          <w:szCs w:val="24"/>
        </w:rPr>
        <w:t xml:space="preserve"> 2021 započítané zníženie dotácií na opravy a údržbu diaľnic a rýchlostných ciest o 8 mil. eur ročne, ktoré mali byť kompenzované zvýšením príjmov z predaja elektronických diaľničných známok (ďalej len „ eDZ“) z dôvodu zvýšenia ich cien. </w:t>
      </w:r>
      <w:r w:rsidR="00A56F12">
        <w:rPr>
          <w:bCs/>
          <w:iCs/>
          <w:sz w:val="24"/>
          <w:szCs w:val="24"/>
        </w:rPr>
        <w:t>Z</w:t>
      </w:r>
      <w:r w:rsidR="00E03947">
        <w:rPr>
          <w:bCs/>
          <w:iCs/>
          <w:sz w:val="24"/>
          <w:szCs w:val="24"/>
        </w:rPr>
        <w:t xml:space="preserve">výšenie </w:t>
      </w:r>
      <w:r w:rsidR="00E03947" w:rsidRPr="00E03947">
        <w:rPr>
          <w:bCs/>
          <w:iCs/>
          <w:sz w:val="24"/>
          <w:szCs w:val="24"/>
        </w:rPr>
        <w:t xml:space="preserve">cien eDZ v rokoch  2017 a 2018 </w:t>
      </w:r>
      <w:r w:rsidR="00E03947">
        <w:rPr>
          <w:bCs/>
          <w:iCs/>
          <w:sz w:val="24"/>
          <w:szCs w:val="24"/>
        </w:rPr>
        <w:t xml:space="preserve">nebolo </w:t>
      </w:r>
      <w:r w:rsidR="00E03947" w:rsidRPr="00E03947">
        <w:rPr>
          <w:bCs/>
          <w:iCs/>
          <w:sz w:val="24"/>
          <w:szCs w:val="24"/>
        </w:rPr>
        <w:t>realizované (predpokladá sa, že ani v roku</w:t>
      </w:r>
      <w:r w:rsidR="00E03947">
        <w:rPr>
          <w:bCs/>
          <w:iCs/>
          <w:sz w:val="24"/>
          <w:szCs w:val="24"/>
        </w:rPr>
        <w:t xml:space="preserve"> 2019 nebude zvýšenie cien eDZ) a</w:t>
      </w:r>
      <w:r w:rsidR="00E03947" w:rsidRPr="00E03947">
        <w:rPr>
          <w:bCs/>
          <w:iCs/>
          <w:sz w:val="24"/>
          <w:szCs w:val="24"/>
        </w:rPr>
        <w:t xml:space="preserve"> </w:t>
      </w:r>
      <w:r w:rsidR="00E03947">
        <w:rPr>
          <w:bCs/>
          <w:iCs/>
          <w:sz w:val="24"/>
          <w:szCs w:val="24"/>
        </w:rPr>
        <w:t>k</w:t>
      </w:r>
      <w:r w:rsidR="00E03947" w:rsidRPr="00E03947">
        <w:rPr>
          <w:bCs/>
          <w:iCs/>
          <w:sz w:val="24"/>
          <w:szCs w:val="24"/>
        </w:rPr>
        <w:t xml:space="preserve"> úprave limitu výdavkov nedošlo</w:t>
      </w:r>
      <w:r w:rsidR="00E03947">
        <w:rPr>
          <w:bCs/>
          <w:iCs/>
          <w:sz w:val="24"/>
          <w:szCs w:val="24"/>
        </w:rPr>
        <w:t>.</w:t>
      </w:r>
    </w:p>
    <w:p w:rsidR="00E03947" w:rsidRDefault="00E03947" w:rsidP="00BE69EC">
      <w:pPr>
        <w:jc w:val="both"/>
        <w:rPr>
          <w:bCs/>
          <w:iCs/>
          <w:sz w:val="24"/>
          <w:szCs w:val="24"/>
        </w:rPr>
      </w:pPr>
    </w:p>
    <w:p w:rsidR="00BE69EC" w:rsidRPr="00A56F12" w:rsidRDefault="00A56F12" w:rsidP="00310B5E">
      <w:pPr>
        <w:jc w:val="both"/>
        <w:rPr>
          <w:b/>
          <w:bCs/>
          <w:iCs/>
          <w:sz w:val="24"/>
          <w:szCs w:val="24"/>
        </w:rPr>
      </w:pPr>
      <w:r w:rsidRPr="00A56F12">
        <w:rPr>
          <w:b/>
          <w:bCs/>
          <w:iCs/>
          <w:sz w:val="24"/>
          <w:szCs w:val="24"/>
        </w:rPr>
        <w:t>Slovenská správa ciest</w:t>
      </w:r>
    </w:p>
    <w:p w:rsidR="00A56F12" w:rsidRDefault="00A56F12" w:rsidP="00A56F12">
      <w:pPr>
        <w:pStyle w:val="Odsekzoznamu"/>
        <w:numPr>
          <w:ilvl w:val="0"/>
          <w:numId w:val="23"/>
        </w:numPr>
        <w:spacing w:after="0"/>
        <w:ind w:left="426"/>
        <w:jc w:val="both"/>
        <w:rPr>
          <w:rFonts w:ascii="Times New Roman" w:hAnsi="Times New Roman" w:cs="Times New Roman"/>
          <w:bCs/>
          <w:iCs/>
          <w:sz w:val="24"/>
          <w:szCs w:val="24"/>
        </w:rPr>
      </w:pPr>
      <w:r w:rsidRPr="00A56F12">
        <w:rPr>
          <w:rFonts w:ascii="Times New Roman" w:hAnsi="Times New Roman" w:cs="Times New Roman"/>
          <w:bCs/>
          <w:iCs/>
          <w:sz w:val="24"/>
          <w:szCs w:val="24"/>
        </w:rPr>
        <w:t>V návrhu rozpočtu pre rok 2019 pre Slovenskú správu ciest (ďalej len „SSC“)</w:t>
      </w:r>
      <w:r w:rsidRPr="00A56F12">
        <w:rPr>
          <w:rFonts w:ascii="Times New Roman" w:hAnsi="Times New Roman" w:cs="Times New Roman"/>
        </w:rPr>
        <w:t xml:space="preserve"> </w:t>
      </w:r>
      <w:r w:rsidRPr="00A56F12">
        <w:rPr>
          <w:rFonts w:ascii="Times New Roman" w:hAnsi="Times New Roman" w:cs="Times New Roman"/>
          <w:bCs/>
          <w:iCs/>
          <w:sz w:val="24"/>
          <w:szCs w:val="24"/>
        </w:rPr>
        <w:t xml:space="preserve">naďalej pretrváva stav, kedy sú finančné prostriedky na </w:t>
      </w:r>
      <w:r w:rsidRPr="00A56F12">
        <w:rPr>
          <w:rFonts w:ascii="Times New Roman" w:hAnsi="Times New Roman" w:cs="Times New Roman"/>
          <w:b/>
          <w:bCs/>
          <w:iCs/>
          <w:sz w:val="24"/>
          <w:szCs w:val="24"/>
        </w:rPr>
        <w:t>platy zamestnancov značne poddimenzované</w:t>
      </w:r>
      <w:r w:rsidRPr="00A56F12">
        <w:rPr>
          <w:rFonts w:ascii="Times New Roman" w:hAnsi="Times New Roman" w:cs="Times New Roman"/>
          <w:bCs/>
          <w:iCs/>
          <w:sz w:val="24"/>
          <w:szCs w:val="24"/>
        </w:rPr>
        <w:t>. SSC od svojho vzniku do dnešného dňa pravidelne zápasí s problémami súvisiacimi s rozpisom záväzných limitov na platy, odvody, bežné transfery a počet zamestnancov.</w:t>
      </w:r>
    </w:p>
    <w:p w:rsidR="00A56F12" w:rsidRPr="00A56F12" w:rsidRDefault="00A56F12" w:rsidP="00A56F12">
      <w:pPr>
        <w:pStyle w:val="Odsekzoznamu"/>
        <w:spacing w:after="0"/>
        <w:ind w:left="425"/>
        <w:jc w:val="both"/>
        <w:rPr>
          <w:rFonts w:ascii="Times New Roman" w:hAnsi="Times New Roman" w:cs="Times New Roman"/>
          <w:bCs/>
          <w:iCs/>
          <w:sz w:val="24"/>
          <w:szCs w:val="24"/>
        </w:rPr>
      </w:pPr>
      <w:r w:rsidRPr="00A56F12">
        <w:rPr>
          <w:rFonts w:ascii="Times New Roman" w:hAnsi="Times New Roman" w:cs="Times New Roman"/>
          <w:bCs/>
          <w:iCs/>
          <w:sz w:val="24"/>
          <w:szCs w:val="24"/>
        </w:rPr>
        <w:t xml:space="preserve">Čiastočné riešenie tejto otázky prináša premietnutie </w:t>
      </w:r>
      <w:r>
        <w:rPr>
          <w:rFonts w:ascii="Times New Roman" w:hAnsi="Times New Roman" w:cs="Times New Roman"/>
          <w:bCs/>
          <w:iCs/>
          <w:sz w:val="24"/>
          <w:szCs w:val="24"/>
        </w:rPr>
        <w:t xml:space="preserve">valorizácie platov z roku 2018 a </w:t>
      </w:r>
      <w:r w:rsidRPr="00A56F12">
        <w:rPr>
          <w:rFonts w:ascii="Times New Roman" w:hAnsi="Times New Roman" w:cs="Times New Roman"/>
          <w:bCs/>
          <w:iCs/>
          <w:sz w:val="24"/>
          <w:szCs w:val="24"/>
        </w:rPr>
        <w:t xml:space="preserve">zabezpečenie finančných prostriedkov na valorizáciu platov zamestnancov od 1. januára 2019 na úrovni 10 % v zmysle vyhlásenia zástupcov sociálnych partnerov k dohode o kolektívnych zmluvách vyššieho stupňa v štátnej službe a vo verejnej službe na roky 2019 a 2020. </w:t>
      </w:r>
    </w:p>
    <w:p w:rsidR="007802EF" w:rsidRDefault="00A56F12" w:rsidP="007802EF">
      <w:pPr>
        <w:pStyle w:val="Odsekzoznamu"/>
        <w:spacing w:after="0"/>
        <w:ind w:left="425"/>
        <w:jc w:val="both"/>
        <w:rPr>
          <w:rFonts w:ascii="Times New Roman" w:hAnsi="Times New Roman" w:cs="Times New Roman"/>
          <w:bCs/>
          <w:iCs/>
          <w:sz w:val="24"/>
          <w:szCs w:val="24"/>
        </w:rPr>
      </w:pPr>
      <w:r w:rsidRPr="00A56F12">
        <w:rPr>
          <w:rFonts w:ascii="Times New Roman" w:hAnsi="Times New Roman" w:cs="Times New Roman"/>
          <w:bCs/>
          <w:iCs/>
          <w:sz w:val="24"/>
          <w:szCs w:val="24"/>
        </w:rPr>
        <w:t xml:space="preserve">Aj napriek týmto pozitívnym posunom, v roku 2019 </w:t>
      </w:r>
      <w:r w:rsidRPr="00A56F12">
        <w:rPr>
          <w:rFonts w:ascii="Times New Roman" w:hAnsi="Times New Roman" w:cs="Times New Roman"/>
          <w:b/>
          <w:bCs/>
          <w:iCs/>
          <w:sz w:val="24"/>
          <w:szCs w:val="24"/>
        </w:rPr>
        <w:t>bude problém poddimenzovanosti finančných prostriedkov na platy zamestnancov značný</w:t>
      </w:r>
      <w:r w:rsidRPr="00A56F12">
        <w:rPr>
          <w:rFonts w:ascii="Times New Roman" w:hAnsi="Times New Roman" w:cs="Times New Roman"/>
          <w:bCs/>
          <w:iCs/>
          <w:sz w:val="24"/>
          <w:szCs w:val="24"/>
        </w:rPr>
        <w:t xml:space="preserve">. Bude pretrvávať a prehlbovať sa najmä z dôvodu vekovej štruktúry kvalifikovaných zamestnancov, ktorá je v nadpolovičnej väčšine nad hranicou 50-55 rokov a na druhej strane nie je možné na ich miesto prijať nových mladších zamestnancov za súčasných platových podmienok. Preto </w:t>
      </w:r>
      <w:r w:rsidRPr="00A56F12">
        <w:rPr>
          <w:rFonts w:ascii="Times New Roman" w:hAnsi="Times New Roman" w:cs="Times New Roman"/>
          <w:b/>
          <w:bCs/>
          <w:iCs/>
          <w:sz w:val="24"/>
          <w:szCs w:val="24"/>
        </w:rPr>
        <w:t>žiadame navýšenie finančné prostriedky na platy zamestnancov SSC minimálne o 10 % nad navrhovaný limit</w:t>
      </w:r>
      <w:r w:rsidRPr="00A56F12">
        <w:rPr>
          <w:rFonts w:ascii="Times New Roman" w:hAnsi="Times New Roman" w:cs="Times New Roman"/>
          <w:bCs/>
          <w:iCs/>
          <w:sz w:val="24"/>
          <w:szCs w:val="24"/>
        </w:rPr>
        <w:t>.</w:t>
      </w:r>
    </w:p>
    <w:p w:rsidR="007802EF" w:rsidRPr="007802EF" w:rsidRDefault="00A56F12" w:rsidP="007802EF">
      <w:pPr>
        <w:pStyle w:val="Odsekzoznamu"/>
        <w:numPr>
          <w:ilvl w:val="0"/>
          <w:numId w:val="23"/>
        </w:numPr>
        <w:spacing w:after="0"/>
        <w:ind w:left="426"/>
        <w:jc w:val="both"/>
        <w:rPr>
          <w:rFonts w:ascii="Times New Roman" w:hAnsi="Times New Roman" w:cs="Times New Roman"/>
          <w:bCs/>
          <w:iCs/>
          <w:sz w:val="24"/>
          <w:szCs w:val="24"/>
        </w:rPr>
      </w:pPr>
      <w:r w:rsidRPr="007802EF">
        <w:rPr>
          <w:rFonts w:ascii="Times New Roman" w:hAnsi="Times New Roman" w:cs="Times New Roman"/>
          <w:color w:val="000000"/>
          <w:sz w:val="24"/>
          <w:szCs w:val="24"/>
        </w:rPr>
        <w:t xml:space="preserve">Vzhľadom na neuspokojivý technický stav ciest a mostov v správe SSC, t. z. dlhodobým nedofinancovaním  údržby a opravy týchto objektov nemožno dosiahnuť štandard </w:t>
      </w:r>
      <w:r w:rsidRPr="007802EF">
        <w:rPr>
          <w:rFonts w:ascii="Times New Roman" w:hAnsi="Times New Roman" w:cs="Times New Roman"/>
          <w:b/>
          <w:color w:val="000000"/>
          <w:sz w:val="24"/>
          <w:szCs w:val="24"/>
        </w:rPr>
        <w:t xml:space="preserve">údržby </w:t>
      </w:r>
      <w:r w:rsidR="007802EF" w:rsidRPr="007802EF">
        <w:rPr>
          <w:rFonts w:ascii="Times New Roman" w:hAnsi="Times New Roman" w:cs="Times New Roman"/>
          <w:b/>
          <w:color w:val="000000"/>
          <w:sz w:val="24"/>
          <w:szCs w:val="24"/>
        </w:rPr>
        <w:t xml:space="preserve">a opravy </w:t>
      </w:r>
      <w:r w:rsidRPr="007802EF">
        <w:rPr>
          <w:rFonts w:ascii="Times New Roman" w:hAnsi="Times New Roman" w:cs="Times New Roman"/>
          <w:b/>
          <w:color w:val="000000"/>
          <w:sz w:val="24"/>
          <w:szCs w:val="24"/>
        </w:rPr>
        <w:t>ciest I. triedy</w:t>
      </w:r>
      <w:r w:rsidRPr="007802EF">
        <w:rPr>
          <w:rFonts w:ascii="Times New Roman" w:hAnsi="Times New Roman" w:cs="Times New Roman"/>
          <w:color w:val="000000"/>
          <w:sz w:val="24"/>
          <w:szCs w:val="24"/>
        </w:rPr>
        <w:t xml:space="preserve">. </w:t>
      </w:r>
      <w:r w:rsidRPr="007802EF">
        <w:rPr>
          <w:rFonts w:ascii="Times New Roman" w:hAnsi="Times New Roman" w:cs="Times New Roman"/>
          <w:sz w:val="24"/>
          <w:szCs w:val="24"/>
        </w:rPr>
        <w:t>V správe SSC po poslednej hlavnej prehliadke ciest (v roku 2017) cesty v nevyhovujúcom stave predstavujú 32,35%, čo činí 1048,305 km (z toho v havarijnom stave je 7,01%, 227,071 km ciest I. triedy). Je to spôsobené nedostatočnou cyklickou údržbou vozoviek</w:t>
      </w:r>
      <w:r w:rsidR="007802EF" w:rsidRPr="007802EF">
        <w:rPr>
          <w:rFonts w:ascii="Times New Roman" w:hAnsi="Times New Roman" w:cs="Times New Roman"/>
          <w:sz w:val="24"/>
          <w:szCs w:val="24"/>
        </w:rPr>
        <w:t>.</w:t>
      </w:r>
    </w:p>
    <w:p w:rsidR="00A56F12" w:rsidRPr="007802EF" w:rsidRDefault="007802EF" w:rsidP="007802EF">
      <w:pPr>
        <w:pStyle w:val="Odsekzoznamu"/>
        <w:spacing w:after="0"/>
        <w:ind w:left="426"/>
        <w:jc w:val="both"/>
        <w:rPr>
          <w:rFonts w:ascii="Times New Roman" w:hAnsi="Times New Roman" w:cs="Times New Roman"/>
          <w:bCs/>
          <w:iCs/>
          <w:sz w:val="24"/>
          <w:szCs w:val="24"/>
        </w:rPr>
      </w:pPr>
      <w:r>
        <w:rPr>
          <w:rFonts w:ascii="Times New Roman" w:hAnsi="Times New Roman" w:cs="Times New Roman"/>
          <w:sz w:val="24"/>
          <w:szCs w:val="24"/>
        </w:rPr>
        <w:t xml:space="preserve">Preto </w:t>
      </w:r>
      <w:r w:rsidR="00A56F12" w:rsidRPr="007802EF">
        <w:rPr>
          <w:rFonts w:ascii="Times New Roman" w:hAnsi="Times New Roman" w:cs="Times New Roman"/>
          <w:b/>
          <w:sz w:val="24"/>
          <w:szCs w:val="24"/>
        </w:rPr>
        <w:t>požadujeme a podporujeme požiadavku MDV SR</w:t>
      </w:r>
      <w:r w:rsidR="00A56F12" w:rsidRPr="007802EF">
        <w:rPr>
          <w:rFonts w:ascii="Times New Roman" w:hAnsi="Times New Roman" w:cs="Times New Roman"/>
          <w:sz w:val="24"/>
          <w:szCs w:val="24"/>
        </w:rPr>
        <w:t xml:space="preserve"> pre zabezpečenie údržby a opráv ciest I. triedy na úrovni stanovenej minimálnym štandardom </w:t>
      </w:r>
      <w:r w:rsidR="00A56F12" w:rsidRPr="007802EF">
        <w:rPr>
          <w:rFonts w:ascii="Times New Roman" w:hAnsi="Times New Roman" w:cs="Times New Roman"/>
          <w:b/>
          <w:sz w:val="24"/>
          <w:szCs w:val="24"/>
        </w:rPr>
        <w:t>o zvýšenie výd</w:t>
      </w:r>
      <w:r w:rsidR="00086686">
        <w:rPr>
          <w:rFonts w:ascii="Times New Roman" w:hAnsi="Times New Roman" w:cs="Times New Roman"/>
          <w:b/>
          <w:sz w:val="24"/>
          <w:szCs w:val="24"/>
        </w:rPr>
        <w:t>avkov  o 85 000 tis. eur, v tom</w:t>
      </w:r>
      <w:r w:rsidR="00A56F12" w:rsidRPr="007802EF">
        <w:rPr>
          <w:rFonts w:ascii="Times New Roman" w:hAnsi="Times New Roman" w:cs="Times New Roman"/>
          <w:b/>
          <w:sz w:val="24"/>
          <w:szCs w:val="24"/>
        </w:rPr>
        <w:t xml:space="preserve">: </w:t>
      </w:r>
    </w:p>
    <w:p w:rsidR="00A56F12" w:rsidRPr="007802EF" w:rsidRDefault="00A56F12" w:rsidP="00A56F12">
      <w:pPr>
        <w:pStyle w:val="Odsekzoznamu"/>
        <w:numPr>
          <w:ilvl w:val="0"/>
          <w:numId w:val="21"/>
        </w:numPr>
        <w:spacing w:after="0"/>
        <w:jc w:val="both"/>
        <w:rPr>
          <w:rFonts w:ascii="Times New Roman" w:hAnsi="Times New Roman" w:cs="Times New Roman"/>
          <w:b/>
          <w:sz w:val="24"/>
          <w:szCs w:val="24"/>
          <w:lang w:eastAsia="cs-CZ"/>
        </w:rPr>
      </w:pPr>
      <w:r w:rsidRPr="007802EF">
        <w:rPr>
          <w:rFonts w:ascii="Times New Roman" w:hAnsi="Times New Roman" w:cs="Times New Roman"/>
          <w:b/>
          <w:sz w:val="24"/>
          <w:szCs w:val="24"/>
          <w:lang w:eastAsia="cs-CZ"/>
        </w:rPr>
        <w:t>na dofinancovanie bežnej údržby a opravy ciest I. triedy 35 000 tis. eur;</w:t>
      </w:r>
    </w:p>
    <w:p w:rsidR="007802EF" w:rsidRDefault="00A56F12" w:rsidP="007802EF">
      <w:pPr>
        <w:pStyle w:val="Odsekzoznamu"/>
        <w:numPr>
          <w:ilvl w:val="0"/>
          <w:numId w:val="21"/>
        </w:numPr>
        <w:spacing w:after="0"/>
        <w:jc w:val="both"/>
        <w:rPr>
          <w:rFonts w:ascii="Times New Roman" w:hAnsi="Times New Roman" w:cs="Times New Roman"/>
          <w:sz w:val="24"/>
          <w:szCs w:val="24"/>
          <w:lang w:eastAsia="cs-CZ"/>
        </w:rPr>
      </w:pPr>
      <w:r w:rsidRPr="007802EF">
        <w:rPr>
          <w:rFonts w:ascii="Times New Roman" w:hAnsi="Times New Roman" w:cs="Times New Roman"/>
          <w:b/>
          <w:sz w:val="24"/>
          <w:szCs w:val="24"/>
          <w:lang w:eastAsia="cs-CZ"/>
        </w:rPr>
        <w:t>na veľkoplošné opravy vozoviek podľa stanoveného prerozdelenia na jednotlivé kraje  50 000 tis. eur</w:t>
      </w:r>
      <w:r w:rsidRPr="007802EF">
        <w:rPr>
          <w:rFonts w:ascii="Times New Roman" w:hAnsi="Times New Roman" w:cs="Times New Roman"/>
          <w:sz w:val="24"/>
          <w:szCs w:val="24"/>
          <w:lang w:eastAsia="cs-CZ"/>
        </w:rPr>
        <w:t xml:space="preserve">. </w:t>
      </w:r>
    </w:p>
    <w:p w:rsidR="007802EF" w:rsidRDefault="007802EF" w:rsidP="007802EF">
      <w:pPr>
        <w:ind w:left="426"/>
        <w:jc w:val="both"/>
        <w:rPr>
          <w:sz w:val="24"/>
          <w:szCs w:val="24"/>
        </w:rPr>
      </w:pPr>
      <w:r w:rsidRPr="007802EF">
        <w:rPr>
          <w:b/>
          <w:sz w:val="24"/>
          <w:szCs w:val="24"/>
        </w:rPr>
        <w:t>Zásadne odmietame postup</w:t>
      </w:r>
      <w:r w:rsidRPr="007802EF">
        <w:rPr>
          <w:sz w:val="24"/>
          <w:szCs w:val="24"/>
        </w:rPr>
        <w:t xml:space="preserve"> pre zabezpečovania ďalších finančných prostriedkov pre SSC rokovaniami MDV SR s MF SR v priebehu roka o možnostiach navýšenia limitu výdavkov na tento účel tak, ako to bolo aj v roku 2017 a 2018, kedy došlo k úprave rozpočtu SSC vo výške 30 mil. eur, nakoľko je to neistota pre SSC v zabezpečovaní úloh</w:t>
      </w:r>
      <w:r>
        <w:rPr>
          <w:sz w:val="24"/>
          <w:szCs w:val="24"/>
        </w:rPr>
        <w:t>.</w:t>
      </w:r>
    </w:p>
    <w:p w:rsidR="007802EF" w:rsidRPr="007802EF" w:rsidRDefault="007802EF" w:rsidP="007802EF">
      <w:pPr>
        <w:pStyle w:val="Odsekzoznamu"/>
        <w:numPr>
          <w:ilvl w:val="0"/>
          <w:numId w:val="23"/>
        </w:numPr>
        <w:spacing w:after="0"/>
        <w:ind w:left="426"/>
        <w:jc w:val="both"/>
        <w:rPr>
          <w:rFonts w:ascii="Times New Roman" w:hAnsi="Times New Roman" w:cs="Times New Roman"/>
          <w:sz w:val="24"/>
          <w:szCs w:val="24"/>
        </w:rPr>
      </w:pPr>
      <w:r w:rsidRPr="007802EF">
        <w:rPr>
          <w:rFonts w:ascii="Times New Roman" w:hAnsi="Times New Roman" w:cs="Times New Roman"/>
          <w:b/>
          <w:sz w:val="24"/>
          <w:szCs w:val="24"/>
        </w:rPr>
        <w:lastRenderedPageBreak/>
        <w:t>Návrh limitov kapitálových výdavkov na výstavbu ciest I. triedy už niekoľko rokov nepostačuje</w:t>
      </w:r>
      <w:r w:rsidRPr="007802EF">
        <w:rPr>
          <w:rFonts w:ascii="Times New Roman" w:hAnsi="Times New Roman" w:cs="Times New Roman"/>
          <w:sz w:val="24"/>
          <w:szCs w:val="24"/>
        </w:rPr>
        <w:t xml:space="preserve"> ani na základné úlohy vyplývajúce pre SSC v oblasti prípravy projektov pre čerpanie OPII, výstavby cestnej siete a najmä riešenia majetkovoprávnej prípravy pozemkov pod existujúcimi cestami I. triedy, kde sa množia neriešené požiadavky vlastníkov a s tým súvisiacich súdnych sporov. </w:t>
      </w:r>
      <w:r w:rsidRPr="007802EF">
        <w:rPr>
          <w:rFonts w:ascii="Times New Roman" w:hAnsi="Times New Roman" w:cs="Times New Roman"/>
          <w:b/>
          <w:sz w:val="24"/>
          <w:szCs w:val="24"/>
        </w:rPr>
        <w:t>V ostatných rokoch boli financované iba havárie a mimoriadne situácie</w:t>
      </w:r>
      <w:r w:rsidRPr="007802EF">
        <w:rPr>
          <w:rFonts w:ascii="Times New Roman" w:hAnsi="Times New Roman" w:cs="Times New Roman"/>
          <w:sz w:val="24"/>
          <w:szCs w:val="24"/>
        </w:rPr>
        <w:t>. V ponímaní SSC išlo prevažne o tzv. zosuvy. Pri vysokom počte evidovaných zosuvov na jednotlivých úsekoch ciest I. triedy nebude možné tieto pripraviť ani len projekčne, ani zabezpečiť majetkovú prípravu.</w:t>
      </w:r>
    </w:p>
    <w:p w:rsidR="007802EF" w:rsidRPr="007802EF" w:rsidRDefault="007802EF" w:rsidP="007802EF">
      <w:pPr>
        <w:pStyle w:val="Odsekzoznamu"/>
        <w:spacing w:after="0"/>
        <w:ind w:left="426"/>
        <w:jc w:val="both"/>
        <w:rPr>
          <w:rFonts w:ascii="Times New Roman" w:hAnsi="Times New Roman" w:cs="Times New Roman"/>
          <w:b/>
          <w:sz w:val="24"/>
          <w:szCs w:val="24"/>
        </w:rPr>
      </w:pPr>
      <w:r w:rsidRPr="007802EF">
        <w:rPr>
          <w:rFonts w:ascii="Times New Roman" w:hAnsi="Times New Roman" w:cs="Times New Roman"/>
          <w:b/>
          <w:sz w:val="24"/>
          <w:szCs w:val="24"/>
        </w:rPr>
        <w:t>Zásadne nesúhlasíme s t</w:t>
      </w:r>
      <w:r>
        <w:rPr>
          <w:rFonts w:ascii="Times New Roman" w:hAnsi="Times New Roman" w:cs="Times New Roman"/>
          <w:b/>
          <w:sz w:val="24"/>
          <w:szCs w:val="24"/>
        </w:rPr>
        <w:t xml:space="preserve">ýmto návrhom a aj v tomto roku, </w:t>
      </w:r>
      <w:r w:rsidRPr="007802EF">
        <w:rPr>
          <w:rFonts w:ascii="Times New Roman" w:hAnsi="Times New Roman" w:cs="Times New Roman"/>
          <w:b/>
          <w:sz w:val="24"/>
          <w:szCs w:val="24"/>
        </w:rPr>
        <w:t>podporuje</w:t>
      </w:r>
      <w:r>
        <w:rPr>
          <w:rFonts w:ascii="Times New Roman" w:hAnsi="Times New Roman" w:cs="Times New Roman"/>
          <w:b/>
          <w:sz w:val="24"/>
          <w:szCs w:val="24"/>
        </w:rPr>
        <w:t>me</w:t>
      </w:r>
      <w:r w:rsidRPr="007802EF">
        <w:rPr>
          <w:rFonts w:ascii="Times New Roman" w:hAnsi="Times New Roman" w:cs="Times New Roman"/>
          <w:b/>
          <w:sz w:val="24"/>
          <w:szCs w:val="24"/>
        </w:rPr>
        <w:t xml:space="preserve"> požiadavku MDV SR o úpravu limitu výdavkov pre SSC na výstavbu, rekonštrukciu a modernizáciu ciest I. triedy v roku 2019  o 163 676 tis. eur.      </w:t>
      </w:r>
      <w:r w:rsidRPr="007802EF">
        <w:rPr>
          <w:rFonts w:ascii="Times New Roman" w:hAnsi="Times New Roman" w:cs="Times New Roman"/>
          <w:b/>
          <w:color w:val="FF0000"/>
          <w:sz w:val="24"/>
          <w:szCs w:val="24"/>
        </w:rPr>
        <w:t xml:space="preserve">                       </w:t>
      </w:r>
    </w:p>
    <w:p w:rsidR="007802EF" w:rsidRPr="007802EF" w:rsidRDefault="007802EF" w:rsidP="007802EF">
      <w:pPr>
        <w:pStyle w:val="titulok"/>
        <w:spacing w:before="0" w:beforeAutospacing="0" w:after="0" w:afterAutospacing="0"/>
        <w:ind w:left="426"/>
        <w:jc w:val="both"/>
        <w:rPr>
          <w:rFonts w:ascii="Times New Roman" w:hAnsi="Times New Roman" w:cs="Times New Roman"/>
          <w:b w:val="0"/>
          <w:bCs w:val="0"/>
          <w:color w:val="auto"/>
          <w:lang w:eastAsia="cs-CZ"/>
        </w:rPr>
      </w:pPr>
      <w:r w:rsidRPr="007802EF">
        <w:rPr>
          <w:rFonts w:ascii="Times New Roman" w:hAnsi="Times New Roman" w:cs="Times New Roman"/>
          <w:bCs w:val="0"/>
          <w:color w:val="auto"/>
          <w:lang w:eastAsia="cs-CZ"/>
        </w:rPr>
        <w:t>Aj napriek tomu že návrh nezohľadňuje skutočné potreby na tento účel, ako určité pozitívum</w:t>
      </w:r>
      <w:r>
        <w:rPr>
          <w:rFonts w:ascii="Times New Roman" w:hAnsi="Times New Roman" w:cs="Times New Roman"/>
          <w:b w:val="0"/>
          <w:bCs w:val="0"/>
          <w:color w:val="auto"/>
          <w:lang w:eastAsia="cs-CZ"/>
        </w:rPr>
        <w:t xml:space="preserve"> </w:t>
      </w:r>
      <w:r w:rsidRPr="007802EF">
        <w:rPr>
          <w:rFonts w:ascii="Times New Roman" w:hAnsi="Times New Roman" w:cs="Times New Roman"/>
          <w:b w:val="0"/>
          <w:bCs w:val="0"/>
          <w:color w:val="auto"/>
          <w:lang w:eastAsia="cs-CZ"/>
        </w:rPr>
        <w:t xml:space="preserve">možno považovať, že zvýšenie rozpočtu kapitoly MDV SR sa očakáva z realokácií výdavkov zo zdrojov EÚ a príslušného spolufinancovania. V prípade nižšej realokácie výdavkov sú v návrhu rozpočtu verejnej správy vytvorené podmienky pre zabezpečenie nevyhnutných finančných prostriedkov na investičné potreby rezortu. V rámci rezervy v kapitole Všeobecná pokladničná správa je Rezerva na rok 2019 vo výške 150 mil. eur, ktorá v prípade potreby môže byť využitá na investície a infraštruktúrne projekty. </w:t>
      </w:r>
    </w:p>
    <w:p w:rsidR="007802EF" w:rsidRDefault="007802EF" w:rsidP="007802EF">
      <w:pPr>
        <w:jc w:val="both"/>
        <w:rPr>
          <w:sz w:val="24"/>
          <w:szCs w:val="24"/>
          <w:lang w:eastAsia="cs-CZ"/>
        </w:rPr>
      </w:pPr>
    </w:p>
    <w:p w:rsidR="007802EF" w:rsidRDefault="007802EF" w:rsidP="007802EF">
      <w:pPr>
        <w:jc w:val="both"/>
        <w:rPr>
          <w:b/>
          <w:sz w:val="24"/>
          <w:szCs w:val="24"/>
          <w:lang w:eastAsia="cs-CZ"/>
        </w:rPr>
      </w:pPr>
      <w:r>
        <w:rPr>
          <w:b/>
          <w:sz w:val="24"/>
          <w:szCs w:val="24"/>
          <w:lang w:eastAsia="cs-CZ"/>
        </w:rPr>
        <w:t>Civilné letectvo</w:t>
      </w:r>
    </w:p>
    <w:p w:rsidR="00045A25" w:rsidRPr="00045A25" w:rsidRDefault="00045A25" w:rsidP="00045A25">
      <w:pPr>
        <w:pStyle w:val="Odsekzoznamu"/>
        <w:numPr>
          <w:ilvl w:val="0"/>
          <w:numId w:val="24"/>
        </w:numPr>
        <w:spacing w:after="0"/>
        <w:ind w:left="425" w:hanging="426"/>
        <w:jc w:val="both"/>
        <w:rPr>
          <w:rFonts w:ascii="Times New Roman" w:hAnsi="Times New Roman" w:cs="Times New Roman"/>
          <w:b/>
          <w:iCs/>
          <w:sz w:val="24"/>
          <w:szCs w:val="24"/>
        </w:rPr>
      </w:pPr>
      <w:r w:rsidRPr="00045A25">
        <w:rPr>
          <w:rFonts w:ascii="Times New Roman" w:hAnsi="Times New Roman" w:cs="Times New Roman"/>
          <w:sz w:val="24"/>
          <w:szCs w:val="24"/>
          <w:lang w:eastAsia="cs-CZ"/>
        </w:rPr>
        <w:t>Pozitívne hodnotíme zvýšenie limitov v</w:t>
      </w:r>
      <w:r w:rsidR="007802EF" w:rsidRPr="00045A25">
        <w:rPr>
          <w:rFonts w:ascii="Times New Roman" w:hAnsi="Times New Roman" w:cs="Times New Roman"/>
          <w:sz w:val="24"/>
          <w:szCs w:val="24"/>
          <w:lang w:eastAsia="cs-CZ"/>
        </w:rPr>
        <w:t xml:space="preserve"> oblasti leteckej dopravy</w:t>
      </w:r>
      <w:r w:rsidRPr="00045A25">
        <w:rPr>
          <w:rFonts w:ascii="Times New Roman" w:hAnsi="Times New Roman" w:cs="Times New Roman"/>
          <w:sz w:val="24"/>
          <w:szCs w:val="24"/>
          <w:lang w:eastAsia="cs-CZ"/>
        </w:rPr>
        <w:t xml:space="preserve">. </w:t>
      </w:r>
      <w:r w:rsidR="007802EF" w:rsidRPr="00045A25">
        <w:rPr>
          <w:rFonts w:ascii="Times New Roman" w:hAnsi="Times New Roman" w:cs="Times New Roman"/>
          <w:sz w:val="24"/>
          <w:szCs w:val="24"/>
        </w:rPr>
        <w:t xml:space="preserve">Navrhovaný limit výdavkov na bežné transfery do civilného letectva </w:t>
      </w:r>
      <w:r>
        <w:rPr>
          <w:rFonts w:ascii="Times New Roman" w:hAnsi="Times New Roman" w:cs="Times New Roman"/>
          <w:sz w:val="24"/>
          <w:szCs w:val="24"/>
        </w:rPr>
        <w:t xml:space="preserve">však </w:t>
      </w:r>
      <w:r w:rsidR="007802EF" w:rsidRPr="00045A25">
        <w:rPr>
          <w:rFonts w:ascii="Times New Roman" w:hAnsi="Times New Roman" w:cs="Times New Roman"/>
          <w:sz w:val="24"/>
          <w:szCs w:val="24"/>
        </w:rPr>
        <w:t>naďalej nezabezpečuje základné potreby letiskových spoločností na zabezpečenie činností, na ktoré sú tieto finančné prostriedky určené. P</w:t>
      </w:r>
      <w:r w:rsidR="007802EF" w:rsidRPr="00045A25">
        <w:rPr>
          <w:rFonts w:ascii="Times New Roman" w:hAnsi="Times New Roman" w:cs="Times New Roman"/>
          <w:iCs/>
          <w:sz w:val="24"/>
          <w:szCs w:val="24"/>
        </w:rPr>
        <w:t xml:space="preserve">otreby sú oveľa vyššie, a preto </w:t>
      </w:r>
      <w:r w:rsidR="007802EF" w:rsidRPr="00045A25">
        <w:rPr>
          <w:rFonts w:ascii="Times New Roman" w:hAnsi="Times New Roman" w:cs="Times New Roman"/>
          <w:b/>
          <w:iCs/>
          <w:sz w:val="24"/>
          <w:szCs w:val="24"/>
        </w:rPr>
        <w:t>podporuj</w:t>
      </w:r>
      <w:r w:rsidRPr="00045A25">
        <w:rPr>
          <w:rFonts w:ascii="Times New Roman" w:hAnsi="Times New Roman" w:cs="Times New Roman"/>
          <w:b/>
          <w:iCs/>
          <w:sz w:val="24"/>
          <w:szCs w:val="24"/>
        </w:rPr>
        <w:t>eme</w:t>
      </w:r>
      <w:r w:rsidR="007802EF" w:rsidRPr="00045A25">
        <w:rPr>
          <w:rFonts w:ascii="Times New Roman" w:hAnsi="Times New Roman" w:cs="Times New Roman"/>
          <w:b/>
          <w:iCs/>
          <w:sz w:val="24"/>
          <w:szCs w:val="24"/>
        </w:rPr>
        <w:t xml:space="preserve"> požiadavku MDV SR </w:t>
      </w:r>
      <w:r w:rsidRPr="00045A25">
        <w:rPr>
          <w:rFonts w:ascii="Times New Roman" w:hAnsi="Times New Roman" w:cs="Times New Roman"/>
          <w:b/>
          <w:iCs/>
          <w:sz w:val="24"/>
          <w:szCs w:val="24"/>
        </w:rPr>
        <w:t xml:space="preserve">o ďalšie navýšenie limitu a to </w:t>
      </w:r>
      <w:r w:rsidR="007802EF" w:rsidRPr="00045A25">
        <w:rPr>
          <w:rFonts w:ascii="Times New Roman" w:hAnsi="Times New Roman" w:cs="Times New Roman"/>
          <w:b/>
          <w:iCs/>
          <w:sz w:val="24"/>
          <w:szCs w:val="24"/>
        </w:rPr>
        <w:t xml:space="preserve">o 5 222 tis. eur. </w:t>
      </w:r>
    </w:p>
    <w:p w:rsidR="00045A25" w:rsidRDefault="007802EF" w:rsidP="00045A25">
      <w:pPr>
        <w:pStyle w:val="Odsekzoznamu"/>
        <w:spacing w:after="0"/>
        <w:ind w:left="425"/>
        <w:jc w:val="both"/>
        <w:rPr>
          <w:rFonts w:ascii="Times New Roman" w:hAnsi="Times New Roman" w:cs="Times New Roman"/>
          <w:iCs/>
          <w:sz w:val="24"/>
          <w:szCs w:val="24"/>
        </w:rPr>
      </w:pPr>
      <w:r w:rsidRPr="00045A25">
        <w:rPr>
          <w:rFonts w:ascii="Times New Roman" w:hAnsi="Times New Roman" w:cs="Times New Roman"/>
          <w:iCs/>
          <w:sz w:val="24"/>
          <w:szCs w:val="24"/>
        </w:rPr>
        <w:t xml:space="preserve">Aj napriek tomuto pozitívnejšiemu návrhu, skutočné a nárokovateľné prostriedky budú riešené na základe požiadaviek MDV SR zo strany štátu v priebehu roka </w:t>
      </w:r>
      <w:r w:rsidRPr="00045A25">
        <w:rPr>
          <w:rFonts w:ascii="Times New Roman" w:hAnsi="Times New Roman" w:cs="Times New Roman"/>
          <w:b/>
          <w:iCs/>
          <w:sz w:val="24"/>
          <w:szCs w:val="24"/>
        </w:rPr>
        <w:t>nesystémovými rozpočtovými opatreniami. Tento postup má však nielen negatívny vplyv n</w:t>
      </w:r>
      <w:r w:rsidR="00045A25">
        <w:rPr>
          <w:rFonts w:ascii="Times New Roman" w:hAnsi="Times New Roman" w:cs="Times New Roman"/>
          <w:b/>
          <w:iCs/>
          <w:sz w:val="24"/>
          <w:szCs w:val="24"/>
        </w:rPr>
        <w:t xml:space="preserve">a chod a rozvoj letísk </w:t>
      </w:r>
      <w:r w:rsidRPr="00045A25">
        <w:rPr>
          <w:rFonts w:ascii="Times New Roman" w:hAnsi="Times New Roman" w:cs="Times New Roman"/>
          <w:b/>
          <w:iCs/>
          <w:sz w:val="24"/>
          <w:szCs w:val="24"/>
        </w:rPr>
        <w:t>(nepravidelný a neistý prísun finančných prostriedkov),</w:t>
      </w:r>
      <w:r w:rsidR="00045A25">
        <w:rPr>
          <w:rFonts w:ascii="Times New Roman" w:hAnsi="Times New Roman" w:cs="Times New Roman"/>
          <w:b/>
          <w:iCs/>
          <w:sz w:val="24"/>
          <w:szCs w:val="24"/>
        </w:rPr>
        <w:t xml:space="preserve"> </w:t>
      </w:r>
      <w:r w:rsidRPr="00045A25">
        <w:rPr>
          <w:rFonts w:ascii="Times New Roman" w:hAnsi="Times New Roman" w:cs="Times New Roman"/>
          <w:b/>
          <w:iCs/>
          <w:sz w:val="24"/>
          <w:szCs w:val="24"/>
        </w:rPr>
        <w:t xml:space="preserve">ale predovšetkým na </w:t>
      </w:r>
      <w:r w:rsidR="00045A25" w:rsidRPr="00045A25">
        <w:rPr>
          <w:rFonts w:ascii="Times New Roman" w:hAnsi="Times New Roman" w:cs="Times New Roman"/>
          <w:b/>
          <w:iCs/>
          <w:sz w:val="24"/>
          <w:szCs w:val="24"/>
        </w:rPr>
        <w:t>zamestnanosť</w:t>
      </w:r>
      <w:r w:rsidRPr="00045A25">
        <w:rPr>
          <w:rFonts w:ascii="Times New Roman" w:hAnsi="Times New Roman" w:cs="Times New Roman"/>
          <w:b/>
          <w:iCs/>
          <w:sz w:val="24"/>
          <w:szCs w:val="24"/>
        </w:rPr>
        <w:t>, pracovné  podmienky zamestnancov, ako aj samotné kolektívne vyjednávanie kolektívnych zmlúv</w:t>
      </w:r>
      <w:r w:rsidR="00045A25">
        <w:rPr>
          <w:rFonts w:ascii="Times New Roman" w:hAnsi="Times New Roman" w:cs="Times New Roman"/>
          <w:iCs/>
          <w:sz w:val="24"/>
          <w:szCs w:val="24"/>
        </w:rPr>
        <w:t xml:space="preserve">. Preto </w:t>
      </w:r>
      <w:r w:rsidRPr="00045A25">
        <w:rPr>
          <w:rFonts w:ascii="Times New Roman" w:hAnsi="Times New Roman" w:cs="Times New Roman"/>
          <w:iCs/>
          <w:sz w:val="24"/>
          <w:szCs w:val="24"/>
        </w:rPr>
        <w:t>žiada</w:t>
      </w:r>
      <w:r w:rsidR="00045A25">
        <w:rPr>
          <w:rFonts w:ascii="Times New Roman" w:hAnsi="Times New Roman" w:cs="Times New Roman"/>
          <w:iCs/>
          <w:sz w:val="24"/>
          <w:szCs w:val="24"/>
        </w:rPr>
        <w:t>me</w:t>
      </w:r>
      <w:r w:rsidRPr="00045A25">
        <w:rPr>
          <w:rFonts w:ascii="Times New Roman" w:hAnsi="Times New Roman" w:cs="Times New Roman"/>
          <w:iCs/>
          <w:sz w:val="24"/>
          <w:szCs w:val="24"/>
        </w:rPr>
        <w:t xml:space="preserve"> rozpočtovať finančné prostriedky vo výške </w:t>
      </w:r>
      <w:r w:rsidR="00045A25">
        <w:rPr>
          <w:rFonts w:ascii="Times New Roman" w:hAnsi="Times New Roman" w:cs="Times New Roman"/>
          <w:iCs/>
          <w:sz w:val="24"/>
          <w:szCs w:val="24"/>
        </w:rPr>
        <w:t xml:space="preserve">a </w:t>
      </w:r>
      <w:r w:rsidRPr="00045A25">
        <w:rPr>
          <w:rFonts w:ascii="Times New Roman" w:hAnsi="Times New Roman" w:cs="Times New Roman"/>
          <w:iCs/>
          <w:sz w:val="24"/>
          <w:szCs w:val="24"/>
        </w:rPr>
        <w:t xml:space="preserve">v súlade so zabezpečením úloh vyplývajúcich pre letiskové spoločnosti z leteckého zákona. </w:t>
      </w:r>
    </w:p>
    <w:p w:rsidR="007802EF" w:rsidRPr="00045A25" w:rsidRDefault="007802EF" w:rsidP="00045A25">
      <w:pPr>
        <w:pStyle w:val="Odsekzoznamu"/>
        <w:numPr>
          <w:ilvl w:val="0"/>
          <w:numId w:val="24"/>
        </w:numPr>
        <w:spacing w:after="0"/>
        <w:ind w:left="426" w:hanging="426"/>
        <w:jc w:val="both"/>
        <w:rPr>
          <w:rFonts w:ascii="Times New Roman" w:hAnsi="Times New Roman" w:cs="Times New Roman"/>
          <w:b/>
          <w:bCs/>
          <w:sz w:val="24"/>
          <w:szCs w:val="24"/>
          <w:lang w:eastAsia="cs-CZ"/>
        </w:rPr>
      </w:pPr>
      <w:r w:rsidRPr="00045A25">
        <w:rPr>
          <w:rFonts w:ascii="Times New Roman" w:hAnsi="Times New Roman" w:cs="Times New Roman"/>
          <w:b/>
          <w:bCs/>
          <w:sz w:val="24"/>
          <w:szCs w:val="24"/>
          <w:lang w:eastAsia="cs-CZ"/>
        </w:rPr>
        <w:t xml:space="preserve">Návrh štátneho rozpočtu nepredpokladá výdavky na </w:t>
      </w:r>
      <w:r w:rsidRPr="00045A25">
        <w:rPr>
          <w:rFonts w:ascii="Times New Roman" w:hAnsi="Times New Roman" w:cs="Times New Roman"/>
          <w:b/>
          <w:sz w:val="24"/>
          <w:szCs w:val="24"/>
        </w:rPr>
        <w:t xml:space="preserve">bezpečnostnú ochranu letectva    </w:t>
      </w:r>
      <w:r w:rsidRPr="00045A25">
        <w:rPr>
          <w:rFonts w:ascii="Times New Roman" w:hAnsi="Times New Roman" w:cs="Times New Roman"/>
          <w:sz w:val="24"/>
          <w:szCs w:val="24"/>
        </w:rPr>
        <w:t xml:space="preserve"> </w:t>
      </w:r>
      <w:r w:rsidRPr="00045A25">
        <w:rPr>
          <w:rFonts w:ascii="Times New Roman" w:hAnsi="Times New Roman" w:cs="Times New Roman"/>
          <w:b/>
          <w:sz w:val="24"/>
          <w:szCs w:val="24"/>
        </w:rPr>
        <w:t xml:space="preserve"> </w:t>
      </w:r>
      <w:r w:rsidRPr="00045A25">
        <w:rPr>
          <w:rFonts w:ascii="Times New Roman" w:hAnsi="Times New Roman" w:cs="Times New Roman"/>
          <w:sz w:val="24"/>
          <w:szCs w:val="24"/>
        </w:rPr>
        <w:t xml:space="preserve">(financovanie investícií súvisiacich s bezpečnostnou ochranou letísk a výkonom záchranných a hasičských služieb sa musí riadiť podľa Usmernení o štátnej pomoci pre letiská a letecké spoločnosti (2014/C 99/03). </w:t>
      </w:r>
      <w:r w:rsidR="00045A25">
        <w:rPr>
          <w:rFonts w:ascii="Times New Roman" w:hAnsi="Times New Roman" w:cs="Times New Roman"/>
          <w:b/>
          <w:bCs/>
          <w:sz w:val="24"/>
          <w:szCs w:val="24"/>
          <w:lang w:eastAsia="cs-CZ"/>
        </w:rPr>
        <w:t>P</w:t>
      </w:r>
      <w:r w:rsidRPr="00045A25">
        <w:rPr>
          <w:rFonts w:ascii="Times New Roman" w:hAnsi="Times New Roman" w:cs="Times New Roman"/>
          <w:b/>
          <w:bCs/>
          <w:sz w:val="24"/>
          <w:szCs w:val="24"/>
          <w:lang w:eastAsia="cs-CZ"/>
        </w:rPr>
        <w:t>reto žiada</w:t>
      </w:r>
      <w:r w:rsidR="00045A25">
        <w:rPr>
          <w:rFonts w:ascii="Times New Roman" w:hAnsi="Times New Roman" w:cs="Times New Roman"/>
          <w:b/>
          <w:bCs/>
          <w:sz w:val="24"/>
          <w:szCs w:val="24"/>
          <w:lang w:eastAsia="cs-CZ"/>
        </w:rPr>
        <w:t>me</w:t>
      </w:r>
      <w:r w:rsidRPr="00045A25">
        <w:rPr>
          <w:rFonts w:ascii="Times New Roman" w:hAnsi="Times New Roman" w:cs="Times New Roman"/>
          <w:b/>
          <w:bCs/>
          <w:sz w:val="24"/>
          <w:szCs w:val="24"/>
          <w:lang w:eastAsia="cs-CZ"/>
        </w:rPr>
        <w:t xml:space="preserve"> o rozpočtovanie aj kapitálových transferov v navrhovanej výške MDV SR a to 20 849 tis. eur.</w:t>
      </w:r>
    </w:p>
    <w:p w:rsidR="007802EF" w:rsidRDefault="007802EF" w:rsidP="007802EF">
      <w:pPr>
        <w:jc w:val="both"/>
        <w:rPr>
          <w:sz w:val="24"/>
          <w:szCs w:val="24"/>
          <w:lang w:eastAsia="cs-CZ"/>
        </w:rPr>
      </w:pPr>
    </w:p>
    <w:p w:rsidR="00045A25" w:rsidRDefault="00045A25" w:rsidP="007802EF">
      <w:pPr>
        <w:jc w:val="both"/>
        <w:rPr>
          <w:b/>
          <w:sz w:val="24"/>
          <w:szCs w:val="24"/>
          <w:lang w:eastAsia="cs-CZ"/>
        </w:rPr>
      </w:pPr>
      <w:r>
        <w:rPr>
          <w:b/>
          <w:sz w:val="24"/>
          <w:szCs w:val="24"/>
          <w:lang w:eastAsia="cs-CZ"/>
        </w:rPr>
        <w:t>Dopravný úrad – letecká doprava</w:t>
      </w:r>
    </w:p>
    <w:p w:rsidR="00045A25" w:rsidRPr="00045A25" w:rsidRDefault="00045A25" w:rsidP="00045A25">
      <w:pPr>
        <w:jc w:val="both"/>
        <w:rPr>
          <w:sz w:val="24"/>
          <w:szCs w:val="24"/>
        </w:rPr>
      </w:pPr>
      <w:r>
        <w:rPr>
          <w:sz w:val="24"/>
          <w:szCs w:val="24"/>
          <w:lang w:eastAsia="cs-CZ"/>
        </w:rPr>
        <w:t xml:space="preserve">Integrovaný odborový zväz (ďalej len „IOZ), člen KOZ SR, </w:t>
      </w:r>
      <w:r w:rsidRPr="00045A25">
        <w:rPr>
          <w:b/>
          <w:sz w:val="24"/>
          <w:szCs w:val="24"/>
          <w:lang w:eastAsia="cs-CZ"/>
        </w:rPr>
        <w:t>dlhodobo upozorňuje na nedostatok zamestnancov</w:t>
      </w:r>
      <w:r w:rsidR="00086686">
        <w:rPr>
          <w:b/>
          <w:sz w:val="24"/>
          <w:szCs w:val="24"/>
          <w:lang w:eastAsia="cs-CZ"/>
        </w:rPr>
        <w:t>,</w:t>
      </w:r>
      <w:r w:rsidRPr="00045A25">
        <w:rPr>
          <w:b/>
          <w:sz w:val="24"/>
          <w:szCs w:val="24"/>
          <w:lang w:eastAsia="cs-CZ"/>
        </w:rPr>
        <w:t xml:space="preserve"> a preto žiada túto otázku s definitívnou platnosťou doriešiť</w:t>
      </w:r>
      <w:r w:rsidRPr="00045A25">
        <w:rPr>
          <w:sz w:val="24"/>
          <w:szCs w:val="24"/>
          <w:lang w:eastAsia="cs-CZ"/>
        </w:rPr>
        <w:t>.</w:t>
      </w:r>
      <w:r>
        <w:rPr>
          <w:sz w:val="24"/>
          <w:szCs w:val="24"/>
          <w:lang w:eastAsia="cs-CZ"/>
        </w:rPr>
        <w:t xml:space="preserve"> </w:t>
      </w:r>
      <w:r w:rsidRPr="00045A25">
        <w:rPr>
          <w:sz w:val="24"/>
          <w:szCs w:val="24"/>
        </w:rPr>
        <w:t xml:space="preserve">Príslušné medzinárodné predpisy </w:t>
      </w:r>
      <w:r>
        <w:rPr>
          <w:sz w:val="24"/>
          <w:szCs w:val="24"/>
        </w:rPr>
        <w:t>–</w:t>
      </w:r>
      <w:r w:rsidRPr="00045A25">
        <w:rPr>
          <w:sz w:val="24"/>
          <w:szCs w:val="24"/>
        </w:rPr>
        <w:t xml:space="preserve"> </w:t>
      </w:r>
      <w:r>
        <w:rPr>
          <w:sz w:val="24"/>
          <w:szCs w:val="24"/>
          <w:lang w:eastAsia="cs-CZ"/>
        </w:rPr>
        <w:t xml:space="preserve">ICAO </w:t>
      </w:r>
      <w:r w:rsidRPr="00045A25">
        <w:rPr>
          <w:sz w:val="24"/>
          <w:szCs w:val="24"/>
          <w:lang w:eastAsia="cs-CZ"/>
        </w:rPr>
        <w:t>DOC 8335 a ANNEX</w:t>
      </w:r>
      <w:r>
        <w:rPr>
          <w:sz w:val="24"/>
          <w:szCs w:val="24"/>
          <w:lang w:eastAsia="cs-CZ"/>
        </w:rPr>
        <w:t xml:space="preserve"> 6 Chicago Convention  upravujú</w:t>
      </w:r>
      <w:r w:rsidRPr="00045A25">
        <w:rPr>
          <w:sz w:val="24"/>
          <w:szCs w:val="24"/>
          <w:lang w:eastAsia="cs-CZ"/>
        </w:rPr>
        <w:t>, aby personál CAA mohol vykonávať svoje povinnosti na primeranej úrovni, je dôležité</w:t>
      </w:r>
      <w:r>
        <w:rPr>
          <w:sz w:val="24"/>
          <w:szCs w:val="24"/>
          <w:lang w:eastAsia="cs-CZ"/>
        </w:rPr>
        <w:t>,</w:t>
      </w:r>
      <w:r w:rsidRPr="00045A25">
        <w:rPr>
          <w:sz w:val="24"/>
          <w:szCs w:val="24"/>
          <w:lang w:eastAsia="cs-CZ"/>
        </w:rPr>
        <w:t xml:space="preserve"> aby pracovníci CAA mali vytvorené priaznivé pracovné a platové podmienky zodpovedajúce ich vzdelaniu, technickým poznatkom a skúsenostiam, porovnateľné s</w:t>
      </w:r>
      <w:r>
        <w:rPr>
          <w:sz w:val="24"/>
          <w:szCs w:val="24"/>
          <w:lang w:eastAsia="cs-CZ"/>
        </w:rPr>
        <w:t> </w:t>
      </w:r>
      <w:r w:rsidRPr="00045A25">
        <w:rPr>
          <w:sz w:val="24"/>
          <w:szCs w:val="24"/>
          <w:lang w:eastAsia="cs-CZ"/>
        </w:rPr>
        <w:t>pracovníkmi</w:t>
      </w:r>
      <w:r>
        <w:rPr>
          <w:sz w:val="24"/>
          <w:szCs w:val="24"/>
          <w:lang w:eastAsia="cs-CZ"/>
        </w:rPr>
        <w:t xml:space="preserve"> </w:t>
      </w:r>
      <w:r w:rsidRPr="00045A25">
        <w:rPr>
          <w:sz w:val="24"/>
          <w:szCs w:val="24"/>
          <w:lang w:eastAsia="cs-CZ"/>
        </w:rPr>
        <w:t>prevádzkovateľa</w:t>
      </w:r>
      <w:r>
        <w:rPr>
          <w:sz w:val="24"/>
          <w:szCs w:val="24"/>
          <w:lang w:eastAsia="cs-CZ"/>
        </w:rPr>
        <w:t>,</w:t>
      </w:r>
      <w:r w:rsidRPr="00045A25">
        <w:rPr>
          <w:sz w:val="24"/>
          <w:szCs w:val="24"/>
          <w:lang w:eastAsia="cs-CZ"/>
        </w:rPr>
        <w:t xml:space="preserve"> ktorého činnosť budú kontrolovať. </w:t>
      </w:r>
      <w:r w:rsidRPr="00045A25">
        <w:rPr>
          <w:b/>
          <w:sz w:val="24"/>
          <w:szCs w:val="24"/>
          <w:lang w:eastAsia="cs-CZ"/>
        </w:rPr>
        <w:t xml:space="preserve">Z tohto dôvodu IOZ žiada </w:t>
      </w:r>
      <w:r w:rsidRPr="00045A25">
        <w:rPr>
          <w:b/>
          <w:sz w:val="24"/>
          <w:szCs w:val="24"/>
        </w:rPr>
        <w:t>zvýšenie limitu počtu zamestnancov Dopravného úradu o 24 osôb, výdavkov na mzdy (610) o 210 000 eur a poistné (620) o 73 395 eur pre</w:t>
      </w:r>
      <w:r w:rsidRPr="00045A25">
        <w:rPr>
          <w:sz w:val="24"/>
          <w:szCs w:val="24"/>
        </w:rPr>
        <w:t xml:space="preserve"> Dopravný úrad v rámci leteckej </w:t>
      </w:r>
      <w:r w:rsidRPr="00045A25">
        <w:rPr>
          <w:sz w:val="24"/>
          <w:szCs w:val="24"/>
        </w:rPr>
        <w:lastRenderedPageBreak/>
        <w:t>dopravy (FK 04.5.4) na plnenie nariadenia Európskeho parlamentu a Rady (ES) č. 216/2008 o spoločných pravidlách v oblasti civilného letectva (audit EASA</w:t>
      </w:r>
      <w:r>
        <w:rPr>
          <w:sz w:val="24"/>
          <w:szCs w:val="24"/>
        </w:rPr>
        <w:t>)</w:t>
      </w:r>
      <w:r w:rsidRPr="00045A25">
        <w:rPr>
          <w:sz w:val="24"/>
          <w:szCs w:val="24"/>
        </w:rPr>
        <w:t>.</w:t>
      </w:r>
    </w:p>
    <w:p w:rsidR="00045A25" w:rsidRPr="00045A25" w:rsidRDefault="00045A25" w:rsidP="007802EF">
      <w:pPr>
        <w:jc w:val="both"/>
        <w:rPr>
          <w:sz w:val="24"/>
          <w:szCs w:val="24"/>
          <w:lang w:eastAsia="cs-CZ"/>
        </w:rPr>
      </w:pPr>
    </w:p>
    <w:p w:rsidR="00A56F12" w:rsidRDefault="00045A25" w:rsidP="00310B5E">
      <w:pPr>
        <w:jc w:val="both"/>
        <w:rPr>
          <w:b/>
          <w:bCs/>
          <w:iCs/>
          <w:sz w:val="24"/>
          <w:szCs w:val="24"/>
        </w:rPr>
      </w:pPr>
      <w:r>
        <w:rPr>
          <w:b/>
          <w:bCs/>
          <w:iCs/>
          <w:sz w:val="24"/>
          <w:szCs w:val="24"/>
        </w:rPr>
        <w:t>Rozvoj bývania – Podpora bývania</w:t>
      </w:r>
    </w:p>
    <w:p w:rsidR="00045A25" w:rsidRPr="00045A25" w:rsidRDefault="00045A25" w:rsidP="00045A25">
      <w:pPr>
        <w:jc w:val="both"/>
        <w:rPr>
          <w:bCs/>
          <w:iCs/>
          <w:sz w:val="24"/>
          <w:szCs w:val="24"/>
        </w:rPr>
      </w:pPr>
      <w:r w:rsidRPr="00045A25">
        <w:rPr>
          <w:bCs/>
          <w:iCs/>
          <w:sz w:val="24"/>
          <w:szCs w:val="24"/>
        </w:rPr>
        <w:t xml:space="preserve">Na podporu rozvoja bývania prostredníctvom poskytovania dotácií sa v roku 2019 rozpočtujú </w:t>
      </w:r>
      <w:r>
        <w:rPr>
          <w:bCs/>
          <w:iCs/>
          <w:sz w:val="24"/>
          <w:szCs w:val="24"/>
        </w:rPr>
        <w:t xml:space="preserve">znížené </w:t>
      </w:r>
      <w:r w:rsidRPr="00045A25">
        <w:rPr>
          <w:bCs/>
          <w:iCs/>
          <w:sz w:val="24"/>
          <w:szCs w:val="24"/>
        </w:rPr>
        <w:t>výdavky v porovnaní so schváleným rozpočtom roku 2018.</w:t>
      </w:r>
    </w:p>
    <w:p w:rsidR="00045A25" w:rsidRPr="00045A25" w:rsidRDefault="00EA2AD4" w:rsidP="00045A25">
      <w:pPr>
        <w:jc w:val="both"/>
        <w:rPr>
          <w:bCs/>
          <w:iCs/>
          <w:sz w:val="24"/>
          <w:szCs w:val="24"/>
        </w:rPr>
      </w:pPr>
      <w:r w:rsidRPr="00EA2AD4">
        <w:rPr>
          <w:b/>
          <w:bCs/>
          <w:iCs/>
          <w:sz w:val="24"/>
          <w:szCs w:val="24"/>
        </w:rPr>
        <w:t>KOZ SR</w:t>
      </w:r>
      <w:r w:rsidR="00045A25" w:rsidRPr="00EA2AD4">
        <w:rPr>
          <w:b/>
          <w:bCs/>
          <w:iCs/>
          <w:sz w:val="24"/>
          <w:szCs w:val="24"/>
        </w:rPr>
        <w:t xml:space="preserve"> s týmto návrhom</w:t>
      </w:r>
      <w:r w:rsidR="00045A25" w:rsidRPr="00045A25">
        <w:rPr>
          <w:bCs/>
          <w:iCs/>
          <w:sz w:val="24"/>
          <w:szCs w:val="24"/>
        </w:rPr>
        <w:t xml:space="preserve"> </w:t>
      </w:r>
      <w:r w:rsidR="00045A25" w:rsidRPr="00EA2AD4">
        <w:rPr>
          <w:b/>
          <w:bCs/>
          <w:iCs/>
          <w:sz w:val="24"/>
          <w:szCs w:val="24"/>
        </w:rPr>
        <w:t>nesúhlasí</w:t>
      </w:r>
      <w:r w:rsidR="00045A25" w:rsidRPr="00045A25">
        <w:rPr>
          <w:bCs/>
          <w:iCs/>
          <w:sz w:val="24"/>
          <w:szCs w:val="24"/>
        </w:rPr>
        <w:t xml:space="preserve"> </w:t>
      </w:r>
      <w:r w:rsidR="00045A25" w:rsidRPr="009B06EA">
        <w:rPr>
          <w:b/>
          <w:bCs/>
          <w:iCs/>
          <w:sz w:val="24"/>
          <w:szCs w:val="24"/>
        </w:rPr>
        <w:t>a žiada navýšenie tejto časti kapitoly</w:t>
      </w:r>
      <w:r w:rsidR="00045A25" w:rsidRPr="00045A25">
        <w:rPr>
          <w:bCs/>
          <w:iCs/>
          <w:sz w:val="24"/>
          <w:szCs w:val="24"/>
        </w:rPr>
        <w:t xml:space="preserve"> MDV SR v časti „Výstavba a obnova bytového fondu“,  </w:t>
      </w:r>
      <w:r w:rsidR="00045A25" w:rsidRPr="009B06EA">
        <w:rPr>
          <w:b/>
          <w:bCs/>
          <w:iCs/>
          <w:sz w:val="24"/>
          <w:szCs w:val="24"/>
        </w:rPr>
        <w:t xml:space="preserve">minimálne o 13 </w:t>
      </w:r>
      <w:r w:rsidR="00842F19" w:rsidRPr="009B06EA">
        <w:rPr>
          <w:b/>
          <w:bCs/>
          <w:iCs/>
          <w:sz w:val="24"/>
          <w:szCs w:val="24"/>
        </w:rPr>
        <w:t>mil</w:t>
      </w:r>
      <w:r w:rsidR="00045A25" w:rsidRPr="009B06EA">
        <w:rPr>
          <w:b/>
          <w:bCs/>
          <w:iCs/>
          <w:sz w:val="24"/>
          <w:szCs w:val="24"/>
        </w:rPr>
        <w:t>. eur</w:t>
      </w:r>
      <w:r w:rsidR="00045A25" w:rsidRPr="00045A25">
        <w:rPr>
          <w:bCs/>
          <w:iCs/>
          <w:sz w:val="24"/>
          <w:szCs w:val="24"/>
        </w:rPr>
        <w:t>, postupným znižovaním štátnej prémie k stavebnému sporeniu (prostredníctvom noviel zákona o stavebnom sporení), ako aj o rozpočtovanie transferu na doriešenie otázky náhradných nájomných bytov.</w:t>
      </w:r>
    </w:p>
    <w:p w:rsidR="00045A25" w:rsidRPr="00EA2AD4" w:rsidRDefault="00045A25" w:rsidP="00EA2AD4">
      <w:pPr>
        <w:jc w:val="both"/>
        <w:rPr>
          <w:bCs/>
          <w:iCs/>
          <w:sz w:val="24"/>
          <w:szCs w:val="24"/>
        </w:rPr>
      </w:pPr>
      <w:r w:rsidRPr="00045A25">
        <w:rPr>
          <w:bCs/>
          <w:iCs/>
          <w:sz w:val="24"/>
          <w:szCs w:val="24"/>
        </w:rPr>
        <w:t xml:space="preserve">Žiadosť o zvýšenie </w:t>
      </w:r>
      <w:r w:rsidRPr="00EA2AD4">
        <w:rPr>
          <w:bCs/>
          <w:iCs/>
          <w:sz w:val="24"/>
          <w:szCs w:val="24"/>
        </w:rPr>
        <w:t>limitu na výstavbu  a obnovu bytového fondu odôvodňuje</w:t>
      </w:r>
      <w:r w:rsidR="00EA2AD4" w:rsidRPr="00EA2AD4">
        <w:rPr>
          <w:bCs/>
          <w:iCs/>
          <w:sz w:val="24"/>
          <w:szCs w:val="24"/>
        </w:rPr>
        <w:t>me</w:t>
      </w:r>
      <w:r w:rsidRPr="00EA2AD4">
        <w:rPr>
          <w:bCs/>
          <w:iCs/>
          <w:sz w:val="24"/>
          <w:szCs w:val="24"/>
        </w:rPr>
        <w:t xml:space="preserve">: </w:t>
      </w:r>
    </w:p>
    <w:p w:rsidR="00EA2AD4" w:rsidRPr="00EA2AD4" w:rsidRDefault="00045A25" w:rsidP="00EA2AD4">
      <w:pPr>
        <w:pStyle w:val="Odsekzoznamu"/>
        <w:numPr>
          <w:ilvl w:val="0"/>
          <w:numId w:val="25"/>
        </w:numPr>
        <w:spacing w:after="0"/>
        <w:ind w:left="426"/>
        <w:jc w:val="both"/>
        <w:rPr>
          <w:rFonts w:ascii="Times New Roman" w:hAnsi="Times New Roman" w:cs="Times New Roman"/>
          <w:bCs/>
          <w:iCs/>
          <w:sz w:val="24"/>
          <w:szCs w:val="24"/>
        </w:rPr>
      </w:pPr>
      <w:r w:rsidRPr="00EA2AD4">
        <w:rPr>
          <w:rFonts w:ascii="Times New Roman" w:hAnsi="Times New Roman" w:cs="Times New Roman"/>
          <w:bCs/>
          <w:iCs/>
          <w:sz w:val="24"/>
          <w:szCs w:val="24"/>
        </w:rPr>
        <w:t>Vláda SR sa zaviazala v rámci úloh z 3. sociálneho balíčka zvýšiť dostupnosť bývania na Slovensku s cieľom podporiť mladých občanov a mladé rodiny, pričom by sa podpora mala realizovať využitím a rozšírením možností existujúcich modelov podpory bývania. V súlade s novelou zákona je taktiež možné v prípade obstarania nájomných bytov pre mladé rodiny, tzv. štartovacích nájomných bytov zvýšiť podiel dotácie na ich obstaranie o 10 % z oprávnených nákladov stavby. Cieľ štátu cca 2 000 nájomných bytov ročne.</w:t>
      </w:r>
    </w:p>
    <w:p w:rsidR="00EA2AD4" w:rsidRPr="00EA2AD4" w:rsidRDefault="00045A25" w:rsidP="00EA2AD4">
      <w:pPr>
        <w:pStyle w:val="Odsekzoznamu"/>
        <w:numPr>
          <w:ilvl w:val="0"/>
          <w:numId w:val="25"/>
        </w:numPr>
        <w:spacing w:after="0"/>
        <w:ind w:left="426"/>
        <w:jc w:val="both"/>
        <w:rPr>
          <w:rFonts w:ascii="Times New Roman" w:hAnsi="Times New Roman" w:cs="Times New Roman"/>
          <w:bCs/>
          <w:iCs/>
          <w:sz w:val="24"/>
          <w:szCs w:val="24"/>
        </w:rPr>
      </w:pPr>
      <w:r w:rsidRPr="00EA2AD4">
        <w:rPr>
          <w:rFonts w:ascii="Times New Roman" w:hAnsi="Times New Roman" w:cs="Times New Roman"/>
          <w:bCs/>
          <w:iCs/>
          <w:sz w:val="24"/>
          <w:szCs w:val="24"/>
        </w:rPr>
        <w:t>V súvislosti so zvýšenými požiadavkami na energetickú hospodárnosť budov</w:t>
      </w:r>
      <w:r w:rsidR="00EA2AD4">
        <w:rPr>
          <w:rFonts w:ascii="Times New Roman" w:hAnsi="Times New Roman" w:cs="Times New Roman"/>
          <w:bCs/>
          <w:iCs/>
          <w:sz w:val="24"/>
          <w:szCs w:val="24"/>
        </w:rPr>
        <w:t>,</w:t>
      </w:r>
      <w:r w:rsidRPr="00EA2AD4">
        <w:rPr>
          <w:rFonts w:ascii="Times New Roman" w:hAnsi="Times New Roman" w:cs="Times New Roman"/>
          <w:bCs/>
          <w:iCs/>
          <w:sz w:val="24"/>
          <w:szCs w:val="24"/>
        </w:rPr>
        <w:t xml:space="preserve"> ako aj protipožiarnu bezpečnosť</w:t>
      </w:r>
      <w:r w:rsidR="00EA2AD4">
        <w:rPr>
          <w:rFonts w:ascii="Times New Roman" w:hAnsi="Times New Roman" w:cs="Times New Roman"/>
          <w:bCs/>
          <w:iCs/>
          <w:sz w:val="24"/>
          <w:szCs w:val="24"/>
        </w:rPr>
        <w:t>,</w:t>
      </w:r>
      <w:r w:rsidRPr="00EA2AD4">
        <w:rPr>
          <w:rFonts w:ascii="Times New Roman" w:hAnsi="Times New Roman" w:cs="Times New Roman"/>
          <w:bCs/>
          <w:iCs/>
          <w:sz w:val="24"/>
          <w:szCs w:val="24"/>
        </w:rPr>
        <w:t xml:space="preserve"> možno pri projektovaní bytových budov</w:t>
      </w:r>
      <w:r w:rsidR="00EA2AD4">
        <w:rPr>
          <w:rFonts w:ascii="Times New Roman" w:hAnsi="Times New Roman" w:cs="Times New Roman"/>
          <w:bCs/>
          <w:iCs/>
          <w:sz w:val="24"/>
          <w:szCs w:val="24"/>
        </w:rPr>
        <w:t>,</w:t>
      </w:r>
      <w:r w:rsidRPr="00EA2AD4">
        <w:rPr>
          <w:rFonts w:ascii="Times New Roman" w:hAnsi="Times New Roman" w:cs="Times New Roman"/>
          <w:bCs/>
          <w:iCs/>
          <w:sz w:val="24"/>
          <w:szCs w:val="24"/>
        </w:rPr>
        <w:t xml:space="preserve"> ako aj pri samotnej realizácii predpokladať zvýšené náklady na obstaranie nájomných bytov.</w:t>
      </w:r>
    </w:p>
    <w:p w:rsidR="00045A25" w:rsidRPr="00EA2AD4" w:rsidRDefault="00045A25" w:rsidP="00EA2AD4">
      <w:pPr>
        <w:pStyle w:val="Odsekzoznamu"/>
        <w:numPr>
          <w:ilvl w:val="0"/>
          <w:numId w:val="25"/>
        </w:numPr>
        <w:spacing w:after="0"/>
        <w:ind w:left="426"/>
        <w:jc w:val="both"/>
        <w:rPr>
          <w:rFonts w:ascii="Times New Roman" w:hAnsi="Times New Roman" w:cs="Times New Roman"/>
          <w:bCs/>
          <w:iCs/>
          <w:sz w:val="24"/>
          <w:szCs w:val="24"/>
        </w:rPr>
      </w:pPr>
      <w:r w:rsidRPr="00EA2AD4">
        <w:rPr>
          <w:rFonts w:ascii="Times New Roman" w:hAnsi="Times New Roman" w:cs="Times New Roman"/>
          <w:bCs/>
          <w:iCs/>
          <w:sz w:val="24"/>
          <w:szCs w:val="24"/>
        </w:rPr>
        <w:t xml:space="preserve">V nadväznosti na zákon č. 336/2015 Z. z. o podpore najmenej rozvinutých okresov a o zmene a doplnení niektorých zákonov, je v súlade so zákonom č. 443/2010 Z. z. možné zvýšiť podiel dotácie na obstaranie nájomných bytov v najmenej rozvinutých okresoch o 10 % z oprávnených nákladov stavby. </w:t>
      </w:r>
    </w:p>
    <w:p w:rsidR="00045A25" w:rsidRDefault="00045A25" w:rsidP="00310B5E">
      <w:pPr>
        <w:jc w:val="both"/>
        <w:rPr>
          <w:bCs/>
          <w:iCs/>
          <w:sz w:val="24"/>
          <w:szCs w:val="24"/>
        </w:rPr>
      </w:pPr>
    </w:p>
    <w:p w:rsidR="00A56F12" w:rsidRDefault="00A12EB5" w:rsidP="00310B5E">
      <w:pPr>
        <w:jc w:val="both"/>
        <w:rPr>
          <w:b/>
          <w:bCs/>
          <w:iCs/>
          <w:sz w:val="24"/>
          <w:szCs w:val="24"/>
          <w:u w:val="single"/>
        </w:rPr>
      </w:pPr>
      <w:r>
        <w:rPr>
          <w:b/>
          <w:bCs/>
          <w:iCs/>
          <w:sz w:val="24"/>
          <w:szCs w:val="24"/>
          <w:u w:val="single"/>
        </w:rPr>
        <w:t>Ministerstvo zdravotníctva SR</w:t>
      </w:r>
    </w:p>
    <w:p w:rsidR="00A12EB5" w:rsidRPr="00A12EB5" w:rsidRDefault="00A12EB5" w:rsidP="00A12EB5">
      <w:pPr>
        <w:jc w:val="both"/>
        <w:rPr>
          <w:bCs/>
          <w:iCs/>
          <w:sz w:val="24"/>
          <w:szCs w:val="24"/>
        </w:rPr>
      </w:pPr>
      <w:r>
        <w:rPr>
          <w:bCs/>
          <w:iCs/>
          <w:sz w:val="24"/>
          <w:szCs w:val="24"/>
        </w:rPr>
        <w:t>V</w:t>
      </w:r>
      <w:r w:rsidRPr="00A12EB5">
        <w:rPr>
          <w:bCs/>
          <w:iCs/>
          <w:sz w:val="24"/>
          <w:szCs w:val="24"/>
        </w:rPr>
        <w:t xml:space="preserve"> roku 2019 bude pre oblasť zdravotníctva</w:t>
      </w:r>
      <w:r>
        <w:rPr>
          <w:bCs/>
          <w:iCs/>
          <w:sz w:val="24"/>
          <w:szCs w:val="24"/>
        </w:rPr>
        <w:t xml:space="preserve"> (</w:t>
      </w:r>
      <w:r w:rsidRPr="00A12EB5">
        <w:rPr>
          <w:bCs/>
          <w:iCs/>
          <w:sz w:val="24"/>
          <w:szCs w:val="24"/>
        </w:rPr>
        <w:t>výdavky verejného zdravotného poistenia a výdavky Ministerstva zdravotníctva SR</w:t>
      </w:r>
      <w:r>
        <w:rPr>
          <w:bCs/>
          <w:iCs/>
          <w:sz w:val="24"/>
          <w:szCs w:val="24"/>
        </w:rPr>
        <w:t>)</w:t>
      </w:r>
      <w:r w:rsidRPr="00A12EB5">
        <w:rPr>
          <w:bCs/>
          <w:iCs/>
          <w:sz w:val="24"/>
          <w:szCs w:val="24"/>
        </w:rPr>
        <w:t xml:space="preserve"> alokovaný historicky najvyšší objem prostriedkov</w:t>
      </w:r>
      <w:r>
        <w:rPr>
          <w:bCs/>
          <w:iCs/>
          <w:sz w:val="24"/>
          <w:szCs w:val="24"/>
        </w:rPr>
        <w:t xml:space="preserve">, zároveň aj </w:t>
      </w:r>
      <w:r w:rsidRPr="00A12EB5">
        <w:rPr>
          <w:bCs/>
          <w:iCs/>
          <w:sz w:val="24"/>
          <w:szCs w:val="24"/>
        </w:rPr>
        <w:t>historicky najväčší rozpočtovaný medziročný rast výdavkov pre sektor zdravotníctva. Za účelom rekonštrukcie budov a obnovy technického vybavenia nemo</w:t>
      </w:r>
      <w:r>
        <w:rPr>
          <w:bCs/>
          <w:iCs/>
          <w:sz w:val="24"/>
          <w:szCs w:val="24"/>
        </w:rPr>
        <w:t xml:space="preserve">cníc sú rozpočtované kapitálové výdavky, ktoré predstavujú </w:t>
      </w:r>
      <w:r w:rsidRPr="00A12EB5">
        <w:rPr>
          <w:bCs/>
          <w:iCs/>
          <w:sz w:val="24"/>
          <w:szCs w:val="24"/>
        </w:rPr>
        <w:t>historicky najvyšší objem štátnych investícií. V ro</w:t>
      </w:r>
      <w:r>
        <w:rPr>
          <w:bCs/>
          <w:iCs/>
          <w:sz w:val="24"/>
          <w:szCs w:val="24"/>
        </w:rPr>
        <w:t>zpočte na rok 2019 sú vyčlenené prostriedky aj na rezidentský program.</w:t>
      </w:r>
    </w:p>
    <w:p w:rsidR="00A12EB5" w:rsidRPr="00A12EB5" w:rsidRDefault="00A12EB5" w:rsidP="00A12EB5">
      <w:pPr>
        <w:jc w:val="both"/>
        <w:rPr>
          <w:bCs/>
          <w:iCs/>
          <w:sz w:val="24"/>
          <w:szCs w:val="24"/>
        </w:rPr>
      </w:pPr>
      <w:r w:rsidRPr="00A12EB5">
        <w:rPr>
          <w:bCs/>
          <w:iCs/>
          <w:sz w:val="24"/>
          <w:szCs w:val="24"/>
        </w:rPr>
        <w:t xml:space="preserve">S uspokojením hodnotíme </w:t>
      </w:r>
      <w:r w:rsidR="009B06EA">
        <w:rPr>
          <w:bCs/>
          <w:iCs/>
          <w:sz w:val="24"/>
          <w:szCs w:val="24"/>
        </w:rPr>
        <w:t xml:space="preserve">aj </w:t>
      </w:r>
      <w:r w:rsidRPr="00A12EB5">
        <w:rPr>
          <w:bCs/>
          <w:iCs/>
          <w:sz w:val="24"/>
          <w:szCs w:val="24"/>
        </w:rPr>
        <w:t>finančné krytie rastu základnej zložky mzdy zdra</w:t>
      </w:r>
      <w:r>
        <w:rPr>
          <w:bCs/>
          <w:iCs/>
          <w:sz w:val="24"/>
          <w:szCs w:val="24"/>
        </w:rPr>
        <w:t>votníckych pracovníkov nemocníc</w:t>
      </w:r>
      <w:r w:rsidRPr="00A12EB5">
        <w:rPr>
          <w:bCs/>
          <w:iCs/>
          <w:sz w:val="24"/>
          <w:szCs w:val="24"/>
        </w:rPr>
        <w:t xml:space="preserve"> s účinnosťou od 1. januára 2019 v závislosti od rastu priemernej mzdy v národnom hospodárstve a tiež ďalšie zvýšenie základnej zložky mzdy zdravotníckych pracovníkov nelekárskych povolaní, čo by mohli zmierniť nedostatok personálu v nemocniciach. Predložený návrh zohľadňuje tiež mzdové nároky, vyplývajúce z rastu minim</w:t>
      </w:r>
      <w:r>
        <w:rPr>
          <w:bCs/>
          <w:iCs/>
          <w:sz w:val="24"/>
          <w:szCs w:val="24"/>
        </w:rPr>
        <w:t xml:space="preserve">álnej mzdy a zvýšenie percenta </w:t>
      </w:r>
      <w:r w:rsidRPr="00A12EB5">
        <w:rPr>
          <w:bCs/>
          <w:iCs/>
          <w:sz w:val="24"/>
          <w:szCs w:val="24"/>
        </w:rPr>
        <w:t>mzdových zvýh</w:t>
      </w:r>
      <w:r>
        <w:rPr>
          <w:bCs/>
          <w:iCs/>
          <w:sz w:val="24"/>
          <w:szCs w:val="24"/>
        </w:rPr>
        <w:t>odnení podľa Zákonníka práce.</w:t>
      </w:r>
    </w:p>
    <w:p w:rsidR="00A12EB5" w:rsidRPr="00A12EB5" w:rsidRDefault="00A12EB5" w:rsidP="00A12EB5">
      <w:pPr>
        <w:jc w:val="both"/>
        <w:rPr>
          <w:bCs/>
          <w:iCs/>
          <w:sz w:val="24"/>
          <w:szCs w:val="24"/>
        </w:rPr>
      </w:pPr>
      <w:r w:rsidRPr="00A12EB5">
        <w:rPr>
          <w:b/>
          <w:bCs/>
          <w:iCs/>
          <w:sz w:val="24"/>
          <w:szCs w:val="24"/>
        </w:rPr>
        <w:t>Zásadne však namietame zámer, aby poistné platené štátom za svojich poistencov na rok 2019 sa znížilo na sumu 960 000 000 €,</w:t>
      </w:r>
      <w:r w:rsidRPr="00A12EB5">
        <w:rPr>
          <w:bCs/>
          <w:iCs/>
          <w:sz w:val="24"/>
          <w:szCs w:val="24"/>
        </w:rPr>
        <w:t xml:space="preserve"> čo nedosahuje ani úroveň</w:t>
      </w:r>
      <w:r>
        <w:rPr>
          <w:bCs/>
          <w:iCs/>
          <w:sz w:val="24"/>
          <w:szCs w:val="24"/>
        </w:rPr>
        <w:t xml:space="preserve"> 80 % rozpočtovaného poistného </w:t>
      </w:r>
      <w:r w:rsidRPr="00A12EB5">
        <w:rPr>
          <w:bCs/>
          <w:iCs/>
          <w:sz w:val="24"/>
          <w:szCs w:val="24"/>
        </w:rPr>
        <w:t>na ro</w:t>
      </w:r>
      <w:r>
        <w:rPr>
          <w:bCs/>
          <w:iCs/>
          <w:sz w:val="24"/>
          <w:szCs w:val="24"/>
        </w:rPr>
        <w:t xml:space="preserve">k 2018 a aby sa v tomto trende </w:t>
      </w:r>
      <w:r w:rsidRPr="00A12EB5">
        <w:rPr>
          <w:bCs/>
          <w:iCs/>
          <w:sz w:val="24"/>
          <w:szCs w:val="24"/>
        </w:rPr>
        <w:t>pokračovalo v rokoch 2020 a 2021, kedy by už o</w:t>
      </w:r>
      <w:r>
        <w:rPr>
          <w:bCs/>
          <w:iCs/>
          <w:sz w:val="24"/>
          <w:szCs w:val="24"/>
        </w:rPr>
        <w:t xml:space="preserve">dvody štátu boli na úrovni </w:t>
      </w:r>
      <w:r w:rsidRPr="00A12EB5">
        <w:rPr>
          <w:bCs/>
          <w:iCs/>
          <w:sz w:val="24"/>
          <w:szCs w:val="24"/>
        </w:rPr>
        <w:t xml:space="preserve">menej ako 50 % platieb štátu oproti </w:t>
      </w:r>
      <w:r>
        <w:rPr>
          <w:bCs/>
          <w:iCs/>
          <w:sz w:val="24"/>
          <w:szCs w:val="24"/>
        </w:rPr>
        <w:t xml:space="preserve">roku 2017. Naša </w:t>
      </w:r>
      <w:r w:rsidRPr="00A12EB5">
        <w:rPr>
          <w:b/>
          <w:bCs/>
          <w:iCs/>
          <w:sz w:val="24"/>
          <w:szCs w:val="24"/>
        </w:rPr>
        <w:t>zásadná požiadavka</w:t>
      </w:r>
      <w:r>
        <w:rPr>
          <w:bCs/>
          <w:iCs/>
          <w:sz w:val="24"/>
          <w:szCs w:val="24"/>
        </w:rPr>
        <w:t xml:space="preserve">, </w:t>
      </w:r>
      <w:r w:rsidRPr="00A12EB5">
        <w:rPr>
          <w:bCs/>
          <w:iCs/>
          <w:sz w:val="24"/>
          <w:szCs w:val="24"/>
        </w:rPr>
        <w:t>o</w:t>
      </w:r>
      <w:r>
        <w:rPr>
          <w:bCs/>
          <w:iCs/>
          <w:sz w:val="24"/>
          <w:szCs w:val="24"/>
        </w:rPr>
        <w:t xml:space="preserve">pakovane prezentovaná k návrhom rozpočtov verejnej správy </w:t>
      </w:r>
      <w:r w:rsidRPr="00A12EB5">
        <w:rPr>
          <w:bCs/>
          <w:iCs/>
          <w:sz w:val="24"/>
          <w:szCs w:val="24"/>
        </w:rPr>
        <w:t xml:space="preserve">v predchádzajúcich rokoch bola, aby </w:t>
      </w:r>
      <w:r w:rsidRPr="00A12EB5">
        <w:rPr>
          <w:b/>
          <w:bCs/>
          <w:iCs/>
          <w:sz w:val="24"/>
          <w:szCs w:val="24"/>
        </w:rPr>
        <w:t>štát za svojich poistencov platil poistné vo výške priemerných výdavkov zdravotných poisťovní na túto skupinu obyvateľstva</w:t>
      </w:r>
      <w:r w:rsidRPr="00A12EB5">
        <w:rPr>
          <w:bCs/>
          <w:iCs/>
          <w:sz w:val="24"/>
          <w:szCs w:val="24"/>
        </w:rPr>
        <w:t>, čo predstavuje najmenej 5 % zo zákonom stanoveného vymeriavac</w:t>
      </w:r>
      <w:r>
        <w:rPr>
          <w:bCs/>
          <w:iCs/>
          <w:sz w:val="24"/>
          <w:szCs w:val="24"/>
        </w:rPr>
        <w:t xml:space="preserve">ieho základu. V rámci platných </w:t>
      </w:r>
      <w:r w:rsidRPr="00A12EB5">
        <w:rPr>
          <w:bCs/>
          <w:iCs/>
          <w:sz w:val="24"/>
          <w:szCs w:val="24"/>
        </w:rPr>
        <w:t>zásad poistného systému nepovažujeme za správne presunúť ťarchu financovania zdravotného poistenia na zamestnancov a zamestn</w:t>
      </w:r>
      <w:r>
        <w:rPr>
          <w:bCs/>
          <w:iCs/>
          <w:sz w:val="24"/>
          <w:szCs w:val="24"/>
        </w:rPr>
        <w:t xml:space="preserve">ávateľov, najmä nie v situácii kedy sa </w:t>
      </w:r>
      <w:r w:rsidRPr="00A12EB5">
        <w:rPr>
          <w:bCs/>
          <w:iCs/>
          <w:sz w:val="24"/>
          <w:szCs w:val="24"/>
        </w:rPr>
        <w:t xml:space="preserve">očakáva, že príjmy rozpočtu verejnej správy za rok 2018 prekročia rozpočtovanú </w:t>
      </w:r>
      <w:r>
        <w:rPr>
          <w:bCs/>
          <w:iCs/>
          <w:sz w:val="24"/>
          <w:szCs w:val="24"/>
        </w:rPr>
        <w:t>úroveň takmer o 955,8 mil. eur.</w:t>
      </w:r>
    </w:p>
    <w:p w:rsidR="00A12EB5" w:rsidRPr="00A12EB5" w:rsidRDefault="00A12EB5" w:rsidP="00A12EB5">
      <w:pPr>
        <w:jc w:val="both"/>
        <w:rPr>
          <w:bCs/>
          <w:iCs/>
          <w:sz w:val="24"/>
          <w:szCs w:val="24"/>
        </w:rPr>
      </w:pPr>
    </w:p>
    <w:p w:rsidR="00A12EB5" w:rsidRPr="00A12EB5" w:rsidRDefault="00A12EB5" w:rsidP="00A12EB5">
      <w:pPr>
        <w:jc w:val="both"/>
        <w:rPr>
          <w:bCs/>
          <w:iCs/>
          <w:sz w:val="24"/>
          <w:szCs w:val="24"/>
        </w:rPr>
      </w:pPr>
      <w:r w:rsidRPr="00A12EB5">
        <w:rPr>
          <w:bCs/>
          <w:iCs/>
          <w:sz w:val="24"/>
          <w:szCs w:val="24"/>
        </w:rPr>
        <w:lastRenderedPageBreak/>
        <w:t xml:space="preserve">Rovnako márne každoročne </w:t>
      </w:r>
      <w:r w:rsidRPr="00A12EB5">
        <w:rPr>
          <w:b/>
          <w:bCs/>
          <w:iCs/>
          <w:sz w:val="24"/>
          <w:szCs w:val="24"/>
        </w:rPr>
        <w:t>poukazujeme na neúmerný rast</w:t>
      </w:r>
      <w:r w:rsidRPr="00A12EB5">
        <w:rPr>
          <w:bCs/>
          <w:iCs/>
          <w:sz w:val="24"/>
          <w:szCs w:val="24"/>
        </w:rPr>
        <w:t xml:space="preserve"> z ná</w:t>
      </w:r>
      <w:r>
        <w:rPr>
          <w:bCs/>
          <w:iCs/>
          <w:sz w:val="24"/>
          <w:szCs w:val="24"/>
        </w:rPr>
        <w:t xml:space="preserve">šho pohľadu </w:t>
      </w:r>
      <w:r w:rsidRPr="00A12EB5">
        <w:rPr>
          <w:bCs/>
          <w:iCs/>
          <w:sz w:val="24"/>
          <w:szCs w:val="24"/>
        </w:rPr>
        <w:t xml:space="preserve">neefektívneho </w:t>
      </w:r>
      <w:r w:rsidRPr="00A12EB5">
        <w:rPr>
          <w:b/>
          <w:bCs/>
          <w:iCs/>
          <w:sz w:val="24"/>
          <w:szCs w:val="24"/>
        </w:rPr>
        <w:t>využívania prostriedkov</w:t>
      </w:r>
      <w:r w:rsidRPr="00A12EB5">
        <w:rPr>
          <w:bCs/>
          <w:iCs/>
          <w:sz w:val="24"/>
          <w:szCs w:val="24"/>
        </w:rPr>
        <w:t xml:space="preserve"> </w:t>
      </w:r>
      <w:r>
        <w:rPr>
          <w:bCs/>
          <w:iCs/>
          <w:sz w:val="24"/>
          <w:szCs w:val="24"/>
        </w:rPr>
        <w:t>povinného zdravotného poistenia na sústavne bezdôvodne</w:t>
      </w:r>
      <w:r w:rsidRPr="00A12EB5">
        <w:rPr>
          <w:bCs/>
          <w:iCs/>
          <w:sz w:val="24"/>
          <w:szCs w:val="24"/>
        </w:rPr>
        <w:t xml:space="preserve"> sa zvyšujúce výdavky </w:t>
      </w:r>
      <w:r w:rsidRPr="00A12EB5">
        <w:rPr>
          <w:b/>
          <w:bCs/>
          <w:iCs/>
          <w:sz w:val="24"/>
          <w:szCs w:val="24"/>
        </w:rPr>
        <w:t>na prevádzkové činnosti Všeobecnej zdravotnej poisťovne, a. s. a úhradu za správu verejného zdravotného poistenia ďalších poisťovní</w:t>
      </w:r>
      <w:r>
        <w:rPr>
          <w:bCs/>
          <w:iCs/>
          <w:sz w:val="24"/>
          <w:szCs w:val="24"/>
        </w:rPr>
        <w:t xml:space="preserve">. Tie sa </w:t>
      </w:r>
      <w:r w:rsidRPr="00A12EB5">
        <w:rPr>
          <w:bCs/>
          <w:iCs/>
          <w:sz w:val="24"/>
          <w:szCs w:val="24"/>
        </w:rPr>
        <w:t>odvádzajú od výšky vybraného poistné</w:t>
      </w:r>
      <w:r>
        <w:rPr>
          <w:bCs/>
          <w:iCs/>
          <w:sz w:val="24"/>
          <w:szCs w:val="24"/>
        </w:rPr>
        <w:t>ho, čo na rozdiel od zadlžených</w:t>
      </w:r>
      <w:r w:rsidRPr="00A12EB5">
        <w:rPr>
          <w:bCs/>
          <w:iCs/>
          <w:sz w:val="24"/>
          <w:szCs w:val="24"/>
        </w:rPr>
        <w:t xml:space="preserve"> poskytovateľov zdravotnej starostlivosti, poisťovniam vytvára priestor na tvorbu zisku. Na rovnakom pri</w:t>
      </w:r>
      <w:r>
        <w:rPr>
          <w:bCs/>
          <w:iCs/>
          <w:sz w:val="24"/>
          <w:szCs w:val="24"/>
        </w:rPr>
        <w:t xml:space="preserve">ncípe sa zostavuje aj rozpočet </w:t>
      </w:r>
      <w:r w:rsidRPr="003606CC">
        <w:rPr>
          <w:b/>
          <w:bCs/>
          <w:iCs/>
          <w:sz w:val="24"/>
          <w:szCs w:val="24"/>
        </w:rPr>
        <w:t>Úradu pre dohľad nad poskytovaním zdravotnej starostlivosti</w:t>
      </w:r>
      <w:r w:rsidRPr="00A12EB5">
        <w:rPr>
          <w:bCs/>
          <w:iCs/>
          <w:sz w:val="24"/>
          <w:szCs w:val="24"/>
        </w:rPr>
        <w:t>, ktorý je z nepochopiteľných dôvodov tiež financovaný z pov</w:t>
      </w:r>
      <w:r>
        <w:rPr>
          <w:bCs/>
          <w:iCs/>
          <w:sz w:val="24"/>
          <w:szCs w:val="24"/>
        </w:rPr>
        <w:t>inného zdravotného postenia.</w:t>
      </w:r>
    </w:p>
    <w:p w:rsidR="00A12EB5" w:rsidRPr="00A12EB5" w:rsidRDefault="00A12EB5" w:rsidP="00310B5E">
      <w:pPr>
        <w:jc w:val="both"/>
        <w:rPr>
          <w:b/>
          <w:bCs/>
          <w:iCs/>
          <w:sz w:val="24"/>
          <w:szCs w:val="24"/>
          <w:u w:val="single"/>
        </w:rPr>
      </w:pPr>
    </w:p>
    <w:p w:rsidR="002D2037" w:rsidRDefault="002D2037" w:rsidP="00310B5E">
      <w:pPr>
        <w:jc w:val="both"/>
        <w:rPr>
          <w:b/>
          <w:bCs/>
          <w:iCs/>
          <w:sz w:val="24"/>
          <w:szCs w:val="24"/>
        </w:rPr>
      </w:pPr>
      <w:r w:rsidRPr="00833A5A">
        <w:rPr>
          <w:b/>
          <w:bCs/>
          <w:iCs/>
          <w:sz w:val="24"/>
          <w:szCs w:val="24"/>
        </w:rPr>
        <w:t xml:space="preserve">KOZ SR bude prezentovať ďalšie pripomienky </w:t>
      </w:r>
      <w:r w:rsidR="0031322B" w:rsidRPr="00833A5A">
        <w:rPr>
          <w:b/>
          <w:bCs/>
          <w:iCs/>
          <w:sz w:val="24"/>
          <w:szCs w:val="24"/>
        </w:rPr>
        <w:t xml:space="preserve">k návrhu rozpočtu verejnej správy na roky 2019 až 2021 </w:t>
      </w:r>
      <w:r w:rsidRPr="00833A5A">
        <w:rPr>
          <w:b/>
          <w:bCs/>
          <w:iCs/>
          <w:sz w:val="24"/>
          <w:szCs w:val="24"/>
        </w:rPr>
        <w:t>priamo na mimoriadnom rokovaní Hospodárskej a sociálnej rady.</w:t>
      </w:r>
    </w:p>
    <w:p w:rsidR="00D24629" w:rsidRPr="00833A5A" w:rsidRDefault="00D24629" w:rsidP="00310B5E">
      <w:pPr>
        <w:jc w:val="both"/>
        <w:rPr>
          <w:b/>
          <w:bCs/>
          <w:iCs/>
          <w:sz w:val="24"/>
          <w:szCs w:val="24"/>
        </w:rPr>
      </w:pPr>
    </w:p>
    <w:p w:rsidR="0032711A" w:rsidRPr="00833A5A" w:rsidRDefault="006606DC" w:rsidP="006606DC">
      <w:pPr>
        <w:numPr>
          <w:ilvl w:val="0"/>
          <w:numId w:val="16"/>
        </w:numPr>
        <w:spacing w:after="200"/>
        <w:ind w:left="426"/>
        <w:jc w:val="both"/>
        <w:rPr>
          <w:b/>
          <w:sz w:val="24"/>
          <w:szCs w:val="24"/>
        </w:rPr>
      </w:pPr>
      <w:r w:rsidRPr="00833A5A">
        <w:rPr>
          <w:b/>
          <w:sz w:val="24"/>
          <w:szCs w:val="24"/>
        </w:rPr>
        <w:t>Z</w:t>
      </w:r>
      <w:r w:rsidR="0032711A" w:rsidRPr="00833A5A">
        <w:rPr>
          <w:b/>
          <w:sz w:val="24"/>
          <w:szCs w:val="24"/>
        </w:rPr>
        <w:t>ávery a</w:t>
      </w:r>
      <w:r w:rsidR="001D064B" w:rsidRPr="00833A5A">
        <w:rPr>
          <w:b/>
          <w:sz w:val="24"/>
          <w:szCs w:val="24"/>
        </w:rPr>
        <w:t> </w:t>
      </w:r>
      <w:r w:rsidR="0032711A" w:rsidRPr="00833A5A">
        <w:rPr>
          <w:b/>
          <w:sz w:val="24"/>
          <w:szCs w:val="24"/>
        </w:rPr>
        <w:t>odporúčania</w:t>
      </w:r>
    </w:p>
    <w:p w:rsidR="00A325B8" w:rsidRPr="00833A5A" w:rsidRDefault="00A325B8" w:rsidP="00A325B8">
      <w:pPr>
        <w:jc w:val="both"/>
        <w:rPr>
          <w:bCs/>
          <w:iCs/>
          <w:sz w:val="24"/>
          <w:szCs w:val="24"/>
        </w:rPr>
      </w:pPr>
      <w:r w:rsidRPr="00833A5A">
        <w:rPr>
          <w:bCs/>
          <w:iCs/>
          <w:sz w:val="24"/>
          <w:szCs w:val="24"/>
        </w:rPr>
        <w:t>KOZ SR berie predložený Návrh rozpočtu verejnej správy na roky 201</w:t>
      </w:r>
      <w:r w:rsidR="00EE3DD1" w:rsidRPr="00833A5A">
        <w:rPr>
          <w:bCs/>
          <w:iCs/>
          <w:sz w:val="24"/>
          <w:szCs w:val="24"/>
        </w:rPr>
        <w:t>9</w:t>
      </w:r>
      <w:r w:rsidRPr="00833A5A">
        <w:rPr>
          <w:bCs/>
          <w:iCs/>
          <w:sz w:val="24"/>
          <w:szCs w:val="24"/>
        </w:rPr>
        <w:t xml:space="preserve"> až 20</w:t>
      </w:r>
      <w:r w:rsidR="00EE3DD1" w:rsidRPr="00833A5A">
        <w:rPr>
          <w:bCs/>
          <w:iCs/>
          <w:sz w:val="24"/>
          <w:szCs w:val="24"/>
        </w:rPr>
        <w:t>21</w:t>
      </w:r>
      <w:r w:rsidRPr="00833A5A">
        <w:rPr>
          <w:bCs/>
          <w:iCs/>
          <w:sz w:val="24"/>
          <w:szCs w:val="24"/>
        </w:rPr>
        <w:t xml:space="preserve"> na vedomie s pripomienkami. </w:t>
      </w:r>
    </w:p>
    <w:p w:rsidR="007016DD" w:rsidRPr="00833A5A" w:rsidRDefault="00A325B8" w:rsidP="00A325B8">
      <w:pPr>
        <w:jc w:val="both"/>
        <w:rPr>
          <w:sz w:val="24"/>
          <w:szCs w:val="24"/>
        </w:rPr>
      </w:pPr>
      <w:r w:rsidRPr="00833A5A">
        <w:rPr>
          <w:bCs/>
          <w:iCs/>
          <w:sz w:val="24"/>
          <w:szCs w:val="24"/>
        </w:rPr>
        <w:t>KOZ SR odporúča návrh rozpočtu po zapracovaní pripomienok na ďalšie legislatívne konanie.</w:t>
      </w:r>
      <w:r w:rsidR="007016DD" w:rsidRPr="00833A5A">
        <w:rPr>
          <w:sz w:val="24"/>
          <w:szCs w:val="24"/>
        </w:rPr>
        <w:t xml:space="preserve"> </w:t>
      </w:r>
    </w:p>
    <w:p w:rsidR="00345265" w:rsidRPr="00833A5A" w:rsidRDefault="00345265" w:rsidP="00872878">
      <w:pPr>
        <w:pStyle w:val="Odsekzoznamu"/>
        <w:ind w:left="0"/>
        <w:contextualSpacing/>
        <w:rPr>
          <w:rFonts w:ascii="Times New Roman" w:hAnsi="Times New Roman"/>
          <w:sz w:val="24"/>
          <w:szCs w:val="24"/>
        </w:rPr>
      </w:pPr>
    </w:p>
    <w:sectPr w:rsidR="00345265" w:rsidRPr="00833A5A" w:rsidSect="00DF1469">
      <w:footerReference w:type="default" r:id="rId9"/>
      <w:pgSz w:w="11907" w:h="16840" w:code="9"/>
      <w:pgMar w:top="1418" w:right="1418" w:bottom="1418" w:left="1418"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05" w:rsidRDefault="007A3005">
      <w:r>
        <w:separator/>
      </w:r>
    </w:p>
  </w:endnote>
  <w:endnote w:type="continuationSeparator" w:id="0">
    <w:p w:rsidR="007A3005" w:rsidRDefault="007A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EE"/>
    <w:family w:val="roman"/>
    <w:notTrueType/>
    <w:pitch w:val="default"/>
    <w:sig w:usb0="00000003"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7FC" w:rsidRDefault="00F637FC">
    <w:pPr>
      <w:pStyle w:val="Pta"/>
      <w:jc w:val="center"/>
    </w:pPr>
    <w:r>
      <w:fldChar w:fldCharType="begin"/>
    </w:r>
    <w:r>
      <w:instrText>PAGE   \* MERGEFORMAT</w:instrText>
    </w:r>
    <w:r>
      <w:fldChar w:fldCharType="separate"/>
    </w:r>
    <w:r w:rsidR="00911D42">
      <w:rPr>
        <w:noProof/>
      </w:rPr>
      <w:t>9</w:t>
    </w:r>
    <w:r>
      <w:fldChar w:fldCharType="end"/>
    </w:r>
  </w:p>
  <w:p w:rsidR="00F637FC" w:rsidRDefault="00F637F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05" w:rsidRDefault="007A3005">
      <w:r>
        <w:separator/>
      </w:r>
    </w:p>
  </w:footnote>
  <w:footnote w:type="continuationSeparator" w:id="0">
    <w:p w:rsidR="007A3005" w:rsidRDefault="007A3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63548D"/>
    <w:multiLevelType w:val="hybridMultilevel"/>
    <w:tmpl w:val="C3BA6008"/>
    <w:lvl w:ilvl="0" w:tplc="105E625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34649B"/>
    <w:multiLevelType w:val="hybridMultilevel"/>
    <w:tmpl w:val="914443AA"/>
    <w:lvl w:ilvl="0" w:tplc="FEE0734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C135F6"/>
    <w:multiLevelType w:val="hybridMultilevel"/>
    <w:tmpl w:val="A9606BE4"/>
    <w:lvl w:ilvl="0" w:tplc="2A44CE2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5518EA"/>
    <w:multiLevelType w:val="hybridMultilevel"/>
    <w:tmpl w:val="6ACA5ED0"/>
    <w:lvl w:ilvl="0" w:tplc="2AE28276">
      <w:start w:val="4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FB0A89"/>
    <w:multiLevelType w:val="hybridMultilevel"/>
    <w:tmpl w:val="BC42AFC8"/>
    <w:lvl w:ilvl="0" w:tplc="213E947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B502594"/>
    <w:multiLevelType w:val="hybridMultilevel"/>
    <w:tmpl w:val="9D346F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AE28F8"/>
    <w:multiLevelType w:val="hybridMultilevel"/>
    <w:tmpl w:val="BEFEC0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E30DA5"/>
    <w:multiLevelType w:val="hybridMultilevel"/>
    <w:tmpl w:val="0576F88A"/>
    <w:lvl w:ilvl="0" w:tplc="63C2758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42840DD2"/>
    <w:multiLevelType w:val="hybridMultilevel"/>
    <w:tmpl w:val="D27A2C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6A4C1E"/>
    <w:multiLevelType w:val="hybridMultilevel"/>
    <w:tmpl w:val="85BAD5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505D3FFE"/>
    <w:multiLevelType w:val="hybridMultilevel"/>
    <w:tmpl w:val="0684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0A6853"/>
    <w:multiLevelType w:val="hybridMultilevel"/>
    <w:tmpl w:val="211470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1"/>
  </w:num>
  <w:num w:numId="5">
    <w:abstractNumId w:val="24"/>
  </w:num>
  <w:num w:numId="6">
    <w:abstractNumId w:val="10"/>
  </w:num>
  <w:num w:numId="7">
    <w:abstractNumId w:val="14"/>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3"/>
  </w:num>
  <w:num w:numId="13">
    <w:abstractNumId w:val="7"/>
  </w:num>
  <w:num w:numId="14">
    <w:abstractNumId w:val="17"/>
  </w:num>
  <w:num w:numId="15">
    <w:abstractNumId w:val="11"/>
  </w:num>
  <w:num w:numId="16">
    <w:abstractNumId w:val="20"/>
  </w:num>
  <w:num w:numId="17">
    <w:abstractNumId w:val="2"/>
  </w:num>
  <w:num w:numId="18">
    <w:abstractNumId w:val="5"/>
  </w:num>
  <w:num w:numId="19">
    <w:abstractNumId w:val="9"/>
  </w:num>
  <w:num w:numId="20">
    <w:abstractNumId w:val="22"/>
  </w:num>
  <w:num w:numId="21">
    <w:abstractNumId w:val="15"/>
  </w:num>
  <w:num w:numId="22">
    <w:abstractNumId w:val="12"/>
  </w:num>
  <w:num w:numId="23">
    <w:abstractNumId w:val="18"/>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A7"/>
    <w:rsid w:val="00011489"/>
    <w:rsid w:val="00012D05"/>
    <w:rsid w:val="00014428"/>
    <w:rsid w:val="000178BB"/>
    <w:rsid w:val="00022B37"/>
    <w:rsid w:val="000340C9"/>
    <w:rsid w:val="0004259D"/>
    <w:rsid w:val="0004462D"/>
    <w:rsid w:val="00044F7C"/>
    <w:rsid w:val="00045A25"/>
    <w:rsid w:val="000520BA"/>
    <w:rsid w:val="0006137F"/>
    <w:rsid w:val="0006625D"/>
    <w:rsid w:val="0006637C"/>
    <w:rsid w:val="00086686"/>
    <w:rsid w:val="000B21BC"/>
    <w:rsid w:val="000B28F3"/>
    <w:rsid w:val="000C2A87"/>
    <w:rsid w:val="000C4C2A"/>
    <w:rsid w:val="000C5D22"/>
    <w:rsid w:val="000C74B3"/>
    <w:rsid w:val="000E6B9A"/>
    <w:rsid w:val="000F142F"/>
    <w:rsid w:val="000F176D"/>
    <w:rsid w:val="000F1CBA"/>
    <w:rsid w:val="000F4AFC"/>
    <w:rsid w:val="0010284E"/>
    <w:rsid w:val="0010287F"/>
    <w:rsid w:val="001029D2"/>
    <w:rsid w:val="00105A5A"/>
    <w:rsid w:val="00106B2F"/>
    <w:rsid w:val="00107055"/>
    <w:rsid w:val="0011407F"/>
    <w:rsid w:val="00117222"/>
    <w:rsid w:val="00120440"/>
    <w:rsid w:val="00122923"/>
    <w:rsid w:val="00126F6E"/>
    <w:rsid w:val="00136F4F"/>
    <w:rsid w:val="00140D34"/>
    <w:rsid w:val="00142764"/>
    <w:rsid w:val="00142973"/>
    <w:rsid w:val="00152748"/>
    <w:rsid w:val="001531AB"/>
    <w:rsid w:val="00153C0D"/>
    <w:rsid w:val="001653CF"/>
    <w:rsid w:val="00165AEF"/>
    <w:rsid w:val="0016743D"/>
    <w:rsid w:val="00181BA7"/>
    <w:rsid w:val="00182EBF"/>
    <w:rsid w:val="00184205"/>
    <w:rsid w:val="00187CF0"/>
    <w:rsid w:val="001972EE"/>
    <w:rsid w:val="001A1E5D"/>
    <w:rsid w:val="001A5292"/>
    <w:rsid w:val="001B116B"/>
    <w:rsid w:val="001B3D9E"/>
    <w:rsid w:val="001C317D"/>
    <w:rsid w:val="001C5237"/>
    <w:rsid w:val="001D064B"/>
    <w:rsid w:val="001D1CDF"/>
    <w:rsid w:val="001E1306"/>
    <w:rsid w:val="001E673B"/>
    <w:rsid w:val="001E7ABF"/>
    <w:rsid w:val="001F20C1"/>
    <w:rsid w:val="001F6823"/>
    <w:rsid w:val="001F748E"/>
    <w:rsid w:val="00201737"/>
    <w:rsid w:val="002053CB"/>
    <w:rsid w:val="00206FFE"/>
    <w:rsid w:val="00210EC7"/>
    <w:rsid w:val="00213304"/>
    <w:rsid w:val="0021533F"/>
    <w:rsid w:val="0021628F"/>
    <w:rsid w:val="00217428"/>
    <w:rsid w:val="002301DA"/>
    <w:rsid w:val="002322F0"/>
    <w:rsid w:val="00234939"/>
    <w:rsid w:val="00236044"/>
    <w:rsid w:val="0024172F"/>
    <w:rsid w:val="00242B4D"/>
    <w:rsid w:val="002434E3"/>
    <w:rsid w:val="002471D9"/>
    <w:rsid w:val="00251F6A"/>
    <w:rsid w:val="00261A00"/>
    <w:rsid w:val="002714BB"/>
    <w:rsid w:val="002724DA"/>
    <w:rsid w:val="002729BE"/>
    <w:rsid w:val="00275263"/>
    <w:rsid w:val="002770EC"/>
    <w:rsid w:val="0028681C"/>
    <w:rsid w:val="0029385E"/>
    <w:rsid w:val="002975FD"/>
    <w:rsid w:val="002A481C"/>
    <w:rsid w:val="002A55DD"/>
    <w:rsid w:val="002A6382"/>
    <w:rsid w:val="002B6863"/>
    <w:rsid w:val="002C36A3"/>
    <w:rsid w:val="002D2037"/>
    <w:rsid w:val="002D4EDA"/>
    <w:rsid w:val="002D63A9"/>
    <w:rsid w:val="002E2DF9"/>
    <w:rsid w:val="002E578A"/>
    <w:rsid w:val="002F0F76"/>
    <w:rsid w:val="003043AB"/>
    <w:rsid w:val="00307873"/>
    <w:rsid w:val="00310B5E"/>
    <w:rsid w:val="0031322B"/>
    <w:rsid w:val="0031626C"/>
    <w:rsid w:val="0032269A"/>
    <w:rsid w:val="00324369"/>
    <w:rsid w:val="003260BA"/>
    <w:rsid w:val="0032711A"/>
    <w:rsid w:val="0033189C"/>
    <w:rsid w:val="0033526B"/>
    <w:rsid w:val="00335EF8"/>
    <w:rsid w:val="003364B5"/>
    <w:rsid w:val="00341AFD"/>
    <w:rsid w:val="00345265"/>
    <w:rsid w:val="00345CAE"/>
    <w:rsid w:val="00347C61"/>
    <w:rsid w:val="00353083"/>
    <w:rsid w:val="00354BDE"/>
    <w:rsid w:val="003606CC"/>
    <w:rsid w:val="003653FF"/>
    <w:rsid w:val="0037133D"/>
    <w:rsid w:val="00374046"/>
    <w:rsid w:val="00375925"/>
    <w:rsid w:val="003769B5"/>
    <w:rsid w:val="00377338"/>
    <w:rsid w:val="003831B7"/>
    <w:rsid w:val="00385AA0"/>
    <w:rsid w:val="00391944"/>
    <w:rsid w:val="00392192"/>
    <w:rsid w:val="00392D04"/>
    <w:rsid w:val="003938AD"/>
    <w:rsid w:val="00396D8E"/>
    <w:rsid w:val="003A0003"/>
    <w:rsid w:val="003B39BA"/>
    <w:rsid w:val="003C125B"/>
    <w:rsid w:val="003C7DB2"/>
    <w:rsid w:val="003D44C8"/>
    <w:rsid w:val="003D5BFD"/>
    <w:rsid w:val="003D5E44"/>
    <w:rsid w:val="003F2578"/>
    <w:rsid w:val="00407397"/>
    <w:rsid w:val="00410315"/>
    <w:rsid w:val="004205E8"/>
    <w:rsid w:val="00420A79"/>
    <w:rsid w:val="004220A8"/>
    <w:rsid w:val="004232A2"/>
    <w:rsid w:val="00423BB8"/>
    <w:rsid w:val="00425172"/>
    <w:rsid w:val="00434D4F"/>
    <w:rsid w:val="0044337E"/>
    <w:rsid w:val="00445D6B"/>
    <w:rsid w:val="00447123"/>
    <w:rsid w:val="00453597"/>
    <w:rsid w:val="00461392"/>
    <w:rsid w:val="0046399C"/>
    <w:rsid w:val="0046616E"/>
    <w:rsid w:val="004736B0"/>
    <w:rsid w:val="004829F8"/>
    <w:rsid w:val="0048366E"/>
    <w:rsid w:val="00486A8C"/>
    <w:rsid w:val="0049240C"/>
    <w:rsid w:val="0049645B"/>
    <w:rsid w:val="004B23A2"/>
    <w:rsid w:val="004B63A5"/>
    <w:rsid w:val="004B7F7B"/>
    <w:rsid w:val="004D2F12"/>
    <w:rsid w:val="004D6821"/>
    <w:rsid w:val="004D69EF"/>
    <w:rsid w:val="004D6A6B"/>
    <w:rsid w:val="004F49A4"/>
    <w:rsid w:val="004F52FD"/>
    <w:rsid w:val="004F79DD"/>
    <w:rsid w:val="00511631"/>
    <w:rsid w:val="00513C4B"/>
    <w:rsid w:val="00514ADF"/>
    <w:rsid w:val="00517102"/>
    <w:rsid w:val="0051792F"/>
    <w:rsid w:val="00523964"/>
    <w:rsid w:val="00532D23"/>
    <w:rsid w:val="0053385C"/>
    <w:rsid w:val="00551C93"/>
    <w:rsid w:val="0055500E"/>
    <w:rsid w:val="00572A4C"/>
    <w:rsid w:val="00580EC4"/>
    <w:rsid w:val="0058235B"/>
    <w:rsid w:val="00583240"/>
    <w:rsid w:val="0059033E"/>
    <w:rsid w:val="005975B9"/>
    <w:rsid w:val="005A1FD4"/>
    <w:rsid w:val="005A4DDE"/>
    <w:rsid w:val="005B1672"/>
    <w:rsid w:val="005B4395"/>
    <w:rsid w:val="005B633C"/>
    <w:rsid w:val="005C637F"/>
    <w:rsid w:val="005C68DC"/>
    <w:rsid w:val="005D0928"/>
    <w:rsid w:val="005D0F0F"/>
    <w:rsid w:val="005D36D1"/>
    <w:rsid w:val="005D3708"/>
    <w:rsid w:val="005F29FD"/>
    <w:rsid w:val="005F2C6A"/>
    <w:rsid w:val="005F5C4D"/>
    <w:rsid w:val="005F7F38"/>
    <w:rsid w:val="0060082C"/>
    <w:rsid w:val="00602365"/>
    <w:rsid w:val="00606379"/>
    <w:rsid w:val="0061251D"/>
    <w:rsid w:val="00613088"/>
    <w:rsid w:val="00614065"/>
    <w:rsid w:val="00620168"/>
    <w:rsid w:val="006204DD"/>
    <w:rsid w:val="00620758"/>
    <w:rsid w:val="00620C9C"/>
    <w:rsid w:val="0062114A"/>
    <w:rsid w:val="006267DC"/>
    <w:rsid w:val="00627DB8"/>
    <w:rsid w:val="006410A2"/>
    <w:rsid w:val="0064730C"/>
    <w:rsid w:val="006473BD"/>
    <w:rsid w:val="0064744D"/>
    <w:rsid w:val="006519ED"/>
    <w:rsid w:val="006521ED"/>
    <w:rsid w:val="00654346"/>
    <w:rsid w:val="00654356"/>
    <w:rsid w:val="00657F8D"/>
    <w:rsid w:val="006606DC"/>
    <w:rsid w:val="006738A1"/>
    <w:rsid w:val="006802DF"/>
    <w:rsid w:val="00682D59"/>
    <w:rsid w:val="006916AE"/>
    <w:rsid w:val="00693861"/>
    <w:rsid w:val="00693DBD"/>
    <w:rsid w:val="006A0F20"/>
    <w:rsid w:val="006A2E4B"/>
    <w:rsid w:val="006A520C"/>
    <w:rsid w:val="006C424A"/>
    <w:rsid w:val="006D54ED"/>
    <w:rsid w:val="006D702E"/>
    <w:rsid w:val="006E088C"/>
    <w:rsid w:val="006E179B"/>
    <w:rsid w:val="006E5652"/>
    <w:rsid w:val="006F013B"/>
    <w:rsid w:val="006F6929"/>
    <w:rsid w:val="007016DD"/>
    <w:rsid w:val="00705CC2"/>
    <w:rsid w:val="007149B0"/>
    <w:rsid w:val="007254B6"/>
    <w:rsid w:val="00727EF9"/>
    <w:rsid w:val="00730B53"/>
    <w:rsid w:val="007322B6"/>
    <w:rsid w:val="007340CE"/>
    <w:rsid w:val="00736800"/>
    <w:rsid w:val="007436D3"/>
    <w:rsid w:val="00753E3A"/>
    <w:rsid w:val="00754811"/>
    <w:rsid w:val="007548A1"/>
    <w:rsid w:val="00756BB5"/>
    <w:rsid w:val="00756CFF"/>
    <w:rsid w:val="007627E2"/>
    <w:rsid w:val="00770347"/>
    <w:rsid w:val="00773E23"/>
    <w:rsid w:val="0077418C"/>
    <w:rsid w:val="007802EF"/>
    <w:rsid w:val="00781B9B"/>
    <w:rsid w:val="00781F59"/>
    <w:rsid w:val="00792DBB"/>
    <w:rsid w:val="0079321D"/>
    <w:rsid w:val="007A1146"/>
    <w:rsid w:val="007A3005"/>
    <w:rsid w:val="007A3E1D"/>
    <w:rsid w:val="007A7BBE"/>
    <w:rsid w:val="007B255B"/>
    <w:rsid w:val="007C1614"/>
    <w:rsid w:val="007C246B"/>
    <w:rsid w:val="007C2816"/>
    <w:rsid w:val="007C42D2"/>
    <w:rsid w:val="007C64B5"/>
    <w:rsid w:val="007D5B2F"/>
    <w:rsid w:val="007D7744"/>
    <w:rsid w:val="007E4FB5"/>
    <w:rsid w:val="007F12A1"/>
    <w:rsid w:val="007F142B"/>
    <w:rsid w:val="007F2F53"/>
    <w:rsid w:val="007F3E51"/>
    <w:rsid w:val="00805ADB"/>
    <w:rsid w:val="00817FAC"/>
    <w:rsid w:val="00824F02"/>
    <w:rsid w:val="00830C09"/>
    <w:rsid w:val="00833A5A"/>
    <w:rsid w:val="00834BFD"/>
    <w:rsid w:val="00836C6C"/>
    <w:rsid w:val="0084110F"/>
    <w:rsid w:val="008423A4"/>
    <w:rsid w:val="00842F19"/>
    <w:rsid w:val="00853E44"/>
    <w:rsid w:val="00854092"/>
    <w:rsid w:val="008549F2"/>
    <w:rsid w:val="00857DB6"/>
    <w:rsid w:val="0086414A"/>
    <w:rsid w:val="00864FA6"/>
    <w:rsid w:val="00872878"/>
    <w:rsid w:val="00874603"/>
    <w:rsid w:val="008766C1"/>
    <w:rsid w:val="00876805"/>
    <w:rsid w:val="00881D02"/>
    <w:rsid w:val="00883E0A"/>
    <w:rsid w:val="00886020"/>
    <w:rsid w:val="00896071"/>
    <w:rsid w:val="008970FB"/>
    <w:rsid w:val="00897B5B"/>
    <w:rsid w:val="008A72A3"/>
    <w:rsid w:val="008A793C"/>
    <w:rsid w:val="008B2F79"/>
    <w:rsid w:val="008C2C91"/>
    <w:rsid w:val="008C2CEA"/>
    <w:rsid w:val="008D30D1"/>
    <w:rsid w:val="008D6D43"/>
    <w:rsid w:val="008E0878"/>
    <w:rsid w:val="008E3C1D"/>
    <w:rsid w:val="008E6E49"/>
    <w:rsid w:val="008F31E9"/>
    <w:rsid w:val="00910429"/>
    <w:rsid w:val="00911D42"/>
    <w:rsid w:val="00912796"/>
    <w:rsid w:val="00914B4E"/>
    <w:rsid w:val="00916B21"/>
    <w:rsid w:val="00923B5F"/>
    <w:rsid w:val="00930890"/>
    <w:rsid w:val="0094300C"/>
    <w:rsid w:val="0095334B"/>
    <w:rsid w:val="00956AC5"/>
    <w:rsid w:val="0096066F"/>
    <w:rsid w:val="00967CBB"/>
    <w:rsid w:val="009701A5"/>
    <w:rsid w:val="0097252D"/>
    <w:rsid w:val="00974DDE"/>
    <w:rsid w:val="00980389"/>
    <w:rsid w:val="009837D3"/>
    <w:rsid w:val="0099275D"/>
    <w:rsid w:val="00992804"/>
    <w:rsid w:val="0099544B"/>
    <w:rsid w:val="009A2834"/>
    <w:rsid w:val="009B06EA"/>
    <w:rsid w:val="009B7857"/>
    <w:rsid w:val="009C187A"/>
    <w:rsid w:val="009C4105"/>
    <w:rsid w:val="009C7CA7"/>
    <w:rsid w:val="009D431F"/>
    <w:rsid w:val="009D5D5C"/>
    <w:rsid w:val="009E3CC9"/>
    <w:rsid w:val="009F1743"/>
    <w:rsid w:val="009F2E3B"/>
    <w:rsid w:val="009F76F2"/>
    <w:rsid w:val="00A00162"/>
    <w:rsid w:val="00A02CB5"/>
    <w:rsid w:val="00A03212"/>
    <w:rsid w:val="00A1082F"/>
    <w:rsid w:val="00A12724"/>
    <w:rsid w:val="00A12EB5"/>
    <w:rsid w:val="00A14A6D"/>
    <w:rsid w:val="00A21483"/>
    <w:rsid w:val="00A275B4"/>
    <w:rsid w:val="00A31AA4"/>
    <w:rsid w:val="00A322D5"/>
    <w:rsid w:val="00A325B8"/>
    <w:rsid w:val="00A32B0B"/>
    <w:rsid w:val="00A36F8F"/>
    <w:rsid w:val="00A41A17"/>
    <w:rsid w:val="00A50B76"/>
    <w:rsid w:val="00A56F12"/>
    <w:rsid w:val="00A57320"/>
    <w:rsid w:val="00A57357"/>
    <w:rsid w:val="00A62D0C"/>
    <w:rsid w:val="00A673F3"/>
    <w:rsid w:val="00A7129A"/>
    <w:rsid w:val="00A73E7C"/>
    <w:rsid w:val="00A745D5"/>
    <w:rsid w:val="00A75B53"/>
    <w:rsid w:val="00A8394D"/>
    <w:rsid w:val="00A84A65"/>
    <w:rsid w:val="00A86ABA"/>
    <w:rsid w:val="00A87EDB"/>
    <w:rsid w:val="00A906B0"/>
    <w:rsid w:val="00A91857"/>
    <w:rsid w:val="00A97E72"/>
    <w:rsid w:val="00AB6123"/>
    <w:rsid w:val="00AC1C04"/>
    <w:rsid w:val="00AD3FA3"/>
    <w:rsid w:val="00AD7B53"/>
    <w:rsid w:val="00AE47BF"/>
    <w:rsid w:val="00AE6ADE"/>
    <w:rsid w:val="00B04398"/>
    <w:rsid w:val="00B056B4"/>
    <w:rsid w:val="00B1799A"/>
    <w:rsid w:val="00B23EC8"/>
    <w:rsid w:val="00B25C0F"/>
    <w:rsid w:val="00B2679F"/>
    <w:rsid w:val="00B26E70"/>
    <w:rsid w:val="00B31DF5"/>
    <w:rsid w:val="00B36496"/>
    <w:rsid w:val="00B36C8A"/>
    <w:rsid w:val="00B372F8"/>
    <w:rsid w:val="00B40F49"/>
    <w:rsid w:val="00B4533B"/>
    <w:rsid w:val="00B4643D"/>
    <w:rsid w:val="00B51251"/>
    <w:rsid w:val="00B519AD"/>
    <w:rsid w:val="00B5269E"/>
    <w:rsid w:val="00B53B23"/>
    <w:rsid w:val="00B609D1"/>
    <w:rsid w:val="00B6220C"/>
    <w:rsid w:val="00B65B5E"/>
    <w:rsid w:val="00B77BC3"/>
    <w:rsid w:val="00B872A4"/>
    <w:rsid w:val="00B87834"/>
    <w:rsid w:val="00B95CE6"/>
    <w:rsid w:val="00BA7999"/>
    <w:rsid w:val="00BB09E0"/>
    <w:rsid w:val="00BB3D9D"/>
    <w:rsid w:val="00BB4C50"/>
    <w:rsid w:val="00BB5C19"/>
    <w:rsid w:val="00BB6A1E"/>
    <w:rsid w:val="00BC242E"/>
    <w:rsid w:val="00BC7516"/>
    <w:rsid w:val="00BD244C"/>
    <w:rsid w:val="00BE07D3"/>
    <w:rsid w:val="00BE395A"/>
    <w:rsid w:val="00BE5113"/>
    <w:rsid w:val="00BE69EC"/>
    <w:rsid w:val="00BF2EE3"/>
    <w:rsid w:val="00BF644E"/>
    <w:rsid w:val="00C027E5"/>
    <w:rsid w:val="00C0540A"/>
    <w:rsid w:val="00C146F7"/>
    <w:rsid w:val="00C1478D"/>
    <w:rsid w:val="00C20A3D"/>
    <w:rsid w:val="00C21492"/>
    <w:rsid w:val="00C23798"/>
    <w:rsid w:val="00C252F7"/>
    <w:rsid w:val="00C27339"/>
    <w:rsid w:val="00C27B4D"/>
    <w:rsid w:val="00C32390"/>
    <w:rsid w:val="00C406E9"/>
    <w:rsid w:val="00C44C36"/>
    <w:rsid w:val="00C45BAB"/>
    <w:rsid w:val="00C542AD"/>
    <w:rsid w:val="00C575C7"/>
    <w:rsid w:val="00C715D0"/>
    <w:rsid w:val="00C740D1"/>
    <w:rsid w:val="00C8355E"/>
    <w:rsid w:val="00C9020F"/>
    <w:rsid w:val="00C930ED"/>
    <w:rsid w:val="00C93998"/>
    <w:rsid w:val="00CA3BB1"/>
    <w:rsid w:val="00CA7FE4"/>
    <w:rsid w:val="00CB1A15"/>
    <w:rsid w:val="00CB1C57"/>
    <w:rsid w:val="00CB3E41"/>
    <w:rsid w:val="00CB549B"/>
    <w:rsid w:val="00CD50A4"/>
    <w:rsid w:val="00CD595F"/>
    <w:rsid w:val="00CD708C"/>
    <w:rsid w:val="00CD7BC6"/>
    <w:rsid w:val="00CD7F9D"/>
    <w:rsid w:val="00CE0BC9"/>
    <w:rsid w:val="00CE2FDA"/>
    <w:rsid w:val="00CE49CC"/>
    <w:rsid w:val="00CF0B34"/>
    <w:rsid w:val="00CF37AF"/>
    <w:rsid w:val="00CF549E"/>
    <w:rsid w:val="00D003C1"/>
    <w:rsid w:val="00D02CE9"/>
    <w:rsid w:val="00D03B82"/>
    <w:rsid w:val="00D03F80"/>
    <w:rsid w:val="00D0562B"/>
    <w:rsid w:val="00D131BF"/>
    <w:rsid w:val="00D14173"/>
    <w:rsid w:val="00D149D4"/>
    <w:rsid w:val="00D15F49"/>
    <w:rsid w:val="00D24629"/>
    <w:rsid w:val="00D306AE"/>
    <w:rsid w:val="00D3112A"/>
    <w:rsid w:val="00D41E2A"/>
    <w:rsid w:val="00D5144B"/>
    <w:rsid w:val="00D53F5F"/>
    <w:rsid w:val="00D56E52"/>
    <w:rsid w:val="00D61839"/>
    <w:rsid w:val="00D61C17"/>
    <w:rsid w:val="00D62E91"/>
    <w:rsid w:val="00D70807"/>
    <w:rsid w:val="00D80AA1"/>
    <w:rsid w:val="00D834D8"/>
    <w:rsid w:val="00D860BA"/>
    <w:rsid w:val="00D868B1"/>
    <w:rsid w:val="00D87DF6"/>
    <w:rsid w:val="00D90160"/>
    <w:rsid w:val="00D9024F"/>
    <w:rsid w:val="00D9402E"/>
    <w:rsid w:val="00D95E6C"/>
    <w:rsid w:val="00DA7286"/>
    <w:rsid w:val="00DB280C"/>
    <w:rsid w:val="00DC59ED"/>
    <w:rsid w:val="00DC6BE7"/>
    <w:rsid w:val="00DE7E7D"/>
    <w:rsid w:val="00DF05DE"/>
    <w:rsid w:val="00DF0F7D"/>
    <w:rsid w:val="00DF1469"/>
    <w:rsid w:val="00DF6753"/>
    <w:rsid w:val="00E03947"/>
    <w:rsid w:val="00E102D1"/>
    <w:rsid w:val="00E14143"/>
    <w:rsid w:val="00E21941"/>
    <w:rsid w:val="00E22503"/>
    <w:rsid w:val="00E25738"/>
    <w:rsid w:val="00E26503"/>
    <w:rsid w:val="00E26A22"/>
    <w:rsid w:val="00E272B3"/>
    <w:rsid w:val="00E3276F"/>
    <w:rsid w:val="00E32FA7"/>
    <w:rsid w:val="00E33EF4"/>
    <w:rsid w:val="00E4335D"/>
    <w:rsid w:val="00E45EDC"/>
    <w:rsid w:val="00E504B6"/>
    <w:rsid w:val="00E50763"/>
    <w:rsid w:val="00E53B91"/>
    <w:rsid w:val="00E60987"/>
    <w:rsid w:val="00E60DBC"/>
    <w:rsid w:val="00E71EE0"/>
    <w:rsid w:val="00E72B18"/>
    <w:rsid w:val="00E72D37"/>
    <w:rsid w:val="00E80F15"/>
    <w:rsid w:val="00E82D89"/>
    <w:rsid w:val="00E93201"/>
    <w:rsid w:val="00E93DA8"/>
    <w:rsid w:val="00E94825"/>
    <w:rsid w:val="00E96EB1"/>
    <w:rsid w:val="00EA1D35"/>
    <w:rsid w:val="00EA2AD4"/>
    <w:rsid w:val="00EA315D"/>
    <w:rsid w:val="00EA5035"/>
    <w:rsid w:val="00EA6E33"/>
    <w:rsid w:val="00EB170C"/>
    <w:rsid w:val="00EB322B"/>
    <w:rsid w:val="00EB7D4A"/>
    <w:rsid w:val="00EC3F64"/>
    <w:rsid w:val="00ED01D8"/>
    <w:rsid w:val="00ED0BA3"/>
    <w:rsid w:val="00ED17F2"/>
    <w:rsid w:val="00EE22FE"/>
    <w:rsid w:val="00EE3DD1"/>
    <w:rsid w:val="00EE5419"/>
    <w:rsid w:val="00EF3C16"/>
    <w:rsid w:val="00F05FEC"/>
    <w:rsid w:val="00F07E88"/>
    <w:rsid w:val="00F12EC0"/>
    <w:rsid w:val="00F13E19"/>
    <w:rsid w:val="00F14F2F"/>
    <w:rsid w:val="00F21F95"/>
    <w:rsid w:val="00F327AB"/>
    <w:rsid w:val="00F400BD"/>
    <w:rsid w:val="00F42175"/>
    <w:rsid w:val="00F637FC"/>
    <w:rsid w:val="00F65D3A"/>
    <w:rsid w:val="00F67947"/>
    <w:rsid w:val="00F82AFD"/>
    <w:rsid w:val="00F91A1C"/>
    <w:rsid w:val="00F939EB"/>
    <w:rsid w:val="00FA6262"/>
    <w:rsid w:val="00FA7ADC"/>
    <w:rsid w:val="00FB15C7"/>
    <w:rsid w:val="00FB6A28"/>
    <w:rsid w:val="00FC5719"/>
    <w:rsid w:val="00FC5F15"/>
    <w:rsid w:val="00FE021F"/>
    <w:rsid w:val="00FE2C71"/>
    <w:rsid w:val="00FF2014"/>
    <w:rsid w:val="00FF3BF4"/>
    <w:rsid w:val="00FF5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A5E126-E835-4646-9D63-9E1BA6A6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lang w:val="x-none" w:eastAsia="x-none"/>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lang w:val="x-none" w:eastAsia="x-none"/>
    </w:rPr>
  </w:style>
  <w:style w:type="character" w:customStyle="1" w:styleId="NzovChar">
    <w:name w:val="Názov Char"/>
    <w:link w:val="Nzov"/>
    <w:uiPriority w:val="10"/>
    <w:rsid w:val="00876805"/>
    <w:rPr>
      <w:b/>
      <w:sz w:val="24"/>
    </w:rPr>
  </w:style>
  <w:style w:type="character" w:customStyle="1" w:styleId="Textzstupnhosymbolu">
    <w:name w:val="Text zástupného symbolu"/>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lang w:val="x-none" w:eastAsia="x-none"/>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lang w:val="x-none" w:eastAsia="x-none"/>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val="x-none"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character" w:customStyle="1" w:styleId="hps">
    <w:name w:val="hps"/>
    <w:rsid w:val="006606DC"/>
  </w:style>
  <w:style w:type="character" w:customStyle="1" w:styleId="PtaChar">
    <w:name w:val="Päta Char"/>
    <w:link w:val="Pta"/>
    <w:uiPriority w:val="99"/>
    <w:rsid w:val="00F637FC"/>
  </w:style>
  <w:style w:type="paragraph" w:styleId="Textpoznmkypodiarou">
    <w:name w:val="footnote text"/>
    <w:basedOn w:val="Normlny"/>
    <w:link w:val="TextpoznmkypodiarouChar"/>
    <w:rsid w:val="00392D04"/>
  </w:style>
  <w:style w:type="character" w:customStyle="1" w:styleId="TextpoznmkypodiarouChar">
    <w:name w:val="Text poznámky pod čiarou Char"/>
    <w:basedOn w:val="Predvolenpsmoodseku"/>
    <w:link w:val="Textpoznmkypodiarou"/>
    <w:rsid w:val="00392D04"/>
  </w:style>
  <w:style w:type="character" w:styleId="Odkaznapoznmkupodiarou">
    <w:name w:val="footnote reference"/>
    <w:rsid w:val="00392D04"/>
    <w:rPr>
      <w:vertAlign w:val="superscript"/>
    </w:rPr>
  </w:style>
  <w:style w:type="paragraph" w:styleId="Zkladntext">
    <w:name w:val="Body Text"/>
    <w:basedOn w:val="Normlny"/>
    <w:link w:val="ZkladntextChar"/>
    <w:rsid w:val="00B5269E"/>
    <w:pPr>
      <w:spacing w:after="120"/>
    </w:pPr>
    <w:rPr>
      <w:sz w:val="24"/>
      <w:szCs w:val="24"/>
      <w:lang w:eastAsia="cs-CZ"/>
    </w:rPr>
  </w:style>
  <w:style w:type="character" w:customStyle="1" w:styleId="ZkladntextChar">
    <w:name w:val="Základný text Char"/>
    <w:basedOn w:val="Predvolenpsmoodseku"/>
    <w:link w:val="Zkladntext"/>
    <w:rsid w:val="00B5269E"/>
    <w:rPr>
      <w:sz w:val="24"/>
      <w:szCs w:val="24"/>
      <w:lang w:eastAsia="cs-CZ"/>
    </w:rPr>
  </w:style>
  <w:style w:type="paragraph" w:customStyle="1" w:styleId="titulok">
    <w:name w:val="titulok"/>
    <w:basedOn w:val="Normlny"/>
    <w:qFormat/>
    <w:rsid w:val="007802EF"/>
    <w:pPr>
      <w:spacing w:before="100" w:beforeAutospacing="1" w:after="100" w:afterAutospacing="1"/>
      <w:jc w:val="center"/>
    </w:pPr>
    <w:rPr>
      <w:rFonts w:ascii="Arial" w:hAnsi="Arial" w:cs="Arial"/>
      <w:b/>
      <w:bCs/>
      <w:color w:val="007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8590">
      <w:bodyDiv w:val="1"/>
      <w:marLeft w:val="0"/>
      <w:marRight w:val="0"/>
      <w:marTop w:val="0"/>
      <w:marBottom w:val="0"/>
      <w:divBdr>
        <w:top w:val="none" w:sz="0" w:space="0" w:color="auto"/>
        <w:left w:val="none" w:sz="0" w:space="0" w:color="auto"/>
        <w:bottom w:val="none" w:sz="0" w:space="0" w:color="auto"/>
        <w:right w:val="none" w:sz="0" w:space="0" w:color="auto"/>
      </w:divBdr>
    </w:div>
    <w:div w:id="59519690">
      <w:bodyDiv w:val="1"/>
      <w:marLeft w:val="0"/>
      <w:marRight w:val="0"/>
      <w:marTop w:val="0"/>
      <w:marBottom w:val="0"/>
      <w:divBdr>
        <w:top w:val="none" w:sz="0" w:space="0" w:color="auto"/>
        <w:left w:val="none" w:sz="0" w:space="0" w:color="auto"/>
        <w:bottom w:val="none" w:sz="0" w:space="0" w:color="auto"/>
        <w:right w:val="none" w:sz="0" w:space="0" w:color="auto"/>
      </w:divBdr>
    </w:div>
    <w:div w:id="811215111">
      <w:bodyDiv w:val="1"/>
      <w:marLeft w:val="0"/>
      <w:marRight w:val="0"/>
      <w:marTop w:val="0"/>
      <w:marBottom w:val="0"/>
      <w:divBdr>
        <w:top w:val="none" w:sz="0" w:space="0" w:color="auto"/>
        <w:left w:val="none" w:sz="0" w:space="0" w:color="auto"/>
        <w:bottom w:val="none" w:sz="0" w:space="0" w:color="auto"/>
        <w:right w:val="none" w:sz="0" w:space="0" w:color="auto"/>
      </w:divBdr>
      <w:divsChild>
        <w:div w:id="598637245">
          <w:marLeft w:val="0"/>
          <w:marRight w:val="0"/>
          <w:marTop w:val="0"/>
          <w:marBottom w:val="0"/>
          <w:divBdr>
            <w:top w:val="none" w:sz="0" w:space="0" w:color="auto"/>
            <w:left w:val="none" w:sz="0" w:space="0" w:color="auto"/>
            <w:bottom w:val="none" w:sz="0" w:space="0" w:color="auto"/>
            <w:right w:val="none" w:sz="0" w:space="0" w:color="auto"/>
          </w:divBdr>
        </w:div>
        <w:div w:id="1543202467">
          <w:marLeft w:val="0"/>
          <w:marRight w:val="0"/>
          <w:marTop w:val="0"/>
          <w:marBottom w:val="0"/>
          <w:divBdr>
            <w:top w:val="none" w:sz="0" w:space="0" w:color="auto"/>
            <w:left w:val="none" w:sz="0" w:space="0" w:color="auto"/>
            <w:bottom w:val="none" w:sz="0" w:space="0" w:color="auto"/>
            <w:right w:val="none" w:sz="0" w:space="0" w:color="auto"/>
          </w:divBdr>
        </w:div>
        <w:div w:id="886792771">
          <w:marLeft w:val="0"/>
          <w:marRight w:val="0"/>
          <w:marTop w:val="0"/>
          <w:marBottom w:val="0"/>
          <w:divBdr>
            <w:top w:val="none" w:sz="0" w:space="0" w:color="auto"/>
            <w:left w:val="none" w:sz="0" w:space="0" w:color="auto"/>
            <w:bottom w:val="none" w:sz="0" w:space="0" w:color="auto"/>
            <w:right w:val="none" w:sz="0" w:space="0" w:color="auto"/>
          </w:divBdr>
        </w:div>
        <w:div w:id="1497452851">
          <w:marLeft w:val="0"/>
          <w:marRight w:val="0"/>
          <w:marTop w:val="0"/>
          <w:marBottom w:val="0"/>
          <w:divBdr>
            <w:top w:val="none" w:sz="0" w:space="0" w:color="auto"/>
            <w:left w:val="none" w:sz="0" w:space="0" w:color="auto"/>
            <w:bottom w:val="none" w:sz="0" w:space="0" w:color="auto"/>
            <w:right w:val="none" w:sz="0" w:space="0" w:color="auto"/>
          </w:divBdr>
        </w:div>
        <w:div w:id="795566421">
          <w:marLeft w:val="0"/>
          <w:marRight w:val="0"/>
          <w:marTop w:val="0"/>
          <w:marBottom w:val="0"/>
          <w:divBdr>
            <w:top w:val="none" w:sz="0" w:space="0" w:color="auto"/>
            <w:left w:val="none" w:sz="0" w:space="0" w:color="auto"/>
            <w:bottom w:val="none" w:sz="0" w:space="0" w:color="auto"/>
            <w:right w:val="none" w:sz="0" w:space="0" w:color="auto"/>
          </w:divBdr>
        </w:div>
        <w:div w:id="692927609">
          <w:marLeft w:val="0"/>
          <w:marRight w:val="0"/>
          <w:marTop w:val="0"/>
          <w:marBottom w:val="0"/>
          <w:divBdr>
            <w:top w:val="none" w:sz="0" w:space="0" w:color="auto"/>
            <w:left w:val="none" w:sz="0" w:space="0" w:color="auto"/>
            <w:bottom w:val="none" w:sz="0" w:space="0" w:color="auto"/>
            <w:right w:val="none" w:sz="0" w:space="0" w:color="auto"/>
          </w:divBdr>
        </w:div>
        <w:div w:id="2074963914">
          <w:marLeft w:val="0"/>
          <w:marRight w:val="0"/>
          <w:marTop w:val="0"/>
          <w:marBottom w:val="0"/>
          <w:divBdr>
            <w:top w:val="none" w:sz="0" w:space="0" w:color="auto"/>
            <w:left w:val="none" w:sz="0" w:space="0" w:color="auto"/>
            <w:bottom w:val="none" w:sz="0" w:space="0" w:color="auto"/>
            <w:right w:val="none" w:sz="0" w:space="0" w:color="auto"/>
          </w:divBdr>
        </w:div>
        <w:div w:id="863127903">
          <w:marLeft w:val="0"/>
          <w:marRight w:val="0"/>
          <w:marTop w:val="0"/>
          <w:marBottom w:val="0"/>
          <w:divBdr>
            <w:top w:val="none" w:sz="0" w:space="0" w:color="auto"/>
            <w:left w:val="none" w:sz="0" w:space="0" w:color="auto"/>
            <w:bottom w:val="none" w:sz="0" w:space="0" w:color="auto"/>
            <w:right w:val="none" w:sz="0" w:space="0" w:color="auto"/>
          </w:divBdr>
        </w:div>
        <w:div w:id="1797138617">
          <w:marLeft w:val="0"/>
          <w:marRight w:val="0"/>
          <w:marTop w:val="0"/>
          <w:marBottom w:val="0"/>
          <w:divBdr>
            <w:top w:val="none" w:sz="0" w:space="0" w:color="auto"/>
            <w:left w:val="none" w:sz="0" w:space="0" w:color="auto"/>
            <w:bottom w:val="none" w:sz="0" w:space="0" w:color="auto"/>
            <w:right w:val="none" w:sz="0" w:space="0" w:color="auto"/>
          </w:divBdr>
        </w:div>
        <w:div w:id="1727948708">
          <w:marLeft w:val="0"/>
          <w:marRight w:val="0"/>
          <w:marTop w:val="0"/>
          <w:marBottom w:val="0"/>
          <w:divBdr>
            <w:top w:val="none" w:sz="0" w:space="0" w:color="auto"/>
            <w:left w:val="none" w:sz="0" w:space="0" w:color="auto"/>
            <w:bottom w:val="none" w:sz="0" w:space="0" w:color="auto"/>
            <w:right w:val="none" w:sz="0" w:space="0" w:color="auto"/>
          </w:divBdr>
        </w:div>
        <w:div w:id="426076825">
          <w:marLeft w:val="0"/>
          <w:marRight w:val="0"/>
          <w:marTop w:val="0"/>
          <w:marBottom w:val="0"/>
          <w:divBdr>
            <w:top w:val="none" w:sz="0" w:space="0" w:color="auto"/>
            <w:left w:val="none" w:sz="0" w:space="0" w:color="auto"/>
            <w:bottom w:val="none" w:sz="0" w:space="0" w:color="auto"/>
            <w:right w:val="none" w:sz="0" w:space="0" w:color="auto"/>
          </w:divBdr>
        </w:div>
        <w:div w:id="403181272">
          <w:marLeft w:val="0"/>
          <w:marRight w:val="0"/>
          <w:marTop w:val="0"/>
          <w:marBottom w:val="0"/>
          <w:divBdr>
            <w:top w:val="none" w:sz="0" w:space="0" w:color="auto"/>
            <w:left w:val="none" w:sz="0" w:space="0" w:color="auto"/>
            <w:bottom w:val="none" w:sz="0" w:space="0" w:color="auto"/>
            <w:right w:val="none" w:sz="0" w:space="0" w:color="auto"/>
          </w:divBdr>
        </w:div>
        <w:div w:id="291982125">
          <w:marLeft w:val="0"/>
          <w:marRight w:val="0"/>
          <w:marTop w:val="0"/>
          <w:marBottom w:val="0"/>
          <w:divBdr>
            <w:top w:val="none" w:sz="0" w:space="0" w:color="auto"/>
            <w:left w:val="none" w:sz="0" w:space="0" w:color="auto"/>
            <w:bottom w:val="none" w:sz="0" w:space="0" w:color="auto"/>
            <w:right w:val="none" w:sz="0" w:space="0" w:color="auto"/>
          </w:divBdr>
        </w:div>
        <w:div w:id="761023682">
          <w:marLeft w:val="0"/>
          <w:marRight w:val="0"/>
          <w:marTop w:val="0"/>
          <w:marBottom w:val="0"/>
          <w:divBdr>
            <w:top w:val="none" w:sz="0" w:space="0" w:color="auto"/>
            <w:left w:val="none" w:sz="0" w:space="0" w:color="auto"/>
            <w:bottom w:val="none" w:sz="0" w:space="0" w:color="auto"/>
            <w:right w:val="none" w:sz="0" w:space="0" w:color="auto"/>
          </w:divBdr>
        </w:div>
        <w:div w:id="1062563774">
          <w:marLeft w:val="0"/>
          <w:marRight w:val="0"/>
          <w:marTop w:val="0"/>
          <w:marBottom w:val="0"/>
          <w:divBdr>
            <w:top w:val="none" w:sz="0" w:space="0" w:color="auto"/>
            <w:left w:val="none" w:sz="0" w:space="0" w:color="auto"/>
            <w:bottom w:val="none" w:sz="0" w:space="0" w:color="auto"/>
            <w:right w:val="none" w:sz="0" w:space="0" w:color="auto"/>
          </w:divBdr>
        </w:div>
        <w:div w:id="1944532926">
          <w:marLeft w:val="0"/>
          <w:marRight w:val="0"/>
          <w:marTop w:val="0"/>
          <w:marBottom w:val="0"/>
          <w:divBdr>
            <w:top w:val="none" w:sz="0" w:space="0" w:color="auto"/>
            <w:left w:val="none" w:sz="0" w:space="0" w:color="auto"/>
            <w:bottom w:val="none" w:sz="0" w:space="0" w:color="auto"/>
            <w:right w:val="none" w:sz="0" w:space="0" w:color="auto"/>
          </w:divBdr>
        </w:div>
        <w:div w:id="211233203">
          <w:marLeft w:val="0"/>
          <w:marRight w:val="0"/>
          <w:marTop w:val="0"/>
          <w:marBottom w:val="0"/>
          <w:divBdr>
            <w:top w:val="none" w:sz="0" w:space="0" w:color="auto"/>
            <w:left w:val="none" w:sz="0" w:space="0" w:color="auto"/>
            <w:bottom w:val="none" w:sz="0" w:space="0" w:color="auto"/>
            <w:right w:val="none" w:sz="0" w:space="0" w:color="auto"/>
          </w:divBdr>
        </w:div>
        <w:div w:id="1101221886">
          <w:marLeft w:val="0"/>
          <w:marRight w:val="0"/>
          <w:marTop w:val="0"/>
          <w:marBottom w:val="0"/>
          <w:divBdr>
            <w:top w:val="none" w:sz="0" w:space="0" w:color="auto"/>
            <w:left w:val="none" w:sz="0" w:space="0" w:color="auto"/>
            <w:bottom w:val="none" w:sz="0" w:space="0" w:color="auto"/>
            <w:right w:val="none" w:sz="0" w:space="0" w:color="auto"/>
          </w:divBdr>
        </w:div>
        <w:div w:id="1588686601">
          <w:marLeft w:val="0"/>
          <w:marRight w:val="0"/>
          <w:marTop w:val="0"/>
          <w:marBottom w:val="0"/>
          <w:divBdr>
            <w:top w:val="none" w:sz="0" w:space="0" w:color="auto"/>
            <w:left w:val="none" w:sz="0" w:space="0" w:color="auto"/>
            <w:bottom w:val="none" w:sz="0" w:space="0" w:color="auto"/>
            <w:right w:val="none" w:sz="0" w:space="0" w:color="auto"/>
          </w:divBdr>
        </w:div>
        <w:div w:id="1250505500">
          <w:marLeft w:val="0"/>
          <w:marRight w:val="0"/>
          <w:marTop w:val="0"/>
          <w:marBottom w:val="0"/>
          <w:divBdr>
            <w:top w:val="none" w:sz="0" w:space="0" w:color="auto"/>
            <w:left w:val="none" w:sz="0" w:space="0" w:color="auto"/>
            <w:bottom w:val="none" w:sz="0" w:space="0" w:color="auto"/>
            <w:right w:val="none" w:sz="0" w:space="0" w:color="auto"/>
          </w:divBdr>
        </w:div>
        <w:div w:id="1597320939">
          <w:marLeft w:val="0"/>
          <w:marRight w:val="0"/>
          <w:marTop w:val="0"/>
          <w:marBottom w:val="0"/>
          <w:divBdr>
            <w:top w:val="none" w:sz="0" w:space="0" w:color="auto"/>
            <w:left w:val="none" w:sz="0" w:space="0" w:color="auto"/>
            <w:bottom w:val="none" w:sz="0" w:space="0" w:color="auto"/>
            <w:right w:val="none" w:sz="0" w:space="0" w:color="auto"/>
          </w:divBdr>
        </w:div>
        <w:div w:id="184249879">
          <w:marLeft w:val="0"/>
          <w:marRight w:val="0"/>
          <w:marTop w:val="0"/>
          <w:marBottom w:val="0"/>
          <w:divBdr>
            <w:top w:val="none" w:sz="0" w:space="0" w:color="auto"/>
            <w:left w:val="none" w:sz="0" w:space="0" w:color="auto"/>
            <w:bottom w:val="none" w:sz="0" w:space="0" w:color="auto"/>
            <w:right w:val="none" w:sz="0" w:space="0" w:color="auto"/>
          </w:divBdr>
        </w:div>
        <w:div w:id="261501439">
          <w:marLeft w:val="0"/>
          <w:marRight w:val="0"/>
          <w:marTop w:val="0"/>
          <w:marBottom w:val="0"/>
          <w:divBdr>
            <w:top w:val="none" w:sz="0" w:space="0" w:color="auto"/>
            <w:left w:val="none" w:sz="0" w:space="0" w:color="auto"/>
            <w:bottom w:val="none" w:sz="0" w:space="0" w:color="auto"/>
            <w:right w:val="none" w:sz="0" w:space="0" w:color="auto"/>
          </w:divBdr>
        </w:div>
        <w:div w:id="495221625">
          <w:marLeft w:val="0"/>
          <w:marRight w:val="0"/>
          <w:marTop w:val="0"/>
          <w:marBottom w:val="0"/>
          <w:divBdr>
            <w:top w:val="none" w:sz="0" w:space="0" w:color="auto"/>
            <w:left w:val="none" w:sz="0" w:space="0" w:color="auto"/>
            <w:bottom w:val="none" w:sz="0" w:space="0" w:color="auto"/>
            <w:right w:val="none" w:sz="0" w:space="0" w:color="auto"/>
          </w:divBdr>
        </w:div>
        <w:div w:id="2031107127">
          <w:marLeft w:val="0"/>
          <w:marRight w:val="0"/>
          <w:marTop w:val="0"/>
          <w:marBottom w:val="0"/>
          <w:divBdr>
            <w:top w:val="none" w:sz="0" w:space="0" w:color="auto"/>
            <w:left w:val="none" w:sz="0" w:space="0" w:color="auto"/>
            <w:bottom w:val="none" w:sz="0" w:space="0" w:color="auto"/>
            <w:right w:val="none" w:sz="0" w:space="0" w:color="auto"/>
          </w:divBdr>
        </w:div>
        <w:div w:id="329334317">
          <w:marLeft w:val="0"/>
          <w:marRight w:val="0"/>
          <w:marTop w:val="0"/>
          <w:marBottom w:val="0"/>
          <w:divBdr>
            <w:top w:val="none" w:sz="0" w:space="0" w:color="auto"/>
            <w:left w:val="none" w:sz="0" w:space="0" w:color="auto"/>
            <w:bottom w:val="none" w:sz="0" w:space="0" w:color="auto"/>
            <w:right w:val="none" w:sz="0" w:space="0" w:color="auto"/>
          </w:divBdr>
        </w:div>
        <w:div w:id="1393623808">
          <w:marLeft w:val="0"/>
          <w:marRight w:val="0"/>
          <w:marTop w:val="0"/>
          <w:marBottom w:val="0"/>
          <w:divBdr>
            <w:top w:val="none" w:sz="0" w:space="0" w:color="auto"/>
            <w:left w:val="none" w:sz="0" w:space="0" w:color="auto"/>
            <w:bottom w:val="none" w:sz="0" w:space="0" w:color="auto"/>
            <w:right w:val="none" w:sz="0" w:space="0" w:color="auto"/>
          </w:divBdr>
        </w:div>
      </w:divsChild>
    </w:div>
    <w:div w:id="1480266040">
      <w:bodyDiv w:val="1"/>
      <w:marLeft w:val="0"/>
      <w:marRight w:val="0"/>
      <w:marTop w:val="0"/>
      <w:marBottom w:val="0"/>
      <w:divBdr>
        <w:top w:val="none" w:sz="0" w:space="0" w:color="auto"/>
        <w:left w:val="none" w:sz="0" w:space="0" w:color="auto"/>
        <w:bottom w:val="none" w:sz="0" w:space="0" w:color="auto"/>
        <w:right w:val="none" w:sz="0" w:space="0" w:color="auto"/>
      </w:divBdr>
      <w:divsChild>
        <w:div w:id="1171413477">
          <w:marLeft w:val="0"/>
          <w:marRight w:val="0"/>
          <w:marTop w:val="0"/>
          <w:marBottom w:val="0"/>
          <w:divBdr>
            <w:top w:val="none" w:sz="0" w:space="0" w:color="auto"/>
            <w:left w:val="none" w:sz="0" w:space="0" w:color="auto"/>
            <w:bottom w:val="none" w:sz="0" w:space="0" w:color="auto"/>
            <w:right w:val="none" w:sz="0" w:space="0" w:color="auto"/>
          </w:divBdr>
        </w:div>
        <w:div w:id="1084180120">
          <w:marLeft w:val="0"/>
          <w:marRight w:val="0"/>
          <w:marTop w:val="0"/>
          <w:marBottom w:val="0"/>
          <w:divBdr>
            <w:top w:val="none" w:sz="0" w:space="0" w:color="auto"/>
            <w:left w:val="none" w:sz="0" w:space="0" w:color="auto"/>
            <w:bottom w:val="none" w:sz="0" w:space="0" w:color="auto"/>
            <w:right w:val="none" w:sz="0" w:space="0" w:color="auto"/>
          </w:divBdr>
        </w:div>
        <w:div w:id="1653096190">
          <w:marLeft w:val="0"/>
          <w:marRight w:val="0"/>
          <w:marTop w:val="0"/>
          <w:marBottom w:val="0"/>
          <w:divBdr>
            <w:top w:val="none" w:sz="0" w:space="0" w:color="auto"/>
            <w:left w:val="none" w:sz="0" w:space="0" w:color="auto"/>
            <w:bottom w:val="none" w:sz="0" w:space="0" w:color="auto"/>
            <w:right w:val="none" w:sz="0" w:space="0" w:color="auto"/>
          </w:divBdr>
        </w:div>
        <w:div w:id="834610872">
          <w:marLeft w:val="0"/>
          <w:marRight w:val="0"/>
          <w:marTop w:val="0"/>
          <w:marBottom w:val="0"/>
          <w:divBdr>
            <w:top w:val="none" w:sz="0" w:space="0" w:color="auto"/>
            <w:left w:val="none" w:sz="0" w:space="0" w:color="auto"/>
            <w:bottom w:val="none" w:sz="0" w:space="0" w:color="auto"/>
            <w:right w:val="none" w:sz="0" w:space="0" w:color="auto"/>
          </w:divBdr>
        </w:div>
        <w:div w:id="1948543435">
          <w:marLeft w:val="0"/>
          <w:marRight w:val="0"/>
          <w:marTop w:val="0"/>
          <w:marBottom w:val="0"/>
          <w:divBdr>
            <w:top w:val="none" w:sz="0" w:space="0" w:color="auto"/>
            <w:left w:val="none" w:sz="0" w:space="0" w:color="auto"/>
            <w:bottom w:val="none" w:sz="0" w:space="0" w:color="auto"/>
            <w:right w:val="none" w:sz="0" w:space="0" w:color="auto"/>
          </w:divBdr>
        </w:div>
        <w:div w:id="946696126">
          <w:marLeft w:val="0"/>
          <w:marRight w:val="0"/>
          <w:marTop w:val="0"/>
          <w:marBottom w:val="0"/>
          <w:divBdr>
            <w:top w:val="none" w:sz="0" w:space="0" w:color="auto"/>
            <w:left w:val="none" w:sz="0" w:space="0" w:color="auto"/>
            <w:bottom w:val="none" w:sz="0" w:space="0" w:color="auto"/>
            <w:right w:val="none" w:sz="0" w:space="0" w:color="auto"/>
          </w:divBdr>
        </w:div>
        <w:div w:id="1865096583">
          <w:marLeft w:val="0"/>
          <w:marRight w:val="0"/>
          <w:marTop w:val="0"/>
          <w:marBottom w:val="0"/>
          <w:divBdr>
            <w:top w:val="none" w:sz="0" w:space="0" w:color="auto"/>
            <w:left w:val="none" w:sz="0" w:space="0" w:color="auto"/>
            <w:bottom w:val="none" w:sz="0" w:space="0" w:color="auto"/>
            <w:right w:val="none" w:sz="0" w:space="0" w:color="auto"/>
          </w:divBdr>
        </w:div>
        <w:div w:id="1478187519">
          <w:marLeft w:val="0"/>
          <w:marRight w:val="0"/>
          <w:marTop w:val="0"/>
          <w:marBottom w:val="0"/>
          <w:divBdr>
            <w:top w:val="none" w:sz="0" w:space="0" w:color="auto"/>
            <w:left w:val="none" w:sz="0" w:space="0" w:color="auto"/>
            <w:bottom w:val="none" w:sz="0" w:space="0" w:color="auto"/>
            <w:right w:val="none" w:sz="0" w:space="0" w:color="auto"/>
          </w:divBdr>
        </w:div>
        <w:div w:id="654142252">
          <w:marLeft w:val="0"/>
          <w:marRight w:val="0"/>
          <w:marTop w:val="0"/>
          <w:marBottom w:val="0"/>
          <w:divBdr>
            <w:top w:val="none" w:sz="0" w:space="0" w:color="auto"/>
            <w:left w:val="none" w:sz="0" w:space="0" w:color="auto"/>
            <w:bottom w:val="none" w:sz="0" w:space="0" w:color="auto"/>
            <w:right w:val="none" w:sz="0" w:space="0" w:color="auto"/>
          </w:divBdr>
        </w:div>
        <w:div w:id="702823417">
          <w:marLeft w:val="0"/>
          <w:marRight w:val="0"/>
          <w:marTop w:val="0"/>
          <w:marBottom w:val="0"/>
          <w:divBdr>
            <w:top w:val="none" w:sz="0" w:space="0" w:color="auto"/>
            <w:left w:val="none" w:sz="0" w:space="0" w:color="auto"/>
            <w:bottom w:val="none" w:sz="0" w:space="0" w:color="auto"/>
            <w:right w:val="none" w:sz="0" w:space="0" w:color="auto"/>
          </w:divBdr>
        </w:div>
      </w:divsChild>
    </w:div>
    <w:div w:id="1498492962">
      <w:bodyDiv w:val="1"/>
      <w:marLeft w:val="0"/>
      <w:marRight w:val="0"/>
      <w:marTop w:val="0"/>
      <w:marBottom w:val="0"/>
      <w:divBdr>
        <w:top w:val="none" w:sz="0" w:space="0" w:color="auto"/>
        <w:left w:val="none" w:sz="0" w:space="0" w:color="auto"/>
        <w:bottom w:val="none" w:sz="0" w:space="0" w:color="auto"/>
        <w:right w:val="none" w:sz="0" w:space="0" w:color="auto"/>
      </w:divBdr>
      <w:divsChild>
        <w:div w:id="569659784">
          <w:marLeft w:val="0"/>
          <w:marRight w:val="0"/>
          <w:marTop w:val="0"/>
          <w:marBottom w:val="0"/>
          <w:divBdr>
            <w:top w:val="none" w:sz="0" w:space="0" w:color="auto"/>
            <w:left w:val="none" w:sz="0" w:space="0" w:color="auto"/>
            <w:bottom w:val="none" w:sz="0" w:space="0" w:color="auto"/>
            <w:right w:val="none" w:sz="0" w:space="0" w:color="auto"/>
          </w:divBdr>
        </w:div>
        <w:div w:id="1923679549">
          <w:marLeft w:val="0"/>
          <w:marRight w:val="0"/>
          <w:marTop w:val="0"/>
          <w:marBottom w:val="0"/>
          <w:divBdr>
            <w:top w:val="none" w:sz="0" w:space="0" w:color="auto"/>
            <w:left w:val="none" w:sz="0" w:space="0" w:color="auto"/>
            <w:bottom w:val="none" w:sz="0" w:space="0" w:color="auto"/>
            <w:right w:val="none" w:sz="0" w:space="0" w:color="auto"/>
          </w:divBdr>
        </w:div>
        <w:div w:id="289748290">
          <w:marLeft w:val="0"/>
          <w:marRight w:val="0"/>
          <w:marTop w:val="0"/>
          <w:marBottom w:val="0"/>
          <w:divBdr>
            <w:top w:val="none" w:sz="0" w:space="0" w:color="auto"/>
            <w:left w:val="none" w:sz="0" w:space="0" w:color="auto"/>
            <w:bottom w:val="none" w:sz="0" w:space="0" w:color="auto"/>
            <w:right w:val="none" w:sz="0" w:space="0" w:color="auto"/>
          </w:divBdr>
        </w:div>
        <w:div w:id="1313561237">
          <w:marLeft w:val="0"/>
          <w:marRight w:val="0"/>
          <w:marTop w:val="0"/>
          <w:marBottom w:val="0"/>
          <w:divBdr>
            <w:top w:val="none" w:sz="0" w:space="0" w:color="auto"/>
            <w:left w:val="none" w:sz="0" w:space="0" w:color="auto"/>
            <w:bottom w:val="none" w:sz="0" w:space="0" w:color="auto"/>
            <w:right w:val="none" w:sz="0" w:space="0" w:color="auto"/>
          </w:divBdr>
        </w:div>
        <w:div w:id="901256070">
          <w:marLeft w:val="0"/>
          <w:marRight w:val="0"/>
          <w:marTop w:val="0"/>
          <w:marBottom w:val="0"/>
          <w:divBdr>
            <w:top w:val="none" w:sz="0" w:space="0" w:color="auto"/>
            <w:left w:val="none" w:sz="0" w:space="0" w:color="auto"/>
            <w:bottom w:val="none" w:sz="0" w:space="0" w:color="auto"/>
            <w:right w:val="none" w:sz="0" w:space="0" w:color="auto"/>
          </w:divBdr>
        </w:div>
        <w:div w:id="176425464">
          <w:marLeft w:val="0"/>
          <w:marRight w:val="0"/>
          <w:marTop w:val="0"/>
          <w:marBottom w:val="0"/>
          <w:divBdr>
            <w:top w:val="none" w:sz="0" w:space="0" w:color="auto"/>
            <w:left w:val="none" w:sz="0" w:space="0" w:color="auto"/>
            <w:bottom w:val="none" w:sz="0" w:space="0" w:color="auto"/>
            <w:right w:val="none" w:sz="0" w:space="0" w:color="auto"/>
          </w:divBdr>
        </w:div>
        <w:div w:id="1884441321">
          <w:marLeft w:val="0"/>
          <w:marRight w:val="0"/>
          <w:marTop w:val="0"/>
          <w:marBottom w:val="0"/>
          <w:divBdr>
            <w:top w:val="none" w:sz="0" w:space="0" w:color="auto"/>
            <w:left w:val="none" w:sz="0" w:space="0" w:color="auto"/>
            <w:bottom w:val="none" w:sz="0" w:space="0" w:color="auto"/>
            <w:right w:val="none" w:sz="0" w:space="0" w:color="auto"/>
          </w:divBdr>
        </w:div>
        <w:div w:id="1891066351">
          <w:marLeft w:val="0"/>
          <w:marRight w:val="0"/>
          <w:marTop w:val="0"/>
          <w:marBottom w:val="0"/>
          <w:divBdr>
            <w:top w:val="none" w:sz="0" w:space="0" w:color="auto"/>
            <w:left w:val="none" w:sz="0" w:space="0" w:color="auto"/>
            <w:bottom w:val="none" w:sz="0" w:space="0" w:color="auto"/>
            <w:right w:val="none" w:sz="0" w:space="0" w:color="auto"/>
          </w:divBdr>
        </w:div>
        <w:div w:id="931548483">
          <w:marLeft w:val="0"/>
          <w:marRight w:val="0"/>
          <w:marTop w:val="0"/>
          <w:marBottom w:val="0"/>
          <w:divBdr>
            <w:top w:val="none" w:sz="0" w:space="0" w:color="auto"/>
            <w:left w:val="none" w:sz="0" w:space="0" w:color="auto"/>
            <w:bottom w:val="none" w:sz="0" w:space="0" w:color="auto"/>
            <w:right w:val="none" w:sz="0" w:space="0" w:color="auto"/>
          </w:divBdr>
        </w:div>
        <w:div w:id="559290941">
          <w:marLeft w:val="0"/>
          <w:marRight w:val="0"/>
          <w:marTop w:val="0"/>
          <w:marBottom w:val="0"/>
          <w:divBdr>
            <w:top w:val="none" w:sz="0" w:space="0" w:color="auto"/>
            <w:left w:val="none" w:sz="0" w:space="0" w:color="auto"/>
            <w:bottom w:val="none" w:sz="0" w:space="0" w:color="auto"/>
            <w:right w:val="none" w:sz="0" w:space="0" w:color="auto"/>
          </w:divBdr>
        </w:div>
        <w:div w:id="870727985">
          <w:marLeft w:val="0"/>
          <w:marRight w:val="0"/>
          <w:marTop w:val="0"/>
          <w:marBottom w:val="0"/>
          <w:divBdr>
            <w:top w:val="none" w:sz="0" w:space="0" w:color="auto"/>
            <w:left w:val="none" w:sz="0" w:space="0" w:color="auto"/>
            <w:bottom w:val="none" w:sz="0" w:space="0" w:color="auto"/>
            <w:right w:val="none" w:sz="0" w:space="0" w:color="auto"/>
          </w:divBdr>
        </w:div>
        <w:div w:id="489324222">
          <w:marLeft w:val="0"/>
          <w:marRight w:val="0"/>
          <w:marTop w:val="0"/>
          <w:marBottom w:val="0"/>
          <w:divBdr>
            <w:top w:val="none" w:sz="0" w:space="0" w:color="auto"/>
            <w:left w:val="none" w:sz="0" w:space="0" w:color="auto"/>
            <w:bottom w:val="none" w:sz="0" w:space="0" w:color="auto"/>
            <w:right w:val="none" w:sz="0" w:space="0" w:color="auto"/>
          </w:divBdr>
        </w:div>
        <w:div w:id="1817725560">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1140532847">
          <w:marLeft w:val="0"/>
          <w:marRight w:val="0"/>
          <w:marTop w:val="0"/>
          <w:marBottom w:val="0"/>
          <w:divBdr>
            <w:top w:val="none" w:sz="0" w:space="0" w:color="auto"/>
            <w:left w:val="none" w:sz="0" w:space="0" w:color="auto"/>
            <w:bottom w:val="none" w:sz="0" w:space="0" w:color="auto"/>
            <w:right w:val="none" w:sz="0" w:space="0" w:color="auto"/>
          </w:divBdr>
        </w:div>
        <w:div w:id="45834828">
          <w:marLeft w:val="0"/>
          <w:marRight w:val="0"/>
          <w:marTop w:val="0"/>
          <w:marBottom w:val="0"/>
          <w:divBdr>
            <w:top w:val="none" w:sz="0" w:space="0" w:color="auto"/>
            <w:left w:val="none" w:sz="0" w:space="0" w:color="auto"/>
            <w:bottom w:val="none" w:sz="0" w:space="0" w:color="auto"/>
            <w:right w:val="none" w:sz="0" w:space="0" w:color="auto"/>
          </w:divBdr>
        </w:div>
        <w:div w:id="356809039">
          <w:marLeft w:val="0"/>
          <w:marRight w:val="0"/>
          <w:marTop w:val="0"/>
          <w:marBottom w:val="0"/>
          <w:divBdr>
            <w:top w:val="none" w:sz="0" w:space="0" w:color="auto"/>
            <w:left w:val="none" w:sz="0" w:space="0" w:color="auto"/>
            <w:bottom w:val="none" w:sz="0" w:space="0" w:color="auto"/>
            <w:right w:val="none" w:sz="0" w:space="0" w:color="auto"/>
          </w:divBdr>
        </w:div>
        <w:div w:id="76875402">
          <w:marLeft w:val="0"/>
          <w:marRight w:val="0"/>
          <w:marTop w:val="0"/>
          <w:marBottom w:val="0"/>
          <w:divBdr>
            <w:top w:val="none" w:sz="0" w:space="0" w:color="auto"/>
            <w:left w:val="none" w:sz="0" w:space="0" w:color="auto"/>
            <w:bottom w:val="none" w:sz="0" w:space="0" w:color="auto"/>
            <w:right w:val="none" w:sz="0" w:space="0" w:color="auto"/>
          </w:divBdr>
        </w:div>
      </w:divsChild>
    </w:div>
    <w:div w:id="17590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0003-DC09-4ADC-A26D-665B59A0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4437</Words>
  <Characters>25292</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lpstr>
    </vt:vector>
  </TitlesOfParts>
  <Company>KOZ</Company>
  <LinksUpToDate>false</LinksUpToDate>
  <CharactersWithSpaces>29670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KOZ SR</dc:creator>
  <cp:keywords/>
  <cp:lastModifiedBy>Eva Kurucová</cp:lastModifiedBy>
  <cp:revision>2</cp:revision>
  <cp:lastPrinted>2017-10-04T07:11:00Z</cp:lastPrinted>
  <dcterms:created xsi:type="dcterms:W3CDTF">2018-10-07T19:25:00Z</dcterms:created>
  <dcterms:modified xsi:type="dcterms:W3CDTF">2018-10-07T19:25:00Z</dcterms:modified>
</cp:coreProperties>
</file>